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5"/>
          <w:szCs w:val="15"/>
          <w:color w:val="auto"/>
        </w:rPr>
        <w:t>(Mark One)</w:t>
      </w:r>
    </w:p>
    <w:p>
      <w:pPr>
        <w:spacing w:after="0" w:line="330" w:lineRule="exact"/>
        <w:rPr>
          <w:sz w:val="24"/>
          <w:szCs w:val="24"/>
          <w:color w:val="auto"/>
        </w:rPr>
      </w:pPr>
    </w:p>
    <w:p>
      <w:pPr>
        <w:ind w:left="40"/>
        <w:spacing w:after="0"/>
        <w:rPr>
          <w:sz w:val="20"/>
          <w:szCs w:val="20"/>
          <w:color w:val="auto"/>
        </w:rPr>
      </w:pPr>
      <w:r>
        <w:rPr>
          <w:rFonts w:ascii="Arial" w:cs="Arial" w:eastAsia="Arial" w:hAnsi="Arial"/>
          <w:sz w:val="17"/>
          <w:szCs w:val="17"/>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40"/>
        <w:spacing w:after="0"/>
        <w:rPr>
          <w:sz w:val="20"/>
          <w:szCs w:val="20"/>
          <w:color w:val="auto"/>
        </w:rPr>
      </w:pPr>
      <w:r>
        <w:rPr>
          <w:rFonts w:ascii="Arial" w:cs="Arial" w:eastAsia="Arial" w:hAnsi="Arial"/>
          <w:sz w:val="17"/>
          <w:szCs w:val="17"/>
          <w:color w:val="auto"/>
        </w:rPr>
        <w:t>[ ]</w:t>
      </w:r>
    </w:p>
    <w:p>
      <w:pPr>
        <w:spacing w:after="0" w:line="20" w:lineRule="exact"/>
        <w:rPr>
          <w:sz w:val="24"/>
          <w:szCs w:val="24"/>
          <w:color w:val="auto"/>
        </w:rPr>
      </w:pPr>
      <w:r>
        <w:rPr>
          <w:sz w:val="24"/>
          <w:szCs w:val="24"/>
          <w:color w:val="auto"/>
        </w:rPr>
        <w:br w:type="column"/>
      </w:r>
    </w:p>
    <w:p>
      <w:pPr>
        <w:jc w:val="center"/>
        <w:ind w:right="3340"/>
        <w:spacing w:after="0"/>
        <w:rPr>
          <w:sz w:val="20"/>
          <w:szCs w:val="20"/>
          <w:color w:val="auto"/>
        </w:rPr>
      </w:pPr>
      <w:r>
        <w:rPr>
          <w:rFonts w:ascii="Arial" w:cs="Arial" w:eastAsia="Arial" w:hAnsi="Arial"/>
          <w:sz w:val="17"/>
          <w:szCs w:val="17"/>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-2198370</wp:posOffset>
            </wp:positionH>
            <wp:positionV relativeFrom="paragraph">
              <wp:posOffset>-636905</wp:posOffset>
            </wp:positionV>
            <wp:extent cx="726059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0590" cy="36830"/>
                    </a:xfrm>
                    <a:prstGeom prst="rect">
                      <a:avLst/>
                    </a:prstGeom>
                    <a:noFill/>
                  </pic:spPr>
                </pic:pic>
              </a:graphicData>
            </a:graphic>
          </wp:anchor>
        </w:drawing>
      </w:r>
    </w:p>
    <w:p>
      <w:pPr>
        <w:spacing w:after="0" w:line="212" w:lineRule="exact"/>
        <w:rPr>
          <w:sz w:val="24"/>
          <w:szCs w:val="24"/>
          <w:color w:val="auto"/>
        </w:rPr>
      </w:pPr>
    </w:p>
    <w:p>
      <w:pPr>
        <w:jc w:val="center"/>
        <w:ind w:right="3340"/>
        <w:spacing w:after="0"/>
        <w:rPr>
          <w:sz w:val="20"/>
          <w:szCs w:val="20"/>
          <w:color w:val="auto"/>
        </w:rPr>
      </w:pPr>
      <w:r>
        <w:rPr>
          <w:rFonts w:ascii="Arial" w:cs="Arial" w:eastAsia="Arial" w:hAnsi="Arial"/>
          <w:sz w:val="17"/>
          <w:szCs w:val="17"/>
          <w:color w:val="auto"/>
        </w:rPr>
        <w:t>SECURITIES AND EXCHANGE COMMISSION</w:t>
      </w:r>
    </w:p>
    <w:p>
      <w:pPr>
        <w:spacing w:after="0" w:line="232" w:lineRule="exact"/>
        <w:rPr>
          <w:sz w:val="24"/>
          <w:szCs w:val="24"/>
          <w:color w:val="auto"/>
        </w:rPr>
      </w:pPr>
    </w:p>
    <w:p>
      <w:pPr>
        <w:jc w:val="center"/>
        <w:ind w:right="3340"/>
        <w:spacing w:after="0"/>
        <w:rPr>
          <w:sz w:val="20"/>
          <w:szCs w:val="20"/>
          <w:color w:val="auto"/>
        </w:rPr>
      </w:pPr>
      <w:r>
        <w:rPr>
          <w:rFonts w:ascii="Arial" w:cs="Arial" w:eastAsia="Arial" w:hAnsi="Arial"/>
          <w:sz w:val="17"/>
          <w:szCs w:val="17"/>
          <w:color w:val="auto"/>
        </w:rPr>
        <w:t>Washington, D. C. 20549</w:t>
      </w:r>
    </w:p>
    <w:p>
      <w:pPr>
        <w:spacing w:after="0" w:line="232" w:lineRule="exact"/>
        <w:rPr>
          <w:sz w:val="24"/>
          <w:szCs w:val="24"/>
          <w:color w:val="auto"/>
        </w:rPr>
      </w:pPr>
    </w:p>
    <w:p>
      <w:pPr>
        <w:ind w:left="1820"/>
        <w:spacing w:after="0"/>
        <w:rPr>
          <w:sz w:val="20"/>
          <w:szCs w:val="20"/>
          <w:color w:val="auto"/>
        </w:rPr>
      </w:pPr>
      <w:r>
        <w:rPr>
          <w:rFonts w:ascii="Arial" w:cs="Arial" w:eastAsia="Arial" w:hAnsi="Arial"/>
          <w:sz w:val="17"/>
          <w:szCs w:val="17"/>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900"/>
        <w:spacing w:after="0"/>
        <w:rPr>
          <w:sz w:val="20"/>
          <w:szCs w:val="20"/>
          <w:color w:val="auto"/>
        </w:rPr>
      </w:pPr>
      <w:r>
        <w:rPr>
          <w:rFonts w:ascii="Arial" w:cs="Arial" w:eastAsia="Arial" w:hAnsi="Arial"/>
          <w:sz w:val="17"/>
          <w:szCs w:val="17"/>
          <w:color w:val="auto"/>
        </w:rPr>
        <w:t>Quarterly Report Pursuant to Section 13 or</w:t>
      </w:r>
    </w:p>
    <w:p>
      <w:pPr>
        <w:spacing w:after="0" w:line="18" w:lineRule="exact"/>
        <w:rPr>
          <w:sz w:val="24"/>
          <w:szCs w:val="24"/>
          <w:color w:val="auto"/>
        </w:rPr>
      </w:pPr>
    </w:p>
    <w:p>
      <w:pPr>
        <w:ind w:left="340"/>
        <w:spacing w:after="0"/>
        <w:rPr>
          <w:sz w:val="20"/>
          <w:szCs w:val="20"/>
          <w:color w:val="auto"/>
        </w:rPr>
      </w:pPr>
      <w:r>
        <w:rPr>
          <w:rFonts w:ascii="Arial" w:cs="Arial" w:eastAsia="Arial" w:hAnsi="Arial"/>
          <w:sz w:val="17"/>
          <w:szCs w:val="17"/>
          <w:color w:val="auto"/>
        </w:rPr>
        <w:t>15(d) of the</w:t>
      </w:r>
    </w:p>
    <w:p>
      <w:pPr>
        <w:spacing w:after="0" w:line="6" w:lineRule="exact"/>
        <w:rPr>
          <w:sz w:val="24"/>
          <w:szCs w:val="24"/>
          <w:color w:val="auto"/>
        </w:rPr>
      </w:pPr>
    </w:p>
    <w:p>
      <w:pPr>
        <w:jc w:val="center"/>
        <w:ind w:right="3340"/>
        <w:spacing w:after="0"/>
        <w:rPr>
          <w:sz w:val="20"/>
          <w:szCs w:val="20"/>
          <w:color w:val="auto"/>
        </w:rPr>
      </w:pPr>
      <w:r>
        <w:rPr>
          <w:rFonts w:ascii="Arial" w:cs="Arial" w:eastAsia="Arial" w:hAnsi="Arial"/>
          <w:sz w:val="17"/>
          <w:szCs w:val="17"/>
          <w:color w:val="auto"/>
        </w:rPr>
        <w:t>Securities Exchange Act of 1934</w:t>
      </w:r>
    </w:p>
    <w:p>
      <w:pPr>
        <w:spacing w:after="0" w:line="6" w:lineRule="exact"/>
        <w:rPr>
          <w:sz w:val="24"/>
          <w:szCs w:val="24"/>
          <w:color w:val="auto"/>
        </w:rPr>
      </w:pPr>
    </w:p>
    <w:p>
      <w:pPr>
        <w:jc w:val="center"/>
        <w:ind w:right="3340"/>
        <w:spacing w:after="0"/>
        <w:rPr>
          <w:sz w:val="20"/>
          <w:szCs w:val="20"/>
          <w:color w:val="auto"/>
        </w:rPr>
      </w:pPr>
      <w:r>
        <w:rPr>
          <w:rFonts w:ascii="Arial" w:cs="Arial" w:eastAsia="Arial" w:hAnsi="Arial"/>
          <w:sz w:val="17"/>
          <w:szCs w:val="17"/>
          <w:color w:val="auto"/>
        </w:rPr>
        <w:t>For the Quarterly Period Ended April 30, 2010</w:t>
      </w:r>
    </w:p>
    <w:p>
      <w:pPr>
        <w:spacing w:after="0" w:line="220" w:lineRule="exact"/>
        <w:rPr>
          <w:sz w:val="24"/>
          <w:szCs w:val="24"/>
          <w:color w:val="auto"/>
        </w:rPr>
      </w:pPr>
    </w:p>
    <w:p>
      <w:pPr>
        <w:ind w:left="2180"/>
        <w:spacing w:after="0"/>
        <w:rPr>
          <w:sz w:val="20"/>
          <w:szCs w:val="20"/>
          <w:color w:val="auto"/>
        </w:rPr>
      </w:pPr>
      <w:r>
        <w:rPr>
          <w:rFonts w:ascii="Arial" w:cs="Arial" w:eastAsia="Arial" w:hAnsi="Arial"/>
          <w:sz w:val="17"/>
          <w:szCs w:val="17"/>
          <w:color w:val="auto"/>
        </w:rPr>
        <w:t>or</w:t>
      </w:r>
    </w:p>
    <w:p>
      <w:pPr>
        <w:spacing w:after="0" w:line="200" w:lineRule="exact"/>
        <w:rPr>
          <w:sz w:val="24"/>
          <w:szCs w:val="24"/>
          <w:color w:val="auto"/>
        </w:rPr>
      </w:pPr>
    </w:p>
    <w:p>
      <w:pPr>
        <w:spacing w:after="0" w:line="233" w:lineRule="exact"/>
        <w:rPr>
          <w:sz w:val="24"/>
          <w:szCs w:val="24"/>
          <w:color w:val="auto"/>
        </w:rPr>
      </w:pPr>
    </w:p>
    <w:p>
      <w:pPr>
        <w:ind w:left="980"/>
        <w:spacing w:after="0"/>
        <w:rPr>
          <w:sz w:val="20"/>
          <w:szCs w:val="20"/>
          <w:color w:val="auto"/>
        </w:rPr>
      </w:pPr>
      <w:r>
        <w:rPr>
          <w:rFonts w:ascii="Arial" w:cs="Arial" w:eastAsia="Arial" w:hAnsi="Arial"/>
          <w:sz w:val="17"/>
          <w:szCs w:val="17"/>
          <w:color w:val="auto"/>
        </w:rPr>
        <w:t>Transition Report Pursuant to Section 13 or</w:t>
      </w:r>
    </w:p>
    <w:p>
      <w:pPr>
        <w:spacing w:after="0" w:line="18" w:lineRule="exact"/>
        <w:rPr>
          <w:sz w:val="24"/>
          <w:szCs w:val="24"/>
          <w:color w:val="auto"/>
        </w:rPr>
      </w:pPr>
    </w:p>
    <w:p>
      <w:pPr>
        <w:ind w:left="340"/>
        <w:spacing w:after="0"/>
        <w:rPr>
          <w:sz w:val="20"/>
          <w:szCs w:val="20"/>
          <w:color w:val="auto"/>
        </w:rPr>
      </w:pPr>
      <w:r>
        <w:rPr>
          <w:rFonts w:ascii="Arial" w:cs="Arial" w:eastAsia="Arial" w:hAnsi="Arial"/>
          <w:sz w:val="17"/>
          <w:szCs w:val="17"/>
          <w:color w:val="auto"/>
        </w:rPr>
        <w:t>15(d) of the</w:t>
      </w:r>
    </w:p>
    <w:p>
      <w:pPr>
        <w:spacing w:after="0" w:line="6" w:lineRule="exact"/>
        <w:rPr>
          <w:sz w:val="24"/>
          <w:szCs w:val="24"/>
          <w:color w:val="auto"/>
        </w:rPr>
      </w:pPr>
    </w:p>
    <w:p>
      <w:pPr>
        <w:jc w:val="center"/>
        <w:ind w:right="3340"/>
        <w:spacing w:after="0"/>
        <w:rPr>
          <w:sz w:val="20"/>
          <w:szCs w:val="20"/>
          <w:color w:val="auto"/>
        </w:rPr>
      </w:pPr>
      <w:r>
        <w:rPr>
          <w:rFonts w:ascii="Arial" w:cs="Arial" w:eastAsia="Arial" w:hAnsi="Arial"/>
          <w:sz w:val="17"/>
          <w:szCs w:val="17"/>
          <w:color w:val="auto"/>
        </w:rPr>
        <w:t>Securities Exchange Act of 1934</w:t>
      </w: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For the transition period from _____________ to ______________</w:t>
      </w:r>
    </w:p>
    <w:p>
      <w:pPr>
        <w:spacing w:after="0" w:line="243" w:lineRule="exact"/>
        <w:rPr>
          <w:sz w:val="24"/>
          <w:szCs w:val="24"/>
          <w:color w:val="auto"/>
        </w:rPr>
      </w:pPr>
    </w:p>
    <w:p>
      <w:pPr>
        <w:jc w:val="center"/>
        <w:ind w:right="3340"/>
        <w:spacing w:after="0"/>
        <w:rPr>
          <w:sz w:val="20"/>
          <w:szCs w:val="20"/>
          <w:color w:val="auto"/>
        </w:rPr>
      </w:pPr>
      <w:r>
        <w:rPr>
          <w:rFonts w:ascii="Arial" w:cs="Arial" w:eastAsia="Arial" w:hAnsi="Arial"/>
          <w:sz w:val="17"/>
          <w:szCs w:val="17"/>
          <w:color w:val="auto"/>
        </w:rPr>
        <w:t>Commission File Number 001-12622</w:t>
      </w:r>
    </w:p>
    <w:p>
      <w:pPr>
        <w:spacing w:after="0" w:line="232" w:lineRule="exact"/>
        <w:rPr>
          <w:sz w:val="24"/>
          <w:szCs w:val="24"/>
          <w:color w:val="auto"/>
        </w:rPr>
      </w:pPr>
    </w:p>
    <w:p>
      <w:pPr>
        <w:jc w:val="center"/>
        <w:ind w:right="3340"/>
        <w:spacing w:after="0"/>
        <w:rPr>
          <w:sz w:val="20"/>
          <w:szCs w:val="20"/>
          <w:color w:val="auto"/>
        </w:rPr>
      </w:pPr>
      <w:r>
        <w:rPr>
          <w:rFonts w:ascii="Arial" w:cs="Arial" w:eastAsia="Arial" w:hAnsi="Arial"/>
          <w:sz w:val="17"/>
          <w:szCs w:val="17"/>
          <w:u w:val="single" w:color="auto"/>
          <w:color w:val="auto"/>
        </w:rPr>
        <w:t>OIL-DRI CORPORATION OF AMERICA</w:t>
      </w:r>
    </w:p>
    <w:p>
      <w:pPr>
        <w:spacing w:after="0" w:line="18" w:lineRule="exact"/>
        <w:rPr>
          <w:sz w:val="24"/>
          <w:szCs w:val="24"/>
          <w:color w:val="auto"/>
        </w:rPr>
      </w:pPr>
    </w:p>
    <w:p>
      <w:pPr>
        <w:jc w:val="center"/>
        <w:ind w:right="3340"/>
        <w:spacing w:after="0"/>
        <w:rPr>
          <w:sz w:val="20"/>
          <w:szCs w:val="20"/>
          <w:color w:val="auto"/>
        </w:rPr>
      </w:pPr>
      <w:r>
        <w:rPr>
          <w:rFonts w:ascii="Arial" w:cs="Arial" w:eastAsia="Arial" w:hAnsi="Arial"/>
          <w:sz w:val="17"/>
          <w:szCs w:val="17"/>
          <w:color w:val="auto"/>
        </w:rPr>
        <w:t>(Exact name of the registrant as specified in its charter)</w:t>
      </w:r>
    </w:p>
    <w:p>
      <w:pPr>
        <w:spacing w:after="0" w:line="200" w:lineRule="exact"/>
        <w:rPr>
          <w:sz w:val="24"/>
          <w:szCs w:val="24"/>
          <w:color w:val="auto"/>
        </w:rPr>
      </w:pPr>
    </w:p>
    <w:p>
      <w:pPr>
        <w:sectPr>
          <w:pgSz w:w="11900" w:h="16838" w:orient="portrait"/>
          <w:cols w:equalWidth="0" w:num="2">
            <w:col w:w="2740" w:space="720"/>
            <w:col w:w="7840"/>
          </w:cols>
          <w:pgMar w:left="240" w:top="1208" w:right="359" w:bottom="1440" w:gutter="0" w:footer="0" w:header="0"/>
        </w:sectPr>
      </w:pPr>
    </w:p>
    <w:tbl>
      <w:tblPr>
        <w:tblLayout w:type="fixed"/>
        <w:tblInd w:w="0" w:type="dxa"/>
        <w:tblCellMar>
          <w:top w:w="0" w:type="dxa"/>
          <w:left w:w="0" w:type="dxa"/>
          <w:bottom w:w="0" w:type="dxa"/>
          <w:right w:w="0" w:type="dxa"/>
        </w:tblCellMar>
      </w:tblPr>
      <w:tr>
        <w:trPr>
          <w:trHeight w:val="195"/>
        </w:trPr>
        <w:tc>
          <w:tcPr>
            <w:tcW w:w="2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40" w:type="dxa"/>
            <w:vAlign w:val="bottom"/>
            <w:gridSpan w:val="3"/>
          </w:tcPr>
          <w:p>
            <w:pPr>
              <w:jc w:val="center"/>
              <w:ind w:right="3000"/>
              <w:spacing w:after="0"/>
              <w:rPr>
                <w:sz w:val="20"/>
                <w:szCs w:val="20"/>
                <w:color w:val="auto"/>
              </w:rPr>
            </w:pPr>
            <w:r>
              <w:rPr>
                <w:rFonts w:ascii="Arial" w:cs="Arial" w:eastAsia="Arial" w:hAnsi="Arial"/>
                <w:sz w:val="17"/>
                <w:szCs w:val="17"/>
                <w:color w:val="auto"/>
                <w:w w:val="89"/>
              </w:rPr>
              <w:t>Delaware</w:t>
            </w:r>
          </w:p>
        </w:tc>
        <w:tc>
          <w:tcPr>
            <w:tcW w:w="2540" w:type="dxa"/>
            <w:vAlign w:val="bottom"/>
            <w:gridSpan w:val="3"/>
          </w:tcPr>
          <w:p>
            <w:pPr>
              <w:jc w:val="center"/>
              <w:ind w:left="1236"/>
              <w:spacing w:after="0"/>
              <w:rPr>
                <w:sz w:val="20"/>
                <w:szCs w:val="20"/>
                <w:color w:val="auto"/>
              </w:rPr>
            </w:pPr>
            <w:r>
              <w:rPr>
                <w:rFonts w:ascii="Arial" w:cs="Arial" w:eastAsia="Arial" w:hAnsi="Arial"/>
                <w:sz w:val="17"/>
                <w:szCs w:val="17"/>
                <w:color w:val="auto"/>
                <w:w w:val="90"/>
              </w:rPr>
              <w:t>36-2048898</w:t>
            </w:r>
          </w:p>
        </w:tc>
      </w:tr>
      <w:tr>
        <w:trPr>
          <w:trHeight w:val="20"/>
        </w:trPr>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6"/>
        </w:trPr>
        <w:tc>
          <w:tcPr>
            <w:tcW w:w="6240" w:type="dxa"/>
            <w:vAlign w:val="bottom"/>
            <w:gridSpan w:val="5"/>
          </w:tcPr>
          <w:p>
            <w:pPr>
              <w:jc w:val="center"/>
              <w:ind w:right="400"/>
              <w:spacing w:after="0"/>
              <w:rPr>
                <w:sz w:val="20"/>
                <w:szCs w:val="20"/>
                <w:color w:val="auto"/>
              </w:rPr>
            </w:pPr>
            <w:r>
              <w:rPr>
                <w:rFonts w:ascii="Arial" w:cs="Arial" w:eastAsia="Arial" w:hAnsi="Arial"/>
                <w:sz w:val="17"/>
                <w:szCs w:val="17"/>
                <w:color w:val="auto"/>
                <w:w w:val="91"/>
              </w:rPr>
              <w:t>(State or other jurisdiction of incorporation or organization)</w:t>
            </w:r>
          </w:p>
        </w:tc>
        <w:tc>
          <w:tcPr>
            <w:tcW w:w="2540" w:type="dxa"/>
            <w:vAlign w:val="bottom"/>
            <w:gridSpan w:val="3"/>
          </w:tcPr>
          <w:p>
            <w:pPr>
              <w:jc w:val="center"/>
              <w:ind w:left="1236"/>
              <w:spacing w:after="0"/>
              <w:rPr>
                <w:sz w:val="20"/>
                <w:szCs w:val="20"/>
                <w:color w:val="auto"/>
              </w:rPr>
            </w:pPr>
            <w:r>
              <w:rPr>
                <w:rFonts w:ascii="Arial" w:cs="Arial" w:eastAsia="Arial" w:hAnsi="Arial"/>
                <w:sz w:val="17"/>
                <w:szCs w:val="17"/>
                <w:color w:val="auto"/>
                <w:w w:val="91"/>
              </w:rPr>
              <w:t>(I.R.S. Employer</w:t>
            </w:r>
          </w:p>
        </w:tc>
      </w:tr>
      <w:tr>
        <w:trPr>
          <w:trHeight w:val="213"/>
        </w:trPr>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540" w:type="dxa"/>
            <w:vAlign w:val="bottom"/>
            <w:gridSpan w:val="3"/>
          </w:tcPr>
          <w:p>
            <w:pPr>
              <w:jc w:val="center"/>
              <w:ind w:left="1216"/>
              <w:spacing w:after="0"/>
              <w:rPr>
                <w:sz w:val="20"/>
                <w:szCs w:val="20"/>
                <w:color w:val="auto"/>
              </w:rPr>
            </w:pPr>
            <w:r>
              <w:rPr>
                <w:rFonts w:ascii="Arial" w:cs="Arial" w:eastAsia="Arial" w:hAnsi="Arial"/>
                <w:sz w:val="17"/>
                <w:szCs w:val="17"/>
                <w:color w:val="auto"/>
                <w:w w:val="93"/>
              </w:rPr>
              <w:t>Identification No.)</w:t>
            </w:r>
          </w:p>
        </w:tc>
      </w:tr>
      <w:tr>
        <w:trPr>
          <w:trHeight w:val="365"/>
        </w:trPr>
        <w:tc>
          <w:tcPr>
            <w:tcW w:w="6240" w:type="dxa"/>
            <w:vAlign w:val="bottom"/>
            <w:gridSpan w:val="5"/>
          </w:tcPr>
          <w:p>
            <w:pPr>
              <w:jc w:val="center"/>
              <w:ind w:right="400"/>
              <w:spacing w:after="0"/>
              <w:rPr>
                <w:sz w:val="20"/>
                <w:szCs w:val="20"/>
                <w:color w:val="auto"/>
              </w:rPr>
            </w:pPr>
            <w:r>
              <w:rPr>
                <w:rFonts w:ascii="Arial" w:cs="Arial" w:eastAsia="Arial" w:hAnsi="Arial"/>
                <w:sz w:val="17"/>
                <w:szCs w:val="17"/>
                <w:color w:val="auto"/>
                <w:w w:val="90"/>
              </w:rPr>
              <w:t>410 North Michigan Avenue, Suite 400</w:t>
            </w:r>
          </w:p>
        </w:tc>
        <w:tc>
          <w:tcPr>
            <w:tcW w:w="15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8"/>
              </w:rPr>
              <w:t>60611-4213</w:t>
            </w:r>
          </w:p>
        </w:tc>
        <w:tc>
          <w:tcPr>
            <w:tcW w:w="200" w:type="dxa"/>
            <w:vAlign w:val="bottom"/>
          </w:tcPr>
          <w:p>
            <w:pPr>
              <w:spacing w:after="0"/>
              <w:rPr>
                <w:sz w:val="24"/>
                <w:szCs w:val="24"/>
                <w:color w:val="auto"/>
              </w:rPr>
            </w:pPr>
          </w:p>
        </w:tc>
      </w:tr>
      <w:tr>
        <w:trPr>
          <w:trHeight w:val="181"/>
        </w:trPr>
        <w:tc>
          <w:tcPr>
            <w:tcW w:w="2360" w:type="dxa"/>
            <w:vAlign w:val="bottom"/>
          </w:tcPr>
          <w:p>
            <w:pPr>
              <w:spacing w:after="0"/>
              <w:rPr>
                <w:sz w:val="15"/>
                <w:szCs w:val="15"/>
                <w:color w:val="auto"/>
              </w:rPr>
            </w:pPr>
          </w:p>
        </w:tc>
        <w:tc>
          <w:tcPr>
            <w:tcW w:w="3880" w:type="dxa"/>
            <w:vAlign w:val="bottom"/>
            <w:gridSpan w:val="4"/>
          </w:tcPr>
          <w:p>
            <w:pPr>
              <w:jc w:val="center"/>
              <w:ind w:right="2760"/>
              <w:spacing w:after="0" w:line="181" w:lineRule="exact"/>
              <w:rPr>
                <w:sz w:val="20"/>
                <w:szCs w:val="20"/>
                <w:color w:val="auto"/>
              </w:rPr>
            </w:pPr>
            <w:r>
              <w:rPr>
                <w:rFonts w:ascii="Arial" w:cs="Arial" w:eastAsia="Arial" w:hAnsi="Arial"/>
                <w:sz w:val="17"/>
                <w:szCs w:val="17"/>
                <w:color w:val="auto"/>
                <w:w w:val="94"/>
              </w:rPr>
              <w:t>Chicago, Illinois</w:t>
            </w:r>
          </w:p>
        </w:tc>
        <w:tc>
          <w:tcPr>
            <w:tcW w:w="1520" w:type="dxa"/>
            <w:vAlign w:val="bottom"/>
          </w:tcPr>
          <w:p>
            <w:pPr>
              <w:spacing w:after="0"/>
              <w:rPr>
                <w:sz w:val="15"/>
                <w:szCs w:val="15"/>
                <w:color w:val="auto"/>
              </w:rPr>
            </w:pPr>
          </w:p>
        </w:tc>
        <w:tc>
          <w:tcPr>
            <w:tcW w:w="82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7"/>
                <w:szCs w:val="17"/>
                <w:color w:val="auto"/>
                <w:w w:val="92"/>
              </w:rPr>
              <w:t>(Zip Code)</w:t>
            </w:r>
          </w:p>
        </w:tc>
        <w:tc>
          <w:tcPr>
            <w:tcW w:w="200" w:type="dxa"/>
            <w:vAlign w:val="bottom"/>
          </w:tcPr>
          <w:p>
            <w:pPr>
              <w:spacing w:after="0"/>
              <w:rPr>
                <w:sz w:val="15"/>
                <w:szCs w:val="15"/>
                <w:color w:val="auto"/>
              </w:rPr>
            </w:pPr>
          </w:p>
        </w:tc>
      </w:tr>
      <w:tr>
        <w:trPr>
          <w:trHeight w:val="20"/>
        </w:trPr>
        <w:tc>
          <w:tcPr>
            <w:tcW w:w="23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9"/>
        </w:trPr>
        <w:tc>
          <w:tcPr>
            <w:tcW w:w="6240" w:type="dxa"/>
            <w:vAlign w:val="bottom"/>
            <w:gridSpan w:val="5"/>
          </w:tcPr>
          <w:p>
            <w:pPr>
              <w:jc w:val="center"/>
              <w:ind w:right="380"/>
              <w:spacing w:after="0"/>
              <w:rPr>
                <w:sz w:val="20"/>
                <w:szCs w:val="20"/>
                <w:color w:val="auto"/>
              </w:rPr>
            </w:pPr>
            <w:r>
              <w:rPr>
                <w:rFonts w:ascii="Arial" w:cs="Arial" w:eastAsia="Arial" w:hAnsi="Arial"/>
                <w:sz w:val="17"/>
                <w:szCs w:val="17"/>
                <w:color w:val="auto"/>
                <w:w w:val="91"/>
              </w:rPr>
              <w:t>(Address of principal executive offices)</w:t>
            </w:r>
          </w:p>
        </w:tc>
        <w:tc>
          <w:tcPr>
            <w:tcW w:w="1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6"/>
        </w:trPr>
        <w:tc>
          <w:tcPr>
            <w:tcW w:w="6240" w:type="dxa"/>
            <w:vAlign w:val="bottom"/>
            <w:gridSpan w:val="5"/>
          </w:tcPr>
          <w:p>
            <w:pPr>
              <w:spacing w:after="0"/>
              <w:rPr>
                <w:sz w:val="20"/>
                <w:szCs w:val="20"/>
                <w:color w:val="auto"/>
              </w:rPr>
            </w:pPr>
            <w:r>
              <w:rPr>
                <w:rFonts w:ascii="Arial" w:cs="Arial" w:eastAsia="Arial" w:hAnsi="Arial"/>
                <w:sz w:val="17"/>
                <w:szCs w:val="17"/>
                <w:color w:val="auto"/>
              </w:rPr>
              <w:t>The registrant's telephone number, including area code: (312) 321-1515</w:t>
            </w:r>
          </w:p>
        </w:tc>
        <w:tc>
          <w:tcPr>
            <w:tcW w:w="1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14" w:lineRule="exact"/>
        <w:rPr>
          <w:sz w:val="24"/>
          <w:szCs w:val="24"/>
          <w:color w:val="auto"/>
        </w:rPr>
      </w:pPr>
    </w:p>
    <w:p>
      <w:pPr>
        <w:ind w:right="380"/>
        <w:spacing w:after="0" w:line="26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and (2) has been subject to such filing requirements for at least the past 90 days. Yes x No o</w:t>
      </w:r>
    </w:p>
    <w:p>
      <w:pPr>
        <w:spacing w:after="0" w:line="192" w:lineRule="exact"/>
        <w:rPr>
          <w:sz w:val="24"/>
          <w:szCs w:val="24"/>
          <w:color w:val="auto"/>
        </w:rPr>
      </w:pPr>
    </w:p>
    <w:p>
      <w:pPr>
        <w:ind w:right="140"/>
        <w:spacing w:after="0" w:line="251"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Yes o  No o</w:t>
      </w: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2" w:lineRule="exact"/>
        <w:rPr>
          <w:sz w:val="24"/>
          <w:szCs w:val="24"/>
          <w:color w:val="auto"/>
        </w:rPr>
      </w:pPr>
    </w:p>
    <w:p>
      <w:pPr>
        <w:spacing w:after="0"/>
        <w:tabs>
          <w:tab w:leader="none" w:pos="2620" w:val="left"/>
          <w:tab w:leader="none" w:pos="5540" w:val="left"/>
          <w:tab w:leader="none" w:pos="8180" w:val="left"/>
        </w:tabs>
        <w:rPr>
          <w:sz w:val="20"/>
          <w:szCs w:val="20"/>
          <w:color w:val="auto"/>
        </w:rPr>
      </w:pPr>
      <w:r>
        <w:rPr>
          <w:rFonts w:ascii="Arial" w:cs="Arial" w:eastAsia="Arial" w:hAnsi="Arial"/>
          <w:sz w:val="17"/>
          <w:szCs w:val="17"/>
          <w:color w:val="auto"/>
        </w:rPr>
        <w:t>Large accelerated filer o</w:t>
      </w:r>
      <w:r>
        <w:rPr>
          <w:sz w:val="20"/>
          <w:szCs w:val="20"/>
          <w:color w:val="auto"/>
        </w:rPr>
        <w:tab/>
      </w:r>
      <w:r>
        <w:rPr>
          <w:rFonts w:ascii="Arial" w:cs="Arial" w:eastAsia="Arial" w:hAnsi="Arial"/>
          <w:sz w:val="17"/>
          <w:szCs w:val="17"/>
          <w:color w:val="auto"/>
        </w:rPr>
        <w:t>Accelerated filer x</w:t>
      </w:r>
      <w:r>
        <w:rPr>
          <w:sz w:val="20"/>
          <w:szCs w:val="20"/>
          <w:color w:val="auto"/>
        </w:rPr>
        <w:tab/>
      </w:r>
      <w:r>
        <w:rPr>
          <w:rFonts w:ascii="Arial" w:cs="Arial" w:eastAsia="Arial" w:hAnsi="Arial"/>
          <w:sz w:val="17"/>
          <w:szCs w:val="17"/>
          <w:color w:val="auto"/>
        </w:rPr>
        <w:t>Non-accelerated filer o</w:t>
      </w:r>
      <w:r>
        <w:rPr>
          <w:sz w:val="20"/>
          <w:szCs w:val="20"/>
          <w:color w:val="auto"/>
        </w:rPr>
        <w:tab/>
      </w:r>
      <w:r>
        <w:rPr>
          <w:rFonts w:ascii="Arial" w:cs="Arial" w:eastAsia="Arial" w:hAnsi="Arial"/>
          <w:sz w:val="15"/>
          <w:szCs w:val="15"/>
          <w:color w:val="auto"/>
        </w:rPr>
        <w:t>Smaller reporting company o</w:t>
      </w: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8" w:lineRule="exact"/>
        <w:rPr>
          <w:sz w:val="24"/>
          <w:szCs w:val="24"/>
          <w:color w:val="auto"/>
        </w:rPr>
      </w:pPr>
    </w:p>
    <w:p>
      <w:pPr>
        <w:ind w:left="5300"/>
        <w:spacing w:after="0"/>
        <w:rPr>
          <w:sz w:val="20"/>
          <w:szCs w:val="20"/>
          <w:color w:val="auto"/>
        </w:rPr>
      </w:pPr>
      <w:r>
        <w:rPr>
          <w:rFonts w:ascii="Arial" w:cs="Arial" w:eastAsia="Arial" w:hAnsi="Arial"/>
          <w:sz w:val="17"/>
          <w:szCs w:val="17"/>
          <w:color w:val="auto"/>
        </w:rPr>
        <w:t>Yes o  No x</w:t>
      </w: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April 30, 2010.</w:t>
      </w: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Common Stock – 5,232,241 Shares and Class B Stock – 1,919,476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392430</wp:posOffset>
            </wp:positionV>
            <wp:extent cx="726059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00"/>
          </w:cols>
          <w:pgMar w:left="240" w:top="120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760" w:type="dxa"/>
            <w:vAlign w:val="bottom"/>
          </w:tcPr>
          <w:p>
            <w:pPr>
              <w:spacing w:after="0"/>
              <w:rPr>
                <w:sz w:val="18"/>
                <w:szCs w:val="18"/>
                <w:color w:val="auto"/>
              </w:rPr>
            </w:pPr>
          </w:p>
        </w:tc>
        <w:tc>
          <w:tcPr>
            <w:tcW w:w="8400" w:type="dxa"/>
            <w:vAlign w:val="bottom"/>
          </w:tcPr>
          <w:p>
            <w:pPr>
              <w:ind w:left="4500"/>
              <w:spacing w:after="0"/>
              <w:rPr>
                <w:sz w:val="20"/>
                <w:szCs w:val="20"/>
                <w:color w:val="auto"/>
              </w:rPr>
            </w:pPr>
            <w:r>
              <w:rPr>
                <w:rFonts w:ascii="Arial" w:cs="Arial" w:eastAsia="Arial" w:hAnsi="Arial"/>
                <w:sz w:val="17"/>
                <w:szCs w:val="17"/>
                <w:b w:val="1"/>
                <w:bCs w:val="1"/>
                <w:color w:val="auto"/>
              </w:rPr>
              <w:t>CONTENTS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8400" w:type="dxa"/>
            <w:vAlign w:val="bottom"/>
            <w:vMerge w:val="restart"/>
          </w:tcPr>
          <w:p>
            <w:pPr>
              <w:ind w:left="3540"/>
              <w:spacing w:after="0"/>
              <w:rPr>
                <w:sz w:val="20"/>
                <w:szCs w:val="20"/>
                <w:color w:val="auto"/>
              </w:rPr>
            </w:pPr>
            <w:r>
              <w:rPr>
                <w:rFonts w:ascii="Arial" w:cs="Arial" w:eastAsia="Arial" w:hAnsi="Arial"/>
                <w:sz w:val="17"/>
                <w:szCs w:val="17"/>
                <w:b w:val="1"/>
                <w:bCs w:val="1"/>
                <w:color w:val="auto"/>
              </w:rPr>
              <w:t>PART I – FINANCIAL INFORMATION</w:t>
            </w:r>
          </w:p>
        </w:tc>
        <w:tc>
          <w:tcPr>
            <w:tcW w:w="40" w:type="dxa"/>
            <w:vAlign w:val="bottom"/>
          </w:tcPr>
          <w:p>
            <w:pPr>
              <w:spacing w:after="0"/>
              <w:rPr>
                <w:sz w:val="24"/>
                <w:szCs w:val="24"/>
                <w:color w:val="auto"/>
              </w:rPr>
            </w:pPr>
          </w:p>
        </w:tc>
        <w:tc>
          <w:tcPr>
            <w:tcW w:w="2220" w:type="dxa"/>
            <w:vAlign w:val="bottom"/>
            <w:gridSpan w:val="9"/>
          </w:tcPr>
          <w:p>
            <w:pPr>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19"/>
        </w:trPr>
        <w:tc>
          <w:tcPr>
            <w:tcW w:w="760" w:type="dxa"/>
            <w:vAlign w:val="bottom"/>
          </w:tcPr>
          <w:p>
            <w:pPr>
              <w:spacing w:after="0"/>
              <w:rPr>
                <w:sz w:val="19"/>
                <w:szCs w:val="19"/>
                <w:color w:val="auto"/>
              </w:rPr>
            </w:pPr>
          </w:p>
        </w:tc>
        <w:tc>
          <w:tcPr>
            <w:tcW w:w="84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CCEEFF"/>
          </w:tcPr>
          <w:p>
            <w:pPr>
              <w:ind w:left="40"/>
              <w:spacing w:after="0" w:line="163" w:lineRule="exact"/>
              <w:rPr>
                <w:sz w:val="20"/>
                <w:szCs w:val="20"/>
                <w:color w:val="auto"/>
              </w:rPr>
            </w:pPr>
            <w:r>
              <w:rPr>
                <w:rFonts w:ascii="Arial" w:cs="Arial" w:eastAsia="Arial" w:hAnsi="Arial"/>
                <w:sz w:val="17"/>
                <w:szCs w:val="17"/>
                <w:b w:val="1"/>
                <w:bCs w:val="1"/>
                <w:color w:val="auto"/>
              </w:rPr>
              <w:t>Item 1:</w:t>
            </w:r>
          </w:p>
        </w:tc>
        <w:tc>
          <w:tcPr>
            <w:tcW w:w="8400" w:type="dxa"/>
            <w:vAlign w:val="bottom"/>
            <w:shd w:val="clear" w:color="auto" w:fill="CCEEFF"/>
          </w:tcPr>
          <w:p>
            <w:pPr>
              <w:ind w:left="200"/>
              <w:spacing w:after="0" w:line="163" w:lineRule="exact"/>
              <w:rPr>
                <w:sz w:val="20"/>
                <w:szCs w:val="20"/>
                <w:color w:val="auto"/>
              </w:rPr>
            </w:pPr>
            <w:r>
              <w:rPr>
                <w:rFonts w:ascii="Arial" w:cs="Arial" w:eastAsia="Arial" w:hAnsi="Arial"/>
                <w:sz w:val="17"/>
                <w:szCs w:val="17"/>
                <w:color w:val="auto"/>
              </w:rPr>
              <w:t>Financial Statements</w:t>
            </w:r>
          </w:p>
        </w:tc>
        <w:tc>
          <w:tcPr>
            <w:tcW w:w="2260" w:type="dxa"/>
            <w:vAlign w:val="bottom"/>
            <w:gridSpan w:val="10"/>
            <w:shd w:val="clear" w:color="auto" w:fill="CCEEFF"/>
          </w:tcPr>
          <w:p>
            <w:pPr>
              <w:spacing w:after="0" w:line="163" w:lineRule="exact"/>
              <w:rPr>
                <w:rFonts w:ascii="Arial" w:cs="Arial" w:eastAsia="Arial" w:hAnsi="Arial"/>
                <w:sz w:val="17"/>
                <w:szCs w:val="17"/>
                <w:color w:val="0000EE"/>
              </w:rPr>
            </w:pPr>
            <w:hyperlink w:anchor="page3">
              <w:r>
                <w:rPr>
                  <w:rFonts w:ascii="Arial" w:cs="Arial" w:eastAsia="Arial" w:hAnsi="Arial"/>
                  <w:sz w:val="17"/>
                  <w:szCs w:val="17"/>
                  <w:color w:val="0000EE"/>
                </w:rPr>
                <w:t xml:space="preserve">3 </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w:anchor="page16">
              <w:r>
                <w:rPr>
                  <w:rFonts w:ascii="Arial" w:cs="Arial" w:eastAsia="Arial" w:hAnsi="Arial"/>
                  <w:sz w:val="17"/>
                  <w:szCs w:val="17"/>
                  <w:color w:val="0000EE"/>
                </w:rPr>
                <w:t>16</w:t>
              </w:r>
            </w:hyperlink>
          </w:p>
        </w:tc>
        <w:tc>
          <w:tcPr>
            <w:tcW w:w="0" w:type="dxa"/>
            <w:vAlign w:val="bottom"/>
          </w:tcPr>
          <w:p>
            <w:pPr>
              <w:spacing w:after="0"/>
              <w:rPr>
                <w:sz w:val="1"/>
                <w:szCs w:val="1"/>
                <w:color w:val="auto"/>
              </w:rPr>
            </w:pPr>
          </w:p>
        </w:tc>
      </w:tr>
      <w:tr>
        <w:trPr>
          <w:trHeight w:val="201"/>
        </w:trPr>
        <w:tc>
          <w:tcPr>
            <w:tcW w:w="760" w:type="dxa"/>
            <w:vAlign w:val="bottom"/>
            <w:tcBorders>
              <w:top w:val="single" w:sz="8" w:color="CCEEFF"/>
            </w:tcBorders>
          </w:tcPr>
          <w:p>
            <w:pPr>
              <w:spacing w:after="0"/>
              <w:rPr>
                <w:sz w:val="17"/>
                <w:szCs w:val="17"/>
                <w:color w:val="auto"/>
              </w:rPr>
            </w:pPr>
          </w:p>
        </w:tc>
        <w:tc>
          <w:tcPr>
            <w:tcW w:w="8400" w:type="dxa"/>
            <w:vAlign w:val="bottom"/>
            <w:tcBorders>
              <w:top w:val="single" w:sz="8" w:color="CCEEFF"/>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CCEEFF"/>
          </w:tcPr>
          <w:p>
            <w:pPr>
              <w:ind w:left="40"/>
              <w:spacing w:after="0" w:line="163" w:lineRule="exact"/>
              <w:rPr>
                <w:sz w:val="20"/>
                <w:szCs w:val="20"/>
                <w:color w:val="auto"/>
              </w:rPr>
            </w:pPr>
            <w:r>
              <w:rPr>
                <w:rFonts w:ascii="Arial" w:cs="Arial" w:eastAsia="Arial" w:hAnsi="Arial"/>
                <w:sz w:val="17"/>
                <w:szCs w:val="17"/>
                <w:b w:val="1"/>
                <w:bCs w:val="1"/>
                <w:color w:val="auto"/>
              </w:rPr>
              <w:t>Item 2:</w:t>
            </w:r>
          </w:p>
        </w:tc>
        <w:tc>
          <w:tcPr>
            <w:tcW w:w="8400" w:type="dxa"/>
            <w:vAlign w:val="bottom"/>
            <w:shd w:val="clear" w:color="auto" w:fill="CCEEFF"/>
          </w:tcPr>
          <w:p>
            <w:pPr>
              <w:ind w:left="200"/>
              <w:spacing w:after="0" w:line="163" w:lineRule="exact"/>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460" w:type="dxa"/>
            <w:vAlign w:val="bottom"/>
            <w:gridSpan w:val="9"/>
            <w:shd w:val="clear" w:color="auto" w:fill="CCEEFF"/>
          </w:tcPr>
          <w:p>
            <w:pPr>
              <w:spacing w:after="0" w:line="163" w:lineRule="exact"/>
              <w:rPr>
                <w:rFonts w:ascii="Arial" w:cs="Arial" w:eastAsia="Arial" w:hAnsi="Arial"/>
                <w:sz w:val="17"/>
                <w:szCs w:val="17"/>
                <w:color w:val="0000EE"/>
                <w:w w:val="83"/>
              </w:rPr>
            </w:pPr>
            <w:hyperlink w:anchor="page17">
              <w:r>
                <w:rPr>
                  <w:rFonts w:ascii="Arial" w:cs="Arial" w:eastAsia="Arial" w:hAnsi="Arial"/>
                  <w:sz w:val="17"/>
                  <w:szCs w:val="17"/>
                  <w:color w:val="0000EE"/>
                  <w:w w:val="83"/>
                </w:rPr>
                <w:t xml:space="preserve">17 </w:t>
              </w:r>
            </w:hyperlink>
            <w:r>
              <w:rPr>
                <w:rFonts w:ascii="Arial" w:cs="Arial" w:eastAsia="Arial" w:hAnsi="Arial"/>
                <w:sz w:val="17"/>
                <w:szCs w:val="17"/>
                <w:color w:val="000000"/>
                <w:w w:val="83"/>
              </w:rPr>
              <w:t>-</w:t>
            </w:r>
            <w:r>
              <w:rPr>
                <w:rFonts w:ascii="Arial" w:cs="Arial" w:eastAsia="Arial" w:hAnsi="Arial"/>
                <w:sz w:val="17"/>
                <w:szCs w:val="17"/>
                <w:color w:val="0000EE"/>
                <w:w w:val="83"/>
              </w:rPr>
              <w:t xml:space="preserve"> </w:t>
            </w:r>
            <w:hyperlink w:anchor="page26">
              <w:r>
                <w:rPr>
                  <w:rFonts w:ascii="Arial" w:cs="Arial" w:eastAsia="Arial" w:hAnsi="Arial"/>
                  <w:sz w:val="17"/>
                  <w:szCs w:val="17"/>
                  <w:color w:val="0000EE"/>
                  <w:w w:val="83"/>
                </w:rPr>
                <w:t>26</w:t>
              </w:r>
            </w:hyperlink>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60" w:type="dxa"/>
            <w:vAlign w:val="bottom"/>
            <w:tcBorders>
              <w:top w:val="single" w:sz="8" w:color="CCEEFF"/>
            </w:tcBorders>
          </w:tcPr>
          <w:p>
            <w:pPr>
              <w:spacing w:after="0"/>
              <w:rPr>
                <w:sz w:val="17"/>
                <w:szCs w:val="17"/>
                <w:color w:val="auto"/>
              </w:rPr>
            </w:pPr>
          </w:p>
        </w:tc>
        <w:tc>
          <w:tcPr>
            <w:tcW w:w="8400" w:type="dxa"/>
            <w:vAlign w:val="bottom"/>
            <w:tcBorders>
              <w:top w:val="single" w:sz="8" w:color="CCEEFF"/>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CCEEFF"/>
          </w:tcPr>
          <w:p>
            <w:pPr>
              <w:ind w:left="40"/>
              <w:spacing w:after="0" w:line="163" w:lineRule="exact"/>
              <w:rPr>
                <w:sz w:val="20"/>
                <w:szCs w:val="20"/>
                <w:color w:val="auto"/>
              </w:rPr>
            </w:pPr>
            <w:r>
              <w:rPr>
                <w:rFonts w:ascii="Arial" w:cs="Arial" w:eastAsia="Arial" w:hAnsi="Arial"/>
                <w:sz w:val="17"/>
                <w:szCs w:val="17"/>
                <w:b w:val="1"/>
                <w:bCs w:val="1"/>
                <w:color w:val="auto"/>
              </w:rPr>
              <w:t>Item 3:</w:t>
            </w:r>
          </w:p>
        </w:tc>
        <w:tc>
          <w:tcPr>
            <w:tcW w:w="8400" w:type="dxa"/>
            <w:vAlign w:val="bottom"/>
            <w:shd w:val="clear" w:color="auto" w:fill="CCEEFF"/>
          </w:tcPr>
          <w:p>
            <w:pPr>
              <w:ind w:left="200"/>
              <w:spacing w:after="0" w:line="163" w:lineRule="exact"/>
              <w:rPr>
                <w:sz w:val="20"/>
                <w:szCs w:val="20"/>
                <w:color w:val="auto"/>
              </w:rPr>
            </w:pPr>
            <w:r>
              <w:rPr>
                <w:rFonts w:ascii="Arial" w:cs="Arial" w:eastAsia="Arial" w:hAnsi="Arial"/>
                <w:sz w:val="17"/>
                <w:szCs w:val="17"/>
                <w:color w:val="auto"/>
              </w:rPr>
              <w:t>Quantitative and Qualitative Disclosures About Market Risk</w:t>
            </w:r>
          </w:p>
        </w:tc>
        <w:tc>
          <w:tcPr>
            <w:tcW w:w="460" w:type="dxa"/>
            <w:vAlign w:val="bottom"/>
            <w:gridSpan w:val="9"/>
            <w:shd w:val="clear" w:color="auto" w:fill="CCEEFF"/>
          </w:tcPr>
          <w:p>
            <w:pPr>
              <w:spacing w:after="0" w:line="163" w:lineRule="exact"/>
              <w:rPr>
                <w:rFonts w:ascii="Arial" w:cs="Arial" w:eastAsia="Arial" w:hAnsi="Arial"/>
                <w:sz w:val="17"/>
                <w:szCs w:val="17"/>
                <w:color w:val="0000EE"/>
                <w:w w:val="83"/>
              </w:rPr>
            </w:pPr>
            <w:hyperlink w:anchor="page26">
              <w:r>
                <w:rPr>
                  <w:rFonts w:ascii="Arial" w:cs="Arial" w:eastAsia="Arial" w:hAnsi="Arial"/>
                  <w:sz w:val="17"/>
                  <w:szCs w:val="17"/>
                  <w:color w:val="0000EE"/>
                  <w:w w:val="83"/>
                </w:rPr>
                <w:t xml:space="preserve">26 </w:t>
              </w:r>
            </w:hyperlink>
            <w:r>
              <w:rPr>
                <w:rFonts w:ascii="Arial" w:cs="Arial" w:eastAsia="Arial" w:hAnsi="Arial"/>
                <w:sz w:val="17"/>
                <w:szCs w:val="17"/>
                <w:color w:val="000000"/>
                <w:w w:val="83"/>
              </w:rPr>
              <w:t>-</w:t>
            </w:r>
            <w:r>
              <w:rPr>
                <w:rFonts w:ascii="Arial" w:cs="Arial" w:eastAsia="Arial" w:hAnsi="Arial"/>
                <w:sz w:val="17"/>
                <w:szCs w:val="17"/>
                <w:color w:val="0000EE"/>
                <w:w w:val="83"/>
              </w:rPr>
              <w:t xml:space="preserve"> </w:t>
            </w:r>
            <w:hyperlink w:anchor="page27">
              <w:r>
                <w:rPr>
                  <w:rFonts w:ascii="Arial" w:cs="Arial" w:eastAsia="Arial" w:hAnsi="Arial"/>
                  <w:sz w:val="17"/>
                  <w:szCs w:val="17"/>
                  <w:color w:val="0000EE"/>
                  <w:w w:val="83"/>
                </w:rPr>
                <w:t>27</w:t>
              </w:r>
            </w:hyperlink>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60" w:type="dxa"/>
            <w:vAlign w:val="bottom"/>
            <w:tcBorders>
              <w:top w:val="single" w:sz="8" w:color="CCEEFF"/>
            </w:tcBorders>
          </w:tcPr>
          <w:p>
            <w:pPr>
              <w:spacing w:after="0"/>
              <w:rPr>
                <w:sz w:val="17"/>
                <w:szCs w:val="17"/>
                <w:color w:val="auto"/>
              </w:rPr>
            </w:pPr>
          </w:p>
        </w:tc>
        <w:tc>
          <w:tcPr>
            <w:tcW w:w="8400" w:type="dxa"/>
            <w:vAlign w:val="bottom"/>
            <w:tcBorders>
              <w:top w:val="single" w:sz="8" w:color="CCEEFF"/>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CCEEFF"/>
          </w:tcPr>
          <w:p>
            <w:pPr>
              <w:ind w:left="40"/>
              <w:spacing w:after="0" w:line="163" w:lineRule="exact"/>
              <w:rPr>
                <w:sz w:val="20"/>
                <w:szCs w:val="20"/>
                <w:color w:val="auto"/>
              </w:rPr>
            </w:pPr>
            <w:r>
              <w:rPr>
                <w:rFonts w:ascii="Arial" w:cs="Arial" w:eastAsia="Arial" w:hAnsi="Arial"/>
                <w:sz w:val="17"/>
                <w:szCs w:val="17"/>
                <w:b w:val="1"/>
                <w:bCs w:val="1"/>
                <w:color w:val="auto"/>
              </w:rPr>
              <w:t>Item 4:</w:t>
            </w:r>
          </w:p>
        </w:tc>
        <w:tc>
          <w:tcPr>
            <w:tcW w:w="8400" w:type="dxa"/>
            <w:vAlign w:val="bottom"/>
            <w:shd w:val="clear" w:color="auto" w:fill="CCEEFF"/>
          </w:tcPr>
          <w:p>
            <w:pPr>
              <w:ind w:left="200"/>
              <w:spacing w:after="0" w:line="163" w:lineRule="exact"/>
              <w:rPr>
                <w:sz w:val="20"/>
                <w:szCs w:val="20"/>
                <w:color w:val="auto"/>
              </w:rPr>
            </w:pPr>
            <w:r>
              <w:rPr>
                <w:rFonts w:ascii="Arial" w:cs="Arial" w:eastAsia="Arial" w:hAnsi="Arial"/>
                <w:sz w:val="17"/>
                <w:szCs w:val="17"/>
                <w:color w:val="auto"/>
              </w:rPr>
              <w:t>Controls and Procedures</w:t>
            </w:r>
          </w:p>
        </w:tc>
        <w:tc>
          <w:tcPr>
            <w:tcW w:w="460" w:type="dxa"/>
            <w:vAlign w:val="bottom"/>
            <w:gridSpan w:val="9"/>
            <w:shd w:val="clear" w:color="auto" w:fill="CCEEFF"/>
          </w:tcPr>
          <w:p>
            <w:pPr>
              <w:jc w:val="right"/>
              <w:spacing w:after="0" w:line="163" w:lineRule="exact"/>
              <w:rPr>
                <w:rFonts w:ascii="Arial" w:cs="Arial" w:eastAsia="Arial" w:hAnsi="Arial"/>
                <w:sz w:val="17"/>
                <w:szCs w:val="17"/>
                <w:color w:val="0000EE"/>
              </w:rPr>
            </w:pPr>
            <w:hyperlink w:anchor="page28">
              <w:r>
                <w:rPr>
                  <w:rFonts w:ascii="Arial" w:cs="Arial" w:eastAsia="Arial" w:hAnsi="Arial"/>
                  <w:sz w:val="17"/>
                  <w:szCs w:val="17"/>
                  <w:color w:val="0000EE"/>
                </w:rPr>
                <w:t>28</w:t>
              </w:r>
            </w:hyperlink>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60" w:type="dxa"/>
            <w:vAlign w:val="bottom"/>
            <w:tcBorders>
              <w:top w:val="single" w:sz="8" w:color="CCEEFF"/>
            </w:tcBorders>
          </w:tcPr>
          <w:p>
            <w:pPr>
              <w:spacing w:after="0"/>
              <w:rPr>
                <w:sz w:val="17"/>
                <w:szCs w:val="17"/>
                <w:color w:val="auto"/>
              </w:rPr>
            </w:pPr>
          </w:p>
        </w:tc>
        <w:tc>
          <w:tcPr>
            <w:tcW w:w="84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0" w:type="dxa"/>
            <w:vAlign w:val="bottom"/>
            <w:shd w:val="clear" w:color="auto" w:fill="CCEEFF"/>
          </w:tcPr>
          <w:p>
            <w:pPr>
              <w:spacing w:after="0"/>
              <w:rPr>
                <w:sz w:val="17"/>
                <w:szCs w:val="17"/>
                <w:color w:val="auto"/>
              </w:rPr>
            </w:pPr>
          </w:p>
        </w:tc>
        <w:tc>
          <w:tcPr>
            <w:tcW w:w="8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0" w:type="dxa"/>
            <w:vAlign w:val="bottom"/>
          </w:tcPr>
          <w:p>
            <w:pPr>
              <w:spacing w:after="0"/>
              <w:rPr>
                <w:sz w:val="17"/>
                <w:szCs w:val="17"/>
                <w:color w:val="auto"/>
              </w:rPr>
            </w:pPr>
          </w:p>
        </w:tc>
        <w:tc>
          <w:tcPr>
            <w:tcW w:w="8560" w:type="dxa"/>
            <w:vAlign w:val="bottom"/>
          </w:tcPr>
          <w:p>
            <w:pPr>
              <w:ind w:left="3540"/>
              <w:spacing w:after="0"/>
              <w:rPr>
                <w:sz w:val="20"/>
                <w:szCs w:val="20"/>
                <w:color w:val="auto"/>
              </w:rPr>
            </w:pPr>
            <w:r>
              <w:rPr>
                <w:rFonts w:ascii="Arial" w:cs="Arial" w:eastAsia="Arial" w:hAnsi="Arial"/>
                <w:sz w:val="17"/>
                <w:szCs w:val="17"/>
                <w:b w:val="1"/>
                <w:bCs w:val="1"/>
                <w:color w:val="auto"/>
              </w:rPr>
              <w:t>PART II – OTHER INFORMATION</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1"/>
        </w:trPr>
        <w:tc>
          <w:tcPr>
            <w:tcW w:w="880" w:type="dxa"/>
            <w:vAlign w:val="bottom"/>
            <w:shd w:val="clear" w:color="auto" w:fill="CCEEFF"/>
          </w:tcPr>
          <w:p>
            <w:pPr>
              <w:spacing w:after="0"/>
              <w:rPr>
                <w:sz w:val="17"/>
                <w:szCs w:val="17"/>
                <w:color w:val="auto"/>
              </w:rPr>
            </w:pPr>
          </w:p>
        </w:tc>
        <w:tc>
          <w:tcPr>
            <w:tcW w:w="8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172"/>
        </w:trPr>
        <w:tc>
          <w:tcPr>
            <w:tcW w:w="880" w:type="dxa"/>
            <w:vAlign w:val="bottom"/>
          </w:tcPr>
          <w:p>
            <w:pPr>
              <w:ind w:left="40"/>
              <w:spacing w:after="0" w:line="163" w:lineRule="exact"/>
              <w:rPr>
                <w:sz w:val="20"/>
                <w:szCs w:val="20"/>
                <w:color w:val="auto"/>
              </w:rPr>
            </w:pPr>
            <w:r>
              <w:rPr>
                <w:rFonts w:ascii="Arial" w:cs="Arial" w:eastAsia="Arial" w:hAnsi="Arial"/>
                <w:sz w:val="17"/>
                <w:szCs w:val="17"/>
                <w:b w:val="1"/>
                <w:bCs w:val="1"/>
                <w:color w:val="auto"/>
              </w:rPr>
              <w:t>Item 2:</w:t>
            </w:r>
          </w:p>
        </w:tc>
        <w:tc>
          <w:tcPr>
            <w:tcW w:w="8560" w:type="dxa"/>
            <w:vAlign w:val="bottom"/>
          </w:tcPr>
          <w:p>
            <w:pPr>
              <w:ind w:left="80"/>
              <w:spacing w:after="0" w:line="163" w:lineRule="exact"/>
              <w:rPr>
                <w:sz w:val="20"/>
                <w:szCs w:val="20"/>
                <w:color w:val="auto"/>
              </w:rPr>
            </w:pPr>
            <w:r>
              <w:rPr>
                <w:rFonts w:ascii="Arial" w:cs="Arial" w:eastAsia="Arial" w:hAnsi="Arial"/>
                <w:sz w:val="17"/>
                <w:szCs w:val="17"/>
                <w:color w:val="auto"/>
              </w:rPr>
              <w:t>Unregistered Sales of Equity Securities and Use of Proceeds</w:t>
            </w:r>
          </w:p>
        </w:tc>
        <w:tc>
          <w:tcPr>
            <w:tcW w:w="1980" w:type="dxa"/>
            <w:vAlign w:val="bottom"/>
            <w:gridSpan w:val="2"/>
          </w:tcPr>
          <w:p>
            <w:pPr>
              <w:jc w:val="right"/>
              <w:ind w:right="1800"/>
              <w:spacing w:after="0" w:line="163" w:lineRule="exact"/>
              <w:rPr>
                <w:rFonts w:ascii="Arial" w:cs="Arial" w:eastAsia="Arial" w:hAnsi="Arial"/>
                <w:sz w:val="17"/>
                <w:szCs w:val="17"/>
                <w:color w:val="0000EE"/>
                <w:w w:val="84"/>
              </w:rPr>
            </w:pPr>
            <w:hyperlink w:anchor="page29">
              <w:r>
                <w:rPr>
                  <w:rFonts w:ascii="Arial" w:cs="Arial" w:eastAsia="Arial" w:hAnsi="Arial"/>
                  <w:sz w:val="17"/>
                  <w:szCs w:val="17"/>
                  <w:color w:val="0000EE"/>
                  <w:w w:val="84"/>
                </w:rPr>
                <w:t>29</w:t>
              </w:r>
            </w:hyperlink>
          </w:p>
        </w:tc>
      </w:tr>
      <w:tr>
        <w:trPr>
          <w:trHeight w:val="210"/>
        </w:trPr>
        <w:tc>
          <w:tcPr>
            <w:tcW w:w="88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172"/>
        </w:trPr>
        <w:tc>
          <w:tcPr>
            <w:tcW w:w="880" w:type="dxa"/>
            <w:vAlign w:val="bottom"/>
          </w:tcPr>
          <w:p>
            <w:pPr>
              <w:ind w:left="40"/>
              <w:spacing w:after="0" w:line="163" w:lineRule="exact"/>
              <w:rPr>
                <w:sz w:val="20"/>
                <w:szCs w:val="20"/>
                <w:color w:val="auto"/>
              </w:rPr>
            </w:pPr>
            <w:r>
              <w:rPr>
                <w:rFonts w:ascii="Arial" w:cs="Arial" w:eastAsia="Arial" w:hAnsi="Arial"/>
                <w:sz w:val="17"/>
                <w:szCs w:val="17"/>
                <w:b w:val="1"/>
                <w:bCs w:val="1"/>
                <w:color w:val="auto"/>
              </w:rPr>
              <w:t>Item 6:</w:t>
            </w:r>
          </w:p>
        </w:tc>
        <w:tc>
          <w:tcPr>
            <w:tcW w:w="8560" w:type="dxa"/>
            <w:vAlign w:val="bottom"/>
          </w:tcPr>
          <w:p>
            <w:pPr>
              <w:ind w:left="80"/>
              <w:spacing w:after="0" w:line="163" w:lineRule="exact"/>
              <w:rPr>
                <w:sz w:val="20"/>
                <w:szCs w:val="20"/>
                <w:color w:val="auto"/>
              </w:rPr>
            </w:pPr>
            <w:r>
              <w:rPr>
                <w:rFonts w:ascii="Arial" w:cs="Arial" w:eastAsia="Arial" w:hAnsi="Arial"/>
                <w:sz w:val="17"/>
                <w:szCs w:val="17"/>
                <w:color w:val="auto"/>
              </w:rPr>
              <w:t>Exhibits</w:t>
            </w:r>
          </w:p>
        </w:tc>
        <w:tc>
          <w:tcPr>
            <w:tcW w:w="1980" w:type="dxa"/>
            <w:vAlign w:val="bottom"/>
            <w:gridSpan w:val="2"/>
          </w:tcPr>
          <w:p>
            <w:pPr>
              <w:jc w:val="right"/>
              <w:ind w:right="1800"/>
              <w:spacing w:after="0" w:line="163" w:lineRule="exact"/>
              <w:rPr>
                <w:rFonts w:ascii="Arial" w:cs="Arial" w:eastAsia="Arial" w:hAnsi="Arial"/>
                <w:sz w:val="17"/>
                <w:szCs w:val="17"/>
                <w:color w:val="0000EE"/>
                <w:w w:val="84"/>
              </w:rPr>
            </w:pPr>
            <w:hyperlink w:anchor="page30">
              <w:r>
                <w:rPr>
                  <w:rFonts w:ascii="Arial" w:cs="Arial" w:eastAsia="Arial" w:hAnsi="Arial"/>
                  <w:sz w:val="17"/>
                  <w:szCs w:val="17"/>
                  <w:color w:val="0000EE"/>
                  <w:w w:val="84"/>
                </w:rPr>
                <w:t>30</w:t>
              </w:r>
            </w:hyperlink>
          </w:p>
        </w:tc>
      </w:tr>
      <w:tr>
        <w:trPr>
          <w:trHeight w:val="210"/>
        </w:trPr>
        <w:tc>
          <w:tcPr>
            <w:tcW w:w="88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172"/>
        </w:trPr>
        <w:tc>
          <w:tcPr>
            <w:tcW w:w="880" w:type="dxa"/>
            <w:vAlign w:val="bottom"/>
          </w:tcPr>
          <w:p>
            <w:pPr>
              <w:ind w:left="40"/>
              <w:spacing w:after="0" w:line="163" w:lineRule="exact"/>
              <w:rPr>
                <w:sz w:val="20"/>
                <w:szCs w:val="20"/>
                <w:color w:val="auto"/>
              </w:rPr>
            </w:pPr>
            <w:r>
              <w:rPr>
                <w:rFonts w:ascii="Arial" w:cs="Arial" w:eastAsia="Arial" w:hAnsi="Arial"/>
                <w:sz w:val="17"/>
                <w:szCs w:val="17"/>
                <w:b w:val="1"/>
                <w:bCs w:val="1"/>
                <w:color w:val="auto"/>
                <w:w w:val="93"/>
              </w:rPr>
              <w:t>Signatures</w:t>
            </w:r>
          </w:p>
        </w:tc>
        <w:tc>
          <w:tcPr>
            <w:tcW w:w="8560" w:type="dxa"/>
            <w:vAlign w:val="bottom"/>
          </w:tcPr>
          <w:p>
            <w:pPr>
              <w:spacing w:after="0"/>
              <w:rPr>
                <w:sz w:val="14"/>
                <w:szCs w:val="14"/>
                <w:color w:val="auto"/>
              </w:rPr>
            </w:pPr>
          </w:p>
        </w:tc>
        <w:tc>
          <w:tcPr>
            <w:tcW w:w="1980" w:type="dxa"/>
            <w:vAlign w:val="bottom"/>
            <w:gridSpan w:val="2"/>
          </w:tcPr>
          <w:p>
            <w:pPr>
              <w:jc w:val="right"/>
              <w:ind w:right="1800"/>
              <w:spacing w:after="0" w:line="163" w:lineRule="exact"/>
              <w:rPr>
                <w:rFonts w:ascii="Arial" w:cs="Arial" w:eastAsia="Arial" w:hAnsi="Arial"/>
                <w:sz w:val="17"/>
                <w:szCs w:val="17"/>
                <w:color w:val="0000EE"/>
                <w:w w:val="84"/>
              </w:rPr>
            </w:pPr>
            <w:hyperlink w:anchor="page31">
              <w:r>
                <w:rPr>
                  <w:rFonts w:ascii="Arial" w:cs="Arial" w:eastAsia="Arial" w:hAnsi="Arial"/>
                  <w:sz w:val="17"/>
                  <w:szCs w:val="17"/>
                  <w:color w:val="0000EE"/>
                  <w:w w:val="84"/>
                </w:rPr>
                <w:t>31</w:t>
              </w:r>
            </w:hyperlink>
          </w:p>
        </w:tc>
      </w:tr>
      <w:tr>
        <w:trPr>
          <w:trHeight w:val="210"/>
        </w:trPr>
        <w:tc>
          <w:tcPr>
            <w:tcW w:w="88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172"/>
        </w:trPr>
        <w:tc>
          <w:tcPr>
            <w:tcW w:w="880" w:type="dxa"/>
            <w:vAlign w:val="bottom"/>
          </w:tcPr>
          <w:p>
            <w:pPr>
              <w:ind w:left="40"/>
              <w:spacing w:after="0" w:line="163" w:lineRule="exact"/>
              <w:rPr>
                <w:sz w:val="20"/>
                <w:szCs w:val="20"/>
                <w:color w:val="auto"/>
              </w:rPr>
            </w:pPr>
            <w:r>
              <w:rPr>
                <w:rFonts w:ascii="Arial" w:cs="Arial" w:eastAsia="Arial" w:hAnsi="Arial"/>
                <w:sz w:val="17"/>
                <w:szCs w:val="17"/>
                <w:b w:val="1"/>
                <w:bCs w:val="1"/>
                <w:color w:val="auto"/>
              </w:rPr>
              <w:t>Exhibits</w:t>
            </w:r>
          </w:p>
        </w:tc>
        <w:tc>
          <w:tcPr>
            <w:tcW w:w="8560" w:type="dxa"/>
            <w:vAlign w:val="bottom"/>
          </w:tcPr>
          <w:p>
            <w:pPr>
              <w:spacing w:after="0"/>
              <w:rPr>
                <w:sz w:val="14"/>
                <w:szCs w:val="14"/>
                <w:color w:val="auto"/>
              </w:rPr>
            </w:pPr>
          </w:p>
        </w:tc>
        <w:tc>
          <w:tcPr>
            <w:tcW w:w="1980" w:type="dxa"/>
            <w:vAlign w:val="bottom"/>
            <w:gridSpan w:val="2"/>
          </w:tcPr>
          <w:p>
            <w:pPr>
              <w:jc w:val="right"/>
              <w:ind w:right="1800"/>
              <w:spacing w:after="0" w:line="163" w:lineRule="exact"/>
              <w:rPr>
                <w:rFonts w:ascii="Arial" w:cs="Arial" w:eastAsia="Arial" w:hAnsi="Arial"/>
                <w:sz w:val="17"/>
                <w:szCs w:val="17"/>
                <w:color w:val="0000EE"/>
                <w:w w:val="84"/>
              </w:rPr>
            </w:pPr>
            <w:hyperlink w:anchor="page32">
              <w:r>
                <w:rPr>
                  <w:rFonts w:ascii="Arial" w:cs="Arial" w:eastAsia="Arial" w:hAnsi="Arial"/>
                  <w:sz w:val="17"/>
                  <w:szCs w:val="17"/>
                  <w:color w:val="0000EE"/>
                  <w:w w:val="84"/>
                </w:rPr>
                <w:t>32</w:t>
              </w:r>
            </w:hyperlink>
          </w:p>
        </w:tc>
      </w:tr>
      <w:tr>
        <w:trPr>
          <w:trHeight w:val="210"/>
        </w:trPr>
        <w:tc>
          <w:tcPr>
            <w:tcW w:w="88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-254635</wp:posOffset>
            </wp:positionV>
            <wp:extent cx="7256145" cy="382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614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FORWARD-LOOKING STATEMENTS</w:t>
      </w:r>
    </w:p>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Certain statements in this report, including, but not limited to, those under the heading “Management’s Discussion and Analysis of Financial Condition and Results of Operations” and those statements elsewhere in this report and other documents we file with the Commission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Such statements are subject to certain risks, uncertainties and assumptions that could cause actual results to differ materially, including those described in Item 1A, Risk Factors, of our Annual Report on Form 10-K for the fiscal year ended July 31, 2009, which risk factors are incorporated herein by reference. Should one or more of these or other risks or uncertainties materialize, or should underlying assumptions prove incorrect, actual results may vary materially from those anticipated, intended, expected, believed, estimated, projected or planned. You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388"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TRADEMARK NOTICE</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Agsorb, Calibrin, Cat’s Pride, ConditionAde, Flo-Fre, Jonny Cat, KatKit, Oil-Dri, Pel-Unite, Perform, Poultry Guard, Pro Mound, Pure-Flo, Rapid Dry, Select, Terra-Green, and Ultra-Clear are all registered trademarks of Oil-Dri Corporation of America or of its subsidiaries. Pro’s Choice, Saular and Verge are trademarks of Oil-Dri Corporation of America. Fresh Step is a registered trademark of The Clorox Company.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8820" w:type="dxa"/>
            <w:vAlign w:val="bottom"/>
            <w:gridSpan w:val="4"/>
          </w:tcPr>
          <w:p>
            <w:pPr>
              <w:spacing w:after="0"/>
              <w:rPr>
                <w:sz w:val="20"/>
                <w:szCs w:val="20"/>
                <w:color w:val="auto"/>
              </w:rPr>
            </w:pPr>
            <w:r>
              <w:rPr>
                <w:rFonts w:ascii="Arial" w:cs="Arial" w:eastAsia="Arial" w:hAnsi="Arial"/>
                <w:sz w:val="17"/>
                <w:szCs w:val="17"/>
                <w:b w:val="1"/>
                <w:bCs w:val="1"/>
                <w:color w:val="auto"/>
              </w:rPr>
              <w:t>PART I - FINANCIAL INFORMATION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8820" w:type="dxa"/>
            <w:vAlign w:val="bottom"/>
            <w:gridSpan w:val="4"/>
          </w:tcPr>
          <w:p>
            <w:pPr>
              <w:spacing w:after="0"/>
              <w:rPr>
                <w:sz w:val="20"/>
                <w:szCs w:val="20"/>
                <w:color w:val="auto"/>
              </w:rPr>
            </w:pPr>
            <w:r>
              <w:rPr>
                <w:rFonts w:ascii="Arial" w:cs="Arial" w:eastAsia="Arial" w:hAnsi="Arial"/>
                <w:sz w:val="17"/>
                <w:szCs w:val="17"/>
                <w:b w:val="1"/>
                <w:bCs w:val="1"/>
                <w:color w:val="auto"/>
              </w:rPr>
              <w:t>ITEM 1. Financial Statements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560" w:type="dxa"/>
            <w:vAlign w:val="bottom"/>
          </w:tcPr>
          <w:p>
            <w:pPr>
              <w:jc w:val="center"/>
              <w:ind w:left="156"/>
              <w:spacing w:after="0"/>
              <w:rPr>
                <w:sz w:val="20"/>
                <w:szCs w:val="20"/>
                <w:color w:val="auto"/>
              </w:rPr>
            </w:pPr>
            <w:r>
              <w:rPr>
                <w:rFonts w:ascii="Arial" w:cs="Arial" w:eastAsia="Arial" w:hAnsi="Arial"/>
                <w:sz w:val="17"/>
                <w:szCs w:val="17"/>
                <w:b w:val="1"/>
                <w:bCs w:val="1"/>
                <w:color w:val="auto"/>
              </w:rPr>
              <w:t>OIL-DRI CORPORATION OF AMERICA &amp; SUBSIDIARIES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560" w:type="dxa"/>
            <w:vAlign w:val="bottom"/>
          </w:tcPr>
          <w:p>
            <w:pPr>
              <w:jc w:val="center"/>
              <w:ind w:left="156"/>
              <w:spacing w:after="0"/>
              <w:rPr>
                <w:sz w:val="20"/>
                <w:szCs w:val="20"/>
                <w:color w:val="auto"/>
              </w:rPr>
            </w:pPr>
            <w:r>
              <w:rPr>
                <w:rFonts w:ascii="Arial" w:cs="Arial" w:eastAsia="Arial" w:hAnsi="Arial"/>
                <w:sz w:val="17"/>
                <w:szCs w:val="17"/>
                <w:b w:val="1"/>
                <w:bCs w:val="1"/>
                <w:color w:val="auto"/>
                <w:w w:val="85"/>
              </w:rPr>
              <w:t>Condensed Consolidated Balance Sheets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560" w:type="dxa"/>
            <w:vAlign w:val="bottom"/>
          </w:tcPr>
          <w:p>
            <w:pPr>
              <w:jc w:val="center"/>
              <w:ind w:left="136"/>
              <w:spacing w:after="0"/>
              <w:rPr>
                <w:sz w:val="20"/>
                <w:szCs w:val="20"/>
                <w:color w:val="auto"/>
              </w:rPr>
            </w:pPr>
            <w:r>
              <w:rPr>
                <w:rFonts w:ascii="Arial" w:cs="Arial" w:eastAsia="Arial" w:hAnsi="Arial"/>
                <w:sz w:val="17"/>
                <w:szCs w:val="17"/>
                <w:b w:val="1"/>
                <w:bCs w:val="1"/>
                <w:color w:val="auto"/>
                <w:w w:val="87"/>
              </w:rPr>
              <w:t>(in thousands of dollars)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60" w:type="dxa"/>
            <w:vAlign w:val="bottom"/>
          </w:tcPr>
          <w:p>
            <w:pPr>
              <w:jc w:val="center"/>
              <w:ind w:left="156"/>
              <w:spacing w:after="0"/>
              <w:rPr>
                <w:sz w:val="20"/>
                <w:szCs w:val="20"/>
                <w:color w:val="auto"/>
              </w:rPr>
            </w:pPr>
            <w:r>
              <w:rPr>
                <w:rFonts w:ascii="Arial" w:cs="Arial" w:eastAsia="Arial" w:hAnsi="Arial"/>
                <w:sz w:val="17"/>
                <w:szCs w:val="17"/>
                <w:b w:val="1"/>
                <w:bCs w:val="1"/>
                <w:color w:val="auto"/>
                <w:w w:val="90"/>
              </w:rPr>
              <w:t>(unaudited)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April 30,</w:t>
            </w: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July 31,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60" w:type="dxa"/>
            <w:vAlign w:val="bottom"/>
          </w:tcPr>
          <w:p>
            <w:pPr>
              <w:ind w:left="1780"/>
              <w:spacing w:after="0"/>
              <w:rPr>
                <w:sz w:val="20"/>
                <w:szCs w:val="20"/>
                <w:color w:val="auto"/>
              </w:rPr>
            </w:pPr>
            <w:r>
              <w:rPr>
                <w:rFonts w:ascii="Arial" w:cs="Arial" w:eastAsia="Arial" w:hAnsi="Arial"/>
                <w:sz w:val="17"/>
                <w:szCs w:val="17"/>
                <w:b w:val="1"/>
                <w:bCs w:val="1"/>
                <w:color w:val="auto"/>
              </w:rPr>
              <w:t>ASSETS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8820" w:type="dxa"/>
            <w:vAlign w:val="bottom"/>
            <w:gridSpan w:val="4"/>
          </w:tcPr>
          <w:p>
            <w:pPr>
              <w:spacing w:after="0"/>
              <w:rPr>
                <w:sz w:val="20"/>
                <w:szCs w:val="20"/>
                <w:color w:val="auto"/>
              </w:rPr>
            </w:pPr>
            <w:r>
              <w:rPr>
                <w:rFonts w:ascii="Arial" w:cs="Arial" w:eastAsia="Arial" w:hAnsi="Arial"/>
                <w:sz w:val="17"/>
                <w:szCs w:val="17"/>
                <w:b w:val="1"/>
                <w:bCs w:val="1"/>
                <w:color w:val="auto"/>
              </w:rPr>
              <w:t>Current 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9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80" w:type="dxa"/>
            <w:vAlign w:val="bottom"/>
          </w:tcPr>
          <w:p>
            <w:pPr>
              <w:spacing w:after="0"/>
              <w:rPr>
                <w:sz w:val="3"/>
                <w:szCs w:val="3"/>
                <w:color w:val="auto"/>
              </w:rPr>
            </w:pPr>
          </w:p>
        </w:tc>
        <w:tc>
          <w:tcPr>
            <w:tcW w:w="6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21,639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11,839</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Investment in securities</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3,999</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7,998</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Accounts receivable, less allowance of $595 and</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tcPr>
          <w:p>
            <w:pPr>
              <w:ind w:left="80"/>
              <w:spacing w:after="0"/>
              <w:rPr>
                <w:sz w:val="20"/>
                <w:szCs w:val="20"/>
                <w:color w:val="auto"/>
              </w:rPr>
            </w:pPr>
            <w:r>
              <w:rPr>
                <w:rFonts w:ascii="Arial" w:cs="Arial" w:eastAsia="Arial" w:hAnsi="Arial"/>
                <w:sz w:val="17"/>
                <w:szCs w:val="17"/>
                <w:color w:val="auto"/>
              </w:rPr>
              <w:t>$652 at April 30, 2010 and July 31, 2009, respectively</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26,721</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29,000</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Inventories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17,390</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17,795</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Deferred income taxes</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1,080</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1,080</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Prepaid repairs expense</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3,926</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4,345</w:t>
            </w:r>
          </w:p>
        </w:tc>
        <w:tc>
          <w:tcPr>
            <w:tcW w:w="0" w:type="dxa"/>
            <w:vAlign w:val="bottom"/>
          </w:tcPr>
          <w:p>
            <w:pPr>
              <w:spacing w:after="0"/>
              <w:rPr>
                <w:sz w:val="1"/>
                <w:szCs w:val="1"/>
                <w:color w:val="auto"/>
              </w:rPr>
            </w:pPr>
          </w:p>
        </w:tc>
      </w:tr>
      <w:tr>
        <w:trPr>
          <w:trHeight w:val="206"/>
        </w:trPr>
        <w:tc>
          <w:tcPr>
            <w:tcW w:w="8820" w:type="dxa"/>
            <w:vAlign w:val="bottom"/>
            <w:gridSpan w:val="4"/>
          </w:tcPr>
          <w:p>
            <w:pPr>
              <w:spacing w:after="0"/>
              <w:rPr>
                <w:sz w:val="20"/>
                <w:szCs w:val="20"/>
                <w:color w:val="auto"/>
              </w:rPr>
            </w:pPr>
            <w:r>
              <w:rPr>
                <w:rFonts w:ascii="Arial" w:cs="Arial" w:eastAsia="Arial" w:hAnsi="Arial"/>
                <w:sz w:val="17"/>
                <w:szCs w:val="17"/>
                <w:color w:val="auto"/>
              </w:rPr>
              <w:t>Prepaid expenses and other assets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1,637</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shd w:val="clear" w:color="auto" w:fill="CCEEFF"/>
          </w:tcPr>
          <w:p>
            <w:pPr>
              <w:ind w:left="620"/>
              <w:spacing w:after="0"/>
              <w:rPr>
                <w:sz w:val="20"/>
                <w:szCs w:val="20"/>
                <w:color w:val="auto"/>
              </w:rPr>
            </w:pPr>
            <w:r>
              <w:rPr>
                <w:rFonts w:ascii="Arial" w:cs="Arial" w:eastAsia="Arial" w:hAnsi="Arial"/>
                <w:sz w:val="17"/>
                <w:szCs w:val="17"/>
                <w:b w:val="1"/>
                <w:bCs w:val="1"/>
                <w:color w:val="auto"/>
              </w:rPr>
              <w:t>Total Current Assets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76,392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73,717</w:t>
            </w:r>
          </w:p>
        </w:tc>
        <w:tc>
          <w:tcPr>
            <w:tcW w:w="0" w:type="dxa"/>
            <w:vAlign w:val="bottom"/>
          </w:tcPr>
          <w:p>
            <w:pPr>
              <w:spacing w:after="0"/>
              <w:rPr>
                <w:sz w:val="1"/>
                <w:szCs w:val="1"/>
                <w:color w:val="auto"/>
              </w:rPr>
            </w:pPr>
          </w:p>
        </w:tc>
      </w:tr>
      <w:tr>
        <w:trPr>
          <w:trHeight w:val="201"/>
        </w:trPr>
        <w:tc>
          <w:tcPr>
            <w:tcW w:w="9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65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6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90"/>
              </w:rPr>
              <w:t>Property, Plant and Equipment</w:t>
            </w:r>
          </w:p>
        </w:tc>
        <w:tc>
          <w:tcPr>
            <w:tcW w:w="65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Cost</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175,757</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169,130</w:t>
            </w:r>
          </w:p>
        </w:tc>
        <w:tc>
          <w:tcPr>
            <w:tcW w:w="0" w:type="dxa"/>
            <w:vAlign w:val="bottom"/>
          </w:tcPr>
          <w:p>
            <w:pPr>
              <w:spacing w:after="0"/>
              <w:rPr>
                <w:sz w:val="1"/>
                <w:szCs w:val="1"/>
                <w:color w:val="auto"/>
              </w:rPr>
            </w:pPr>
          </w:p>
        </w:tc>
      </w:tr>
      <w:tr>
        <w:trPr>
          <w:trHeight w:val="206"/>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(113,892)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(109,645)</w:t>
            </w:r>
          </w:p>
        </w:tc>
        <w:tc>
          <w:tcPr>
            <w:tcW w:w="0" w:type="dxa"/>
            <w:vAlign w:val="bottom"/>
          </w:tcPr>
          <w:p>
            <w:pPr>
              <w:spacing w:after="0"/>
              <w:rPr>
                <w:sz w:val="1"/>
                <w:szCs w:val="1"/>
                <w:color w:val="auto"/>
              </w:rPr>
            </w:pPr>
          </w:p>
        </w:tc>
      </w:tr>
      <w:tr>
        <w:trPr>
          <w:trHeight w:val="206"/>
        </w:trPr>
        <w:tc>
          <w:tcPr>
            <w:tcW w:w="8820" w:type="dxa"/>
            <w:vAlign w:val="bottom"/>
            <w:tcBorders>
              <w:top w:val="single" w:sz="8" w:color="CCEEFF"/>
            </w:tcBorders>
            <w:gridSpan w:val="4"/>
          </w:tcPr>
          <w:p>
            <w:pPr>
              <w:ind w:left="620"/>
              <w:spacing w:after="0"/>
              <w:rPr>
                <w:sz w:val="20"/>
                <w:szCs w:val="20"/>
                <w:color w:val="auto"/>
              </w:rPr>
            </w:pPr>
            <w:r>
              <w:rPr>
                <w:rFonts w:ascii="Arial" w:cs="Arial" w:eastAsia="Arial" w:hAnsi="Arial"/>
                <w:sz w:val="17"/>
                <w:szCs w:val="17"/>
                <w:b w:val="1"/>
                <w:bCs w:val="1"/>
                <w:color w:val="auto"/>
              </w:rPr>
              <w:t>Total Property, Plant and Equipment, Net</w:t>
            </w: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61,865</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59,485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820" w:type="dxa"/>
            <w:vAlign w:val="bottom"/>
            <w:gridSpan w:val="4"/>
          </w:tcPr>
          <w:p>
            <w:pPr>
              <w:spacing w:after="0" w:line="163" w:lineRule="exact"/>
              <w:rPr>
                <w:sz w:val="20"/>
                <w:szCs w:val="20"/>
                <w:color w:val="auto"/>
              </w:rPr>
            </w:pPr>
            <w:r>
              <w:rPr>
                <w:rFonts w:ascii="Arial" w:cs="Arial" w:eastAsia="Arial" w:hAnsi="Arial"/>
                <w:sz w:val="17"/>
                <w:szCs w:val="17"/>
                <w:b w:val="1"/>
                <w:bCs w:val="1"/>
                <w:color w:val="auto"/>
              </w:rPr>
              <w:t>Other Assets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9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5,162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5,162</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Trademarks and patents, net of accumulated amortization</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of $359 and $351 at April 30, 2010 and July 31, 2009,  respectively</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627</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Debt issuance costs, net of accumulated amortization</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of $511 and $473 at April 30, 2010 and July 31, 2009, respectively</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268</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Licensing agreements and non-compete agreements, net of</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82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7"/>
                <w:szCs w:val="17"/>
                <w:color w:val="auto"/>
              </w:rPr>
              <w:t>accumulated amortization of $3,548 and $3,361 at</w:t>
            </w:r>
          </w:p>
        </w:tc>
        <w:tc>
          <w:tcPr>
            <w:tcW w:w="20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1,190</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82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April 30, 2010 and July 31, 2009, respectively</w:t>
            </w: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1,378</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Deferred income taxes</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3,894</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4,144</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4,141</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tcPr>
          <w:p>
            <w:pPr>
              <w:ind w:left="620"/>
              <w:spacing w:after="0"/>
              <w:rPr>
                <w:sz w:val="20"/>
                <w:szCs w:val="20"/>
                <w:color w:val="auto"/>
              </w:rPr>
            </w:pPr>
            <w:r>
              <w:rPr>
                <w:rFonts w:ascii="Arial" w:cs="Arial" w:eastAsia="Arial" w:hAnsi="Arial"/>
                <w:sz w:val="17"/>
                <w:szCs w:val="17"/>
                <w:b w:val="1"/>
                <w:bCs w:val="1"/>
                <w:color w:val="auto"/>
              </w:rPr>
              <w:t>Total Other Assets</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15,282</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16,059</w:t>
            </w:r>
          </w:p>
        </w:tc>
        <w:tc>
          <w:tcPr>
            <w:tcW w:w="0" w:type="dxa"/>
            <w:vAlign w:val="bottom"/>
          </w:tcPr>
          <w:p>
            <w:pPr>
              <w:spacing w:after="0"/>
              <w:rPr>
                <w:sz w:val="1"/>
                <w:szCs w:val="1"/>
                <w:color w:val="auto"/>
              </w:rPr>
            </w:pPr>
          </w:p>
        </w:tc>
      </w:tr>
      <w:tr>
        <w:trPr>
          <w:trHeight w:val="201"/>
        </w:trPr>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b w:val="1"/>
                <w:bCs w:val="1"/>
                <w:color w:val="auto"/>
              </w:rPr>
              <w:t>Total Assets</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153,539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149,261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-797560</wp:posOffset>
            </wp:positionV>
            <wp:extent cx="7256145" cy="1053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6145" cy="105346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-4685030</wp:posOffset>
            </wp:positionV>
            <wp:extent cx="26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 w:name="page4"/>
    <w:bookmarkEnd w:id="3"/>
    <w:p>
      <w:pPr>
        <w:jc w:val="center"/>
        <w:ind w:right="1460"/>
        <w:spacing w:after="0"/>
        <w:rPr>
          <w:sz w:val="20"/>
          <w:szCs w:val="20"/>
          <w:color w:val="auto"/>
        </w:rPr>
      </w:pPr>
      <w:r>
        <w:rPr>
          <w:rFonts w:ascii="Arial" w:cs="Arial" w:eastAsia="Arial" w:hAnsi="Arial"/>
          <w:sz w:val="17"/>
          <w:szCs w:val="17"/>
          <w:b w:val="1"/>
          <w:bCs w:val="1"/>
          <w:color w:val="auto"/>
        </w:rPr>
        <w:t>OIL-DRI CORPORATION OF AMERICA &amp; SUBSIDIARIES</w:t>
      </w:r>
    </w:p>
    <w:p>
      <w:pPr>
        <w:spacing w:after="0" w:line="22" w:lineRule="exact"/>
        <w:rPr>
          <w:sz w:val="20"/>
          <w:szCs w:val="20"/>
          <w:color w:val="auto"/>
        </w:rPr>
      </w:pPr>
    </w:p>
    <w:p>
      <w:pPr>
        <w:jc w:val="center"/>
        <w:ind w:right="146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6" w:lineRule="exact"/>
        <w:rPr>
          <w:sz w:val="20"/>
          <w:szCs w:val="20"/>
          <w:color w:val="auto"/>
        </w:rPr>
      </w:pPr>
    </w:p>
    <w:p>
      <w:pPr>
        <w:jc w:val="center"/>
        <w:ind w:right="1460"/>
        <w:spacing w:after="0"/>
        <w:rPr>
          <w:sz w:val="20"/>
          <w:szCs w:val="20"/>
          <w:color w:val="auto"/>
        </w:rPr>
      </w:pPr>
      <w:r>
        <w:rPr>
          <w:rFonts w:ascii="Arial" w:cs="Arial" w:eastAsia="Arial" w:hAnsi="Arial"/>
          <w:sz w:val="17"/>
          <w:szCs w:val="17"/>
          <w:b w:val="1"/>
          <w:bCs w:val="1"/>
          <w:color w:val="auto"/>
        </w:rPr>
        <w:t>(in thousands of dollars)</w:t>
      </w:r>
    </w:p>
    <w:p>
      <w:pPr>
        <w:spacing w:after="0" w:line="6" w:lineRule="exact"/>
        <w:rPr>
          <w:sz w:val="20"/>
          <w:szCs w:val="20"/>
          <w:color w:val="auto"/>
        </w:rPr>
      </w:pPr>
    </w:p>
    <w:p>
      <w:pPr>
        <w:jc w:val="center"/>
        <w:ind w:right="1460"/>
        <w:spacing w:after="0"/>
        <w:rPr>
          <w:sz w:val="20"/>
          <w:szCs w:val="20"/>
          <w:color w:val="auto"/>
        </w:rPr>
      </w:pPr>
      <w:r>
        <w:rPr>
          <w:rFonts w:ascii="Arial" w:cs="Arial" w:eastAsia="Arial" w:hAnsi="Arial"/>
          <w:sz w:val="17"/>
          <w:szCs w:val="17"/>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April 30,</w:t>
            </w: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July 31,</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20" w:type="dxa"/>
            <w:vAlign w:val="bottom"/>
          </w:tcPr>
          <w:p>
            <w:pPr>
              <w:ind w:left="1040"/>
              <w:spacing w:after="0"/>
              <w:rPr>
                <w:sz w:val="20"/>
                <w:szCs w:val="20"/>
                <w:color w:val="auto"/>
              </w:rPr>
            </w:pPr>
            <w:r>
              <w:rPr>
                <w:rFonts w:ascii="Arial" w:cs="Arial" w:eastAsia="Arial" w:hAnsi="Arial"/>
                <w:sz w:val="17"/>
                <w:szCs w:val="17"/>
                <w:b w:val="1"/>
                <w:bCs w:val="1"/>
                <w:color w:val="auto"/>
              </w:rPr>
              <w:t>LIABILITIES &amp; STOCKHOLDERS’ EQUITY</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820" w:type="dxa"/>
            <w:vAlign w:val="bottom"/>
            <w:gridSpan w:val="4"/>
          </w:tcPr>
          <w:p>
            <w:pPr>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3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Current maturities of notes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3,500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3,200</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5,974</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5,304</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Dividends payable</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1,003</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994</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Accrued expenses: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Salaries, wages and commissions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6,291</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5,794</w:t>
            </w:r>
          </w:p>
        </w:tc>
        <w:tc>
          <w:tcPr>
            <w:tcW w:w="0" w:type="dxa"/>
            <w:vAlign w:val="bottom"/>
          </w:tcPr>
          <w:p>
            <w:pPr>
              <w:spacing w:after="0"/>
              <w:rPr>
                <w:sz w:val="1"/>
                <w:szCs w:val="1"/>
                <w:color w:val="auto"/>
              </w:rPr>
            </w:pPr>
          </w:p>
        </w:tc>
      </w:tr>
      <w:tr>
        <w:trPr>
          <w:trHeight w:val="201"/>
        </w:trPr>
        <w:tc>
          <w:tcPr>
            <w:tcW w:w="8820" w:type="dxa"/>
            <w:vAlign w:val="bottom"/>
            <w:gridSpan w:val="4"/>
          </w:tcPr>
          <w:p>
            <w:pPr>
              <w:ind w:left="80"/>
              <w:spacing w:after="0"/>
              <w:rPr>
                <w:sz w:val="20"/>
                <w:szCs w:val="20"/>
                <w:color w:val="auto"/>
              </w:rPr>
            </w:pPr>
            <w:r>
              <w:rPr>
                <w:rFonts w:ascii="Arial" w:cs="Arial" w:eastAsia="Arial" w:hAnsi="Arial"/>
                <w:sz w:val="17"/>
                <w:szCs w:val="17"/>
                <w:color w:val="auto"/>
              </w:rPr>
              <w:t>Trade promotions and advertising</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2,548</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2,073</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Freight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2,038</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1,073</w:t>
            </w:r>
          </w:p>
        </w:tc>
        <w:tc>
          <w:tcPr>
            <w:tcW w:w="0" w:type="dxa"/>
            <w:vAlign w:val="bottom"/>
          </w:tcPr>
          <w:p>
            <w:pPr>
              <w:spacing w:after="0"/>
              <w:rPr>
                <w:sz w:val="1"/>
                <w:szCs w:val="1"/>
                <w:color w:val="auto"/>
              </w:rPr>
            </w:pPr>
          </w:p>
        </w:tc>
      </w:tr>
      <w:tr>
        <w:trPr>
          <w:trHeight w:val="206"/>
        </w:trPr>
        <w:tc>
          <w:tcPr>
            <w:tcW w:w="8820" w:type="dxa"/>
            <w:vAlign w:val="bottom"/>
            <w:gridSpan w:val="4"/>
          </w:tcPr>
          <w:p>
            <w:pPr>
              <w:ind w:left="8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5,122</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shd w:val="clear" w:color="auto" w:fill="CCEEFF"/>
          </w:tcPr>
          <w:p>
            <w:pPr>
              <w:ind w:left="620"/>
              <w:spacing w:after="0"/>
              <w:rPr>
                <w:sz w:val="20"/>
                <w:szCs w:val="20"/>
                <w:color w:val="auto"/>
              </w:rPr>
            </w:pPr>
            <w:r>
              <w:rPr>
                <w:rFonts w:ascii="Arial" w:cs="Arial" w:eastAsia="Arial" w:hAnsi="Arial"/>
                <w:sz w:val="17"/>
                <w:szCs w:val="17"/>
                <w:b w:val="1"/>
                <w:bCs w:val="1"/>
                <w:color w:val="auto"/>
              </w:rPr>
              <w:t>Total Current Liabilities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26,476</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23,768</w:t>
            </w:r>
          </w:p>
        </w:tc>
        <w:tc>
          <w:tcPr>
            <w:tcW w:w="0" w:type="dxa"/>
            <w:vAlign w:val="bottom"/>
          </w:tcPr>
          <w:p>
            <w:pPr>
              <w:spacing w:after="0"/>
              <w:rPr>
                <w:sz w:val="1"/>
                <w:szCs w:val="1"/>
                <w:color w:val="auto"/>
              </w:rPr>
            </w:pPr>
          </w:p>
        </w:tc>
      </w:tr>
      <w:tr>
        <w:trPr>
          <w:trHeight w:val="201"/>
        </w:trPr>
        <w:tc>
          <w:tcPr>
            <w:tcW w:w="13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0" w:type="dxa"/>
            <w:vAlign w:val="bottom"/>
            <w:tcBorders>
              <w:bottom w:val="single" w:sz="8" w:color="auto"/>
            </w:tcBorders>
            <w:gridSpan w:val="3"/>
            <w:shd w:val="clear" w:color="auto" w:fill="CCEEFF"/>
          </w:tcPr>
          <w:p>
            <w:pPr>
              <w:spacing w:after="0" w:line="163" w:lineRule="exact"/>
              <w:rPr>
                <w:sz w:val="20"/>
                <w:szCs w:val="20"/>
                <w:color w:val="auto"/>
              </w:rPr>
            </w:pPr>
            <w:r>
              <w:rPr>
                <w:rFonts w:ascii="Arial" w:cs="Arial" w:eastAsia="Arial" w:hAnsi="Arial"/>
                <w:sz w:val="17"/>
                <w:szCs w:val="17"/>
                <w:b w:val="1"/>
                <w:bCs w:val="1"/>
                <w:color w:val="auto"/>
                <w:w w:val="90"/>
              </w:rPr>
              <w:t>Noncurrent Liabilities</w:t>
            </w:r>
          </w:p>
        </w:tc>
        <w:tc>
          <w:tcPr>
            <w:tcW w:w="7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Notes payable</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14,800</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18,300</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6,503</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5,892</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Pension and postretirement benefits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10,736</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10,491</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1,282</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tcPr>
          <w:p>
            <w:pPr>
              <w:ind w:left="620"/>
              <w:spacing w:after="0"/>
              <w:rPr>
                <w:sz w:val="20"/>
                <w:szCs w:val="20"/>
                <w:color w:val="auto"/>
              </w:rPr>
            </w:pPr>
            <w:r>
              <w:rPr>
                <w:rFonts w:ascii="Arial" w:cs="Arial" w:eastAsia="Arial" w:hAnsi="Arial"/>
                <w:sz w:val="17"/>
                <w:szCs w:val="17"/>
                <w:b w:val="1"/>
                <w:bCs w:val="1"/>
                <w:color w:val="auto"/>
              </w:rPr>
              <w:t>Total Noncurrent Liabilities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33,321</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35,930</w:t>
            </w:r>
          </w:p>
        </w:tc>
        <w:tc>
          <w:tcPr>
            <w:tcW w:w="0" w:type="dxa"/>
            <w:vAlign w:val="bottom"/>
          </w:tcPr>
          <w:p>
            <w:pPr>
              <w:spacing w:after="0"/>
              <w:rPr>
                <w:sz w:val="1"/>
                <w:szCs w:val="1"/>
                <w:color w:val="auto"/>
              </w:rPr>
            </w:pPr>
          </w:p>
        </w:tc>
      </w:tr>
      <w:tr>
        <w:trPr>
          <w:trHeight w:val="201"/>
        </w:trPr>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tcPr>
          <w:p>
            <w:pPr>
              <w:ind w:left="620"/>
              <w:spacing w:after="0"/>
              <w:rPr>
                <w:sz w:val="20"/>
                <w:szCs w:val="20"/>
                <w:color w:val="auto"/>
              </w:rPr>
            </w:pPr>
            <w:r>
              <w:rPr>
                <w:rFonts w:ascii="Arial" w:cs="Arial" w:eastAsia="Arial" w:hAnsi="Arial"/>
                <w:sz w:val="17"/>
                <w:szCs w:val="17"/>
                <w:b w:val="1"/>
                <w:bCs w:val="1"/>
                <w:color w:val="auto"/>
              </w:rPr>
              <w:t>Total Liabilities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59,797</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59,698</w:t>
            </w:r>
          </w:p>
        </w:tc>
        <w:tc>
          <w:tcPr>
            <w:tcW w:w="0" w:type="dxa"/>
            <w:vAlign w:val="bottom"/>
          </w:tcPr>
          <w:p>
            <w:pPr>
              <w:spacing w:after="0"/>
              <w:rPr>
                <w:sz w:val="1"/>
                <w:szCs w:val="1"/>
                <w:color w:val="auto"/>
              </w:rPr>
            </w:pPr>
          </w:p>
        </w:tc>
      </w:tr>
      <w:tr>
        <w:trPr>
          <w:trHeight w:val="201"/>
        </w:trPr>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820" w:type="dxa"/>
            <w:vAlign w:val="bottom"/>
            <w:gridSpan w:val="4"/>
          </w:tcPr>
          <w:p>
            <w:pPr>
              <w:spacing w:after="0" w:line="163" w:lineRule="exact"/>
              <w:rPr>
                <w:sz w:val="20"/>
                <w:szCs w:val="20"/>
                <w:color w:val="auto"/>
              </w:rPr>
            </w:pPr>
            <w:r>
              <w:rPr>
                <w:rFonts w:ascii="Arial" w:cs="Arial" w:eastAsia="Arial" w:hAnsi="Arial"/>
                <w:sz w:val="17"/>
                <w:szCs w:val="17"/>
                <w:b w:val="1"/>
                <w:bCs w:val="1"/>
                <w:color w:val="auto"/>
              </w:rPr>
              <w:t>Stockholders’ Equity</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3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Common Stock, par value $.10 per share, issued</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820" w:type="dxa"/>
            <w:vAlign w:val="bottom"/>
            <w:gridSpan w:val="4"/>
          </w:tcPr>
          <w:p>
            <w:pPr>
              <w:ind w:left="80"/>
              <w:spacing w:after="0" w:line="189" w:lineRule="exact"/>
              <w:rPr>
                <w:sz w:val="20"/>
                <w:szCs w:val="20"/>
                <w:color w:val="auto"/>
              </w:rPr>
            </w:pPr>
            <w:r>
              <w:rPr>
                <w:rFonts w:ascii="Arial" w:cs="Arial" w:eastAsia="Arial" w:hAnsi="Arial"/>
                <w:sz w:val="17"/>
                <w:szCs w:val="17"/>
                <w:color w:val="auto"/>
              </w:rPr>
              <w:t>7,618,991 shares at April 30, 2010 and 7,475,171</w:t>
            </w:r>
          </w:p>
        </w:tc>
        <w:tc>
          <w:tcPr>
            <w:tcW w:w="16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b w:val="1"/>
                <w:bCs w:val="1"/>
                <w:color w:val="auto"/>
              </w:rPr>
              <w:t>762</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820" w:type="dxa"/>
            <w:vAlign w:val="bottom"/>
            <w:gridSpan w:val="4"/>
          </w:tcPr>
          <w:p>
            <w:pPr>
              <w:ind w:left="80"/>
              <w:spacing w:after="0"/>
              <w:rPr>
                <w:sz w:val="20"/>
                <w:szCs w:val="20"/>
                <w:color w:val="auto"/>
              </w:rPr>
            </w:pPr>
            <w:r>
              <w:rPr>
                <w:rFonts w:ascii="Arial" w:cs="Arial" w:eastAsia="Arial" w:hAnsi="Arial"/>
                <w:sz w:val="17"/>
                <w:szCs w:val="17"/>
                <w:color w:val="auto"/>
              </w:rPr>
              <w:t>shares at July 31, 2009</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Class B Stock, par value $.10 per share, issued</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820" w:type="dxa"/>
            <w:vAlign w:val="bottom"/>
            <w:gridSpan w:val="4"/>
          </w:tcPr>
          <w:p>
            <w:pPr>
              <w:ind w:left="80"/>
              <w:spacing w:after="0" w:line="189" w:lineRule="exact"/>
              <w:rPr>
                <w:sz w:val="20"/>
                <w:szCs w:val="20"/>
                <w:color w:val="auto"/>
              </w:rPr>
            </w:pPr>
            <w:r>
              <w:rPr>
                <w:rFonts w:ascii="Arial" w:cs="Arial" w:eastAsia="Arial" w:hAnsi="Arial"/>
                <w:sz w:val="17"/>
                <w:szCs w:val="17"/>
                <w:color w:val="auto"/>
              </w:rPr>
              <w:t>2,244,217 shares at April 30, 2010 and 2,240,201</w:t>
            </w:r>
          </w:p>
        </w:tc>
        <w:tc>
          <w:tcPr>
            <w:tcW w:w="16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b w:val="1"/>
                <w:bCs w:val="1"/>
                <w:color w:val="auto"/>
              </w:rPr>
              <w:t>224</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820" w:type="dxa"/>
            <w:vAlign w:val="bottom"/>
            <w:gridSpan w:val="4"/>
          </w:tcPr>
          <w:p>
            <w:pPr>
              <w:ind w:left="80"/>
              <w:spacing w:after="0"/>
              <w:rPr>
                <w:sz w:val="20"/>
                <w:szCs w:val="20"/>
                <w:color w:val="auto"/>
              </w:rPr>
            </w:pPr>
            <w:r>
              <w:rPr>
                <w:rFonts w:ascii="Arial" w:cs="Arial" w:eastAsia="Arial" w:hAnsi="Arial"/>
                <w:sz w:val="17"/>
                <w:szCs w:val="17"/>
                <w:color w:val="auto"/>
              </w:rPr>
              <w:t>shares at July 31, 2009</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24,851</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23,366</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Restricted unearned stock compensation</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(234)</w:t>
            </w: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115,579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111,593</w:t>
            </w: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color w:val="auto"/>
              </w:rPr>
              <w:t>Accumulated Other Comprehensive Income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Unrealized gain on marketable securities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1"/>
        </w:trPr>
        <w:tc>
          <w:tcPr>
            <w:tcW w:w="8820" w:type="dxa"/>
            <w:vAlign w:val="bottom"/>
            <w:gridSpan w:val="4"/>
          </w:tcPr>
          <w:p>
            <w:pPr>
              <w:ind w:left="80"/>
              <w:spacing w:after="0"/>
              <w:rPr>
                <w:sz w:val="20"/>
                <w:szCs w:val="20"/>
                <w:color w:val="auto"/>
              </w:rPr>
            </w:pPr>
            <w:r>
              <w:rPr>
                <w:rFonts w:ascii="Arial" w:cs="Arial" w:eastAsia="Arial" w:hAnsi="Arial"/>
                <w:sz w:val="17"/>
                <w:szCs w:val="17"/>
                <w:color w:val="auto"/>
              </w:rPr>
              <w:t>Pension and postretirement benefits</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(4,439)</w:t>
            </w: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(4,584)</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rPr>
              <w:t>Cumulative translation adjustment</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555</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137,362</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131,285</w:t>
            </w:r>
          </w:p>
        </w:tc>
        <w:tc>
          <w:tcPr>
            <w:tcW w:w="0" w:type="dxa"/>
            <w:vAlign w:val="bottom"/>
          </w:tcPr>
          <w:p>
            <w:pPr>
              <w:spacing w:after="0"/>
              <w:rPr>
                <w:sz w:val="1"/>
                <w:szCs w:val="1"/>
                <w:color w:val="auto"/>
              </w:rPr>
            </w:pPr>
          </w:p>
        </w:tc>
      </w:tr>
      <w:tr>
        <w:trPr>
          <w:trHeight w:val="201"/>
        </w:trPr>
        <w:tc>
          <w:tcPr>
            <w:tcW w:w="8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Less Treasury Stock, at cost (2,386,650 Common and 324,741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tcPr>
          <w:p>
            <w:pPr>
              <w:ind w:left="80"/>
              <w:spacing w:after="0"/>
              <w:rPr>
                <w:sz w:val="20"/>
                <w:szCs w:val="20"/>
                <w:color w:val="auto"/>
              </w:rPr>
            </w:pPr>
            <w:r>
              <w:rPr>
                <w:rFonts w:ascii="Arial" w:cs="Arial" w:eastAsia="Arial" w:hAnsi="Arial"/>
                <w:sz w:val="17"/>
                <w:szCs w:val="17"/>
                <w:color w:val="auto"/>
              </w:rPr>
              <w:t>Class B shares at April 30, 2010 and 2,282,521 Common and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324,741 Class B shares at July 31, 2009)</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(43,620)</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(41,722)</w:t>
            </w:r>
          </w:p>
        </w:tc>
        <w:tc>
          <w:tcPr>
            <w:tcW w:w="0" w:type="dxa"/>
            <w:vAlign w:val="bottom"/>
          </w:tcPr>
          <w:p>
            <w:pPr>
              <w:spacing w:after="0"/>
              <w:rPr>
                <w:sz w:val="1"/>
                <w:szCs w:val="1"/>
                <w:color w:val="auto"/>
              </w:rPr>
            </w:pPr>
          </w:p>
        </w:tc>
      </w:tr>
      <w:tr>
        <w:trPr>
          <w:trHeight w:val="206"/>
        </w:trPr>
        <w:tc>
          <w:tcPr>
            <w:tcW w:w="8820" w:type="dxa"/>
            <w:vAlign w:val="bottom"/>
            <w:tcBorders>
              <w:top w:val="single" w:sz="8" w:color="CCEEFF"/>
            </w:tcBorders>
            <w:gridSpan w:val="4"/>
          </w:tcPr>
          <w:p>
            <w:pPr>
              <w:ind w:left="620"/>
              <w:spacing w:after="0"/>
              <w:rPr>
                <w:sz w:val="20"/>
                <w:szCs w:val="20"/>
                <w:color w:val="auto"/>
              </w:rPr>
            </w:pPr>
            <w:r>
              <w:rPr>
                <w:rFonts w:ascii="Arial" w:cs="Arial" w:eastAsia="Arial" w:hAnsi="Arial"/>
                <w:sz w:val="17"/>
                <w:szCs w:val="17"/>
                <w:b w:val="1"/>
                <w:bCs w:val="1"/>
                <w:color w:val="auto"/>
              </w:rPr>
              <w:t>Total Stockholders’ Equity</w:t>
            </w: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93,742</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89,563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4"/>
          </w:tcPr>
          <w:p>
            <w:pPr>
              <w:spacing w:after="0"/>
              <w:rPr>
                <w:sz w:val="20"/>
                <w:szCs w:val="20"/>
                <w:color w:val="auto"/>
              </w:rPr>
            </w:pPr>
            <w:r>
              <w:rPr>
                <w:rFonts w:ascii="Arial" w:cs="Arial" w:eastAsia="Arial" w:hAnsi="Arial"/>
                <w:sz w:val="17"/>
                <w:szCs w:val="17"/>
                <w:b w:val="1"/>
                <w:bCs w:val="1"/>
                <w:color w:val="auto"/>
              </w:rPr>
              <w:t>Total Liabilities &amp; Stockholders’ Equity</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153,539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149,261</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820" w:type="dxa"/>
            <w:vAlign w:val="bottom"/>
            <w:gridSpan w:val="4"/>
          </w:tcPr>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1"/>
        </w:trPr>
        <w:tc>
          <w:tcPr>
            <w:tcW w:w="8820" w:type="dxa"/>
            <w:vAlign w:val="bottom"/>
          </w:tcPr>
          <w:p>
            <w:pPr>
              <w:jc w:val="center"/>
              <w:ind w:left="2416"/>
              <w:spacing w:after="0"/>
              <w:rPr>
                <w:sz w:val="20"/>
                <w:szCs w:val="20"/>
                <w:color w:val="auto"/>
              </w:rPr>
            </w:pPr>
            <w:r>
              <w:rPr>
                <w:rFonts w:ascii="Arial" w:cs="Arial" w:eastAsia="Arial" w:hAnsi="Arial"/>
                <w:sz w:val="17"/>
                <w:szCs w:val="17"/>
                <w:b w:val="1"/>
                <w:bCs w:val="1"/>
                <w:color w:val="auto"/>
              </w:rPr>
              <w:t>OIL-DRI CORPORATION OF AMERICA &amp; SUBSIDIARIES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jc w:val="center"/>
              <w:ind w:left="2416"/>
              <w:spacing w:after="0"/>
              <w:rPr>
                <w:sz w:val="20"/>
                <w:szCs w:val="20"/>
                <w:color w:val="auto"/>
              </w:rPr>
            </w:pPr>
            <w:r>
              <w:rPr>
                <w:rFonts w:ascii="Arial" w:cs="Arial" w:eastAsia="Arial" w:hAnsi="Arial"/>
                <w:sz w:val="17"/>
                <w:szCs w:val="17"/>
                <w:b w:val="1"/>
                <w:bCs w:val="1"/>
                <w:color w:val="auto"/>
                <w:w w:val="87"/>
              </w:rPr>
              <w:t>Condensed Consolidated Statements of Income and Retained Earnings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jc w:val="center"/>
              <w:ind w:left="2416"/>
              <w:spacing w:after="0"/>
              <w:rPr>
                <w:sz w:val="20"/>
                <w:szCs w:val="20"/>
                <w:color w:val="auto"/>
              </w:rPr>
            </w:pPr>
            <w:r>
              <w:rPr>
                <w:rFonts w:ascii="Arial" w:cs="Arial" w:eastAsia="Arial" w:hAnsi="Arial"/>
                <w:sz w:val="17"/>
                <w:szCs w:val="17"/>
                <w:b w:val="1"/>
                <w:bCs w:val="1"/>
                <w:color w:val="auto"/>
                <w:w w:val="87"/>
              </w:rPr>
              <w:t>(in thousands, except for per share amounts)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820" w:type="dxa"/>
            <w:vAlign w:val="bottom"/>
          </w:tcPr>
          <w:p>
            <w:pPr>
              <w:jc w:val="center"/>
              <w:ind w:left="2416"/>
              <w:spacing w:after="0"/>
              <w:rPr>
                <w:sz w:val="20"/>
                <w:szCs w:val="20"/>
                <w:color w:val="auto"/>
              </w:rPr>
            </w:pPr>
            <w:r>
              <w:rPr>
                <w:rFonts w:ascii="Arial" w:cs="Arial" w:eastAsia="Arial" w:hAnsi="Arial"/>
                <w:sz w:val="17"/>
                <w:szCs w:val="17"/>
                <w:b w:val="1"/>
                <w:bCs w:val="1"/>
                <w:color w:val="auto"/>
                <w:w w:val="90"/>
              </w:rPr>
              <w:t>(unaudited)</w:t>
            </w:r>
          </w:p>
        </w:tc>
        <w:tc>
          <w:tcPr>
            <w:tcW w:w="140" w:type="dxa"/>
            <w:vAlign w:val="bottom"/>
          </w:tcPr>
          <w:p>
            <w:pPr>
              <w:spacing w:after="0"/>
              <w:rPr>
                <w:sz w:val="18"/>
                <w:szCs w:val="18"/>
                <w:color w:val="auto"/>
              </w:rPr>
            </w:pPr>
          </w:p>
        </w:tc>
        <w:tc>
          <w:tcPr>
            <w:tcW w:w="2460" w:type="dxa"/>
            <w:vAlign w:val="bottom"/>
            <w:gridSpan w:val="5"/>
            <w:vMerge w:val="restart"/>
          </w:tcPr>
          <w:p>
            <w:pPr>
              <w:jc w:val="right"/>
              <w:ind w:right="320"/>
              <w:spacing w:after="0"/>
              <w:rPr>
                <w:sz w:val="20"/>
                <w:szCs w:val="20"/>
                <w:color w:val="auto"/>
              </w:rPr>
            </w:pPr>
            <w:r>
              <w:rPr>
                <w:rFonts w:ascii="Arial" w:cs="Arial" w:eastAsia="Arial" w:hAnsi="Arial"/>
                <w:sz w:val="17"/>
                <w:szCs w:val="17"/>
                <w:b w:val="1"/>
                <w:bCs w:val="1"/>
                <w:color w:val="auto"/>
                <w:w w:val="93"/>
              </w:rPr>
              <w:t>For The Nine Months Ended</w:t>
            </w:r>
          </w:p>
        </w:tc>
        <w:tc>
          <w:tcPr>
            <w:tcW w:w="0" w:type="dxa"/>
            <w:vAlign w:val="bottom"/>
          </w:tcPr>
          <w:p>
            <w:pPr>
              <w:spacing w:after="0"/>
              <w:rPr>
                <w:sz w:val="1"/>
                <w:szCs w:val="1"/>
                <w:color w:val="auto"/>
              </w:rPr>
            </w:pPr>
          </w:p>
        </w:tc>
      </w:tr>
      <w:tr>
        <w:trPr>
          <w:trHeight w:val="185"/>
        </w:trPr>
        <w:tc>
          <w:tcPr>
            <w:tcW w:w="8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7"/>
                <w:szCs w:val="17"/>
                <w:b w:val="1"/>
                <w:bCs w:val="1"/>
                <w:color w:val="auto"/>
              </w:rPr>
              <w:t>April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164,397</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180,311</w:t>
            </w: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Cost of Sales</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(126,234)</w:t>
            </w:r>
          </w:p>
        </w:tc>
        <w:tc>
          <w:tcPr>
            <w:tcW w:w="3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(142,802)</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38,163</w:t>
            </w: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(27,527)</w:t>
            </w:r>
          </w:p>
        </w:tc>
        <w:tc>
          <w:tcPr>
            <w:tcW w:w="3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(26,711)</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Income from Operations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10,636</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(Expense)</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(1,052)</w:t>
            </w:r>
          </w:p>
        </w:tc>
        <w:tc>
          <w:tcPr>
            <w:tcW w:w="3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(1,453)</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103</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06"/>
        </w:trPr>
        <w:tc>
          <w:tcPr>
            <w:tcW w:w="8820" w:type="dxa"/>
            <w:vAlign w:val="bottom"/>
          </w:tcPr>
          <w:p>
            <w:pPr>
              <w:ind w:left="80"/>
              <w:spacing w:after="0"/>
              <w:rPr>
                <w:sz w:val="20"/>
                <w:szCs w:val="20"/>
                <w:color w:val="auto"/>
              </w:rPr>
            </w:pPr>
            <w:r>
              <w:rPr>
                <w:rFonts w:ascii="Arial" w:cs="Arial" w:eastAsia="Arial" w:hAnsi="Arial"/>
                <w:sz w:val="17"/>
                <w:szCs w:val="17"/>
                <w:color w:val="auto"/>
              </w:rPr>
              <w:t>Other, net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304</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Total Other Income (Expense), Net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(645)</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(1,123)</w:t>
            </w:r>
          </w:p>
        </w:tc>
        <w:tc>
          <w:tcPr>
            <w:tcW w:w="0" w:type="dxa"/>
            <w:vAlign w:val="bottom"/>
          </w:tcPr>
          <w:p>
            <w:pPr>
              <w:spacing w:after="0"/>
              <w:rPr>
                <w:sz w:val="1"/>
                <w:szCs w:val="1"/>
                <w:color w:val="auto"/>
              </w:rPr>
            </w:pPr>
          </w:p>
        </w:tc>
      </w:tr>
      <w:tr>
        <w:trPr>
          <w:trHeight w:val="201"/>
        </w:trPr>
        <w:tc>
          <w:tcPr>
            <w:tcW w:w="88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Before Income Taxes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9,991</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9,675</w:t>
            </w: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Income taxes</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(2,949)</w:t>
            </w:r>
          </w:p>
        </w:tc>
        <w:tc>
          <w:tcPr>
            <w:tcW w:w="3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(2,641)</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7,042</w:t>
            </w: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Retained Earnings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Balance at beginning of year</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111,593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105,966</w:t>
            </w: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declared and treasury stock issuances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(3,056)</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(2,947)</w:t>
            </w:r>
          </w:p>
        </w:tc>
        <w:tc>
          <w:tcPr>
            <w:tcW w:w="0" w:type="dxa"/>
            <w:vAlign w:val="bottom"/>
          </w:tcPr>
          <w:p>
            <w:pPr>
              <w:spacing w:after="0"/>
              <w:rPr>
                <w:sz w:val="1"/>
                <w:szCs w:val="1"/>
                <w:color w:val="auto"/>
              </w:rPr>
            </w:pPr>
          </w:p>
        </w:tc>
      </w:tr>
      <w:tr>
        <w:trPr>
          <w:trHeight w:val="201"/>
        </w:trPr>
        <w:tc>
          <w:tcPr>
            <w:tcW w:w="882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Retained Earnings – April 30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115,579</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110,053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Net Income Per Share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Basic Common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1.06</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b w:val="1"/>
                <w:bCs w:val="1"/>
                <w:color w:val="auto"/>
              </w:rPr>
              <w:t>Basic Class B</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0.80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0.80</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0.96</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0.97</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Average Shares Outstanding</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b w:val="1"/>
                <w:bCs w:val="1"/>
                <w:color w:val="auto"/>
              </w:rPr>
              <w:t>Basic Common</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5,215</w:t>
            </w: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5,136</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820" w:type="dxa"/>
            <w:vAlign w:val="bottom"/>
            <w:tcBorders>
              <w:bottom w:val="single" w:sz="8" w:color="CCEEFF"/>
            </w:tcBorders>
            <w:shd w:val="clear" w:color="auto" w:fill="CCEEFF"/>
          </w:tcPr>
          <w:p>
            <w:pPr>
              <w:ind w:left="80"/>
              <w:spacing w:after="0" w:line="192" w:lineRule="exact"/>
              <w:rPr>
                <w:sz w:val="20"/>
                <w:szCs w:val="20"/>
                <w:color w:val="auto"/>
              </w:rPr>
            </w:pPr>
            <w:r>
              <w:rPr>
                <w:rFonts w:ascii="Arial" w:cs="Arial" w:eastAsia="Arial" w:hAnsi="Arial"/>
                <w:sz w:val="17"/>
                <w:szCs w:val="17"/>
                <w:b w:val="1"/>
                <w:bCs w:val="1"/>
                <w:color w:val="auto"/>
              </w:rPr>
              <w:t>Basic Class B</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1,889</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1,872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820" w:type="dxa"/>
            <w:vAlign w:val="bottom"/>
          </w:tcPr>
          <w:p>
            <w:pPr>
              <w:ind w:left="80"/>
              <w:spacing w:after="0" w:line="192" w:lineRule="exact"/>
              <w:rPr>
                <w:sz w:val="20"/>
                <w:szCs w:val="20"/>
                <w:color w:val="auto"/>
              </w:rPr>
            </w:pPr>
            <w:r>
              <w:rPr>
                <w:rFonts w:ascii="Arial" w:cs="Arial" w:eastAsia="Arial" w:hAnsi="Arial"/>
                <w:sz w:val="17"/>
                <w:szCs w:val="17"/>
                <w:b w:val="1"/>
                <w:bCs w:val="1"/>
                <w:color w:val="auto"/>
              </w:rPr>
              <w:t>Diluted</w:t>
            </w:r>
          </w:p>
        </w:tc>
        <w:tc>
          <w:tcPr>
            <w:tcW w:w="140" w:type="dxa"/>
            <w:vAlign w:val="bottom"/>
          </w:tcPr>
          <w:p>
            <w:pPr>
              <w:spacing w:after="0"/>
              <w:rPr>
                <w:sz w:val="16"/>
                <w:szCs w:val="16"/>
                <w:color w:val="auto"/>
              </w:rPr>
            </w:pPr>
          </w:p>
        </w:tc>
        <w:tc>
          <w:tcPr>
            <w:tcW w:w="1220" w:type="dxa"/>
            <w:vAlign w:val="bottom"/>
            <w:gridSpan w:val="2"/>
          </w:tcPr>
          <w:p>
            <w:pPr>
              <w:jc w:val="right"/>
              <w:ind w:right="220"/>
              <w:spacing w:after="0" w:line="192" w:lineRule="exact"/>
              <w:rPr>
                <w:sz w:val="20"/>
                <w:szCs w:val="20"/>
                <w:color w:val="auto"/>
              </w:rPr>
            </w:pPr>
            <w:r>
              <w:rPr>
                <w:rFonts w:ascii="Arial" w:cs="Arial" w:eastAsia="Arial" w:hAnsi="Arial"/>
                <w:sz w:val="17"/>
                <w:szCs w:val="17"/>
                <w:b w:val="1"/>
                <w:bCs w:val="1"/>
                <w:color w:val="auto"/>
              </w:rPr>
              <w:t>7,285</w:t>
            </w:r>
          </w:p>
        </w:tc>
        <w:tc>
          <w:tcPr>
            <w:tcW w:w="300" w:type="dxa"/>
            <w:vAlign w:val="bottom"/>
          </w:tcPr>
          <w:p>
            <w:pPr>
              <w:spacing w:after="0"/>
              <w:rPr>
                <w:sz w:val="16"/>
                <w:szCs w:val="16"/>
                <w:color w:val="auto"/>
              </w:rPr>
            </w:pPr>
          </w:p>
        </w:tc>
        <w:tc>
          <w:tcPr>
            <w:tcW w:w="940" w:type="dxa"/>
            <w:vAlign w:val="bottom"/>
            <w:gridSpan w:val="2"/>
          </w:tcPr>
          <w:p>
            <w:pPr>
              <w:jc w:val="right"/>
              <w:ind w:right="100"/>
              <w:spacing w:after="0" w:line="192" w:lineRule="exact"/>
              <w:rPr>
                <w:sz w:val="20"/>
                <w:szCs w:val="20"/>
                <w:color w:val="auto"/>
              </w:rPr>
            </w:pPr>
            <w:r>
              <w:rPr>
                <w:rFonts w:ascii="Arial" w:cs="Arial" w:eastAsia="Arial" w:hAnsi="Arial"/>
                <w:sz w:val="17"/>
                <w:szCs w:val="17"/>
                <w:color w:val="auto"/>
              </w:rPr>
              <w:t>7,193</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-1564005</wp:posOffset>
            </wp:positionV>
            <wp:extent cx="7256145" cy="1692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145" cy="16922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7"/>
          <w:szCs w:val="17"/>
          <w:b w:val="1"/>
          <w:bCs w:val="1"/>
          <w:color w:val="auto"/>
        </w:rPr>
        <w:t>OIL-DRI CORPORATION OF AMERICA &amp; SUBSIDIARIES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of dollars)</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Pr>
          <w:p>
            <w:pPr>
              <w:spacing w:after="0"/>
              <w:rPr>
                <w:sz w:val="17"/>
                <w:szCs w:val="17"/>
                <w:color w:val="auto"/>
              </w:rPr>
            </w:pPr>
          </w:p>
        </w:tc>
        <w:tc>
          <w:tcPr>
            <w:tcW w:w="2600" w:type="dxa"/>
            <w:vAlign w:val="bottom"/>
            <w:gridSpan w:val="6"/>
          </w:tcPr>
          <w:p>
            <w:pPr>
              <w:jc w:val="right"/>
              <w:ind w:right="320"/>
              <w:spacing w:after="0"/>
              <w:rPr>
                <w:sz w:val="20"/>
                <w:szCs w:val="20"/>
                <w:color w:val="auto"/>
              </w:rPr>
            </w:pPr>
            <w:r>
              <w:rPr>
                <w:rFonts w:ascii="Arial" w:cs="Arial" w:eastAsia="Arial" w:hAnsi="Arial"/>
                <w:sz w:val="17"/>
                <w:szCs w:val="17"/>
                <w:b w:val="1"/>
                <w:bCs w:val="1"/>
                <w:color w:val="auto"/>
              </w:rPr>
              <w:t>For The Nine Months Ended</w:t>
            </w:r>
          </w:p>
        </w:tc>
      </w:tr>
      <w:tr>
        <w:trPr>
          <w:trHeight w:val="223"/>
        </w:trPr>
        <w:tc>
          <w:tcPr>
            <w:tcW w:w="88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7"/>
                <w:szCs w:val="17"/>
                <w:b w:val="1"/>
                <w:bCs w:val="1"/>
                <w:color w:val="auto"/>
              </w:rPr>
              <w:t>April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88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2010</w:t>
            </w:r>
          </w:p>
        </w:tc>
        <w:tc>
          <w:tcPr>
            <w:tcW w:w="4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7"/>
                <w:szCs w:val="17"/>
                <w:color w:val="auto"/>
              </w:rPr>
            </w:pPr>
          </w:p>
        </w:tc>
      </w:tr>
      <w:tr>
        <w:trPr>
          <w:trHeight w:val="201"/>
        </w:trPr>
        <w:tc>
          <w:tcPr>
            <w:tcW w:w="8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740" w:type="dxa"/>
            <w:vAlign w:val="bottom"/>
            <w:shd w:val="clear" w:color="auto" w:fill="CCEEFF"/>
          </w:tcPr>
          <w:p>
            <w:pPr>
              <w:jc w:val="right"/>
              <w:ind w:right="581"/>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w w:val="89"/>
              </w:rPr>
              <w:t>7,042</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7,034</w:t>
            </w:r>
          </w:p>
        </w:tc>
      </w:tr>
      <w:tr>
        <w:trPr>
          <w:trHeight w:val="201"/>
        </w:trPr>
        <w:tc>
          <w:tcPr>
            <w:tcW w:w="8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color w:val="auto"/>
              </w:rPr>
              <w:t>Unrealized gain (loss) on marketable securities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r>
      <w:tr>
        <w:trPr>
          <w:trHeight w:val="201"/>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Pension and postretirement benefits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145</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r>
      <w:tr>
        <w:trPr>
          <w:trHeight w:val="206"/>
        </w:trPr>
        <w:tc>
          <w:tcPr>
            <w:tcW w:w="8820" w:type="dxa"/>
            <w:vAlign w:val="bottom"/>
          </w:tcPr>
          <w:p>
            <w:pPr>
              <w:ind w:left="80"/>
              <w:spacing w:after="0"/>
              <w:rPr>
                <w:sz w:val="20"/>
                <w:szCs w:val="20"/>
                <w:color w:val="auto"/>
              </w:rPr>
            </w:pPr>
            <w:r>
              <w:rPr>
                <w:rFonts w:ascii="Arial" w:cs="Arial" w:eastAsia="Arial" w:hAnsi="Arial"/>
                <w:sz w:val="17"/>
                <w:szCs w:val="17"/>
                <w:color w:val="auto"/>
              </w:rPr>
              <w:t>Cumulative translation adjustment</w:t>
            </w:r>
          </w:p>
        </w:tc>
        <w:tc>
          <w:tcPr>
            <w:tcW w:w="7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274</w:t>
            </w:r>
          </w:p>
        </w:tc>
        <w:tc>
          <w:tcPr>
            <w:tcW w:w="3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(770)</w:t>
            </w:r>
          </w:p>
        </w:tc>
      </w:tr>
      <w:tr>
        <w:trPr>
          <w:trHeight w:val="201"/>
        </w:trPr>
        <w:tc>
          <w:tcPr>
            <w:tcW w:w="88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Total Comprehensive Income</w:t>
            </w:r>
          </w:p>
        </w:tc>
        <w:tc>
          <w:tcPr>
            <w:tcW w:w="740" w:type="dxa"/>
            <w:vAlign w:val="bottom"/>
          </w:tcPr>
          <w:p>
            <w:pPr>
              <w:jc w:val="right"/>
              <w:ind w:right="581"/>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89"/>
              </w:rPr>
              <w:t>7,485</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6,273</w:t>
            </w:r>
          </w:p>
        </w:tc>
      </w:tr>
      <w:tr>
        <w:trPr>
          <w:trHeight w:val="20"/>
        </w:trPr>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-287020</wp:posOffset>
            </wp:positionV>
            <wp:extent cx="7256145" cy="287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145" cy="28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1"/>
        </w:trPr>
        <w:tc>
          <w:tcPr>
            <w:tcW w:w="3120" w:type="dxa"/>
            <w:vAlign w:val="bottom"/>
          </w:tcPr>
          <w:p>
            <w:pPr>
              <w:spacing w:after="0"/>
              <w:rPr>
                <w:sz w:val="17"/>
                <w:szCs w:val="17"/>
                <w:color w:val="auto"/>
              </w:rPr>
            </w:pPr>
          </w:p>
        </w:tc>
        <w:tc>
          <w:tcPr>
            <w:tcW w:w="5820" w:type="dxa"/>
            <w:vAlign w:val="bottom"/>
            <w:gridSpan w:val="2"/>
          </w:tcPr>
          <w:p>
            <w:pPr>
              <w:jc w:val="center"/>
              <w:ind w:right="740"/>
              <w:spacing w:after="0"/>
              <w:rPr>
                <w:sz w:val="20"/>
                <w:szCs w:val="20"/>
                <w:color w:val="auto"/>
              </w:rPr>
            </w:pPr>
            <w:r>
              <w:rPr>
                <w:rFonts w:ascii="Arial" w:cs="Arial" w:eastAsia="Arial" w:hAnsi="Arial"/>
                <w:sz w:val="17"/>
                <w:szCs w:val="17"/>
                <w:b w:val="1"/>
                <w:bCs w:val="1"/>
                <w:color w:val="auto"/>
              </w:rPr>
              <w:t>OIL-DRI CORPORATION OF AMERICA &amp; SUBSIDIARIES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5820" w:type="dxa"/>
            <w:vAlign w:val="bottom"/>
            <w:gridSpan w:val="2"/>
          </w:tcPr>
          <w:p>
            <w:pPr>
              <w:jc w:val="center"/>
              <w:ind w:right="740"/>
              <w:spacing w:after="0"/>
              <w:rPr>
                <w:sz w:val="20"/>
                <w:szCs w:val="20"/>
                <w:color w:val="auto"/>
              </w:rPr>
            </w:pPr>
            <w:r>
              <w:rPr>
                <w:rFonts w:ascii="Arial" w:cs="Arial" w:eastAsia="Arial" w:hAnsi="Arial"/>
                <w:sz w:val="17"/>
                <w:szCs w:val="17"/>
                <w:b w:val="1"/>
                <w:bCs w:val="1"/>
                <w:color w:val="auto"/>
                <w:w w:val="87"/>
              </w:rPr>
              <w:t>Condensed Consolidated Statements of Income and Retained Earnings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5820" w:type="dxa"/>
            <w:vAlign w:val="bottom"/>
            <w:gridSpan w:val="2"/>
          </w:tcPr>
          <w:p>
            <w:pPr>
              <w:jc w:val="center"/>
              <w:ind w:right="740"/>
              <w:spacing w:after="0"/>
              <w:rPr>
                <w:sz w:val="20"/>
                <w:szCs w:val="20"/>
                <w:color w:val="auto"/>
              </w:rPr>
            </w:pPr>
            <w:r>
              <w:rPr>
                <w:rFonts w:ascii="Arial" w:cs="Arial" w:eastAsia="Arial" w:hAnsi="Arial"/>
                <w:sz w:val="17"/>
                <w:szCs w:val="17"/>
                <w:b w:val="1"/>
                <w:bCs w:val="1"/>
                <w:color w:val="auto"/>
                <w:w w:val="87"/>
              </w:rPr>
              <w:t>(in thousands, except for per share amounts)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120" w:type="dxa"/>
            <w:vAlign w:val="bottom"/>
          </w:tcPr>
          <w:p>
            <w:pPr>
              <w:spacing w:after="0"/>
              <w:rPr>
                <w:sz w:val="18"/>
                <w:szCs w:val="18"/>
                <w:color w:val="auto"/>
              </w:rPr>
            </w:pPr>
          </w:p>
        </w:tc>
        <w:tc>
          <w:tcPr>
            <w:tcW w:w="5820" w:type="dxa"/>
            <w:vAlign w:val="bottom"/>
            <w:gridSpan w:val="2"/>
          </w:tcPr>
          <w:p>
            <w:pPr>
              <w:jc w:val="center"/>
              <w:ind w:right="740"/>
              <w:spacing w:after="0"/>
              <w:rPr>
                <w:sz w:val="20"/>
                <w:szCs w:val="20"/>
                <w:color w:val="auto"/>
              </w:rPr>
            </w:pPr>
            <w:r>
              <w:rPr>
                <w:rFonts w:ascii="Arial" w:cs="Arial" w:eastAsia="Arial" w:hAnsi="Arial"/>
                <w:sz w:val="17"/>
                <w:szCs w:val="17"/>
                <w:b w:val="1"/>
                <w:bCs w:val="1"/>
                <w:color w:val="auto"/>
                <w:w w:val="90"/>
              </w:rPr>
              <w:t>(unaudited)</w:t>
            </w:r>
          </w:p>
        </w:tc>
        <w:tc>
          <w:tcPr>
            <w:tcW w:w="2480" w:type="dxa"/>
            <w:vAlign w:val="bottom"/>
            <w:gridSpan w:val="5"/>
            <w:vMerge w:val="restart"/>
          </w:tcPr>
          <w:p>
            <w:pPr>
              <w:jc w:val="right"/>
              <w:ind w:right="280"/>
              <w:spacing w:after="0"/>
              <w:rPr>
                <w:sz w:val="20"/>
                <w:szCs w:val="20"/>
                <w:color w:val="auto"/>
              </w:rPr>
            </w:pPr>
            <w:r>
              <w:rPr>
                <w:rFonts w:ascii="Arial" w:cs="Arial" w:eastAsia="Arial" w:hAnsi="Arial"/>
                <w:sz w:val="17"/>
                <w:szCs w:val="17"/>
                <w:b w:val="1"/>
                <w:bCs w:val="1"/>
                <w:color w:val="auto"/>
                <w:w w:val="92"/>
              </w:rPr>
              <w:t>For The Three Months Ended</w:t>
            </w: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7"/>
                <w:szCs w:val="17"/>
                <w:b w:val="1"/>
                <w:bCs w:val="1"/>
                <w:color w:val="auto"/>
              </w:rPr>
              <w:t>April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Sales</w:t>
            </w:r>
          </w:p>
        </w:tc>
        <w:tc>
          <w:tcPr>
            <w:tcW w:w="5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56,259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58,053</w:t>
            </w: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7"/>
                <w:szCs w:val="17"/>
                <w:color w:val="auto"/>
              </w:rPr>
              <w:t>Cost of Sales</w:t>
            </w: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(43,089)</w:t>
            </w:r>
          </w:p>
        </w:tc>
        <w:tc>
          <w:tcPr>
            <w:tcW w:w="3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(44,833)</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57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13,170</w:t>
            </w: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7"/>
                <w:szCs w:val="17"/>
                <w:color w:val="auto"/>
                <w:w w:val="89"/>
              </w:rPr>
              <w:t>Selling, General and Administrative Expenses</w:t>
            </w: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(9,369)</w:t>
            </w:r>
          </w:p>
        </w:tc>
        <w:tc>
          <w:tcPr>
            <w:tcW w:w="3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(9,631)</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Income from Operations</w:t>
            </w:r>
          </w:p>
        </w:tc>
        <w:tc>
          <w:tcPr>
            <w:tcW w:w="5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3,801</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(Expense)</w:t>
            </w:r>
          </w:p>
        </w:tc>
        <w:tc>
          <w:tcPr>
            <w:tcW w:w="5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ind w:left="80"/>
              <w:spacing w:after="0"/>
              <w:rPr>
                <w:sz w:val="20"/>
                <w:szCs w:val="20"/>
                <w:color w:val="auto"/>
              </w:rPr>
            </w:pPr>
            <w:r>
              <w:rPr>
                <w:rFonts w:ascii="Arial" w:cs="Arial" w:eastAsia="Arial" w:hAnsi="Arial"/>
                <w:sz w:val="17"/>
                <w:szCs w:val="17"/>
                <w:color w:val="auto"/>
              </w:rPr>
              <w:t>Interest expense</w:t>
            </w: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(337)</w:t>
            </w:r>
          </w:p>
        </w:tc>
        <w:tc>
          <w:tcPr>
            <w:tcW w:w="3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Interest income</w:t>
            </w:r>
          </w:p>
        </w:tc>
        <w:tc>
          <w:tcPr>
            <w:tcW w:w="5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6"/>
        </w:trPr>
        <w:tc>
          <w:tcPr>
            <w:tcW w:w="3120" w:type="dxa"/>
            <w:vAlign w:val="bottom"/>
          </w:tcPr>
          <w:p>
            <w:pPr>
              <w:ind w:left="80"/>
              <w:spacing w:after="0"/>
              <w:rPr>
                <w:sz w:val="20"/>
                <w:szCs w:val="20"/>
                <w:color w:val="auto"/>
              </w:rPr>
            </w:pPr>
            <w:r>
              <w:rPr>
                <w:rFonts w:ascii="Arial" w:cs="Arial" w:eastAsia="Arial" w:hAnsi="Arial"/>
                <w:sz w:val="17"/>
                <w:szCs w:val="17"/>
                <w:color w:val="auto"/>
              </w:rPr>
              <w:t>Other, net</w:t>
            </w:r>
          </w:p>
        </w:tc>
        <w:tc>
          <w:tcPr>
            <w:tcW w:w="5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222</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w w:val="89"/>
              </w:rPr>
              <w:t>Total Other Income (Expense), Net</w:t>
            </w:r>
          </w:p>
        </w:tc>
        <w:tc>
          <w:tcPr>
            <w:tcW w:w="5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(86)</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01"/>
        </w:trPr>
        <w:tc>
          <w:tcPr>
            <w:tcW w:w="3120" w:type="dxa"/>
            <w:vAlign w:val="bottom"/>
            <w:tcBorders>
              <w:top w:val="single" w:sz="8" w:color="CCEEFF"/>
            </w:tcBorders>
          </w:tcPr>
          <w:p>
            <w:pPr>
              <w:spacing w:after="0"/>
              <w:rPr>
                <w:sz w:val="17"/>
                <w:szCs w:val="17"/>
                <w:color w:val="auto"/>
              </w:rPr>
            </w:pPr>
          </w:p>
        </w:tc>
        <w:tc>
          <w:tcPr>
            <w:tcW w:w="57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Before Income Taxes</w:t>
            </w:r>
          </w:p>
        </w:tc>
        <w:tc>
          <w:tcPr>
            <w:tcW w:w="5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3,715</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3,420</w:t>
            </w:r>
          </w:p>
        </w:tc>
        <w:tc>
          <w:tcPr>
            <w:tcW w:w="0" w:type="dxa"/>
            <w:vAlign w:val="bottom"/>
          </w:tcPr>
          <w:p>
            <w:pPr>
              <w:spacing w:after="0"/>
              <w:rPr>
                <w:sz w:val="1"/>
                <w:szCs w:val="1"/>
                <w:color w:val="auto"/>
              </w:rPr>
            </w:pPr>
          </w:p>
        </w:tc>
      </w:tr>
      <w:tr>
        <w:trPr>
          <w:trHeight w:val="201"/>
        </w:trPr>
        <w:tc>
          <w:tcPr>
            <w:tcW w:w="3120" w:type="dxa"/>
            <w:vAlign w:val="bottom"/>
          </w:tcPr>
          <w:p>
            <w:pPr>
              <w:spacing w:after="0"/>
              <w:rPr>
                <w:sz w:val="20"/>
                <w:szCs w:val="20"/>
                <w:color w:val="auto"/>
              </w:rPr>
            </w:pPr>
            <w:r>
              <w:rPr>
                <w:rFonts w:ascii="Arial" w:cs="Arial" w:eastAsia="Arial" w:hAnsi="Arial"/>
                <w:sz w:val="17"/>
                <w:szCs w:val="17"/>
                <w:color w:val="auto"/>
              </w:rPr>
              <w:t>Income taxes</w:t>
            </w: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(1,129)</w:t>
            </w:r>
          </w:p>
        </w:tc>
        <w:tc>
          <w:tcPr>
            <w:tcW w:w="3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(1,004)</w:t>
            </w: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5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2,586</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2,416</w:t>
            </w: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Per Share</w:t>
            </w:r>
          </w:p>
        </w:tc>
        <w:tc>
          <w:tcPr>
            <w:tcW w:w="5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ind w:left="80"/>
              <w:spacing w:after="0"/>
              <w:rPr>
                <w:sz w:val="20"/>
                <w:szCs w:val="20"/>
                <w:color w:val="auto"/>
              </w:rPr>
            </w:pPr>
            <w:r>
              <w:rPr>
                <w:rFonts w:ascii="Arial" w:cs="Arial" w:eastAsia="Arial" w:hAnsi="Arial"/>
                <w:sz w:val="17"/>
                <w:szCs w:val="17"/>
                <w:b w:val="1"/>
                <w:bCs w:val="1"/>
                <w:color w:val="auto"/>
              </w:rPr>
              <w:t>Basic Common</w:t>
            </w:r>
          </w:p>
        </w:tc>
        <w:tc>
          <w:tcPr>
            <w:tcW w:w="58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0.39</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Basic Class B</w:t>
            </w:r>
          </w:p>
        </w:tc>
        <w:tc>
          <w:tcPr>
            <w:tcW w:w="5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0.29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0.27</w:t>
            </w:r>
          </w:p>
        </w:tc>
        <w:tc>
          <w:tcPr>
            <w:tcW w:w="0" w:type="dxa"/>
            <w:vAlign w:val="bottom"/>
          </w:tcPr>
          <w:p>
            <w:pPr>
              <w:spacing w:after="0"/>
              <w:rPr>
                <w:sz w:val="1"/>
                <w:szCs w:val="1"/>
                <w:color w:val="auto"/>
              </w:rPr>
            </w:pPr>
          </w:p>
        </w:tc>
      </w:tr>
      <w:tr>
        <w:trPr>
          <w:trHeight w:val="201"/>
        </w:trPr>
        <w:tc>
          <w:tcPr>
            <w:tcW w:w="3120" w:type="dxa"/>
            <w:vAlign w:val="bottom"/>
          </w:tcPr>
          <w:p>
            <w:pPr>
              <w:ind w:left="80"/>
              <w:spacing w:after="0"/>
              <w:rPr>
                <w:sz w:val="20"/>
                <w:szCs w:val="20"/>
                <w:color w:val="auto"/>
              </w:rPr>
            </w:pPr>
            <w:r>
              <w:rPr>
                <w:rFonts w:ascii="Arial" w:cs="Arial" w:eastAsia="Arial" w:hAnsi="Arial"/>
                <w:sz w:val="17"/>
                <w:szCs w:val="17"/>
                <w:b w:val="1"/>
                <w:bCs w:val="1"/>
                <w:color w:val="auto"/>
              </w:rPr>
              <w:t>Diluted</w:t>
            </w:r>
          </w:p>
        </w:tc>
        <w:tc>
          <w:tcPr>
            <w:tcW w:w="58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0.35</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0.33</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20"/>
                <w:szCs w:val="20"/>
                <w:color w:val="auto"/>
              </w:rPr>
            </w:pPr>
            <w:r>
              <w:rPr>
                <w:rFonts w:ascii="Arial" w:cs="Arial" w:eastAsia="Arial" w:hAnsi="Arial"/>
                <w:sz w:val="17"/>
                <w:szCs w:val="17"/>
                <w:b w:val="1"/>
                <w:bCs w:val="1"/>
                <w:color w:val="auto"/>
              </w:rPr>
              <w:t>Average Shares Outstanding</w:t>
            </w: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b w:val="1"/>
                <w:bCs w:val="1"/>
                <w:color w:val="auto"/>
              </w:rPr>
              <w:t>Basic Common</w:t>
            </w:r>
          </w:p>
        </w:tc>
        <w:tc>
          <w:tcPr>
            <w:tcW w:w="5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5,245</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20" w:type="dxa"/>
            <w:vAlign w:val="bottom"/>
          </w:tcPr>
          <w:p>
            <w:pPr>
              <w:ind w:left="80"/>
              <w:spacing w:after="0" w:line="192" w:lineRule="exact"/>
              <w:rPr>
                <w:sz w:val="20"/>
                <w:szCs w:val="20"/>
                <w:color w:val="auto"/>
              </w:rPr>
            </w:pPr>
            <w:r>
              <w:rPr>
                <w:rFonts w:ascii="Arial" w:cs="Arial" w:eastAsia="Arial" w:hAnsi="Arial"/>
                <w:sz w:val="17"/>
                <w:szCs w:val="17"/>
                <w:b w:val="1"/>
                <w:bCs w:val="1"/>
                <w:color w:val="auto"/>
              </w:rPr>
              <w:t>Basic Class B</w:t>
            </w:r>
          </w:p>
        </w:tc>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20"/>
              <w:spacing w:after="0" w:line="192" w:lineRule="exact"/>
              <w:rPr>
                <w:sz w:val="20"/>
                <w:szCs w:val="20"/>
                <w:color w:val="auto"/>
              </w:rPr>
            </w:pPr>
            <w:r>
              <w:rPr>
                <w:rFonts w:ascii="Arial" w:cs="Arial" w:eastAsia="Arial" w:hAnsi="Arial"/>
                <w:sz w:val="17"/>
                <w:szCs w:val="17"/>
                <w:b w:val="1"/>
                <w:bCs w:val="1"/>
                <w:color w:val="auto"/>
              </w:rPr>
              <w:t>1,897</w:t>
            </w:r>
          </w:p>
        </w:tc>
        <w:tc>
          <w:tcPr>
            <w:tcW w:w="300" w:type="dxa"/>
            <w:vAlign w:val="bottom"/>
          </w:tcPr>
          <w:p>
            <w:pPr>
              <w:spacing w:after="0"/>
              <w:rPr>
                <w:sz w:val="16"/>
                <w:szCs w:val="16"/>
                <w:color w:val="auto"/>
              </w:rPr>
            </w:pPr>
          </w:p>
        </w:tc>
        <w:tc>
          <w:tcPr>
            <w:tcW w:w="940" w:type="dxa"/>
            <w:vAlign w:val="bottom"/>
            <w:gridSpan w:val="2"/>
          </w:tcPr>
          <w:p>
            <w:pPr>
              <w:jc w:val="right"/>
              <w:ind w:right="100"/>
              <w:spacing w:after="0" w:line="192" w:lineRule="exact"/>
              <w:rPr>
                <w:sz w:val="20"/>
                <w:szCs w:val="20"/>
                <w:color w:val="auto"/>
              </w:rPr>
            </w:pPr>
            <w:r>
              <w:rPr>
                <w:rFonts w:ascii="Arial" w:cs="Arial" w:eastAsia="Arial" w:hAnsi="Arial"/>
                <w:sz w:val="17"/>
                <w:szCs w:val="17"/>
                <w:color w:val="auto"/>
              </w:rPr>
              <w:t>1,880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120" w:type="dxa"/>
            <w:vAlign w:val="bottom"/>
            <w:tcBorders>
              <w:bottom w:val="single" w:sz="8" w:color="CCEEFF"/>
            </w:tcBorders>
            <w:shd w:val="clear" w:color="auto" w:fill="CCEEFF"/>
          </w:tcPr>
          <w:p>
            <w:pPr>
              <w:ind w:left="80"/>
              <w:spacing w:after="0" w:line="192" w:lineRule="exact"/>
              <w:rPr>
                <w:sz w:val="20"/>
                <w:szCs w:val="20"/>
                <w:color w:val="auto"/>
              </w:rPr>
            </w:pPr>
            <w:r>
              <w:rPr>
                <w:rFonts w:ascii="Arial" w:cs="Arial" w:eastAsia="Arial" w:hAnsi="Arial"/>
                <w:sz w:val="17"/>
                <w:szCs w:val="17"/>
                <w:b w:val="1"/>
                <w:bCs w:val="1"/>
                <w:color w:val="auto"/>
              </w:rPr>
              <w:t>Diluted</w:t>
            </w:r>
          </w:p>
        </w:tc>
        <w:tc>
          <w:tcPr>
            <w:tcW w:w="5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7,309</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7,187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166" w:right="239" w:bottom="1440" w:gutter="0" w:footer="0" w:header="0"/>
        </w:sectPr>
      </w:pPr>
    </w:p>
    <w:bookmarkStart w:id="7" w:name="page8"/>
    <w:bookmarkEnd w:id="7"/>
    <w:p>
      <w:pPr>
        <w:jc w:val="center"/>
        <w:ind w:right="100"/>
        <w:spacing w:after="0"/>
        <w:rPr>
          <w:sz w:val="20"/>
          <w:szCs w:val="20"/>
          <w:color w:val="auto"/>
        </w:rPr>
      </w:pPr>
      <w:r>
        <w:rPr>
          <w:rFonts w:ascii="Arial" w:cs="Arial" w:eastAsia="Arial" w:hAnsi="Arial"/>
          <w:sz w:val="17"/>
          <w:szCs w:val="17"/>
          <w:b w:val="1"/>
          <w:bCs w:val="1"/>
          <w:color w:val="auto"/>
        </w:rPr>
        <w:t>OIL-DRI CORPORATION OF AMERICA &amp; SUBSIDIARIES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of dollars)</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Pr>
          <w:p>
            <w:pPr>
              <w:spacing w:after="0"/>
              <w:rPr>
                <w:sz w:val="17"/>
                <w:szCs w:val="17"/>
                <w:color w:val="auto"/>
              </w:rPr>
            </w:pPr>
          </w:p>
        </w:tc>
        <w:tc>
          <w:tcPr>
            <w:tcW w:w="2600" w:type="dxa"/>
            <w:vAlign w:val="bottom"/>
            <w:gridSpan w:val="6"/>
          </w:tcPr>
          <w:p>
            <w:pPr>
              <w:ind w:left="160"/>
              <w:spacing w:after="0"/>
              <w:rPr>
                <w:sz w:val="20"/>
                <w:szCs w:val="20"/>
                <w:color w:val="auto"/>
              </w:rPr>
            </w:pPr>
            <w:r>
              <w:rPr>
                <w:rFonts w:ascii="Arial" w:cs="Arial" w:eastAsia="Arial" w:hAnsi="Arial"/>
                <w:sz w:val="17"/>
                <w:szCs w:val="17"/>
                <w:b w:val="1"/>
                <w:bCs w:val="1"/>
                <w:color w:val="auto"/>
              </w:rPr>
              <w:t>For The Three Months Ended</w:t>
            </w:r>
          </w:p>
        </w:tc>
      </w:tr>
      <w:tr>
        <w:trPr>
          <w:trHeight w:val="223"/>
        </w:trPr>
        <w:tc>
          <w:tcPr>
            <w:tcW w:w="88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7"/>
                <w:szCs w:val="17"/>
                <w:b w:val="1"/>
                <w:bCs w:val="1"/>
                <w:color w:val="auto"/>
              </w:rPr>
              <w:t>April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88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2010</w:t>
            </w:r>
          </w:p>
        </w:tc>
        <w:tc>
          <w:tcPr>
            <w:tcW w:w="4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7"/>
                <w:szCs w:val="17"/>
                <w:color w:val="auto"/>
              </w:rPr>
            </w:pPr>
          </w:p>
        </w:tc>
      </w:tr>
      <w:tr>
        <w:trPr>
          <w:trHeight w:val="201"/>
        </w:trPr>
        <w:tc>
          <w:tcPr>
            <w:tcW w:w="8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740" w:type="dxa"/>
            <w:vAlign w:val="bottom"/>
            <w:shd w:val="clear" w:color="auto" w:fill="CCEEFF"/>
          </w:tcPr>
          <w:p>
            <w:pPr>
              <w:jc w:val="right"/>
              <w:ind w:right="581"/>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w w:val="89"/>
              </w:rPr>
              <w:t>2,586</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2,416</w:t>
            </w:r>
          </w:p>
        </w:tc>
      </w:tr>
      <w:tr>
        <w:trPr>
          <w:trHeight w:val="201"/>
        </w:trPr>
        <w:tc>
          <w:tcPr>
            <w:tcW w:w="8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color w:val="auto"/>
              </w:rPr>
              <w:t>Unrealized gain on marketable securities</w:t>
            </w:r>
          </w:p>
        </w:tc>
        <w:tc>
          <w:tcPr>
            <w:tcW w:w="7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9</w:t>
            </w: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r>
      <w:tr>
        <w:trPr>
          <w:trHeight w:val="201"/>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Pension and postretirement benefits</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r>
      <w:tr>
        <w:trPr>
          <w:trHeight w:val="206"/>
        </w:trPr>
        <w:tc>
          <w:tcPr>
            <w:tcW w:w="8820" w:type="dxa"/>
            <w:vAlign w:val="bottom"/>
          </w:tcPr>
          <w:p>
            <w:pPr>
              <w:ind w:left="80"/>
              <w:spacing w:after="0"/>
              <w:rPr>
                <w:sz w:val="20"/>
                <w:szCs w:val="20"/>
                <w:color w:val="auto"/>
              </w:rPr>
            </w:pPr>
            <w:r>
              <w:rPr>
                <w:rFonts w:ascii="Arial" w:cs="Arial" w:eastAsia="Arial" w:hAnsi="Arial"/>
                <w:sz w:val="17"/>
                <w:szCs w:val="17"/>
                <w:color w:val="auto"/>
              </w:rPr>
              <w:t>Cumulative translation adjustment</w:t>
            </w:r>
          </w:p>
        </w:tc>
        <w:tc>
          <w:tcPr>
            <w:tcW w:w="7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237</w:t>
            </w: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107</w:t>
            </w:r>
          </w:p>
        </w:tc>
      </w:tr>
      <w:tr>
        <w:trPr>
          <w:trHeight w:val="201"/>
        </w:trPr>
        <w:tc>
          <w:tcPr>
            <w:tcW w:w="88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Total Comprehensive Income</w:t>
            </w:r>
          </w:p>
        </w:tc>
        <w:tc>
          <w:tcPr>
            <w:tcW w:w="740" w:type="dxa"/>
            <w:vAlign w:val="bottom"/>
          </w:tcPr>
          <w:p>
            <w:pPr>
              <w:jc w:val="right"/>
              <w:ind w:right="581"/>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89"/>
              </w:rPr>
              <w:t>2,880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2,546</w:t>
            </w:r>
          </w:p>
        </w:tc>
      </w:tr>
      <w:tr>
        <w:trPr>
          <w:trHeight w:val="20"/>
        </w:trPr>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-287020</wp:posOffset>
            </wp:positionV>
            <wp:extent cx="7256145" cy="287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145" cy="28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 condensed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1"/>
        </w:trPr>
        <w:tc>
          <w:tcPr>
            <w:tcW w:w="8820" w:type="dxa"/>
            <w:vAlign w:val="bottom"/>
            <w:gridSpan w:val="3"/>
          </w:tcPr>
          <w:p>
            <w:pPr>
              <w:jc w:val="center"/>
              <w:ind w:left="2416"/>
              <w:spacing w:after="0"/>
              <w:rPr>
                <w:sz w:val="20"/>
                <w:szCs w:val="20"/>
                <w:color w:val="auto"/>
              </w:rPr>
            </w:pPr>
            <w:r>
              <w:rPr>
                <w:rFonts w:ascii="Arial" w:cs="Arial" w:eastAsia="Arial" w:hAnsi="Arial"/>
                <w:sz w:val="17"/>
                <w:szCs w:val="17"/>
                <w:b w:val="1"/>
                <w:bCs w:val="1"/>
                <w:color w:val="auto"/>
              </w:rPr>
              <w:t>OIL-DRI CORPORATION OF AMERICA &amp; SUBSIDIARIES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Pr>
          <w:p>
            <w:pPr>
              <w:jc w:val="center"/>
              <w:ind w:right="1116"/>
              <w:spacing w:after="0"/>
              <w:rPr>
                <w:sz w:val="20"/>
                <w:szCs w:val="20"/>
                <w:color w:val="auto"/>
              </w:rPr>
            </w:pPr>
            <w:r>
              <w:rPr>
                <w:rFonts w:ascii="Arial" w:cs="Arial" w:eastAsia="Arial" w:hAnsi="Arial"/>
                <w:sz w:val="17"/>
                <w:szCs w:val="17"/>
                <w:b w:val="1"/>
                <w:bCs w:val="1"/>
                <w:color w:val="auto"/>
                <w:w w:val="86"/>
              </w:rPr>
              <w:t>Condensed Consolidated Statements of Cash Flows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Pr>
          <w:p>
            <w:pPr>
              <w:jc w:val="center"/>
              <w:ind w:right="1136"/>
              <w:spacing w:after="0"/>
              <w:rPr>
                <w:sz w:val="20"/>
                <w:szCs w:val="20"/>
                <w:color w:val="auto"/>
              </w:rPr>
            </w:pPr>
            <w:r>
              <w:rPr>
                <w:rFonts w:ascii="Arial" w:cs="Arial" w:eastAsia="Arial" w:hAnsi="Arial"/>
                <w:sz w:val="17"/>
                <w:szCs w:val="17"/>
                <w:b w:val="1"/>
                <w:bCs w:val="1"/>
                <w:color w:val="auto"/>
                <w:w w:val="87"/>
              </w:rPr>
              <w:t>(in thousands of dollars)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20" w:type="dxa"/>
            <w:vAlign w:val="bottom"/>
          </w:tcPr>
          <w:p>
            <w:pPr>
              <w:jc w:val="center"/>
              <w:ind w:right="1116"/>
              <w:spacing w:after="0"/>
              <w:rPr>
                <w:sz w:val="20"/>
                <w:szCs w:val="20"/>
                <w:color w:val="auto"/>
              </w:rPr>
            </w:pPr>
            <w:r>
              <w:rPr>
                <w:rFonts w:ascii="Arial" w:cs="Arial" w:eastAsia="Arial" w:hAnsi="Arial"/>
                <w:sz w:val="17"/>
                <w:szCs w:val="17"/>
                <w:b w:val="1"/>
                <w:bCs w:val="1"/>
                <w:color w:val="auto"/>
                <w:w w:val="90"/>
              </w:rPr>
              <w:t>(unaudited)</w:t>
            </w:r>
          </w:p>
        </w:tc>
        <w:tc>
          <w:tcPr>
            <w:tcW w:w="2600" w:type="dxa"/>
            <w:vAlign w:val="bottom"/>
            <w:gridSpan w:val="6"/>
            <w:vMerge w:val="restart"/>
          </w:tcPr>
          <w:p>
            <w:pPr>
              <w:spacing w:after="0"/>
              <w:rPr>
                <w:sz w:val="20"/>
                <w:szCs w:val="20"/>
                <w:color w:val="auto"/>
              </w:rPr>
            </w:pPr>
            <w:r>
              <w:rPr>
                <w:rFonts w:ascii="Arial" w:cs="Arial" w:eastAsia="Arial" w:hAnsi="Arial"/>
                <w:sz w:val="17"/>
                <w:szCs w:val="17"/>
                <w:b w:val="1"/>
                <w:bCs w:val="1"/>
                <w:color w:val="auto"/>
                <w:w w:val="95"/>
              </w:rPr>
              <w:t>For The Nine Months Ended April</w:t>
            </w: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6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30,</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2010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3"/>
          </w:tcPr>
          <w:p>
            <w:pPr>
              <w:spacing w:after="0"/>
              <w:rPr>
                <w:sz w:val="20"/>
                <w:szCs w:val="20"/>
                <w:color w:val="auto"/>
              </w:rPr>
            </w:pPr>
            <w:r>
              <w:rPr>
                <w:rFonts w:ascii="Arial" w:cs="Arial" w:eastAsia="Arial" w:hAnsi="Arial"/>
                <w:sz w:val="17"/>
                <w:szCs w:val="17"/>
                <w:b w:val="1"/>
                <w:bCs w:val="1"/>
                <w:color w:val="auto"/>
              </w:rPr>
              <w:t>Net Income</w:t>
            </w: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7,042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7,034</w:t>
            </w:r>
          </w:p>
        </w:tc>
        <w:tc>
          <w:tcPr>
            <w:tcW w:w="0" w:type="dxa"/>
            <w:vAlign w:val="bottom"/>
          </w:tcPr>
          <w:p>
            <w:pPr>
              <w:spacing w:after="0"/>
              <w:rPr>
                <w:sz w:val="1"/>
                <w:szCs w:val="1"/>
                <w:color w:val="auto"/>
              </w:rPr>
            </w:pPr>
          </w:p>
        </w:tc>
      </w:tr>
      <w:tr>
        <w:trPr>
          <w:trHeight w:val="201"/>
        </w:trPr>
        <w:tc>
          <w:tcPr>
            <w:tcW w:w="8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3"/>
          </w:tcPr>
          <w:p>
            <w:pPr>
              <w:ind w:left="80"/>
              <w:spacing w:after="0"/>
              <w:rPr>
                <w:sz w:val="20"/>
                <w:szCs w:val="20"/>
                <w:color w:val="auto"/>
              </w:rPr>
            </w:pPr>
            <w:r>
              <w:rPr>
                <w:rFonts w:ascii="Arial" w:cs="Arial" w:eastAsia="Arial" w:hAnsi="Arial"/>
                <w:sz w:val="17"/>
                <w:szCs w:val="17"/>
                <w:color w:val="auto"/>
              </w:rPr>
              <w:t>provided by operating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5,512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5,427</w:t>
            </w:r>
          </w:p>
        </w:tc>
        <w:tc>
          <w:tcPr>
            <w:tcW w:w="0" w:type="dxa"/>
            <w:vAlign w:val="bottom"/>
          </w:tcPr>
          <w:p>
            <w:pPr>
              <w:spacing w:after="0"/>
              <w:rPr>
                <w:sz w:val="1"/>
                <w:szCs w:val="1"/>
                <w:color w:val="auto"/>
              </w:rPr>
            </w:pPr>
          </w:p>
        </w:tc>
      </w:tr>
      <w:tr>
        <w:trPr>
          <w:trHeight w:val="201"/>
        </w:trPr>
        <w:tc>
          <w:tcPr>
            <w:tcW w:w="8820" w:type="dxa"/>
            <w:vAlign w:val="bottom"/>
            <w:gridSpan w:val="3"/>
          </w:tcPr>
          <w:p>
            <w:pPr>
              <w:ind w:left="160"/>
              <w:spacing w:after="0"/>
              <w:rPr>
                <w:sz w:val="20"/>
                <w:szCs w:val="20"/>
                <w:color w:val="auto"/>
              </w:rPr>
            </w:pPr>
            <w:r>
              <w:rPr>
                <w:rFonts w:ascii="Arial" w:cs="Arial" w:eastAsia="Arial" w:hAnsi="Arial"/>
                <w:sz w:val="17"/>
                <w:szCs w:val="17"/>
                <w:color w:val="auto"/>
              </w:rPr>
              <w:t>Amortization of investment discount</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(8)</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1"/>
        </w:trPr>
        <w:tc>
          <w:tcPr>
            <w:tcW w:w="8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Non-cash stock compensation expense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252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01"/>
        </w:trPr>
        <w:tc>
          <w:tcPr>
            <w:tcW w:w="8820" w:type="dxa"/>
            <w:vAlign w:val="bottom"/>
            <w:gridSpan w:val="3"/>
          </w:tcPr>
          <w:p>
            <w:pPr>
              <w:ind w:left="160"/>
              <w:spacing w:after="0"/>
              <w:rPr>
                <w:sz w:val="20"/>
                <w:szCs w:val="20"/>
                <w:color w:val="auto"/>
              </w:rPr>
            </w:pPr>
            <w:r>
              <w:rPr>
                <w:rFonts w:ascii="Arial" w:cs="Arial" w:eastAsia="Arial" w:hAnsi="Arial"/>
                <w:sz w:val="17"/>
                <w:szCs w:val="17"/>
                <w:color w:val="auto"/>
              </w:rPr>
              <w:t>Excess tax benefits for share-based payments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(296)</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1"/>
        </w:trPr>
        <w:tc>
          <w:tcPr>
            <w:tcW w:w="8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Deferred income taxes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104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1"/>
        </w:trPr>
        <w:tc>
          <w:tcPr>
            <w:tcW w:w="8820" w:type="dxa"/>
            <w:vAlign w:val="bottom"/>
            <w:gridSpan w:val="3"/>
          </w:tcPr>
          <w:p>
            <w:pPr>
              <w:ind w:left="160"/>
              <w:spacing w:after="0"/>
              <w:rPr>
                <w:sz w:val="20"/>
                <w:szCs w:val="20"/>
                <w:color w:val="auto"/>
              </w:rPr>
            </w:pPr>
            <w:r>
              <w:rPr>
                <w:rFonts w:ascii="Arial" w:cs="Arial" w:eastAsia="Arial" w:hAnsi="Arial"/>
                <w:sz w:val="17"/>
                <w:szCs w:val="17"/>
                <w:color w:val="auto"/>
              </w:rPr>
              <w:t>Provision for bad debts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(18)</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1"/>
        </w:trPr>
        <w:tc>
          <w:tcPr>
            <w:tcW w:w="8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Loss on the sale of fixed assets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1"/>
        </w:trPr>
        <w:tc>
          <w:tcPr>
            <w:tcW w:w="8820" w:type="dxa"/>
            <w:vAlign w:val="bottom"/>
            <w:gridSpan w:val="3"/>
          </w:tcPr>
          <w:p>
            <w:pPr>
              <w:ind w:left="160"/>
              <w:spacing w:after="0"/>
              <w:rPr>
                <w:sz w:val="20"/>
                <w:szCs w:val="20"/>
                <w:color w:val="auto"/>
              </w:rPr>
            </w:pPr>
            <w:r>
              <w:rPr>
                <w:rFonts w:ascii="Arial" w:cs="Arial" w:eastAsia="Arial" w:hAnsi="Arial"/>
                <w:sz w:val="17"/>
                <w:szCs w:val="17"/>
                <w:color w:val="auto"/>
              </w:rPr>
              <w:t>(Increase) Decrease in: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2,297</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2,623</w:t>
            </w:r>
          </w:p>
        </w:tc>
        <w:tc>
          <w:tcPr>
            <w:tcW w:w="0" w:type="dxa"/>
            <w:vAlign w:val="bottom"/>
          </w:tcPr>
          <w:p>
            <w:pPr>
              <w:spacing w:after="0"/>
              <w:rPr>
                <w:sz w:val="1"/>
                <w:szCs w:val="1"/>
                <w:color w:val="auto"/>
              </w:rPr>
            </w:pPr>
          </w:p>
        </w:tc>
      </w:tr>
      <w:tr>
        <w:trPr>
          <w:trHeight w:val="201"/>
        </w:trPr>
        <w:tc>
          <w:tcPr>
            <w:tcW w:w="8820" w:type="dxa"/>
            <w:vAlign w:val="bottom"/>
            <w:gridSpan w:val="3"/>
          </w:tcPr>
          <w:p>
            <w:pPr>
              <w:ind w:left="340"/>
              <w:spacing w:after="0"/>
              <w:rPr>
                <w:sz w:val="20"/>
                <w:szCs w:val="20"/>
                <w:color w:val="auto"/>
              </w:rPr>
            </w:pPr>
            <w:r>
              <w:rPr>
                <w:rFonts w:ascii="Arial" w:cs="Arial" w:eastAsia="Arial" w:hAnsi="Arial"/>
                <w:sz w:val="17"/>
                <w:szCs w:val="17"/>
                <w:color w:val="auto"/>
              </w:rPr>
              <w:t>Inventories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405</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(2,392)</w:t>
            </w:r>
          </w:p>
        </w:tc>
        <w:tc>
          <w:tcPr>
            <w:tcW w:w="0" w:type="dxa"/>
            <w:vAlign w:val="bottom"/>
          </w:tcPr>
          <w:p>
            <w:pPr>
              <w:spacing w:after="0"/>
              <w:rPr>
                <w:sz w:val="1"/>
                <w:szCs w:val="1"/>
                <w:color w:val="auto"/>
              </w:rPr>
            </w:pPr>
          </w:p>
        </w:tc>
      </w:tr>
      <w:tr>
        <w:trPr>
          <w:trHeight w:val="201"/>
        </w:trPr>
        <w:tc>
          <w:tcPr>
            <w:tcW w:w="88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Prepaid expenses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442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(1,018)</w:t>
            </w:r>
          </w:p>
        </w:tc>
        <w:tc>
          <w:tcPr>
            <w:tcW w:w="0" w:type="dxa"/>
            <w:vAlign w:val="bottom"/>
          </w:tcPr>
          <w:p>
            <w:pPr>
              <w:spacing w:after="0"/>
              <w:rPr>
                <w:sz w:val="1"/>
                <w:szCs w:val="1"/>
                <w:color w:val="auto"/>
              </w:rPr>
            </w:pPr>
          </w:p>
        </w:tc>
      </w:tr>
      <w:tr>
        <w:trPr>
          <w:trHeight w:val="201"/>
        </w:trPr>
        <w:tc>
          <w:tcPr>
            <w:tcW w:w="8820" w:type="dxa"/>
            <w:vAlign w:val="bottom"/>
            <w:gridSpan w:val="3"/>
          </w:tcPr>
          <w:p>
            <w:pPr>
              <w:ind w:left="340"/>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491</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(1,042)</w:t>
            </w:r>
          </w:p>
        </w:tc>
        <w:tc>
          <w:tcPr>
            <w:tcW w:w="0" w:type="dxa"/>
            <w:vAlign w:val="bottom"/>
          </w:tcPr>
          <w:p>
            <w:pPr>
              <w:spacing w:after="0"/>
              <w:rPr>
                <w:sz w:val="1"/>
                <w:szCs w:val="1"/>
                <w:color w:val="auto"/>
              </w:rPr>
            </w:pPr>
          </w:p>
        </w:tc>
      </w:tr>
      <w:tr>
        <w:trPr>
          <w:trHeight w:val="201"/>
        </w:trPr>
        <w:tc>
          <w:tcPr>
            <w:tcW w:w="8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Increase (Decrease) in: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3"/>
          </w:tcPr>
          <w:p>
            <w:pPr>
              <w:ind w:left="320"/>
              <w:spacing w:after="0"/>
              <w:rPr>
                <w:sz w:val="20"/>
                <w:szCs w:val="20"/>
                <w:color w:val="auto"/>
              </w:rPr>
            </w:pPr>
            <w:r>
              <w:rPr>
                <w:rFonts w:ascii="Arial" w:cs="Arial" w:eastAsia="Arial" w:hAnsi="Arial"/>
                <w:sz w:val="17"/>
                <w:szCs w:val="17"/>
                <w:color w:val="auto"/>
              </w:rPr>
              <w:t>Accounts payable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1,114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(1,424)</w:t>
            </w:r>
          </w:p>
        </w:tc>
        <w:tc>
          <w:tcPr>
            <w:tcW w:w="0" w:type="dxa"/>
            <w:vAlign w:val="bottom"/>
          </w:tcPr>
          <w:p>
            <w:pPr>
              <w:spacing w:after="0"/>
              <w:rPr>
                <w:sz w:val="1"/>
                <w:szCs w:val="1"/>
                <w:color w:val="auto"/>
              </w:rPr>
            </w:pPr>
          </w:p>
        </w:tc>
      </w:tr>
      <w:tr>
        <w:trPr>
          <w:trHeight w:val="201"/>
        </w:trPr>
        <w:tc>
          <w:tcPr>
            <w:tcW w:w="882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Accrued expenses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1,729</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(1,676)</w:t>
            </w:r>
          </w:p>
        </w:tc>
        <w:tc>
          <w:tcPr>
            <w:tcW w:w="0" w:type="dxa"/>
            <w:vAlign w:val="bottom"/>
          </w:tcPr>
          <w:p>
            <w:pPr>
              <w:spacing w:after="0"/>
              <w:rPr>
                <w:sz w:val="1"/>
                <w:szCs w:val="1"/>
                <w:color w:val="auto"/>
              </w:rPr>
            </w:pPr>
          </w:p>
        </w:tc>
      </w:tr>
      <w:tr>
        <w:trPr>
          <w:trHeight w:val="201"/>
        </w:trPr>
        <w:tc>
          <w:tcPr>
            <w:tcW w:w="8820" w:type="dxa"/>
            <w:vAlign w:val="bottom"/>
            <w:gridSpan w:val="3"/>
          </w:tcPr>
          <w:p>
            <w:pPr>
              <w:ind w:left="340"/>
              <w:spacing w:after="0"/>
              <w:rPr>
                <w:sz w:val="20"/>
                <w:szCs w:val="20"/>
                <w:color w:val="auto"/>
              </w:rPr>
            </w:pPr>
            <w:r>
              <w:rPr>
                <w:rFonts w:ascii="Arial" w:cs="Arial" w:eastAsia="Arial" w:hAnsi="Arial"/>
                <w:sz w:val="17"/>
                <w:szCs w:val="17"/>
                <w:color w:val="auto"/>
              </w:rPr>
              <w:t>Deferred compensation</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611</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7"/>
                <w:szCs w:val="17"/>
                <w:color w:val="auto"/>
              </w:rPr>
              <w:t>Other liabilities</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3"/>
          </w:tcPr>
          <w:p>
            <w:pPr>
              <w:ind w:left="620"/>
              <w:spacing w:after="0"/>
              <w:rPr>
                <w:sz w:val="20"/>
                <w:szCs w:val="20"/>
                <w:color w:val="auto"/>
              </w:rPr>
            </w:pPr>
            <w:r>
              <w:rPr>
                <w:rFonts w:ascii="Arial" w:cs="Arial" w:eastAsia="Arial" w:hAnsi="Arial"/>
                <w:sz w:val="17"/>
                <w:szCs w:val="17"/>
                <w:b w:val="1"/>
                <w:bCs w:val="1"/>
                <w:color w:val="auto"/>
              </w:rPr>
              <w:t>Total Adjustments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13,054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3"/>
            <w:shd w:val="clear" w:color="auto" w:fill="CCEEFF"/>
          </w:tcPr>
          <w:p>
            <w:pPr>
              <w:ind w:left="160"/>
              <w:spacing w:after="0"/>
              <w:rPr>
                <w:sz w:val="20"/>
                <w:szCs w:val="20"/>
                <w:color w:val="auto"/>
              </w:rPr>
            </w:pPr>
            <w:r>
              <w:rPr>
                <w:rFonts w:ascii="Arial" w:cs="Arial" w:eastAsia="Arial" w:hAnsi="Arial"/>
                <w:sz w:val="17"/>
                <w:szCs w:val="17"/>
                <w:b w:val="1"/>
                <w:bCs w:val="1"/>
                <w:color w:val="auto"/>
              </w:rPr>
              <w:t>Net Cash Provided by Operating Activities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20,096</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8,307</w:t>
            </w:r>
          </w:p>
        </w:tc>
        <w:tc>
          <w:tcPr>
            <w:tcW w:w="0" w:type="dxa"/>
            <w:vAlign w:val="bottom"/>
          </w:tcPr>
          <w:p>
            <w:pPr>
              <w:spacing w:after="0"/>
              <w:rPr>
                <w:sz w:val="1"/>
                <w:szCs w:val="1"/>
                <w:color w:val="auto"/>
              </w:rPr>
            </w:pPr>
          </w:p>
        </w:tc>
      </w:tr>
      <w:tr>
        <w:trPr>
          <w:trHeight w:val="201"/>
        </w:trPr>
        <w:tc>
          <w:tcPr>
            <w:tcW w:w="36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CASH FLOWS FROM INVESTING ACTIVITIES</w:t>
            </w:r>
          </w:p>
        </w:tc>
        <w:tc>
          <w:tcPr>
            <w:tcW w:w="514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3"/>
          </w:tcPr>
          <w:p>
            <w:pPr>
              <w:ind w:left="160"/>
              <w:spacing w:after="0"/>
              <w:rPr>
                <w:sz w:val="20"/>
                <w:szCs w:val="20"/>
                <w:color w:val="auto"/>
              </w:rPr>
            </w:pPr>
            <w:r>
              <w:rPr>
                <w:rFonts w:ascii="Arial" w:cs="Arial" w:eastAsia="Arial" w:hAnsi="Arial"/>
                <w:sz w:val="17"/>
                <w:szCs w:val="17"/>
                <w:color w:val="auto"/>
              </w:rPr>
              <w:t>Capital expenditures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(7,945)</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(12,682)</w:t>
            </w:r>
          </w:p>
        </w:tc>
        <w:tc>
          <w:tcPr>
            <w:tcW w:w="0" w:type="dxa"/>
            <w:vAlign w:val="bottom"/>
          </w:tcPr>
          <w:p>
            <w:pPr>
              <w:spacing w:after="0"/>
              <w:rPr>
                <w:sz w:val="1"/>
                <w:szCs w:val="1"/>
                <w:color w:val="auto"/>
              </w:rPr>
            </w:pPr>
          </w:p>
        </w:tc>
      </w:tr>
      <w:tr>
        <w:trPr>
          <w:trHeight w:val="201"/>
        </w:trPr>
        <w:tc>
          <w:tcPr>
            <w:tcW w:w="8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Proceeds from sale of property, plant and equipment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345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1"/>
        </w:trPr>
        <w:tc>
          <w:tcPr>
            <w:tcW w:w="8820" w:type="dxa"/>
            <w:vAlign w:val="bottom"/>
            <w:gridSpan w:val="3"/>
          </w:tcPr>
          <w:p>
            <w:pPr>
              <w:ind w:left="160"/>
              <w:spacing w:after="0"/>
              <w:rPr>
                <w:sz w:val="20"/>
                <w:szCs w:val="20"/>
                <w:color w:val="auto"/>
              </w:rPr>
            </w:pPr>
            <w:r>
              <w:rPr>
                <w:rFonts w:ascii="Arial" w:cs="Arial" w:eastAsia="Arial" w:hAnsi="Arial"/>
                <w:sz w:val="17"/>
                <w:szCs w:val="17"/>
                <w:color w:val="auto"/>
              </w:rPr>
              <w:t>Purchases of investment securities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(17,993)</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(73,965)</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Dispositions of investment securities</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22,000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3"/>
          </w:tcPr>
          <w:p>
            <w:pPr>
              <w:ind w:left="160"/>
              <w:spacing w:after="0"/>
              <w:rPr>
                <w:sz w:val="20"/>
                <w:szCs w:val="20"/>
                <w:color w:val="auto"/>
              </w:rPr>
            </w:pPr>
            <w:r>
              <w:rPr>
                <w:rFonts w:ascii="Arial" w:cs="Arial" w:eastAsia="Arial" w:hAnsi="Arial"/>
                <w:sz w:val="17"/>
                <w:szCs w:val="17"/>
                <w:b w:val="1"/>
                <w:bCs w:val="1"/>
                <w:color w:val="auto"/>
              </w:rPr>
              <w:t>Net Cash (Used in) Provided by Investing Activities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(3,593)</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4,375</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82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CASH FLOWS FROM FINANCING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gridSpan w:val="2"/>
            <w:shd w:val="clear" w:color="auto" w:fill="CCEEFF"/>
          </w:tcPr>
          <w:p>
            <w:pPr>
              <w:ind w:left="160"/>
              <w:spacing w:after="0"/>
              <w:rPr>
                <w:sz w:val="20"/>
                <w:szCs w:val="20"/>
                <w:color w:val="auto"/>
              </w:rPr>
            </w:pPr>
            <w:r>
              <w:rPr>
                <w:rFonts w:ascii="Arial" w:cs="Arial" w:eastAsia="Arial" w:hAnsi="Arial"/>
                <w:sz w:val="17"/>
                <w:szCs w:val="17"/>
                <w:color w:val="auto"/>
              </w:rPr>
              <w:t>Principal payments on notes payable</w:t>
            </w:r>
          </w:p>
        </w:tc>
        <w:tc>
          <w:tcPr>
            <w:tcW w:w="5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(3,200)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(5,580)</w:t>
            </w:r>
          </w:p>
        </w:tc>
        <w:tc>
          <w:tcPr>
            <w:tcW w:w="0" w:type="dxa"/>
            <w:vAlign w:val="bottom"/>
          </w:tcPr>
          <w:p>
            <w:pPr>
              <w:spacing w:after="0"/>
              <w:rPr>
                <w:sz w:val="1"/>
                <w:szCs w:val="1"/>
                <w:color w:val="auto"/>
              </w:rPr>
            </w:pPr>
          </w:p>
        </w:tc>
      </w:tr>
      <w:tr>
        <w:trPr>
          <w:trHeight w:val="201"/>
        </w:trPr>
        <w:tc>
          <w:tcPr>
            <w:tcW w:w="8820" w:type="dxa"/>
            <w:vAlign w:val="bottom"/>
            <w:gridSpan w:val="3"/>
          </w:tcPr>
          <w:p>
            <w:pPr>
              <w:ind w:left="160"/>
              <w:spacing w:after="0"/>
              <w:rPr>
                <w:sz w:val="20"/>
                <w:szCs w:val="20"/>
                <w:color w:val="auto"/>
              </w:rPr>
            </w:pPr>
            <w:r>
              <w:rPr>
                <w:rFonts w:ascii="Arial" w:cs="Arial" w:eastAsia="Arial" w:hAnsi="Arial"/>
                <w:sz w:val="17"/>
                <w:szCs w:val="17"/>
                <w:color w:val="auto"/>
              </w:rPr>
              <w:t>Dividends paid</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(2,995)</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(2,760)</w:t>
            </w:r>
          </w:p>
        </w:tc>
        <w:tc>
          <w:tcPr>
            <w:tcW w:w="0" w:type="dxa"/>
            <w:vAlign w:val="bottom"/>
          </w:tcPr>
          <w:p>
            <w:pPr>
              <w:spacing w:after="0"/>
              <w:rPr>
                <w:sz w:val="1"/>
                <w:szCs w:val="1"/>
                <w:color w:val="auto"/>
              </w:rPr>
            </w:pPr>
          </w:p>
        </w:tc>
      </w:tr>
      <w:tr>
        <w:trPr>
          <w:trHeight w:val="201"/>
        </w:trPr>
        <w:tc>
          <w:tcPr>
            <w:tcW w:w="8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Purchase of treasury stock</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(2,028)</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01"/>
        </w:trPr>
        <w:tc>
          <w:tcPr>
            <w:tcW w:w="8820" w:type="dxa"/>
            <w:vAlign w:val="bottom"/>
            <w:gridSpan w:val="3"/>
          </w:tcPr>
          <w:p>
            <w:pPr>
              <w:ind w:left="160"/>
              <w:spacing w:after="0"/>
              <w:rPr>
                <w:sz w:val="20"/>
                <w:szCs w:val="20"/>
                <w:color w:val="auto"/>
              </w:rPr>
            </w:pPr>
            <w:r>
              <w:rPr>
                <w:rFonts w:ascii="Arial" w:cs="Arial" w:eastAsia="Arial" w:hAnsi="Arial"/>
                <w:sz w:val="17"/>
                <w:szCs w:val="17"/>
                <w:color w:val="auto"/>
              </w:rPr>
              <w:t>Proceeds from issuance of treasury stock</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1"/>
        </w:trPr>
        <w:tc>
          <w:tcPr>
            <w:tcW w:w="8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Proceeds from issuance of common stock</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1,099</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01"/>
        </w:trPr>
        <w:tc>
          <w:tcPr>
            <w:tcW w:w="8820" w:type="dxa"/>
            <w:vAlign w:val="bottom"/>
            <w:gridSpan w:val="3"/>
          </w:tcPr>
          <w:p>
            <w:pPr>
              <w:ind w:left="160"/>
              <w:spacing w:after="0"/>
              <w:rPr>
                <w:sz w:val="20"/>
                <w:szCs w:val="20"/>
                <w:color w:val="auto"/>
              </w:rPr>
            </w:pPr>
            <w:r>
              <w:rPr>
                <w:rFonts w:ascii="Arial" w:cs="Arial" w:eastAsia="Arial" w:hAnsi="Arial"/>
                <w:sz w:val="17"/>
                <w:szCs w:val="17"/>
                <w:color w:val="auto"/>
              </w:rPr>
              <w:t>Excess tax benefits for share-based payments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296</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1"/>
        </w:trPr>
        <w:tc>
          <w:tcPr>
            <w:tcW w:w="88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Other, net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25"/>
        </w:trPr>
        <w:tc>
          <w:tcPr>
            <w:tcW w:w="3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20" w:type="dxa"/>
            <w:vAlign w:val="bottom"/>
            <w:gridSpan w:val="3"/>
          </w:tcPr>
          <w:p>
            <w:pPr>
              <w:ind w:left="160"/>
              <w:spacing w:after="0"/>
              <w:rPr>
                <w:sz w:val="20"/>
                <w:szCs w:val="20"/>
                <w:color w:val="auto"/>
              </w:rPr>
            </w:pPr>
            <w:r>
              <w:rPr>
                <w:rFonts w:ascii="Arial" w:cs="Arial" w:eastAsia="Arial" w:hAnsi="Arial"/>
                <w:sz w:val="17"/>
                <w:szCs w:val="17"/>
                <w:b w:val="1"/>
                <w:bCs w:val="1"/>
                <w:color w:val="auto"/>
              </w:rPr>
              <w:t>Net Cash Used in Financing Activities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(6,599)</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(8,740)</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3"/>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(104)</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890</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3"/>
          </w:tcPr>
          <w:p>
            <w:pPr>
              <w:spacing w:after="0"/>
              <w:rPr>
                <w:sz w:val="20"/>
                <w:szCs w:val="20"/>
                <w:color w:val="auto"/>
              </w:rPr>
            </w:pPr>
            <w:r>
              <w:rPr>
                <w:rFonts w:ascii="Arial" w:cs="Arial" w:eastAsia="Arial" w:hAnsi="Arial"/>
                <w:sz w:val="17"/>
                <w:szCs w:val="17"/>
                <w:b w:val="1"/>
                <w:bCs w:val="1"/>
                <w:color w:val="auto"/>
              </w:rPr>
              <w:t>Net Increase in Cash and Cash Equivalents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9,800</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4,832</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Beginning of Year</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11,839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gridSpan w:val="3"/>
          </w:tcPr>
          <w:p>
            <w:pPr>
              <w:spacing w:after="0"/>
              <w:rPr>
                <w:sz w:val="20"/>
                <w:szCs w:val="20"/>
                <w:color w:val="auto"/>
              </w:rPr>
            </w:pPr>
            <w:r>
              <w:rPr>
                <w:rFonts w:ascii="Arial" w:cs="Arial" w:eastAsia="Arial" w:hAnsi="Arial"/>
                <w:sz w:val="17"/>
                <w:szCs w:val="17"/>
                <w:b w:val="1"/>
                <w:bCs w:val="1"/>
                <w:color w:val="auto"/>
              </w:rPr>
              <w:t>Cash and Cash Equivalents, April 30</w:t>
            </w: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21,639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11,680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256145" cy="255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145" cy="2552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OIL-DRI CORPORATION OF AMERICA &amp;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1. BASIS OF STATEMENT PRESENTATION</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for interim financial information and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2009 included in our Annual Report on Form 10-K filed with the Securities and Exchange Commission (“SEC”).</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unaudited condensed consolidated financial statements include the accounts of the parent company and its subsidiaries. All significant intercompany transactions are eliminated.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and the nine months ended April 30, 2010 are not necessarily an indication of the results that may be expected for the fiscal year ending July 31, 2010.</w:t>
      </w:r>
    </w:p>
    <w:p>
      <w:pPr>
        <w:spacing w:after="0" w:line="202"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The preparation of the unaudited condensed consolidated financial statements in conformity with U.S. GAAP requires the use of estimates and assumptions related to the reporting of assets, liabilities, revenues, expenses and related disclosures. Estimates are revised periodically. Actual results could differ from these estimates.</w:t>
      </w:r>
    </w:p>
    <w:p>
      <w:pPr>
        <w:spacing w:after="0" w:line="14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Under the terms of our sales agreements with customers, we recognize revenue when risk of loss and title are transferred. Upon shipment an invoice is generated that sets the fixed and determinable price. Promotional reserves are provided for sales incentives made directly to consumers and customers and are netted against sales. Sales returns and allowances are not material. 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evaluate our allowance for doubtful accounts utilizing a combination of a historical experience and a periodic review of our accounts receivable aging and specific customer account analysis. A customer account is determined to be uncollectible when we have completed our internal collection procedures, including termination of shipments, direct customer contact and formal demand of payment. We maintain and monitor a list of customers whose creditworthiness has diminished.</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normal course of our overburden removal activities we perform ongoing reclamation activities. As overburden is removed from a pit, it is hauled to previously mined pits and used to refill older sites. This process allows us to continuously reclaim older pits and dispose of overburden simultaneously, therefore minimizing the liability for the reclamation function.</w:t>
      </w:r>
    </w:p>
    <w:p>
      <w:pPr>
        <w:spacing w:after="0" w:line="20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can be offset against future royalties due upon extraction of the mineral are also capitalized. All exploration related costs are expensed as incurred.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0" w:name="page11"/>
    <w:bookmarkEnd w:id="10"/>
    <w:p>
      <w:pPr>
        <w:ind w:left="100"/>
        <w:spacing w:after="0"/>
        <w:rPr>
          <w:sz w:val="20"/>
          <w:szCs w:val="20"/>
          <w:color w:val="auto"/>
        </w:rPr>
      </w:pPr>
      <w:r>
        <w:rPr>
          <w:rFonts w:ascii="Arial" w:cs="Arial" w:eastAsia="Arial" w:hAnsi="Arial"/>
          <w:sz w:val="17"/>
          <w:szCs w:val="17"/>
          <w:b w:val="1"/>
          <w:bCs w:val="1"/>
          <w:color w:val="auto"/>
        </w:rPr>
        <w:t>2.  NINE MONTHS ENDED APRIL 30, 2010 RESULTS OF OPERATIONS</w:t>
      </w:r>
    </w:p>
    <w:p>
      <w:pPr>
        <w:spacing w:after="0" w:line="23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results of operations for the nine months ending April 30, 2010 included an increase in cost of sales of approximately $400,000 related to an overstatement of supplies inventory at one of our manufacturing facilities as of July 31, 2009. The overstatement of inventory had accumulated over a number of years and was the result of alleged theft. This increase was offset by expected insurance proceeds, which were received in the third quarter of fiscal 2010; therefore, there was no impact to net income. We have determined that the adjustment to supplies inventory was not material to the first nine months of fiscal 2010 or any previously reported period.</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3. NEW ACCOUNTING PRONOUNCEMENTS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Standards</w:t>
      </w:r>
    </w:p>
    <w:p>
      <w:pPr>
        <w:spacing w:after="0" w:line="23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 xml:space="preserve">We adopted the required portions of FASB guidance issued in January 2010 under ASC 820-10 </w:t>
      </w:r>
      <w:r>
        <w:rPr>
          <w:rFonts w:ascii="Arial" w:cs="Arial" w:eastAsia="Arial" w:hAnsi="Arial"/>
          <w:sz w:val="15"/>
          <w:szCs w:val="15"/>
          <w:i w:val="1"/>
          <w:iCs w:val="1"/>
          <w:color w:val="auto"/>
        </w:rPr>
        <w:t>Fair Value Measurements and Disclosures: Improving Disclosures about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Fair Value Measurements. </w:t>
      </w:r>
      <w:r>
        <w:rPr>
          <w:rFonts w:ascii="Arial" w:cs="Arial" w:eastAsia="Arial" w:hAnsi="Arial"/>
          <w:sz w:val="15"/>
          <w:szCs w:val="15"/>
          <w:color w:val="auto"/>
        </w:rPr>
        <w:t>The guidance effective for this Quarterly Report on Form 10-Q for the quarter ending April 30, 2010, required enhanced disclosures about</w:t>
      </w:r>
      <w:r>
        <w:rPr>
          <w:rFonts w:ascii="Arial" w:cs="Arial" w:eastAsia="Arial" w:hAnsi="Arial"/>
          <w:sz w:val="15"/>
          <w:szCs w:val="15"/>
          <w:i w:val="1"/>
          <w:iCs w:val="1"/>
          <w:color w:val="auto"/>
        </w:rPr>
        <w:t xml:space="preserve"> </w:t>
      </w:r>
      <w:r>
        <w:rPr>
          <w:rFonts w:ascii="Arial" w:cs="Arial" w:eastAsia="Arial" w:hAnsi="Arial"/>
          <w:sz w:val="15"/>
          <w:szCs w:val="15"/>
          <w:color w:val="auto"/>
        </w:rPr>
        <w:t>valuation techniques and inputs for Level 2 and Level 3 fair value measurements. The guidance also required new disclosures about transfers in and out of Level 1 and Level 2 fair value measurements. The adoption of this guidance resulted in enhanced disclosures in Note 5 to the unaudited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w:t>
      </w:r>
    </w:p>
    <w:p>
      <w:pPr>
        <w:spacing w:after="0" w:line="232"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 xml:space="preserve">In December 2008, the FASB issued guidance under ASC 715-20 </w:t>
      </w:r>
      <w:r>
        <w:rPr>
          <w:rFonts w:ascii="Arial" w:cs="Arial" w:eastAsia="Arial" w:hAnsi="Arial"/>
          <w:sz w:val="15"/>
          <w:szCs w:val="15"/>
          <w:i w:val="1"/>
          <w:iCs w:val="1"/>
          <w:color w:val="auto"/>
        </w:rPr>
        <w:t>Compensation – Retirement Benefits</w:t>
      </w:r>
      <w:r>
        <w:rPr>
          <w:rFonts w:ascii="Arial" w:cs="Arial" w:eastAsia="Arial" w:hAnsi="Arial"/>
          <w:sz w:val="15"/>
          <w:szCs w:val="15"/>
          <w:color w:val="auto"/>
        </w:rPr>
        <w:t xml:space="preserve"> that will require expanded disclosure for employers’ pension and other postretirement benefit plan assets fair value measurements, investment policies and strategies for the major categories of plan assets and significant concentrations of risk within plan assets. The adoption of the guidance will result in enhanced disclosures in our Annual Report on Form 10-K for the fiscal year ending July 31, 2010.</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January 2010, the FASB issued guidance under ASC 820-10 </w:t>
      </w:r>
      <w:r>
        <w:rPr>
          <w:rFonts w:ascii="Arial" w:cs="Arial" w:eastAsia="Arial" w:hAnsi="Arial"/>
          <w:sz w:val="17"/>
          <w:szCs w:val="17"/>
          <w:i w:val="1"/>
          <w:iCs w:val="1"/>
          <w:color w:val="auto"/>
        </w:rPr>
        <w:t>Fair Value Measurements and Disclosures: Improving Disclosures about Fair Value Measurements</w:t>
      </w:r>
      <w:r>
        <w:rPr>
          <w:rFonts w:ascii="Arial" w:cs="Arial" w:eastAsia="Arial" w:hAnsi="Arial"/>
          <w:sz w:val="17"/>
          <w:szCs w:val="17"/>
          <w:color w:val="auto"/>
        </w:rPr>
        <w:t xml:space="preserve"> that will require new disclosures related to Level 3 fair value measurements. Adoption of this guidance will result in enhanced disclosures in our Quarterly Report on Form 10-Q for the quarter ending October 31, 2010.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40" w:type="dxa"/>
            <w:vAlign w:val="bottom"/>
            <w:gridSpan w:val="2"/>
          </w:tcPr>
          <w:p>
            <w:pPr>
              <w:ind w:left="100"/>
              <w:spacing w:after="0"/>
              <w:rPr>
                <w:sz w:val="20"/>
                <w:szCs w:val="20"/>
                <w:color w:val="auto"/>
              </w:rPr>
            </w:pPr>
            <w:r>
              <w:rPr>
                <w:rFonts w:ascii="Arial" w:cs="Arial" w:eastAsia="Arial" w:hAnsi="Arial"/>
                <w:sz w:val="17"/>
                <w:szCs w:val="17"/>
                <w:b w:val="1"/>
                <w:bCs w:val="1"/>
                <w:color w:val="auto"/>
              </w:rPr>
              <w:t>4. INVENTORIES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7"/>
        </w:trPr>
        <w:tc>
          <w:tcPr>
            <w:tcW w:w="6540" w:type="dxa"/>
            <w:vAlign w:val="bottom"/>
            <w:gridSpan w:val="2"/>
          </w:tcPr>
          <w:p>
            <w:pPr>
              <w:spacing w:after="0"/>
              <w:rPr>
                <w:sz w:val="20"/>
                <w:szCs w:val="20"/>
                <w:color w:val="auto"/>
              </w:rPr>
            </w:pPr>
            <w:r>
              <w:rPr>
                <w:rFonts w:ascii="Arial" w:cs="Arial" w:eastAsia="Arial" w:hAnsi="Arial"/>
                <w:sz w:val="17"/>
                <w:szCs w:val="17"/>
                <w:color w:val="auto"/>
              </w:rPr>
              <w:t>The composition of inventories is as follows (in thousands of dollars):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5"/>
        </w:trPr>
        <w:tc>
          <w:tcPr>
            <w:tcW w:w="22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56"/>
              <w:spacing w:after="0"/>
              <w:rPr>
                <w:sz w:val="20"/>
                <w:szCs w:val="20"/>
                <w:color w:val="auto"/>
              </w:rPr>
            </w:pPr>
            <w:r>
              <w:rPr>
                <w:rFonts w:ascii="Arial" w:cs="Arial" w:eastAsia="Arial" w:hAnsi="Arial"/>
                <w:sz w:val="17"/>
                <w:szCs w:val="17"/>
                <w:color w:val="auto"/>
              </w:rPr>
              <w:t>April 30,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7"/>
                <w:szCs w:val="17"/>
                <w:color w:val="auto"/>
              </w:rPr>
              <w:t>July 31,</w:t>
            </w:r>
          </w:p>
        </w:tc>
      </w:tr>
      <w:tr>
        <w:trPr>
          <w:trHeight w:val="219"/>
        </w:trPr>
        <w:tc>
          <w:tcPr>
            <w:tcW w:w="22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2010</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9"/>
                <w:szCs w:val="19"/>
                <w:color w:val="auto"/>
              </w:rPr>
            </w:pPr>
          </w:p>
        </w:tc>
      </w:tr>
      <w:tr>
        <w:trPr>
          <w:trHeight w:val="402"/>
        </w:trPr>
        <w:tc>
          <w:tcPr>
            <w:tcW w:w="2280" w:type="dxa"/>
            <w:vAlign w:val="bottom"/>
          </w:tcPr>
          <w:p>
            <w:pPr>
              <w:spacing w:after="0"/>
              <w:rPr>
                <w:sz w:val="24"/>
                <w:szCs w:val="2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10,568</w:t>
            </w:r>
          </w:p>
        </w:tc>
      </w:tr>
      <w:tr>
        <w:trPr>
          <w:trHeight w:val="201"/>
        </w:trPr>
        <w:tc>
          <w:tcPr>
            <w:tcW w:w="228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Packaging</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2,854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3,474</w:t>
            </w:r>
          </w:p>
        </w:tc>
      </w:tr>
      <w:tr>
        <w:trPr>
          <w:trHeight w:val="206"/>
        </w:trPr>
        <w:tc>
          <w:tcPr>
            <w:tcW w:w="228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3,359</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2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17,390</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17,795</w:t>
            </w:r>
          </w:p>
        </w:tc>
      </w:tr>
      <w:tr>
        <w:trPr>
          <w:trHeight w:val="20"/>
        </w:trPr>
        <w:tc>
          <w:tcPr>
            <w:tcW w:w="22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April 30, 2010 and July 31, 2009 were $294,000 and $274,000, respectively.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bookmarkStart w:id="11" w:name="page12"/>
    <w:bookmarkEnd w:id="11"/>
    <w:p>
      <w:pPr>
        <w:ind w:left="100"/>
        <w:spacing w:after="0"/>
        <w:rPr>
          <w:sz w:val="20"/>
          <w:szCs w:val="20"/>
          <w:color w:val="auto"/>
        </w:rPr>
      </w:pPr>
      <w:r>
        <w:rPr>
          <w:rFonts w:ascii="Arial" w:cs="Arial" w:eastAsia="Arial" w:hAnsi="Arial"/>
          <w:sz w:val="17"/>
          <w:szCs w:val="17"/>
          <w:b w:val="1"/>
          <w:bCs w:val="1"/>
          <w:color w:val="auto"/>
        </w:rPr>
        <w:t>5. FAIR VALUE MEASUREMENTS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The categories in the hierarchy are:</w:t>
      </w:r>
    </w:p>
    <w:p>
      <w:pPr>
        <w:spacing w:after="0" w:line="200" w:lineRule="exact"/>
        <w:rPr>
          <w:sz w:val="20"/>
          <w:szCs w:val="20"/>
          <w:color w:val="auto"/>
        </w:rPr>
      </w:pPr>
    </w:p>
    <w:p>
      <w:pPr>
        <w:spacing w:after="0" w:line="228"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5"/>
          <w:szCs w:val="15"/>
          <w:color w:val="auto"/>
        </w:rPr>
        <w:t>Financial assets and liabilities whose values are based on quoted market prices in active markets for identical assets or liabilities.</w:t>
      </w:r>
    </w:p>
    <w:p>
      <w:pPr>
        <w:spacing w:after="0" w:line="18"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4"/>
          <w:szCs w:val="14"/>
          <w:color w:val="auto"/>
        </w:rPr>
        <w:t>Financial assets and liabilities whose values are based on:</w:t>
      </w:r>
    </w:p>
    <w:p>
      <w:pPr>
        <w:spacing w:after="0" w:line="6" w:lineRule="exact"/>
        <w:rPr>
          <w:sz w:val="20"/>
          <w:szCs w:val="20"/>
          <w:color w:val="auto"/>
        </w:rPr>
      </w:pPr>
    </w:p>
    <w:p>
      <w:pPr>
        <w:ind w:left="1100" w:hanging="182"/>
        <w:spacing w:after="0"/>
        <w:tabs>
          <w:tab w:leader="none" w:pos="110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Quoted prices for similar assets or liabilities in active markets.</w:t>
      </w:r>
    </w:p>
    <w:p>
      <w:pPr>
        <w:spacing w:after="0" w:line="5" w:lineRule="exact"/>
        <w:rPr>
          <w:rFonts w:ascii="Arial" w:cs="Arial" w:eastAsia="Arial" w:hAnsi="Arial"/>
          <w:sz w:val="17"/>
          <w:szCs w:val="17"/>
          <w:color w:val="auto"/>
        </w:rPr>
      </w:pPr>
    </w:p>
    <w:p>
      <w:pPr>
        <w:ind w:left="1100" w:hanging="182"/>
        <w:spacing w:after="0"/>
        <w:tabs>
          <w:tab w:leader="none" w:pos="110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Quoted prices for identical or similar assets or liabilities in markets that are not active.</w:t>
      </w:r>
    </w:p>
    <w:p>
      <w:pPr>
        <w:spacing w:after="0" w:line="5" w:lineRule="exact"/>
        <w:rPr>
          <w:rFonts w:ascii="Arial" w:cs="Arial" w:eastAsia="Arial" w:hAnsi="Arial"/>
          <w:sz w:val="17"/>
          <w:szCs w:val="17"/>
          <w:color w:val="auto"/>
        </w:rPr>
      </w:pPr>
    </w:p>
    <w:p>
      <w:pPr>
        <w:ind w:left="1100" w:hanging="182"/>
        <w:spacing w:after="0"/>
        <w:tabs>
          <w:tab w:leader="none" w:pos="1100" w:val="left"/>
        </w:tabs>
        <w:numPr>
          <w:ilvl w:val="0"/>
          <w:numId w:val="1"/>
        </w:numPr>
        <w:rPr>
          <w:rFonts w:ascii="Arial" w:cs="Arial" w:eastAsia="Arial" w:hAnsi="Arial"/>
          <w:sz w:val="17"/>
          <w:szCs w:val="17"/>
          <w:color w:val="auto"/>
        </w:rPr>
      </w:pPr>
      <w:r>
        <w:rPr>
          <w:rFonts w:ascii="Arial" w:cs="Arial" w:eastAsia="Arial" w:hAnsi="Arial"/>
          <w:sz w:val="17"/>
          <w:szCs w:val="17"/>
          <w:color w:val="auto"/>
        </w:rPr>
        <w:t>Valuation models whose inputs are observable, directly or indirectly, for substantially the full term of the asset or liability.</w:t>
      </w:r>
    </w:p>
    <w:p>
      <w:pPr>
        <w:spacing w:after="0" w:line="6" w:lineRule="exact"/>
        <w:rPr>
          <w:sz w:val="20"/>
          <w:szCs w:val="20"/>
          <w:color w:val="auto"/>
        </w:rPr>
      </w:pPr>
    </w:p>
    <w:p>
      <w:pPr>
        <w:ind w:left="120" w:right="220" w:firstLine="792"/>
        <w:spacing w:after="0" w:line="279" w:lineRule="auto"/>
        <w:rPr>
          <w:sz w:val="20"/>
          <w:szCs w:val="20"/>
          <w:color w:val="auto"/>
        </w:rPr>
      </w:pPr>
      <w:r>
        <w:rPr>
          <w:rFonts w:ascii="Arial" w:cs="Arial" w:eastAsia="Arial" w:hAnsi="Arial"/>
          <w:sz w:val="15"/>
          <w:szCs w:val="15"/>
          <w:color w:val="auto"/>
        </w:rPr>
        <w:t>Financial assets and liabilities whose values are based on valuation techniques that require inputs that are both unobservable and significant to the overall Level 3: fair value measurement. These inputs may reflect estimates of the assumptions that market participants would use in valuing the financial assets and</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liabilities.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financial assets and liabilities that were measured at fair value by level within the fair value hierarchy: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7"/>
          </w:tcPr>
          <w:p>
            <w:pPr>
              <w:jc w:val="center"/>
              <w:ind w:left="596"/>
              <w:spacing w:after="0"/>
              <w:rPr>
                <w:sz w:val="20"/>
                <w:szCs w:val="20"/>
                <w:color w:val="auto"/>
              </w:rPr>
            </w:pPr>
            <w:r>
              <w:rPr>
                <w:rFonts w:ascii="Arial" w:cs="Arial" w:eastAsia="Arial" w:hAnsi="Arial"/>
                <w:sz w:val="17"/>
                <w:szCs w:val="17"/>
                <w:color w:val="auto"/>
                <w:w w:val="91"/>
              </w:rPr>
              <w:t>Fair Value at April 30, 2010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50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7"/>
                <w:szCs w:val="17"/>
                <w:color w:val="auto"/>
                <w:w w:val="89"/>
              </w:rPr>
              <w:t>(in thousands)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50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7"/>
                <w:szCs w:val="17"/>
                <w:color w:val="auto"/>
                <w:w w:val="91"/>
              </w:rPr>
              <w:t>Level 1</w:t>
            </w:r>
          </w:p>
        </w:tc>
        <w:tc>
          <w:tcPr>
            <w:tcW w:w="220" w:type="dxa"/>
            <w:vAlign w:val="bottom"/>
          </w:tcPr>
          <w:p>
            <w:pPr>
              <w:spacing w:after="0"/>
              <w:rPr>
                <w:sz w:val="17"/>
                <w:szCs w:val="17"/>
                <w:color w:val="auto"/>
              </w:rPr>
            </w:pPr>
          </w:p>
        </w:tc>
        <w:tc>
          <w:tcPr>
            <w:tcW w:w="920" w:type="dxa"/>
            <w:vAlign w:val="bottom"/>
          </w:tcPr>
          <w:p>
            <w:pPr>
              <w:jc w:val="right"/>
              <w:ind w:right="236"/>
              <w:spacing w:after="0"/>
              <w:rPr>
                <w:sz w:val="20"/>
                <w:szCs w:val="20"/>
                <w:color w:val="auto"/>
              </w:rPr>
            </w:pPr>
            <w:r>
              <w:rPr>
                <w:rFonts w:ascii="Arial" w:cs="Arial" w:eastAsia="Arial" w:hAnsi="Arial"/>
                <w:sz w:val="17"/>
                <w:szCs w:val="17"/>
                <w:color w:val="auto"/>
              </w:rPr>
              <w:t>Level 2</w:t>
            </w:r>
          </w:p>
        </w:tc>
        <w:tc>
          <w:tcPr>
            <w:tcW w:w="100" w:type="dxa"/>
            <w:vAlign w:val="bottom"/>
          </w:tcPr>
          <w:p>
            <w:pPr>
              <w:spacing w:after="0"/>
              <w:rPr>
                <w:sz w:val="17"/>
                <w:szCs w:val="17"/>
                <w:color w:val="auto"/>
              </w:rPr>
            </w:pPr>
          </w:p>
        </w:tc>
      </w:tr>
      <w:tr>
        <w:trPr>
          <w:trHeight w:val="201"/>
        </w:trPr>
        <w:tc>
          <w:tcPr>
            <w:tcW w:w="500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2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17,635</w:t>
            </w:r>
          </w:p>
        </w:tc>
        <w:tc>
          <w:tcPr>
            <w:tcW w:w="3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17,635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000" w:type="dxa"/>
            <w:vAlign w:val="bottom"/>
          </w:tcPr>
          <w:p>
            <w:pPr>
              <w:spacing w:after="0"/>
              <w:rPr>
                <w:sz w:val="20"/>
                <w:szCs w:val="20"/>
                <w:color w:val="auto"/>
              </w:rPr>
            </w:pPr>
            <w:r>
              <w:rPr>
                <w:rFonts w:ascii="Arial" w:cs="Arial" w:eastAsia="Arial" w:hAnsi="Arial"/>
                <w:sz w:val="17"/>
                <w:szCs w:val="17"/>
                <w:color w:val="auto"/>
              </w:rPr>
              <w:t>Marketable equity securities</w:t>
            </w:r>
          </w:p>
        </w:tc>
        <w:tc>
          <w:tcPr>
            <w:tcW w:w="2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Cash surrender value of life insurance</w:t>
            </w:r>
          </w:p>
        </w:tc>
        <w:tc>
          <w:tcPr>
            <w:tcW w:w="2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3,816</w:t>
            </w:r>
          </w:p>
        </w:tc>
      </w:tr>
    </w:tbl>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equivalents are classified as Level 1 of the fair value hierarchy because they were valued using quoted market prices in active markets. These cash instruments are primarily money market mutual funds.</w:t>
      </w:r>
    </w:p>
    <w:p>
      <w:pPr>
        <w:spacing w:after="0" w:line="19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Marketable equity securities were valued using quoted market prices in active markets and as such are classified as Level 1 in the fair value hierarchy. These securities represent stock we own in one publicly traded company and are included in other assets on the condensed consolidated balance sheet.</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key employees as of April 30, 2010. The cash surrender value of life insurance is included in other assets on the condensed consolidated balance sheet.</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carrying values of investments in securities, accounts receivable, accounts payable and notes payable approximate their fair values at April 30, 2010 and July 31, 2009, due to the short maturity and nature of those balances and are not included in the above table. The investments in securities consisted of U.S. Treasury securities carried at amortized cost. The estimated fair value of long-term debt, including current maturities, was approximately $18,220,000 and $21,523,000 as of April 30, 2010 and July 31, 2009, respectively.</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apply fair value techniques on a non-recurring basis associated with: (1) valuing potential impairment loss related to goodwill and indefinite-lived intangible assets and (2) valuing potential impairment loss related to long-lived assets.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2" w:name="page13"/>
    <w:bookmarkEnd w:id="12"/>
    <w:p>
      <w:pPr>
        <w:ind w:left="100"/>
        <w:spacing w:after="0"/>
        <w:rPr>
          <w:sz w:val="20"/>
          <w:szCs w:val="20"/>
          <w:color w:val="auto"/>
        </w:rPr>
      </w:pPr>
      <w:r>
        <w:rPr>
          <w:rFonts w:ascii="Arial" w:cs="Arial" w:eastAsia="Arial" w:hAnsi="Arial"/>
          <w:sz w:val="17"/>
          <w:szCs w:val="17"/>
          <w:b w:val="1"/>
          <w:bCs w:val="1"/>
          <w:color w:val="auto"/>
        </w:rPr>
        <w:t>6. PENSION AND OTHER POST RETIREMENT BENEFITS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pension benefits cost of our sponsored defined benefit plans were as follows:</w:t>
      </w:r>
    </w:p>
    <w:p>
      <w:pPr>
        <w:spacing w:after="0" w:line="228" w:lineRule="exact"/>
        <w:rPr>
          <w:sz w:val="20"/>
          <w:szCs w:val="20"/>
          <w:color w:val="auto"/>
        </w:rPr>
      </w:pPr>
    </w:p>
    <w:p>
      <w:pPr>
        <w:jc w:val="center"/>
        <w:ind w:left="5960"/>
        <w:spacing w:after="0"/>
        <w:rPr>
          <w:sz w:val="20"/>
          <w:szCs w:val="20"/>
          <w:color w:val="auto"/>
        </w:rPr>
      </w:pPr>
      <w:r>
        <w:rPr>
          <w:rFonts w:ascii="Arial" w:cs="Arial" w:eastAsia="Arial" w:hAnsi="Arial"/>
          <w:sz w:val="17"/>
          <w:szCs w:val="17"/>
          <w:b w:val="1"/>
          <w:bCs w:val="1"/>
          <w:color w:val="auto"/>
        </w:rPr>
        <w:t>PENSION PLAN</w:t>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7"/>
          <w:szCs w:val="17"/>
          <w:color w:val="auto"/>
        </w:rPr>
        <w:t>(dollars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4"/>
          </w:tcPr>
          <w:p>
            <w:pPr>
              <w:jc w:val="right"/>
              <w:ind w:right="496"/>
              <w:spacing w:after="0" w:line="194" w:lineRule="exact"/>
              <w:rPr>
                <w:sz w:val="20"/>
                <w:szCs w:val="20"/>
                <w:color w:val="auto"/>
              </w:rPr>
            </w:pPr>
            <w:r>
              <w:rPr>
                <w:rFonts w:ascii="Arial" w:cs="Arial" w:eastAsia="Arial" w:hAnsi="Arial"/>
                <w:sz w:val="17"/>
                <w:szCs w:val="17"/>
                <w:color w:val="auto"/>
              </w:rPr>
              <w:t>Nine Months Ended</w:t>
            </w:r>
          </w:p>
        </w:tc>
        <w:tc>
          <w:tcPr>
            <w:tcW w:w="100" w:type="dxa"/>
            <w:vAlign w:val="bottom"/>
          </w:tcPr>
          <w:p>
            <w:pPr>
              <w:spacing w:after="0"/>
              <w:rPr>
                <w:sz w:val="16"/>
                <w:szCs w:val="16"/>
                <w:color w:val="auto"/>
              </w:rPr>
            </w:pPr>
          </w:p>
        </w:tc>
      </w:tr>
      <w:tr>
        <w:trPr>
          <w:trHeight w:val="219"/>
        </w:trPr>
        <w:tc>
          <w:tcPr>
            <w:tcW w:w="3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60" w:type="dxa"/>
            <w:vAlign w:val="bottom"/>
            <w:gridSpan w:val="7"/>
          </w:tcPr>
          <w:p>
            <w:pPr>
              <w:jc w:val="right"/>
              <w:ind w:right="380"/>
              <w:spacing w:after="0"/>
              <w:rPr>
                <w:sz w:val="20"/>
                <w:szCs w:val="20"/>
                <w:color w:val="auto"/>
              </w:rPr>
            </w:pPr>
            <w:r>
              <w:rPr>
                <w:rFonts w:ascii="Arial" w:cs="Arial" w:eastAsia="Arial" w:hAnsi="Arial"/>
                <w:sz w:val="17"/>
                <w:szCs w:val="17"/>
                <w:color w:val="auto"/>
              </w:rPr>
              <w:t>Three Months Ended April 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7"/>
                <w:szCs w:val="17"/>
                <w:color w:val="auto"/>
              </w:rPr>
              <w:t>April 30,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2010</w:t>
            </w:r>
          </w:p>
        </w:tc>
        <w:tc>
          <w:tcPr>
            <w:tcW w:w="3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color w:val="auto"/>
              </w:rPr>
              <w:t>2010</w:t>
            </w: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7"/>
                <w:szCs w:val="17"/>
                <w:color w:val="auto"/>
              </w:rPr>
            </w:pPr>
          </w:p>
        </w:tc>
      </w:tr>
      <w:tr>
        <w:trPr>
          <w:trHeight w:val="163"/>
        </w:trPr>
        <w:tc>
          <w:tcPr>
            <w:tcW w:w="4680" w:type="dxa"/>
            <w:vAlign w:val="bottom"/>
            <w:gridSpan w:val="2"/>
          </w:tcPr>
          <w:p>
            <w:pPr>
              <w:spacing w:after="0" w:line="163" w:lineRule="exact"/>
              <w:rPr>
                <w:sz w:val="20"/>
                <w:szCs w:val="20"/>
                <w:color w:val="auto"/>
              </w:rPr>
            </w:pPr>
            <w:r>
              <w:rPr>
                <w:rFonts w:ascii="Arial" w:cs="Arial" w:eastAsia="Arial" w:hAnsi="Arial"/>
                <w:sz w:val="17"/>
                <w:szCs w:val="17"/>
                <w:color w:val="auto"/>
              </w:rPr>
              <w:t>Components of net periodic pension benefit cost:</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3"/>
        </w:trPr>
        <w:tc>
          <w:tcPr>
            <w:tcW w:w="3300" w:type="dxa"/>
            <w:vAlign w:val="bottom"/>
            <w:tcBorders>
              <w:top w:val="single" w:sz="8" w:color="auto"/>
            </w:tcBorders>
          </w:tcPr>
          <w:p>
            <w:pPr>
              <w:spacing w:after="0"/>
              <w:rPr>
                <w:sz w:val="3"/>
                <w:szCs w:val="3"/>
                <w:color w:val="auto"/>
              </w:rPr>
            </w:pPr>
          </w:p>
        </w:tc>
        <w:tc>
          <w:tcPr>
            <w:tcW w:w="13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1"/>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2180" w:type="dxa"/>
            <w:vAlign w:val="bottom"/>
            <w:gridSpan w:val="2"/>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853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631</w:t>
            </w:r>
          </w:p>
        </w:tc>
      </w:tr>
      <w:tr>
        <w:trPr>
          <w:trHeight w:val="201"/>
        </w:trPr>
        <w:tc>
          <w:tcPr>
            <w:tcW w:w="468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354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334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1,062</w:t>
            </w: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1,002</w:t>
            </w:r>
          </w:p>
        </w:tc>
      </w:tr>
      <w:tr>
        <w:trPr>
          <w:trHeight w:val="201"/>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(875)</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(974)</w:t>
            </w:r>
          </w:p>
        </w:tc>
      </w:tr>
      <w:tr>
        <w:trPr>
          <w:trHeight w:val="201"/>
        </w:trPr>
        <w:tc>
          <w:tcPr>
            <w:tcW w:w="4680" w:type="dxa"/>
            <w:vAlign w:val="bottom"/>
            <w:gridSpan w:val="2"/>
          </w:tcPr>
          <w:p>
            <w:pPr>
              <w:spacing w:after="0"/>
              <w:rPr>
                <w:sz w:val="20"/>
                <w:szCs w:val="20"/>
                <w:color w:val="auto"/>
              </w:rPr>
            </w:pPr>
            <w:r>
              <w:rPr>
                <w:rFonts w:ascii="Arial" w:cs="Arial" w:eastAsia="Arial" w:hAnsi="Arial"/>
                <w:sz w:val="17"/>
                <w:szCs w:val="17"/>
                <w:color w:val="auto"/>
              </w:rPr>
              <w:t>Net amortization</w:t>
            </w: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207</w:t>
            </w: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r>
      <w:tr>
        <w:trPr>
          <w:trHeight w:val="25"/>
        </w:trPr>
        <w:tc>
          <w:tcPr>
            <w:tcW w:w="3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3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1,247</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694</w:t>
            </w: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funded the plan based upon actuarially determined contributions that take into account the normal cost and the minimum and maximum contribution requirements of various regulations. During the third quarter of fiscal 2010 we made a contribution of approximately $922,000 to our pension plan. See Item 3. Quantitative and Qualitative Disclosures About Market Risk for a discussion of the potential impact of financial market fluctuations on pension plan assets and future funding contributions.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gridSpan w:val="2"/>
          </w:tcPr>
          <w:p>
            <w:pPr>
              <w:spacing w:after="0"/>
              <w:rPr>
                <w:sz w:val="20"/>
                <w:szCs w:val="20"/>
                <w:color w:val="auto"/>
              </w:rPr>
            </w:pPr>
            <w:r>
              <w:rPr>
                <w:rFonts w:ascii="Arial" w:cs="Arial" w:eastAsia="Arial" w:hAnsi="Arial"/>
                <w:sz w:val="17"/>
                <w:szCs w:val="17"/>
                <w:color w:val="auto"/>
                <w:w w:val="91"/>
              </w:rPr>
              <w:t>The components of the net periodic postretirement health benefit cost were as follows: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5"/>
        </w:trPr>
        <w:tc>
          <w:tcPr>
            <w:tcW w:w="3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15"/>
          </w:tcPr>
          <w:p>
            <w:pPr>
              <w:jc w:val="center"/>
              <w:ind w:left="736"/>
              <w:spacing w:after="0"/>
              <w:rPr>
                <w:sz w:val="20"/>
                <w:szCs w:val="20"/>
                <w:color w:val="auto"/>
              </w:rPr>
            </w:pPr>
            <w:r>
              <w:rPr>
                <w:rFonts w:ascii="Arial" w:cs="Arial" w:eastAsia="Arial" w:hAnsi="Arial"/>
                <w:sz w:val="17"/>
                <w:szCs w:val="17"/>
                <w:b w:val="1"/>
                <w:bCs w:val="1"/>
                <w:color w:val="auto"/>
                <w:w w:val="99"/>
              </w:rPr>
              <w:t>POST RETIREMENT HEALTH BENEFITS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37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7"/>
                <w:szCs w:val="17"/>
                <w:color w:val="auto"/>
                <w:w w:val="89"/>
              </w:rPr>
              <w:t>(dollars in thousands)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6"/>
          </w:tcPr>
          <w:p>
            <w:pPr>
              <w:jc w:val="right"/>
              <w:ind w:right="496"/>
              <w:spacing w:after="0" w:line="189" w:lineRule="exact"/>
              <w:rPr>
                <w:sz w:val="20"/>
                <w:szCs w:val="20"/>
                <w:color w:val="auto"/>
              </w:rPr>
            </w:pPr>
            <w:r>
              <w:rPr>
                <w:rFonts w:ascii="Arial" w:cs="Arial" w:eastAsia="Arial" w:hAnsi="Arial"/>
                <w:sz w:val="17"/>
                <w:szCs w:val="17"/>
                <w:color w:val="auto"/>
              </w:rPr>
              <w:t>Nine Months Ended</w:t>
            </w:r>
          </w:p>
        </w:tc>
        <w:tc>
          <w:tcPr>
            <w:tcW w:w="100" w:type="dxa"/>
            <w:vAlign w:val="bottom"/>
          </w:tcPr>
          <w:p>
            <w:pPr>
              <w:spacing w:after="0"/>
              <w:rPr>
                <w:sz w:val="16"/>
                <w:szCs w:val="16"/>
                <w:color w:val="auto"/>
              </w:rPr>
            </w:pPr>
          </w:p>
        </w:tc>
      </w:tr>
      <w:tr>
        <w:trPr>
          <w:trHeight w:val="219"/>
        </w:trPr>
        <w:tc>
          <w:tcPr>
            <w:tcW w:w="37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8"/>
          </w:tcPr>
          <w:p>
            <w:pPr>
              <w:jc w:val="right"/>
              <w:ind w:right="380"/>
              <w:spacing w:after="0"/>
              <w:rPr>
                <w:sz w:val="20"/>
                <w:szCs w:val="20"/>
                <w:color w:val="auto"/>
              </w:rPr>
            </w:pPr>
            <w:r>
              <w:rPr>
                <w:rFonts w:ascii="Arial" w:cs="Arial" w:eastAsia="Arial" w:hAnsi="Arial"/>
                <w:sz w:val="17"/>
                <w:szCs w:val="17"/>
                <w:color w:val="auto"/>
                <w:w w:val="95"/>
              </w:rPr>
              <w:t>Three Months Ended April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5"/>
          </w:tcPr>
          <w:p>
            <w:pPr>
              <w:jc w:val="right"/>
              <w:spacing w:after="0"/>
              <w:rPr>
                <w:sz w:val="20"/>
                <w:szCs w:val="20"/>
                <w:color w:val="auto"/>
              </w:rPr>
            </w:pPr>
            <w:r>
              <w:rPr>
                <w:rFonts w:ascii="Arial" w:cs="Arial" w:eastAsia="Arial" w:hAnsi="Arial"/>
                <w:sz w:val="17"/>
                <w:szCs w:val="17"/>
                <w:color w:val="auto"/>
              </w:rPr>
              <w:t>April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7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color w:val="auto"/>
              </w:rPr>
              <w:t>2010</w:t>
            </w: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color w:val="auto"/>
              </w:rPr>
              <w:t>2009</w:t>
            </w: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color w:val="auto"/>
              </w:rPr>
              <w:t>2010</w:t>
            </w: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7"/>
                <w:szCs w:val="17"/>
                <w:color w:val="auto"/>
              </w:rPr>
            </w:pPr>
          </w:p>
        </w:tc>
      </w:tr>
      <w:tr>
        <w:trPr>
          <w:trHeight w:val="197"/>
        </w:trPr>
        <w:tc>
          <w:tcPr>
            <w:tcW w:w="5960" w:type="dxa"/>
            <w:vAlign w:val="bottom"/>
            <w:gridSpan w:val="2"/>
          </w:tcPr>
          <w:p>
            <w:pPr>
              <w:spacing w:after="0" w:line="189" w:lineRule="exact"/>
              <w:rPr>
                <w:sz w:val="20"/>
                <w:szCs w:val="20"/>
                <w:color w:val="auto"/>
              </w:rPr>
            </w:pPr>
            <w:r>
              <w:rPr>
                <w:rFonts w:ascii="Arial" w:cs="Arial" w:eastAsia="Arial" w:hAnsi="Arial"/>
                <w:sz w:val="17"/>
                <w:szCs w:val="17"/>
                <w:color w:val="auto"/>
              </w:rPr>
              <w:t>Components of net periodic postretirement benefit cost: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Service cost</w:t>
            </w:r>
          </w:p>
        </w:tc>
        <w:tc>
          <w:tcPr>
            <w:tcW w:w="2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w:t>
            </w:r>
          </w:p>
        </w:tc>
      </w:tr>
      <w:tr>
        <w:trPr>
          <w:trHeight w:val="201"/>
        </w:trPr>
        <w:tc>
          <w:tcPr>
            <w:tcW w:w="596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70</w:t>
            </w:r>
          </w:p>
        </w:tc>
      </w:tr>
      <w:tr>
        <w:trPr>
          <w:trHeight w:val="201"/>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net transition obligation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r>
      <w:tr>
        <w:trPr>
          <w:trHeight w:val="201"/>
        </w:trPr>
        <w:tc>
          <w:tcPr>
            <w:tcW w:w="5960" w:type="dxa"/>
            <w:vAlign w:val="bottom"/>
            <w:gridSpan w:val="2"/>
          </w:tcPr>
          <w:p>
            <w:pPr>
              <w:spacing w:after="0"/>
              <w:rPr>
                <w:sz w:val="20"/>
                <w:szCs w:val="20"/>
                <w:color w:val="auto"/>
              </w:rPr>
            </w:pPr>
            <w:r>
              <w:rPr>
                <w:rFonts w:ascii="Arial" w:cs="Arial" w:eastAsia="Arial" w:hAnsi="Arial"/>
                <w:sz w:val="17"/>
                <w:szCs w:val="17"/>
                <w:color w:val="auto"/>
              </w:rPr>
              <w:t>Net actuarial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r>
      <w:tr>
        <w:trPr>
          <w:trHeight w:val="25"/>
        </w:trPr>
        <w:tc>
          <w:tcPr>
            <w:tcW w:w="3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37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155</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w:t>
            </w:r>
          </w:p>
        </w:tc>
      </w:tr>
      <w:tr>
        <w:trPr>
          <w:trHeight w:val="417"/>
        </w:trPr>
        <w:tc>
          <w:tcPr>
            <w:tcW w:w="596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Our plan covering postretirement health benefits is an unfunded plan.</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27"/>
        </w:trPr>
        <w:tc>
          <w:tcPr>
            <w:tcW w:w="5960" w:type="dxa"/>
            <w:vAlign w:val="bottom"/>
            <w:gridSpan w:val="2"/>
          </w:tcPr>
          <w:p>
            <w:pPr>
              <w:spacing w:after="0"/>
              <w:rPr>
                <w:sz w:val="20"/>
                <w:szCs w:val="20"/>
                <w:color w:val="auto"/>
              </w:rPr>
            </w:pPr>
            <w:r>
              <w:rPr>
                <w:rFonts w:ascii="Arial" w:cs="Arial" w:eastAsia="Arial" w:hAnsi="Arial"/>
                <w:sz w:val="17"/>
                <w:szCs w:val="17"/>
                <w:color w:val="auto"/>
              </w:rPr>
              <w:t>Assumptions used in the previous calculations were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3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8"/>
          </w:tcPr>
          <w:p>
            <w:pPr>
              <w:spacing w:after="0"/>
              <w:rPr>
                <w:sz w:val="20"/>
                <w:szCs w:val="20"/>
                <w:color w:val="auto"/>
              </w:rPr>
            </w:pPr>
            <w:r>
              <w:rPr>
                <w:rFonts w:ascii="Arial" w:cs="Arial" w:eastAsia="Arial" w:hAnsi="Arial"/>
                <w:sz w:val="17"/>
                <w:szCs w:val="17"/>
                <w:b w:val="1"/>
                <w:bCs w:val="1"/>
                <w:color w:val="auto"/>
              </w:rPr>
              <w:t>POST RETIREMENT HEALTH</w:t>
            </w:r>
          </w:p>
        </w:tc>
      </w:tr>
      <w:tr>
        <w:trPr>
          <w:trHeight w:val="223"/>
        </w:trPr>
        <w:tc>
          <w:tcPr>
            <w:tcW w:w="37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8"/>
          </w:tcPr>
          <w:p>
            <w:pPr>
              <w:jc w:val="right"/>
              <w:ind w:right="900"/>
              <w:spacing w:after="0"/>
              <w:rPr>
                <w:sz w:val="20"/>
                <w:szCs w:val="20"/>
                <w:color w:val="auto"/>
              </w:rPr>
            </w:pPr>
            <w:r>
              <w:rPr>
                <w:rFonts w:ascii="Arial" w:cs="Arial" w:eastAsia="Arial" w:hAnsi="Arial"/>
                <w:sz w:val="17"/>
                <w:szCs w:val="17"/>
                <w:b w:val="1"/>
                <w:bCs w:val="1"/>
                <w:color w:val="auto"/>
              </w:rPr>
              <w:t>PENSION PLAN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7"/>
          </w:tcPr>
          <w:p>
            <w:pPr>
              <w:jc w:val="right"/>
              <w:ind w:right="1000"/>
              <w:spacing w:after="0"/>
              <w:rPr>
                <w:sz w:val="20"/>
                <w:szCs w:val="20"/>
                <w:color w:val="auto"/>
              </w:rPr>
            </w:pPr>
            <w:r>
              <w:rPr>
                <w:rFonts w:ascii="Arial" w:cs="Arial" w:eastAsia="Arial" w:hAnsi="Arial"/>
                <w:sz w:val="17"/>
                <w:szCs w:val="17"/>
                <w:b w:val="1"/>
                <w:bCs w:val="1"/>
                <w:color w:val="auto"/>
              </w:rPr>
              <w:t>BENEFITS</w:t>
            </w:r>
          </w:p>
        </w:tc>
      </w:tr>
      <w:tr>
        <w:trPr>
          <w:trHeight w:val="189"/>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spacing w:after="0" w:line="189" w:lineRule="exact"/>
              <w:rPr>
                <w:sz w:val="20"/>
                <w:szCs w:val="20"/>
                <w:color w:val="auto"/>
              </w:rPr>
            </w:pPr>
            <w:r>
              <w:rPr>
                <w:rFonts w:ascii="Arial" w:cs="Arial" w:eastAsia="Arial" w:hAnsi="Arial"/>
                <w:sz w:val="17"/>
                <w:szCs w:val="17"/>
                <w:color w:val="auto"/>
                <w:w w:val="86"/>
              </w:rPr>
              <w:t>For three and</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w w:val="72"/>
              </w:rPr>
              <w:t>nine</w:t>
            </w:r>
          </w:p>
        </w:tc>
        <w:tc>
          <w:tcPr>
            <w:tcW w:w="1440" w:type="dxa"/>
            <w:vAlign w:val="bottom"/>
            <w:tcBorders>
              <w:top w:val="single" w:sz="8" w:color="auto"/>
            </w:tcBorders>
            <w:gridSpan w:val="6"/>
          </w:tcPr>
          <w:p>
            <w:pPr>
              <w:ind w:left="20"/>
              <w:spacing w:after="0" w:line="189" w:lineRule="exact"/>
              <w:rPr>
                <w:sz w:val="20"/>
                <w:szCs w:val="20"/>
                <w:color w:val="auto"/>
              </w:rPr>
            </w:pPr>
            <w:r>
              <w:rPr>
                <w:rFonts w:ascii="Arial" w:cs="Arial" w:eastAsia="Arial" w:hAnsi="Arial"/>
                <w:sz w:val="17"/>
                <w:szCs w:val="17"/>
                <w:color w:val="auto"/>
              </w:rPr>
              <w:t>months ended:</w:t>
            </w: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37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7"/>
                <w:szCs w:val="17"/>
                <w:color w:val="auto"/>
                <w:w w:val="99"/>
              </w:rPr>
              <w:t>April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7"/>
                <w:szCs w:val="17"/>
                <w:color w:val="auto"/>
                <w:w w:val="96"/>
              </w:rPr>
              <w:t>April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4"/>
          </w:tcPr>
          <w:p>
            <w:pPr>
              <w:ind w:left="60"/>
              <w:spacing w:after="0"/>
              <w:rPr>
                <w:sz w:val="20"/>
                <w:szCs w:val="20"/>
                <w:color w:val="auto"/>
              </w:rPr>
            </w:pPr>
            <w:r>
              <w:rPr>
                <w:rFonts w:ascii="Arial" w:cs="Arial" w:eastAsia="Arial" w:hAnsi="Arial"/>
                <w:sz w:val="17"/>
                <w:szCs w:val="17"/>
                <w:color w:val="auto"/>
              </w:rPr>
              <w:t>April 30,</w:t>
            </w:r>
          </w:p>
        </w:tc>
        <w:tc>
          <w:tcPr>
            <w:tcW w:w="22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w w:val="96"/>
              </w:rPr>
              <w:t>April 30,</w:t>
            </w:r>
          </w:p>
        </w:tc>
      </w:tr>
      <w:tr>
        <w:trPr>
          <w:trHeight w:val="219"/>
        </w:trPr>
        <w:tc>
          <w:tcPr>
            <w:tcW w:w="37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6"/>
              <w:spacing w:after="0"/>
              <w:rPr>
                <w:sz w:val="20"/>
                <w:szCs w:val="20"/>
                <w:color w:val="auto"/>
              </w:rPr>
            </w:pPr>
            <w:r>
              <w:rPr>
                <w:rFonts w:ascii="Arial" w:cs="Arial" w:eastAsia="Arial" w:hAnsi="Arial"/>
                <w:sz w:val="17"/>
                <w:szCs w:val="17"/>
                <w:color w:val="auto"/>
                <w:w w:val="84"/>
              </w:rPr>
              <w:t>2009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9"/>
                <w:szCs w:val="19"/>
                <w:color w:val="auto"/>
              </w:rPr>
            </w:pPr>
          </w:p>
        </w:tc>
      </w:tr>
      <w:tr>
        <w:trPr>
          <w:trHeight w:val="201"/>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Discount rate for net periodic benefit cost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6.00%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w:t>
            </w:r>
          </w:p>
        </w:tc>
      </w:tr>
      <w:tr>
        <w:trPr>
          <w:trHeight w:val="201"/>
        </w:trPr>
        <w:tc>
          <w:tcPr>
            <w:tcW w:w="5960" w:type="dxa"/>
            <w:vAlign w:val="bottom"/>
            <w:gridSpan w:val="2"/>
          </w:tcPr>
          <w:p>
            <w:pPr>
              <w:spacing w:after="0"/>
              <w:rPr>
                <w:sz w:val="20"/>
                <w:szCs w:val="20"/>
                <w:color w:val="auto"/>
              </w:rPr>
            </w:pPr>
            <w:r>
              <w:rPr>
                <w:rFonts w:ascii="Arial" w:cs="Arial" w:eastAsia="Arial" w:hAnsi="Arial"/>
                <w:sz w:val="17"/>
                <w:szCs w:val="17"/>
                <w:color w:val="auto"/>
              </w:rPr>
              <w:t>Rate of increase in compensation levels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expected rate of return on 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1"/>
        </w:trPr>
        <w:tc>
          <w:tcPr>
            <w:tcW w:w="5960" w:type="dxa"/>
            <w:vAlign w:val="bottom"/>
            <w:gridSpan w:val="2"/>
          </w:tcPr>
          <w:p>
            <w:pPr>
              <w:spacing w:after="0"/>
              <w:rPr>
                <w:sz w:val="20"/>
                <w:szCs w:val="20"/>
                <w:color w:val="auto"/>
              </w:rPr>
            </w:pPr>
            <w:r>
              <w:rPr>
                <w:rFonts w:ascii="Arial" w:cs="Arial" w:eastAsia="Arial" w:hAnsi="Arial"/>
                <w:sz w:val="17"/>
                <w:szCs w:val="17"/>
                <w:color w:val="auto"/>
              </w:rPr>
              <w:t>Measurement date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7/31/2009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7"/>
                <w:szCs w:val="17"/>
                <w:color w:val="auto"/>
              </w:rPr>
              <w:t>7/31/2008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7/31/2009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7/31/2008</w:t>
            </w:r>
          </w:p>
        </w:tc>
        <w:tc>
          <w:tcPr>
            <w:tcW w:w="100" w:type="dxa"/>
            <w:vAlign w:val="bottom"/>
          </w:tcPr>
          <w:p>
            <w:pPr>
              <w:spacing w:after="0"/>
              <w:rPr>
                <w:sz w:val="17"/>
                <w:szCs w:val="17"/>
                <w:color w:val="auto"/>
              </w:rPr>
            </w:pPr>
          </w:p>
        </w:tc>
      </w:tr>
      <w:tr>
        <w:trPr>
          <w:trHeight w:val="201"/>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Census date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8/1/2009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7"/>
                <w:szCs w:val="17"/>
                <w:color w:val="auto"/>
              </w:rPr>
              <w:t>8/1/2008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8/1/2009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8/1/2008</w:t>
            </w:r>
          </w:p>
        </w:tc>
        <w:tc>
          <w:tcPr>
            <w:tcW w:w="100" w:type="dxa"/>
            <w:vAlign w:val="bottom"/>
            <w:shd w:val="clear" w:color="auto" w:fill="CCEEFF"/>
          </w:tcPr>
          <w:p>
            <w:pPr>
              <w:spacing w:after="0"/>
              <w:rPr>
                <w:sz w:val="17"/>
                <w:szCs w:val="17"/>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The medical cost trend assumption for postretirement health benefits was a graded rate starting at 9% and decreasing to an ultimate rate of 5% in 1% annual increments.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3" w:name="page14"/>
    <w:bookmarkEnd w:id="13"/>
    <w:p>
      <w:pPr>
        <w:ind w:left="100"/>
        <w:spacing w:after="0"/>
        <w:rPr>
          <w:sz w:val="20"/>
          <w:szCs w:val="20"/>
          <w:color w:val="auto"/>
        </w:rPr>
      </w:pPr>
      <w:r>
        <w:rPr>
          <w:rFonts w:ascii="Arial" w:cs="Arial" w:eastAsia="Arial" w:hAnsi="Arial"/>
          <w:sz w:val="17"/>
          <w:szCs w:val="17"/>
          <w:b w:val="1"/>
          <w:bCs w:val="1"/>
          <w:color w:val="auto"/>
        </w:rPr>
        <w:t>7. SEGMENT REPORTING</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two operating segments: Retail and Wholesale Products and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2009 filed with the SEC.</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center"/>
              <w:ind w:left="636"/>
              <w:spacing w:after="0"/>
              <w:rPr>
                <w:sz w:val="20"/>
                <w:szCs w:val="20"/>
                <w:color w:val="auto"/>
              </w:rPr>
            </w:pPr>
            <w:r>
              <w:rPr>
                <w:rFonts w:ascii="Arial" w:cs="Arial" w:eastAsia="Arial" w:hAnsi="Arial"/>
                <w:sz w:val="17"/>
                <w:szCs w:val="17"/>
                <w:b w:val="1"/>
                <w:bCs w:val="1"/>
                <w:color w:val="auto"/>
                <w:w w:val="82"/>
              </w:rPr>
              <w:t>Assets</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340"/>
              <w:spacing w:after="0" w:line="185" w:lineRule="exact"/>
              <w:rPr>
                <w:sz w:val="20"/>
                <w:szCs w:val="20"/>
                <w:color w:val="auto"/>
              </w:rPr>
            </w:pPr>
            <w:r>
              <w:rPr>
                <w:rFonts w:ascii="Arial" w:cs="Arial" w:eastAsia="Arial" w:hAnsi="Arial"/>
                <w:sz w:val="17"/>
                <w:szCs w:val="17"/>
                <w:b w:val="1"/>
                <w:bCs w:val="1"/>
                <w:color w:val="auto"/>
              </w:rPr>
              <w:t>April 30,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96"/>
              <w:spacing w:after="0" w:line="185" w:lineRule="exact"/>
              <w:rPr>
                <w:sz w:val="20"/>
                <w:szCs w:val="20"/>
                <w:color w:val="auto"/>
              </w:rPr>
            </w:pPr>
            <w:r>
              <w:rPr>
                <w:rFonts w:ascii="Arial" w:cs="Arial" w:eastAsia="Arial" w:hAnsi="Arial"/>
                <w:sz w:val="17"/>
                <w:szCs w:val="17"/>
                <w:b w:val="1"/>
                <w:bCs w:val="1"/>
                <w:color w:val="auto"/>
                <w:w w:val="99"/>
              </w:rPr>
              <w:t>July 31,</w:t>
            </w:r>
          </w:p>
        </w:tc>
        <w:tc>
          <w:tcPr>
            <w:tcW w:w="100" w:type="dxa"/>
            <w:vAlign w:val="bottom"/>
          </w:tcPr>
          <w:p>
            <w:pPr>
              <w:spacing w:after="0"/>
              <w:rPr>
                <w:sz w:val="16"/>
                <w:szCs w:val="16"/>
                <w:color w:val="auto"/>
              </w:rPr>
            </w:pPr>
          </w:p>
        </w:tc>
      </w:tr>
      <w:tr>
        <w:trPr>
          <w:trHeight w:val="223"/>
        </w:trPr>
        <w:tc>
          <w:tcPr>
            <w:tcW w:w="4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9"/>
                <w:szCs w:val="19"/>
                <w:color w:val="auto"/>
              </w:rPr>
            </w:pPr>
          </w:p>
        </w:tc>
      </w:tr>
      <w:tr>
        <w:trPr>
          <w:trHeight w:val="402"/>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6"/>
          </w:tcPr>
          <w:p>
            <w:pPr>
              <w:jc w:val="center"/>
              <w:ind w:right="300"/>
              <w:spacing w:after="0"/>
              <w:rPr>
                <w:sz w:val="20"/>
                <w:szCs w:val="20"/>
                <w:color w:val="auto"/>
              </w:rPr>
            </w:pPr>
            <w:r>
              <w:rPr>
                <w:rFonts w:ascii="Arial" w:cs="Arial" w:eastAsia="Arial" w:hAnsi="Arial"/>
                <w:sz w:val="17"/>
                <w:szCs w:val="17"/>
                <w:b w:val="1"/>
                <w:bCs w:val="1"/>
                <w:color w:val="auto"/>
                <w:w w:val="87"/>
              </w:rPr>
              <w:t>(in thousands)</w:t>
            </w: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Business to Business Products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44,481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42,581</w:t>
            </w:r>
          </w:p>
        </w:tc>
      </w:tr>
      <w:tr>
        <w:trPr>
          <w:trHeight w:val="201"/>
        </w:trPr>
        <w:tc>
          <w:tcPr>
            <w:tcW w:w="4220" w:type="dxa"/>
            <w:vAlign w:val="bottom"/>
          </w:tcPr>
          <w:p>
            <w:pPr>
              <w:spacing w:after="0"/>
              <w:rPr>
                <w:sz w:val="20"/>
                <w:szCs w:val="20"/>
                <w:color w:val="auto"/>
              </w:rPr>
            </w:pPr>
            <w:r>
              <w:rPr>
                <w:rFonts w:ascii="Arial" w:cs="Arial" w:eastAsia="Arial" w:hAnsi="Arial"/>
                <w:sz w:val="17"/>
                <w:szCs w:val="17"/>
                <w:b w:val="1"/>
                <w:bCs w:val="1"/>
                <w:color w:val="auto"/>
              </w:rPr>
              <w:t>Retail and Wholesale Products</w:t>
            </w:r>
          </w:p>
        </w:tc>
        <w:tc>
          <w:tcPr>
            <w:tcW w:w="2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65,854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69,300</w:t>
            </w:r>
          </w:p>
        </w:tc>
      </w:tr>
      <w:tr>
        <w:trPr>
          <w:trHeight w:val="20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Unallocated Assets</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43,204</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37,380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422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153,539</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149,261</w:t>
            </w:r>
          </w:p>
        </w:tc>
      </w:tr>
      <w:tr>
        <w:trPr>
          <w:trHeight w:val="20"/>
        </w:trPr>
        <w:tc>
          <w:tcPr>
            <w:tcW w:w="4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7"/>
                <w:szCs w:val="17"/>
                <w:b w:val="1"/>
                <w:bCs w:val="1"/>
                <w:color w:val="auto"/>
                <w:w w:val="98"/>
              </w:rPr>
              <w:t>Nine Months Ended April 30,</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7"/>
                <w:szCs w:val="17"/>
                <w:b w:val="1"/>
                <w:bCs w:val="1"/>
                <w:color w:val="auto"/>
              </w:rPr>
              <w:t>Net Sales</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7"/>
                <w:szCs w:val="17"/>
                <w:b w:val="1"/>
                <w:bCs w:val="1"/>
                <w:color w:val="auto"/>
              </w:rPr>
              <w:t>Operating Income</w:t>
            </w:r>
          </w:p>
        </w:tc>
        <w:tc>
          <w:tcPr>
            <w:tcW w:w="100" w:type="dxa"/>
            <w:vAlign w:val="bottom"/>
          </w:tcPr>
          <w:p>
            <w:pPr>
              <w:spacing w:after="0"/>
              <w:rPr>
                <w:sz w:val="17"/>
                <w:szCs w:val="17"/>
                <w:color w:val="auto"/>
              </w:rPr>
            </w:pPr>
          </w:p>
        </w:tc>
      </w:tr>
      <w:tr>
        <w:trPr>
          <w:trHeight w:val="206"/>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7"/>
                <w:szCs w:val="17"/>
                <w:color w:val="auto"/>
              </w:rPr>
            </w:pPr>
          </w:p>
        </w:tc>
      </w:tr>
      <w:tr>
        <w:trPr>
          <w:trHeight w:val="201"/>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116"/>
              <w:spacing w:after="0"/>
              <w:rPr>
                <w:sz w:val="20"/>
                <w:szCs w:val="20"/>
                <w:color w:val="auto"/>
              </w:rPr>
            </w:pPr>
            <w:r>
              <w:rPr>
                <w:rFonts w:ascii="Arial" w:cs="Arial" w:eastAsia="Arial" w:hAnsi="Arial"/>
                <w:sz w:val="17"/>
                <w:szCs w:val="17"/>
                <w:b w:val="1"/>
                <w:bCs w:val="1"/>
                <w:color w:val="auto"/>
              </w:rPr>
              <w:t>(in</w:t>
            </w:r>
          </w:p>
        </w:tc>
        <w:tc>
          <w:tcPr>
            <w:tcW w:w="620" w:type="dxa"/>
            <w:vAlign w:val="bottom"/>
            <w:gridSpan w:val="3"/>
          </w:tcPr>
          <w:p>
            <w:pPr>
              <w:spacing w:after="0"/>
              <w:rPr>
                <w:sz w:val="20"/>
                <w:szCs w:val="20"/>
                <w:color w:val="auto"/>
              </w:rPr>
            </w:pPr>
            <w:r>
              <w:rPr>
                <w:rFonts w:ascii="Arial" w:cs="Arial" w:eastAsia="Arial" w:hAnsi="Arial"/>
                <w:sz w:val="15"/>
                <w:szCs w:val="15"/>
                <w:b w:val="1"/>
                <w:bCs w:val="1"/>
                <w:color w:val="auto"/>
                <w:w w:val="74"/>
              </w:rPr>
              <w:t>thousands)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Business to Business Products</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57,577</w:t>
            </w:r>
          </w:p>
        </w:tc>
        <w:tc>
          <w:tcPr>
            <w:tcW w:w="42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58,841</w:t>
            </w:r>
          </w:p>
        </w:tc>
        <w:tc>
          <w:tcPr>
            <w:tcW w:w="500" w:type="dxa"/>
            <w:vAlign w:val="bottom"/>
            <w:gridSpan w:val="2"/>
            <w:shd w:val="clear" w:color="auto" w:fill="CCEEFF"/>
          </w:tcPr>
          <w:p>
            <w:pPr>
              <w:jc w:val="right"/>
              <w:ind w:right="247"/>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15,329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11,991</w:t>
            </w:r>
          </w:p>
        </w:tc>
      </w:tr>
      <w:tr>
        <w:trPr>
          <w:trHeight w:val="201"/>
        </w:trPr>
        <w:tc>
          <w:tcPr>
            <w:tcW w:w="4700" w:type="dxa"/>
            <w:vAlign w:val="bottom"/>
          </w:tcPr>
          <w:p>
            <w:pPr>
              <w:spacing w:after="0"/>
              <w:rPr>
                <w:sz w:val="20"/>
                <w:szCs w:val="20"/>
                <w:color w:val="auto"/>
              </w:rPr>
            </w:pPr>
            <w:r>
              <w:rPr>
                <w:rFonts w:ascii="Arial" w:cs="Arial" w:eastAsia="Arial" w:hAnsi="Arial"/>
                <w:sz w:val="17"/>
                <w:szCs w:val="17"/>
                <w:b w:val="1"/>
                <w:bCs w:val="1"/>
                <w:color w:val="auto"/>
              </w:rPr>
              <w:t>Retail and Wholesale Products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106,820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121,470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9,101</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11,908</w:t>
            </w:r>
          </w:p>
        </w:tc>
      </w:tr>
      <w:tr>
        <w:trPr>
          <w:trHeight w:val="25"/>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164,397</w:t>
            </w:r>
          </w:p>
        </w:tc>
        <w:tc>
          <w:tcPr>
            <w:tcW w:w="42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180,311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24,430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23,899</w:t>
            </w:r>
          </w:p>
        </w:tc>
      </w:tr>
      <w:tr>
        <w:trPr>
          <w:trHeight w:val="201"/>
        </w:trPr>
        <w:tc>
          <w:tcPr>
            <w:tcW w:w="47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Less:</w:t>
            </w:r>
          </w:p>
        </w:tc>
        <w:tc>
          <w:tcPr>
            <w:tcW w:w="13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470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Corporate Expenses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13,490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13,092</w:t>
            </w:r>
          </w:p>
        </w:tc>
      </w:tr>
      <w:tr>
        <w:trPr>
          <w:trHeight w:val="206"/>
        </w:trPr>
        <w:tc>
          <w:tcPr>
            <w:tcW w:w="4700" w:type="dxa"/>
            <w:vAlign w:val="bottom"/>
          </w:tcPr>
          <w:p>
            <w:pPr>
              <w:ind w:left="460"/>
              <w:spacing w:after="0"/>
              <w:rPr>
                <w:sz w:val="20"/>
                <w:szCs w:val="20"/>
                <w:color w:val="auto"/>
              </w:rPr>
            </w:pPr>
            <w:r>
              <w:rPr>
                <w:rFonts w:ascii="Arial" w:cs="Arial" w:eastAsia="Arial" w:hAnsi="Arial"/>
                <w:sz w:val="17"/>
                <w:szCs w:val="17"/>
                <w:b w:val="1"/>
                <w:bCs w:val="1"/>
                <w:color w:val="auto"/>
              </w:rPr>
              <w:t>Interest Expense, net of Interest Income</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1,132</w:t>
            </w:r>
          </w:p>
        </w:tc>
        <w:tc>
          <w:tcPr>
            <w:tcW w:w="100" w:type="dxa"/>
            <w:vAlign w:val="bottom"/>
          </w:tcPr>
          <w:p>
            <w:pPr>
              <w:spacing w:after="0"/>
              <w:rPr>
                <w:sz w:val="17"/>
                <w:szCs w:val="17"/>
                <w:color w:val="auto"/>
              </w:rPr>
            </w:pP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before Income Taxes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9,991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9,675</w:t>
            </w:r>
          </w:p>
        </w:tc>
      </w:tr>
      <w:tr>
        <w:trPr>
          <w:trHeight w:val="206"/>
        </w:trPr>
        <w:tc>
          <w:tcPr>
            <w:tcW w:w="4700" w:type="dxa"/>
            <w:vAlign w:val="bottom"/>
          </w:tcPr>
          <w:p>
            <w:pPr>
              <w:spacing w:after="0"/>
              <w:rPr>
                <w:sz w:val="20"/>
                <w:szCs w:val="20"/>
                <w:color w:val="auto"/>
              </w:rPr>
            </w:pPr>
            <w:r>
              <w:rPr>
                <w:rFonts w:ascii="Arial" w:cs="Arial" w:eastAsia="Arial" w:hAnsi="Arial"/>
                <w:sz w:val="17"/>
                <w:szCs w:val="17"/>
                <w:b w:val="1"/>
                <w:bCs w:val="1"/>
                <w:color w:val="auto"/>
              </w:rPr>
              <w:t>Income Taxes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(2,949)</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(2,641)</w:t>
            </w:r>
          </w:p>
        </w:tc>
      </w:tr>
      <w:tr>
        <w:trPr>
          <w:trHeight w:val="241"/>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7,042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7,034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423"/>
        </w:trPr>
        <w:tc>
          <w:tcPr>
            <w:tcW w:w="4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7"/>
                <w:szCs w:val="17"/>
                <w:b w:val="1"/>
                <w:bCs w:val="1"/>
                <w:color w:val="auto"/>
                <w:w w:val="96"/>
              </w:rPr>
              <w:t>Three Months Ended April 30,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7"/>
                <w:szCs w:val="17"/>
                <w:b w:val="1"/>
                <w:bCs w:val="1"/>
                <w:color w:val="auto"/>
              </w:rPr>
              <w:t>Net Sales</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7"/>
                <w:szCs w:val="17"/>
                <w:b w:val="1"/>
                <w:bCs w:val="1"/>
                <w:color w:val="auto"/>
              </w:rPr>
              <w:t>Operating Income</w:t>
            </w:r>
          </w:p>
        </w:tc>
        <w:tc>
          <w:tcPr>
            <w:tcW w:w="100" w:type="dxa"/>
            <w:vAlign w:val="bottom"/>
          </w:tcPr>
          <w:p>
            <w:pPr>
              <w:spacing w:after="0"/>
              <w:rPr>
                <w:sz w:val="17"/>
                <w:szCs w:val="17"/>
                <w:color w:val="auto"/>
              </w:rPr>
            </w:pPr>
          </w:p>
        </w:tc>
      </w:tr>
      <w:tr>
        <w:trPr>
          <w:trHeight w:val="206"/>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2010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7"/>
                <w:szCs w:val="17"/>
                <w:color w:val="auto"/>
              </w:rPr>
            </w:pPr>
          </w:p>
        </w:tc>
      </w:tr>
      <w:tr>
        <w:trPr>
          <w:trHeight w:val="201"/>
        </w:trPr>
        <w:tc>
          <w:tcPr>
            <w:tcW w:w="4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b w:val="1"/>
                <w:bCs w:val="1"/>
                <w:color w:val="auto"/>
              </w:rPr>
              <w:t>(in</w:t>
            </w:r>
          </w:p>
        </w:tc>
        <w:tc>
          <w:tcPr>
            <w:tcW w:w="1360" w:type="dxa"/>
            <w:vAlign w:val="bottom"/>
            <w:gridSpan w:val="4"/>
          </w:tcPr>
          <w:p>
            <w:pPr>
              <w:spacing w:after="0"/>
              <w:rPr>
                <w:sz w:val="20"/>
                <w:szCs w:val="20"/>
                <w:color w:val="auto"/>
              </w:rPr>
            </w:pPr>
            <w:r>
              <w:rPr>
                <w:rFonts w:ascii="Arial" w:cs="Arial" w:eastAsia="Arial" w:hAnsi="Arial"/>
                <w:sz w:val="17"/>
                <w:szCs w:val="17"/>
                <w:b w:val="1"/>
                <w:bCs w:val="1"/>
                <w:color w:val="auto"/>
              </w:rPr>
              <w:t>thousands)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Business to Business Products</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21,444</w:t>
            </w:r>
          </w:p>
        </w:tc>
        <w:tc>
          <w:tcPr>
            <w:tcW w:w="42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19,992</w:t>
            </w:r>
          </w:p>
        </w:tc>
        <w:tc>
          <w:tcPr>
            <w:tcW w:w="500" w:type="dxa"/>
            <w:vAlign w:val="bottom"/>
            <w:gridSpan w:val="2"/>
            <w:shd w:val="clear" w:color="auto" w:fill="CCEEFF"/>
          </w:tcPr>
          <w:p>
            <w:pPr>
              <w:jc w:val="right"/>
              <w:ind w:right="247"/>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5,903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4,085</w:t>
            </w:r>
          </w:p>
        </w:tc>
      </w:tr>
      <w:tr>
        <w:trPr>
          <w:trHeight w:val="201"/>
        </w:trPr>
        <w:tc>
          <w:tcPr>
            <w:tcW w:w="4700" w:type="dxa"/>
            <w:vAlign w:val="bottom"/>
          </w:tcPr>
          <w:p>
            <w:pPr>
              <w:spacing w:after="0"/>
              <w:rPr>
                <w:sz w:val="20"/>
                <w:szCs w:val="20"/>
                <w:color w:val="auto"/>
              </w:rPr>
            </w:pPr>
            <w:r>
              <w:rPr>
                <w:rFonts w:ascii="Arial" w:cs="Arial" w:eastAsia="Arial" w:hAnsi="Arial"/>
                <w:sz w:val="17"/>
                <w:szCs w:val="17"/>
                <w:b w:val="1"/>
                <w:bCs w:val="1"/>
                <w:color w:val="auto"/>
              </w:rPr>
              <w:t>Retail and Wholesale Products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34,815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7"/>
                <w:szCs w:val="17"/>
                <w:b w:val="1"/>
                <w:bCs w:val="1"/>
                <w:color w:val="auto"/>
              </w:rPr>
              <w:t>38,061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2,769</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4,693</w:t>
            </w:r>
          </w:p>
        </w:tc>
      </w:tr>
      <w:tr>
        <w:trPr>
          <w:trHeight w:val="25"/>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56,259</w:t>
            </w:r>
          </w:p>
        </w:tc>
        <w:tc>
          <w:tcPr>
            <w:tcW w:w="42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58,053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8,672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8,778</w:t>
            </w:r>
          </w:p>
        </w:tc>
      </w:tr>
      <w:tr>
        <w:trPr>
          <w:trHeight w:val="201"/>
        </w:trPr>
        <w:tc>
          <w:tcPr>
            <w:tcW w:w="47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Less:</w:t>
            </w:r>
          </w:p>
        </w:tc>
        <w:tc>
          <w:tcPr>
            <w:tcW w:w="13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470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Corporate Expenses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4,649</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4,948</w:t>
            </w:r>
          </w:p>
        </w:tc>
      </w:tr>
      <w:tr>
        <w:trPr>
          <w:trHeight w:val="206"/>
        </w:trPr>
        <w:tc>
          <w:tcPr>
            <w:tcW w:w="4700" w:type="dxa"/>
            <w:vAlign w:val="bottom"/>
          </w:tcPr>
          <w:p>
            <w:pPr>
              <w:ind w:left="460"/>
              <w:spacing w:after="0"/>
              <w:rPr>
                <w:sz w:val="20"/>
                <w:szCs w:val="20"/>
                <w:color w:val="auto"/>
              </w:rPr>
            </w:pPr>
            <w:r>
              <w:rPr>
                <w:rFonts w:ascii="Arial" w:cs="Arial" w:eastAsia="Arial" w:hAnsi="Arial"/>
                <w:sz w:val="17"/>
                <w:szCs w:val="17"/>
                <w:b w:val="1"/>
                <w:bCs w:val="1"/>
                <w:color w:val="auto"/>
              </w:rPr>
              <w:t>Interest Expense, net of Interest Income</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308</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410</w:t>
            </w:r>
          </w:p>
        </w:tc>
        <w:tc>
          <w:tcPr>
            <w:tcW w:w="100" w:type="dxa"/>
            <w:vAlign w:val="bottom"/>
          </w:tcPr>
          <w:p>
            <w:pPr>
              <w:spacing w:after="0"/>
              <w:rPr>
                <w:sz w:val="17"/>
                <w:szCs w:val="17"/>
                <w:color w:val="auto"/>
              </w:rPr>
            </w:pP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before Income Taxes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3,715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3,420</w:t>
            </w:r>
          </w:p>
        </w:tc>
      </w:tr>
      <w:tr>
        <w:trPr>
          <w:trHeight w:val="206"/>
        </w:trPr>
        <w:tc>
          <w:tcPr>
            <w:tcW w:w="4700" w:type="dxa"/>
            <w:vAlign w:val="bottom"/>
          </w:tcPr>
          <w:p>
            <w:pPr>
              <w:spacing w:after="0"/>
              <w:rPr>
                <w:sz w:val="20"/>
                <w:szCs w:val="20"/>
                <w:color w:val="auto"/>
              </w:rPr>
            </w:pPr>
            <w:r>
              <w:rPr>
                <w:rFonts w:ascii="Arial" w:cs="Arial" w:eastAsia="Arial" w:hAnsi="Arial"/>
                <w:sz w:val="17"/>
                <w:szCs w:val="17"/>
                <w:b w:val="1"/>
                <w:bCs w:val="1"/>
                <w:color w:val="auto"/>
              </w:rPr>
              <w:t>Income Taxes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(1,129)</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(1,004)</w:t>
            </w:r>
          </w:p>
        </w:tc>
      </w:tr>
      <w:tr>
        <w:trPr>
          <w:trHeight w:val="241"/>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2,586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2,416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4" w:name="page15"/>
    <w:bookmarkEnd w:id="14"/>
    <w:p>
      <w:pPr>
        <w:ind w:left="100"/>
        <w:spacing w:after="0"/>
        <w:rPr>
          <w:sz w:val="20"/>
          <w:szCs w:val="20"/>
          <w:color w:val="auto"/>
        </w:rPr>
      </w:pPr>
      <w:r>
        <w:rPr>
          <w:rFonts w:ascii="Arial" w:cs="Arial" w:eastAsia="Arial" w:hAnsi="Arial"/>
          <w:sz w:val="17"/>
          <w:szCs w:val="17"/>
          <w:b w:val="1"/>
          <w:bCs w:val="1"/>
          <w:color w:val="auto"/>
        </w:rPr>
        <w:t>8. STOCK-BASED COMPENSATION</w:t>
      </w:r>
    </w:p>
    <w:p>
      <w:pPr>
        <w:spacing w:after="0" w:line="236"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1995 Long Term Incentive Plan (the “1995 Plan”) provided for grants of both incentive and non-qualified stock options principally at an option price per share of 100% of the fair market value of our Class A Common Stock or, if no Class A Common Stock is outstanding, our Common Stock (“Stock”) on the date of grant. Stock options were generally granted with a five-year vesting period and a 10-year term. The stock options generally vest 25% two years after the grant date and 25% in each of the three following anniversaries of the grant date. This plan expired for purposes of issuing new grants on August 5, 2005. All stock issued from option exercises under this plan was from authorized but unissued stock. All restricted stock issued was from treasury stock.</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Oil-Dri Corporation of America 2006 Long Term Incentive Plan (“2006 Plan”) permits the grant of stock options, stock appreciation rights, restricted stock, restricted stock units, performance awards and other stock-based and cash-based awards. Our employees and non-employee directors are eligible to receive grants under the 2006 Plan. The total number of shares of stock subject to grants under the 2006 Plan may not exceed 937,500. Option grants covering 25,000 shares have been issued to our outside directors with a vesting period of one year and option grants covering 32,500 shares have been issued to employees with vesting similar to the vesting described above under the 1995 Plan. In addition, 95,182 restricted shares have been issued under the 2006 Plan.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Oil-Dri Corporation of America Outside Director Stock Plan (the “Directors’ Plan”) provides for grants of stock options to our directors, who are considered employees, at an option price per share of 100% of the fair market value of Common Stock on the date of grant. Stock options have been granted to our directors for a 10-year term with a one year vesting period. There are 52,250 stock options outstanding as of April 30, 2010 and no stock options are available for future grants under this plan. All stock issued under this plan were from treasury stock.</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Our Board announced a five-for-four stock split on June 6, 2006. The equitable adjustment of outstanding options to reflect a change in capitalization (such as a stock split) may require the recognition of incremental compensation expense if the adjustment is not determined to have been required by the actual terms of the equity incentive plan. In keeping with historical practices, we adjusted the number of shares and the option prices to equitably adjust all outstanding stock options; however, the Directors’ Plan and the 1995 Plan may be deemed to have been discretionary, rather than required by the actual terms of these plans. We therefore recognized additional stock-based compensation expense as a result of the modification in the third quarter and the first nine months of fiscal 2009 of approximately $8,000 and $69,000, respectively. As of the end of fiscal 2009, all additional compensation expense had been recognized; therefore, no additional expense has been recognized in fiscal 2010.</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stock options granted in the first nine months of fiscal years 2010 or 2009.</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Changes in our stock options during the first nine months of fiscal 2010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Weighted</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color w:val="auto"/>
                <w:w w:val="85"/>
              </w:rPr>
              <w:t>Average</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Number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Remaining</w:t>
            </w:r>
          </w:p>
        </w:tc>
        <w:tc>
          <w:tcPr>
            <w:tcW w:w="8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Aggregate</w:t>
            </w:r>
          </w:p>
        </w:tc>
      </w:tr>
      <w:tr>
        <w:trPr>
          <w:trHeight w:val="201"/>
        </w:trPr>
        <w:tc>
          <w:tcPr>
            <w:tcW w:w="4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7"/>
                <w:szCs w:val="17"/>
                <w:color w:val="auto"/>
                <w:w w:val="85"/>
              </w:rPr>
              <w:t>Shares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Average</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Contractual</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color w:val="auto"/>
                <w:w w:val="91"/>
              </w:rPr>
              <w:t>Intrinsic Value</w:t>
            </w:r>
          </w:p>
        </w:tc>
      </w:tr>
      <w:tr>
        <w:trPr>
          <w:trHeight w:val="219"/>
        </w:trPr>
        <w:tc>
          <w:tcPr>
            <w:tcW w:w="4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thousands)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Exercise Price</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Term (Years)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(in thousands)</w:t>
            </w:r>
          </w:p>
        </w:tc>
        <w:tc>
          <w:tcPr>
            <w:tcW w:w="100" w:type="dxa"/>
            <w:vAlign w:val="bottom"/>
          </w:tcPr>
          <w:p>
            <w:pPr>
              <w:spacing w:after="0"/>
              <w:rPr>
                <w:sz w:val="19"/>
                <w:szCs w:val="19"/>
                <w:color w:val="auto"/>
              </w:rPr>
            </w:pP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July 31, 2009</w:t>
            </w:r>
          </w:p>
        </w:tc>
        <w:tc>
          <w:tcPr>
            <w:tcW w:w="33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9.14</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5,737</w:t>
            </w:r>
          </w:p>
        </w:tc>
      </w:tr>
      <w:tr>
        <w:trPr>
          <w:trHeight w:val="201"/>
        </w:trPr>
        <w:tc>
          <w:tcPr>
            <w:tcW w:w="4020" w:type="dxa"/>
            <w:vAlign w:val="bottom"/>
          </w:tcPr>
          <w:p>
            <w:pPr>
              <w:spacing w:after="0"/>
              <w:rPr>
                <w:sz w:val="20"/>
                <w:szCs w:val="20"/>
                <w:color w:val="auto"/>
              </w:rPr>
            </w:pPr>
            <w:r>
              <w:rPr>
                <w:rFonts w:ascii="Arial" w:cs="Arial" w:eastAsia="Arial" w:hAnsi="Arial"/>
                <w:sz w:val="17"/>
                <w:szCs w:val="17"/>
                <w:color w:val="auto"/>
              </w:rPr>
              <w:t>Exercised</w:t>
            </w:r>
          </w:p>
        </w:tc>
        <w:tc>
          <w:tcPr>
            <w:tcW w:w="3360" w:type="dxa"/>
            <w:vAlign w:val="bottom"/>
            <w:gridSpan w:val="3"/>
          </w:tcPr>
          <w:p>
            <w:pPr>
              <w:jc w:val="right"/>
              <w:ind w:right="100"/>
              <w:spacing w:after="0"/>
              <w:rPr>
                <w:sz w:val="20"/>
                <w:szCs w:val="20"/>
                <w:color w:val="auto"/>
              </w:rPr>
            </w:pPr>
            <w:r>
              <w:rPr>
                <w:rFonts w:ascii="Arial" w:cs="Arial" w:eastAsia="Arial" w:hAnsi="Arial"/>
                <w:sz w:val="17"/>
                <w:szCs w:val="17"/>
                <w:color w:val="auto"/>
              </w:rPr>
              <w:t>(150)</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7.82</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1,493</w:t>
            </w:r>
          </w:p>
        </w:tc>
      </w:tr>
      <w:tr>
        <w:trPr>
          <w:trHeight w:val="20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Canceled</w:t>
            </w:r>
          </w:p>
        </w:tc>
        <w:tc>
          <w:tcPr>
            <w:tcW w:w="20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11.65</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r>
      <w:tr>
        <w:trPr>
          <w:trHeight w:val="25"/>
        </w:trPr>
        <w:tc>
          <w:tcPr>
            <w:tcW w:w="40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020" w:type="dxa"/>
            <w:vAlign w:val="bottom"/>
          </w:tcPr>
          <w:p>
            <w:pPr>
              <w:spacing w:after="0" w:line="181" w:lineRule="exact"/>
              <w:rPr>
                <w:sz w:val="20"/>
                <w:szCs w:val="20"/>
                <w:color w:val="auto"/>
              </w:rPr>
            </w:pPr>
            <w:r>
              <w:rPr>
                <w:rFonts w:ascii="Arial" w:cs="Arial" w:eastAsia="Arial" w:hAnsi="Arial"/>
                <w:sz w:val="17"/>
                <w:szCs w:val="17"/>
                <w:color w:val="auto"/>
              </w:rPr>
              <w:t>Options outstanding, April 30, 2010</w:t>
            </w:r>
          </w:p>
        </w:tc>
        <w:tc>
          <w:tcPr>
            <w:tcW w:w="2060" w:type="dxa"/>
            <w:vAlign w:val="bottom"/>
          </w:tcPr>
          <w:p>
            <w:pPr>
              <w:spacing w:after="0"/>
              <w:rPr>
                <w:sz w:val="17"/>
                <w:szCs w:val="17"/>
                <w:color w:val="auto"/>
              </w:rPr>
            </w:pPr>
          </w:p>
        </w:tc>
        <w:tc>
          <w:tcPr>
            <w:tcW w:w="1300" w:type="dxa"/>
            <w:vAlign w:val="bottom"/>
            <w:gridSpan w:val="2"/>
          </w:tcPr>
          <w:p>
            <w:pPr>
              <w:jc w:val="right"/>
              <w:ind w:right="160"/>
              <w:spacing w:after="0" w:line="181" w:lineRule="exact"/>
              <w:rPr>
                <w:sz w:val="20"/>
                <w:szCs w:val="20"/>
                <w:color w:val="auto"/>
              </w:rPr>
            </w:pPr>
            <w:r>
              <w:rPr>
                <w:rFonts w:ascii="Arial" w:cs="Arial" w:eastAsia="Arial" w:hAnsi="Arial"/>
                <w:sz w:val="17"/>
                <w:szCs w:val="17"/>
                <w:color w:val="auto"/>
              </w:rPr>
              <w:t>353</w:t>
            </w:r>
          </w:p>
        </w:tc>
        <w:tc>
          <w:tcPr>
            <w:tcW w:w="18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line="181" w:lineRule="exact"/>
              <w:rPr>
                <w:sz w:val="20"/>
                <w:szCs w:val="20"/>
                <w:color w:val="auto"/>
              </w:rPr>
            </w:pPr>
            <w:r>
              <w:rPr>
                <w:rFonts w:ascii="Arial" w:cs="Arial" w:eastAsia="Arial" w:hAnsi="Arial"/>
                <w:sz w:val="17"/>
                <w:szCs w:val="17"/>
                <w:color w:val="auto"/>
              </w:rPr>
              <w:t>9.69</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7"/>
                <w:szCs w:val="17"/>
                <w:color w:val="auto"/>
              </w:rPr>
              <w:t>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line="181" w:lineRule="exact"/>
              <w:rPr>
                <w:sz w:val="20"/>
                <w:szCs w:val="20"/>
                <w:color w:val="auto"/>
              </w:rPr>
            </w:pPr>
            <w:r>
              <w:rPr>
                <w:rFonts w:ascii="Arial" w:cs="Arial" w:eastAsia="Arial" w:hAnsi="Arial"/>
                <w:sz w:val="17"/>
                <w:szCs w:val="17"/>
                <w:color w:val="auto"/>
              </w:rPr>
              <w:t>3,810</w:t>
            </w:r>
          </w:p>
        </w:tc>
      </w:tr>
      <w:tr>
        <w:trPr>
          <w:trHeight w:val="20"/>
        </w:trPr>
        <w:tc>
          <w:tcPr>
            <w:tcW w:w="4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1"/>
        </w:trPr>
        <w:tc>
          <w:tcPr>
            <w:tcW w:w="402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Options exercisable, April 30, 2010</w:t>
            </w:r>
          </w:p>
        </w:tc>
        <w:tc>
          <w:tcPr>
            <w:tcW w:w="3360" w:type="dxa"/>
            <w:vAlign w:val="bottom"/>
            <w:gridSpan w:val="3"/>
            <w:shd w:val="clear" w:color="auto" w:fill="CCEEFF"/>
          </w:tcPr>
          <w:p>
            <w:pPr>
              <w:jc w:val="right"/>
              <w:ind w:right="160"/>
              <w:spacing w:after="0" w:line="181" w:lineRule="exact"/>
              <w:rPr>
                <w:sz w:val="20"/>
                <w:szCs w:val="20"/>
                <w:color w:val="auto"/>
              </w:rPr>
            </w:pPr>
            <w:r>
              <w:rPr>
                <w:rFonts w:ascii="Arial" w:cs="Arial" w:eastAsia="Arial" w:hAnsi="Arial"/>
                <w:sz w:val="17"/>
                <w:szCs w:val="17"/>
                <w:color w:val="auto"/>
              </w:rPr>
              <w:t>343</w:t>
            </w:r>
          </w:p>
        </w:tc>
        <w:tc>
          <w:tcPr>
            <w:tcW w:w="1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7"/>
                <w:szCs w:val="17"/>
                <w:color w:val="auto"/>
              </w:rPr>
              <w:t>9.48</w:t>
            </w:r>
          </w:p>
        </w:tc>
        <w:tc>
          <w:tcPr>
            <w:tcW w:w="136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7"/>
                <w:szCs w:val="17"/>
                <w:color w:val="auto"/>
              </w:rPr>
              <w:t>3,775</w:t>
            </w:r>
          </w:p>
        </w:tc>
      </w:tr>
      <w:tr>
        <w:trPr>
          <w:trHeight w:val="870"/>
        </w:trPr>
        <w:tc>
          <w:tcPr>
            <w:tcW w:w="402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jc w:val="right"/>
              <w:ind w:right="196"/>
              <w:spacing w:after="0"/>
              <w:rPr>
                <w:sz w:val="20"/>
                <w:szCs w:val="20"/>
                <w:color w:val="auto"/>
              </w:rPr>
            </w:pPr>
            <w:r>
              <w:rPr>
                <w:rFonts w:ascii="Arial" w:cs="Arial" w:eastAsia="Arial" w:hAnsi="Arial"/>
                <w:sz w:val="17"/>
                <w:szCs w:val="17"/>
                <w:color w:val="auto"/>
              </w:rPr>
              <w:t>15</w:t>
            </w: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0"/>
        </w:trPr>
        <w:tc>
          <w:tcPr>
            <w:tcW w:w="40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15" w:name="page16"/>
    <w:bookmarkEnd w:id="15"/>
    <w:p>
      <w:pPr>
        <w:jc w:val="both"/>
        <w:spacing w:after="0" w:line="275" w:lineRule="auto"/>
        <w:rPr>
          <w:sz w:val="20"/>
          <w:szCs w:val="20"/>
          <w:color w:val="auto"/>
        </w:rPr>
      </w:pPr>
      <w:r>
        <w:rPr>
          <w:rFonts w:ascii="Arial" w:cs="Arial" w:eastAsia="Arial" w:hAnsi="Arial"/>
          <w:sz w:val="16"/>
          <w:szCs w:val="16"/>
          <w:color w:val="auto"/>
        </w:rPr>
        <w:t>The amount of cash received from the exercise of stock options during the third quarter of fiscal 2010 was $827,000 and the related tax benefit was $334,000. The amount of cash received from the exercise of stock options during the third quarter of fiscal 2009 was $36,000 and the related tax benefit was $19,000. The amount of cash received from the exercise of stock options during the first nine months of fiscal 2010 was $1,177,000 and the related tax benefit was $433,000. The amount of cash received from the exercise of stock options during the first nine month of fiscal 2009 was $379,000 and the related tax benefit was $192,000.</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1995 Plan and 2006 Plan both provide for grants of restricted stock. The vesting schedule under the 1995 Plan has varied, but has generally been three years or less. Grants issued under the 2006 Plan to date have vesting periods between two and five years.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2006 Plan, 5,182 restricted shares of Class B Stock were granted in the first nine months of fiscal 2010. No shares of restricted stock were granted in the first nine months of fiscal 2009.</w:t>
      </w:r>
    </w:p>
    <w:p>
      <w:pPr>
        <w:spacing w:after="0" w:line="393"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Included in our stock-based compensation expense in the third quarter of fiscal years 2010 and 2009 was $76,000 and $71,000, respectively, related to unvested restricted stock. In the first nine months of fiscal years 2010 and 2009, the expense related to the unvested restricted stock was $227,000 and $219,000,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Changes in our restricted stock outstanding during the first nine months of fiscal 2010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6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7"/>
                <w:szCs w:val="17"/>
                <w:color w:val="auto"/>
                <w:w w:val="88"/>
              </w:rPr>
              <w:t>Restricted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Weighted</w:t>
            </w: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6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7"/>
                <w:szCs w:val="17"/>
                <w:color w:val="auto"/>
                <w:w w:val="85"/>
              </w:rPr>
              <w:t>Shares</w:t>
            </w:r>
          </w:p>
        </w:tc>
        <w:tc>
          <w:tcPr>
            <w:tcW w:w="8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7"/>
                <w:szCs w:val="17"/>
                <w:color w:val="auto"/>
                <w:w w:val="88"/>
              </w:rPr>
              <w:t>Average Grant</w:t>
            </w: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6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(in thousands)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w w:val="88"/>
              </w:rPr>
              <w:t>Date Fair Value</w:t>
            </w:r>
          </w:p>
        </w:tc>
        <w:tc>
          <w:tcPr>
            <w:tcW w:w="1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Unvested restricted stock at July 31, 2009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15.37</w:t>
            </w: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60" w:type="dxa"/>
            <w:vAlign w:val="bottom"/>
          </w:tcPr>
          <w:p>
            <w:pPr>
              <w:spacing w:after="0"/>
              <w:rPr>
                <w:sz w:val="20"/>
                <w:szCs w:val="20"/>
                <w:color w:val="auto"/>
              </w:rPr>
            </w:pPr>
            <w:r>
              <w:rPr>
                <w:rFonts w:ascii="Arial" w:cs="Arial" w:eastAsia="Arial" w:hAnsi="Arial"/>
                <w:sz w:val="17"/>
                <w:szCs w:val="17"/>
                <w:color w:val="auto"/>
              </w:rPr>
              <w:t>Vested</w:t>
            </w: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c>
          <w:tcPr>
            <w:tcW w:w="2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15.37</w:t>
            </w: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15.10</w:t>
            </w: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60" w:type="dxa"/>
            <w:vAlign w:val="bottom"/>
          </w:tcPr>
          <w:p>
            <w:pPr>
              <w:spacing w:after="0" w:line="181" w:lineRule="exact"/>
              <w:rPr>
                <w:sz w:val="20"/>
                <w:szCs w:val="20"/>
                <w:color w:val="auto"/>
              </w:rPr>
            </w:pPr>
            <w:r>
              <w:rPr>
                <w:rFonts w:ascii="Arial" w:cs="Arial" w:eastAsia="Arial" w:hAnsi="Arial"/>
                <w:sz w:val="17"/>
                <w:szCs w:val="17"/>
                <w:color w:val="auto"/>
              </w:rPr>
              <w:t>Unvested restricted stock at April 30, 2010</w:t>
            </w:r>
          </w:p>
        </w:tc>
        <w:tc>
          <w:tcPr>
            <w:tcW w:w="1220" w:type="dxa"/>
            <w:vAlign w:val="bottom"/>
            <w:gridSpan w:val="2"/>
          </w:tcPr>
          <w:p>
            <w:pPr>
              <w:jc w:val="right"/>
              <w:ind w:right="120"/>
              <w:spacing w:after="0" w:line="181" w:lineRule="exact"/>
              <w:rPr>
                <w:sz w:val="20"/>
                <w:szCs w:val="20"/>
                <w:color w:val="auto"/>
              </w:rPr>
            </w:pPr>
            <w:r>
              <w:rPr>
                <w:rFonts w:ascii="Arial" w:cs="Arial" w:eastAsia="Arial" w:hAnsi="Arial"/>
                <w:sz w:val="17"/>
                <w:szCs w:val="17"/>
                <w:color w:val="auto"/>
              </w:rPr>
              <w:t>23</w:t>
            </w:r>
          </w:p>
        </w:tc>
        <w:tc>
          <w:tcPr>
            <w:tcW w:w="260" w:type="dxa"/>
            <w:vAlign w:val="bottom"/>
            <w:gridSpan w:val="2"/>
          </w:tcPr>
          <w:p>
            <w:pPr>
              <w:ind w:left="80"/>
              <w:spacing w:after="0" w:line="181"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7"/>
                <w:szCs w:val="17"/>
                <w:color w:val="auto"/>
              </w:rPr>
              <w:t>15.31</w:t>
            </w: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7"/>
                <w:szCs w:val="17"/>
                <w:color w:val="auto"/>
                <w:w w:val="94"/>
              </w:rPr>
              <w:t>16</w:t>
            </w: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4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3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spacing w:after="0"/>
        <w:tabs>
          <w:tab w:leader="none" w:pos="8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year ended July 31, 2009.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2009.</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23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develop, manufacture and market sorbent products principally produced from clay minerals and, to a lesser extent, other sorbent materials. Our principal products include cat litter, industrial and automotive absorbents, bleaching clay and clarification aids, agricultural chemical carriers, animal health and nutrition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We have two reportable segments, the Retail and Wholesale Products Group and the Business to Business Products Group, as described in Note 7 of the unaudited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NINE MONTHS ENDED APRIL 30, 2010 COMPARED TO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NINE MONTHS ENDED APRIL 30, 2009</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Consolidated net sales for the nine months ended April 30, 2010 were $164,397,000, a decrease of 9% from net sales of $180,311,000 in the first nine months of fiscal</w:t>
      </w:r>
    </w:p>
    <w:p>
      <w:pPr>
        <w:spacing w:after="0" w:line="4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auto"/>
        </w:rPr>
        <w:t>2009.</w:t>
      </w:r>
      <w:r>
        <w:rPr>
          <w:sz w:val="20"/>
          <w:szCs w:val="20"/>
          <w:color w:val="auto"/>
        </w:rPr>
        <w:tab/>
      </w:r>
      <w:r>
        <w:rPr>
          <w:rFonts w:ascii="Arial" w:cs="Arial" w:eastAsia="Arial" w:hAnsi="Arial"/>
          <w:sz w:val="16"/>
          <w:szCs w:val="16"/>
          <w:color w:val="auto"/>
        </w:rPr>
        <w:t>Net income for the first nine months of fiscal 2010 was $7,042,000, a slight increase from net income of $7,034,000 in the first nine months of fiscal</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2009. Diluted net income per share for the first nine months of fiscal 2010 was $0.96 compared to $0.97 for the first nine months of fiscal 2009.</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Net income for the first nine months of fiscal 2010 was negatively affected by decreased tons sold; however, increased sales of higher margin products and lower costs for packaging, freight and materials had a significant positive impact on our results. Material costs decreased due primarily to the lower cost of fuel used to dry our clay-based products and to transport raw materials. Freight costs declined due primarily to lower diesel fuel prices, which impacted our truck, rail and ocean freight distribution channels. Packaging costs declined due to price decreases in the resin and paper markets. The Business to Business Products Group experienced improved segment operating income as a greater proportion of sales from higher margin products, accompanied by lower costs, outweighed the impact of fewer tons sold. The Retail and Wholesale Products Group’s segment operating income declined as a reduction in tons sold prevailed over the benefit of lower costs.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BUSINESS TO BUSINESS PRODUCTS GROUP</w:t>
      </w:r>
    </w:p>
    <w:p>
      <w:pPr>
        <w:spacing w:after="0" w:line="232"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Net sales of the Business to Business Products Group for the first nine months of fiscal 2010 were $57,577,000, a decrease of $1,264,000, or 2%, from net sales of $58,841,000 in the first nine months of fiscal 2009. The decrease resulted primarily from a 4% decrease in tons sold for the Group; however, increased sales of higher priced products partially offset the decline in tons sold. Our co-packaged traditional coarse cat litter net sales decreased 14% with 4% fewer tons sold in the first nine months of fiscal 2010 compared to the first nine months of fiscal 2009. Net sales for the first nine months of fiscal 2010 were adversely affected by a lower net selling price; however, the net selling price increased in April 2010 under the terms of the agreement with our co-packaging partner. In addition, both the loss of a small co-packaging customer during the latter part of fiscal 2009 and a decline in the coarse cat litter market contributed to the decreased net sales and tons sold. Net sales of agricultural chemical carriers decreased 22% and tons sold decreased 20% compared to the first nine months of 2009 due primarily to the continued downturn in the agricultural chemical carriers market. Net sales of our flowability aid product were down 18% compared to the first nine months of 2009. Price competition and low levels of protein in the soybean crop, which inhibited the use of flowability aids in animal feed, drove the lower sales. Net sales of bleaching earth and fluid purification products increased 16% in the first nine months of fiscal 2010 due to 17% more tons sold. Sales in export markets improved as lower freight costs and a weaker U.S. dollar relative to certain foreign currencies during the first nine months of fiscal 2010 compared to the same period in the prior fiscal year made our products more competitive in the global marketplace. Some export markets also experienced a decline in the quality of soybean oil that resulted in increased demand for our bleaching earth products. In addition, sales of our fluid purification products used in the biodiesel industry and in palm oil processing increased compared to the first nine months of fiscal 2009. Net sales of animal health and nutrition products increased 1% in the first nine months of fiscal 2010. Increased sales of our enterosorbent products, which were introduced during fiscal 2009, were partially offset by a decline in net sales of our traditional animal health and nutrition products. Baseball-related sports products net sales increased 11% compared to the first nine months of fiscal 2009 due to customer purchases earlier in the baseball season and sales incentives.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17" w:name="page18"/>
    <w:bookmarkEnd w:id="17"/>
    <w:p>
      <w:pPr>
        <w:jc w:val="both"/>
        <w:spacing w:after="0" w:line="250" w:lineRule="auto"/>
        <w:rPr>
          <w:sz w:val="20"/>
          <w:szCs w:val="20"/>
          <w:color w:val="auto"/>
        </w:rPr>
      </w:pPr>
      <w:r>
        <w:rPr>
          <w:rFonts w:ascii="Arial" w:cs="Arial" w:eastAsia="Arial" w:hAnsi="Arial"/>
          <w:sz w:val="17"/>
          <w:szCs w:val="17"/>
          <w:color w:val="auto"/>
        </w:rPr>
        <w:t>The Business to Business Products Group’s segment operating income for the first nine months of fiscal 2010 was $15,329,000, an increase of $3,338,000, or 28%, from operating income of $11,991,000 in the first nine months of fiscal 2009. This increase was driven by a combination of a greater proportion of net sales of higher margin products and lower costs. Combined freight, materials and packaging costs decreased approximately 7%. Freight costs decreased approximately 10% due primarily to lower diesel fuel prices. Packaging costs decreased approximately 7% due to lower prices for resin and paper used in packaging. Material costs were impacted by lower energy-related costs in our mining and manufacturing processes, which contributed to an approximately 7% decrease in material costs. Selling, general and administrative expenses for the Group were 3% higher due to increased personnel, market research and promotion costs associated with our upcoming launch of a new agricultural engineered granule product.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RETAIL AND WHOLESALE PRODUCTS GROUP</w:t>
      </w:r>
    </w:p>
    <w:p>
      <w:pPr>
        <w:spacing w:after="0" w:line="23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Net sales of the Retail and Wholesale Products Group for the first nine months of fiscal 2010 were $106,820,000, a decrease of $14,650,000, or 12%, from net sales of $121,470,000 reported in the first nine months of fiscal 2009. The net sales decline was driven by decreases in both average net selling prices and tons sold. The Group’s total tons sold were down 9% compared to the first nine months of fiscal 2009. Cat litter net sales were down approximately 18% compared to the first nine months of fiscal 2009 due primarily to 11% lower tons sold. The average net selling price for cat litter also declined in part due to increased trade spending for product promotions, which were deducted from net sales. Net sales of branded cat litter decreased 29% compared to the first nine months of fiscal 2009 due primarily to 18% fewer tons sold. As discussed in our Annual Report on Form 10-K for the fiscal year ended July 31, 2009, Walmart Stores, Inc. (“Walmart”) began to carry a reduced number of cat litter brands in August 2009. During the third quarter of fiscal 2010, Walmart reinstated our branded scoopable litter in a limited number of stores; however, the new store count remains materially reduced from the store count at the end of fiscal 2009. Customer loyalty to our branded cat litter and increased trade spending drove incremental sales at customers other than Walmart, which partially offset the overall sales decline. Net sales of private label cat litter decreased 6% compared to the first nine months of fiscal 2009 due to 8% fewer tons sold. Purchases by several of our larger private label customers declined due to general economic conditions and a continued overall decline in the coarse cat litter category. Industrial absorbents net sales decreased 4% compared to the first nine months of fiscal 2009 with 7% lower tons sold due primarily to weak economic conditions in the manufacturing and automotive industries.</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Retail and Wholesale Products Group’s segment operating income for the first nine months of fiscal 2010 was $9,101,000, a decrease of $2,807,000, or 24%, from operating income of $11,908,000 in the first nine months of fiscal 2009. The decrease is attributed to the lower net sales described above that prevailed over a decrease of approximately 3% for the Group’s combined freight, materials and packaging costs compared to the first nine months of fiscal 2009. Packaging costs decreased approximately 12% due to lower prices for resin and paper used in packaging. Freight costs decreased approximately 5% in the first nine months of fiscal 2010 due primarily to lower diesel fuel prices. Material costs increased 2% as the benefit of lower energy-related costs in our mining and manufacturing processes was more than offset by the negative cost impact of lower tons produced at some of our manufacturing facilities. Selling, general and administrative expenses for the Group decreased 2% compared to the first nine months of fiscal 2009 due primarily to a lower currency translation loss reported by our foreign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CONSOLIDATED RESULTS</w:t>
      </w:r>
    </w:p>
    <w:p>
      <w:pPr>
        <w:spacing w:after="0" w:line="23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Our consolidated gross profit as a percentage of net sales for the first nine months of fiscal 2010 was 23% compared to 21% in the first nine months of fiscal 2009. Gross profit was positively impacted by increased sales of higher margin products and lower costs for packaging, freight, material, and fuel used in our manufacturing processes. The cost of fuel was 38% lower in the first nine months of fiscal 2010 compared to the first nine months of fiscal 2009. We use natural gas, fuel oil and coal in the manufacturing process to operate kilns that dry our clay. As described in Item 3. Quantitative and Qualitative Disclosures About Market Risk below, we have contracted for a portion of our planned fuel needs for fiscal 2010. Gross profit for the first nine months of fiscal 2010 was negatively impacted by a 12% increase in non-fuel manufacturing costs per ton produced, which include depreciation and amortization. This cost increase per ton was driven primarily by 10% fewer tons produced and increased expenditures for employee benefits and repairs. Many of the other non-fuel manufacturing costs, such as salaries and certain labor costs, and depreciation, were relatively consistent with fiscal 2009 levels, despite the reduced number of tons produced, due to their generally fixed nature.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jc w:val="both"/>
        <w:spacing w:after="0" w:line="251" w:lineRule="auto"/>
        <w:rPr>
          <w:sz w:val="20"/>
          <w:szCs w:val="20"/>
          <w:color w:val="auto"/>
        </w:rPr>
      </w:pPr>
      <w:r>
        <w:rPr>
          <w:rFonts w:ascii="Arial" w:cs="Arial" w:eastAsia="Arial" w:hAnsi="Arial"/>
          <w:sz w:val="17"/>
          <w:szCs w:val="17"/>
          <w:color w:val="auto"/>
        </w:rPr>
        <w:t>Selling, general and administrative expenses as a percentage of net sales for the first nine months of fiscal 2010 were 17% compared to 15% in the first nine months of fiscal 2009. The discussions of the Groups’ segment operating income above describe the fluctuation in the selling, general and administrative expenses that were allocated to the operating segments. The remaining unallocated corporate expenses in the first nine months of fiscal 2010 included a greater estimated annual incentive plan bonus accrual. The higher incentive bonus expense was based on performance targets that are established for each fiscal year. The increased bonus expense was partially offset by reduced spending for research and development as we moved further through the development cycle for several new products and lower costs for outside legal services.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Interest expense was $401,000 less for the first nine months of fiscal 2010 compared to the same period in fiscal 2009 due to capitalized interest expense for a new product-related capital project and continued debt reduction. Interest income was $218,000 lower in the first nine months of fiscal 2010, despite a higher average investment balance, due to a lower average interest rate.</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effective tax rate was 30% of pre-tax income for the first nine months of fiscal 2010, compared to a 28% effective tax rate for the full year of fiscal 2009. The effective tax rate for fiscal 2010 is based on the projected composition and level of our taxable income for the year. We expect our effective tax rate for fiscal 2010 to increase compared to fiscal 2009 as our tax deduction for depletion is projected to decrease due primarily to fewer tons sold.</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Total assets increased $4,278,000, or 3%, during the first nine months of fiscal 2010. Current assets increased $2,675,000, or 4%, from fiscal 2009 year end balances due primarily to increased cash and cash equivalents. This increase was partially offset by decreases in investment in securities, accounts receivable, inventories and prepaid repairs expense. The changes in current assets are described below in Liquidity and Capital Resources. Property, plant and equipment, net of accumulated depreciation, increased $2,380,000 during the first nine months of fiscal 2010 due to additions in excess of depreciation expense. Additions were primarily for land, mineral rights, replacement of machinery and other capital projects at our manufacturing facilities. During the first nine months of fiscal 2010, we acquired land and mineral rights for approximately $3,000,000 near our Georgia production plant. Other noncurrent assets decreased $777,000 from fiscal 2009 year end balances due to payments received on a lease receivable related to a co-packaging agreement, lower deferred income taxes and amortization of certain other assets.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Total liabilities increased $99,000 during the first nine months of fiscal 2010. Current liabilities increased $2,708,000, or 11%, from fiscal 2009 year end balances due primarily to increased accrued freight, accounts payable, accrued salaries, accrued trade promotions and current maturities of notes payable. Current maturities of notes payable increased as the amount reclassified from noncurrent liabilities was greater than debt payments. Lower other accrued expenses partially offset these increases. The changes in current liabilities are described below in Liquidity and Capital Resources. Noncurrent liabilities decreased $2,609,000, or 7%, from fiscal 2009 year end balances due to the reclassification of notes payable from noncurrent to current that was partially offset by higher accruals for pension and postretirement benefits and deferred compensation. The accrued pension and postretirement benefit liability was based on the most recent actuarial estimates. The increase in the deferred compensation liability was due to ongoing deferrals and accrued interest in excess of payouts.</w:t>
      </w:r>
    </w:p>
    <w:p>
      <w:pPr>
        <w:spacing w:after="0" w:line="19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results of operations for the nine months ending April 30, 2010 included an increase in cost of sales of approximately $400,000 related to an overstatement of supplies inventory at one of our manufacturing facilities as of July 31, 2009. The overstatement of inventory had accumulated over a number of years and was the result of alleged theft. This increase was offset by expected insurance proceeds, which were received in the third quarter of fiscal 2010; therefore, there was no impact to net income. We have determined that the adjustment to supplies inventory was not material to the first nine months of fiscal 2010 or any previously reported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THREE MONTHS ENDED APRIL 30, 2010 COMPARED TO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THREE MONTHS ENDED APRIL 30, 2009</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Consolidated net sales for the three months ended April 30, 2010 were $56,259,000, a decrease of 3% from net sales of $58,053,000 in the third quarter of fiscal 2009. Net income for the third quarter fiscal 2010 was $2,586,000, an increase of 7% from net income of $2,416,000 in the third quarter of fiscal 2009. Diluted net income per share for the third quarter of fiscal 2010 was $0.35 compared to $0.33 for the third quarter of fiscal 2009.</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Net income for the third quarter of fiscal 2010 was positively affected by increased sales of higher margin products, lower selling, general and administrative expenses and lower cost of sales, which more than offset the decline in net sales due to fewer tons sold. The change in selling, general and administrative expenses is described in the operating segments and consolidated results discussions below. A decline in packaging costs, primarily due to price decreases in the resin and paper markets, more than offset increased freight and materials costs. Freight costs increased due to higher diesel fuel prices, which impacted our truck, rail and ocean freight distribution channels. Materials costs increased as the benefit of lower energy-related costs in our mining and manufacturing processes was offset by the negative cost impact of lower tons produced at some of our manufacturing facilities. The Business to Business Products Group’s segment operating income improved due to a greater proportion of sales from higher margin products, lower costs and higher tons sold; however, segment operating income declined in the Retail and Wholesale Products Group due to fewer tons sold, a lower average net selling price and slightly higher costs.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BUSINESS TO BUSINESS PRODUCTS GROUP</w:t>
      </w:r>
    </w:p>
    <w:p>
      <w:pPr>
        <w:spacing w:after="0" w:line="23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sales of the Business to Business Products Group for the third quarter of fiscal 2010 were $21,444,000, an increase of $1,452,000, or 7%, from net sales of $19,992,000 in the third quarter of fiscal 2009. The Group benefited from a greater proportion of sales from higher margin products along with a 4% increase in tons sold. Net sales of bleaching earth and fluid purification products increased 33% with approximately 47% more tons sold in the third quarter of fiscal 2010 compared to the third quarter of fiscal 2009. Export sales improved as lower freight costs and a weaker U.S. dollar relative to certain foreign currencies during the third quarter of fiscal 2010 compared to the same period in the prior fiscal year made our products more competitive in the global marketplace. Some export markets also experienced a decline in the quality of soybean oil that resulted in increased demand for our bleaching earth products. In addition, sales of our fluid purification products used in the biodiesel industry and in palm oil processing increased compared to the third quarter of fiscal 2009. Animal health and nutrition products net sales increased 16% compared to the third quarter of fiscal 2009. Increased net sales of our enterosorbent products, which were introduced during fiscal 2009, offset lower sales of our traditional animal health and nutrition products. Baseball-related sports products sales were 15% higher compared to the third quarter of fiscal 2009 due to customer purchases earlier in the baseball season and sales incentives. These increased sales were partially offset by a 29% decrease in net sales and a 20% decrease in tons sold for our agricultural chemical carriers due to the continued downturn in the agricultural chemical carrier market. Our co-packaged traditional coarse cat litter net sales decreased 5%, although 3% more tons were sold compared to the third quarter of fiscal 2009. Net sales for the third quarter of fiscal 2010 were adversely affected by a lower net selling price; however, the net selling price increased in April 2010 under the terms of the agreement with our current co-packaging partner. The loss of a small co-packaging customer during the latter part of fiscal 2009 contributed to the decreased net sales, but the increase in tons sold to our remaining co-packaging partner more than offset the tons lost.</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Business to Business Products Group’s segment operating income for the third quarter of fiscal 2010 was $5,903,000, an increase of $1,818,000, or 45%, from operating income of $4,085,000 in the third quarter of fiscal 2009. This increase was driven by a combination of a greater proportion of net sales from higher margin products and lower costs. Combined freight, materials and packaging costs decreased approximately 3%. Material costs were impacted by lower energy-related costs in our mining and manufacturing processes, which contributed to an approximately 6% decrease in material costs. Freight costs increased approximately 3% due primarily to higher diesel fuel prices. Packaging costs also increased slightly. Selling, general and administrative expenses for the Group were down 4% compared to the third quarter of fiscal 2009. In the third quarter of fiscal 2009, costs were incurred for the launch of new animal health and nutrition products which were not incurred in the third quarter of fiscal 2010. This decrease was partially offset by higher costs in the third quarter of fiscal 2010 for personnel, market research, and technical services associated with our upcoming launch of new agricultural engineered granule products.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RETAIL AND WHOLESALE PRODUCTS GROUP</w:t>
      </w:r>
    </w:p>
    <w:p>
      <w:pPr>
        <w:spacing w:after="0" w:line="23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sales of the Retail and Wholesale Products Group for the third quarter of fiscal 2010 were $34,815,000, a decrease of $3,246,000, or 9%, from net sales of $38,061,000 in the third quarter of fiscal 2009. The net sales decline was driven by decreases in both average net selling prices and tons sold. The Group’s total tons sold were down 7% compared to the third quarter of fiscal 2009. Cat litter net sales were down approximately 16% compared to the third quarter of fiscal 2009 due primarily to 9% lower tons sold. The average net selling price declined in part due to increased trade spending for product promotions, which are deducted from net sales. Net sales of branded cat litter decreased approximately 27% compared to the third quarter of fiscal 2009 due primarily to 14% fewer tons sold. As discussed in our Annual Report on Form 10-K for the fiscal year ended July 31, 2009, Walmart Stores, Inc. (“Walmart”) began to carry a reduced number of cat litter brands in August 2009. During the third quarter of fiscal 2010, Walmart reinstated our branded scoopable litter in a limited number of stores; however, the new store count remains materially reduced from the store count at the end of fiscal 2009. Customer loyalty to our branded cat litter and increased trade spending drove incremental sales at customers other than Walmart, which partially offset the overall sales decline. Net sales of private label cat litter decreased approximately 4% in the third quarter of fiscal 2010 due to 7% fewer tons sold. Purchases by several of our larger private label customers declined we believe due to general economic conditions and a continued overall decline in the coarse cat litter category. In contrast, industrial absorbents net sales increased 5% compared to the third quarter of fiscal 2009 with 4% higher volume due primarily to increased demand from industrial distributors.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jc w:val="both"/>
        <w:spacing w:after="0" w:line="289" w:lineRule="auto"/>
        <w:rPr>
          <w:sz w:val="20"/>
          <w:szCs w:val="20"/>
          <w:color w:val="auto"/>
        </w:rPr>
      </w:pPr>
      <w:r>
        <w:rPr>
          <w:rFonts w:ascii="Arial" w:cs="Arial" w:eastAsia="Arial" w:hAnsi="Arial"/>
          <w:sz w:val="15"/>
          <w:szCs w:val="15"/>
          <w:color w:val="auto"/>
        </w:rPr>
        <w:t>The Retail and Wholesale Products Group’s segment operating income for the third quarter of fiscal 2010 was $2,769,000, a decrease of $1,924,000, or 41%, from operating income of $4,693,000 in the third quarter of fiscal 2009. The Group’s combined freight, materials and packaging costs increased approximately 4% from the third quarter of fiscal 2009. Material costs increased 10% as the benefit of lower energy-related costs in our mining and manufacturing processes was more than offset by the negative cost impact of lower tons produced at some of our manufacturing facilities. Freight costs increased approximately 4% due primarily to higher diesel fuel prices. Packaging costs decreased approximately 9% due primarily to lower prices for resin and paper used in packaging. Selling, general and administrative expenses for the Group were 7% higher compared to the third quarter of fiscal 2009. Expenses increased due primarily to a currency exchange loss reported by our foreign operations in the third quarter of fiscal 2010 compared to a corresponding currency exchange gain reported in the same period of fiscal 2009.</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CONSOLIDATED RESULTS</w:t>
      </w:r>
    </w:p>
    <w:p>
      <w:pPr>
        <w:spacing w:after="0" w:line="23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consolidated gross profit as a percentage of net sales for the third quarter of fiscal 2010 was 23%, the same as in the third quarter of fiscal 2009. Gross profit was positively impacted by lower costs for packaging and fuel used in our manufacturing processes. The cost of fuel was 29% lower in the third quarter of fiscal 2010 compared to the third quarter of fiscal 2009. We use natural gas, fuel oil and coal in the manufacturing process to operate kilns that dry our clay. As described in Item 3. Quantitative and Qualitative Disclosures About Market Risk below, we have contracted for a portion of our planned fuel needs for fiscal 2010. Gross profit for the third quarter of fiscal 2010 was negatively impacted by a 10% increase in non-fuel manufacturing cost per ton produced, which includes depreciation and amortization. This cost increase per ton was driven primarily by 7% fewer tons produced and increased expenditures for employee benefits and repairs. Many of the other non-fuel manufacturing costs, such as salaries and certain labor costs, and depreciation, were relatively consistent with the third quarter of fiscal 2009 levels, despite the reduced number of tons produced, due to their generally fixed nature.</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Selling, general and administrative expenses as a percentage of net sales for the third quarter of fiscal 2010 were 17%, the same as for the third quarter of fiscal 2009. The discussions of the Groups’ operating income above describe the fluctuation in the selling, general and administrative expenses that were allocated to the operating segments. The remaining unallocated corporate expenses in the third quarter of fiscal 2010 included lower costs for outside legal services and a lower quarterly estimated annual incentive plan bonus accrual. The quarter’s incentive bonus expense was based on performance targets that are established for each fiscal year.</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Interest expense was $133,000 less for the third quarter of fiscal 2010 compared to the same period in fiscal 2009 due to capitalized interest expense for a new product-related capital project and continued debt reduction. Interest income was $31,000 lower in the third quarter of fiscal 2010, despite higher average investment balances, due to a lower average interest rate.</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effective tax rate was 30% of pre-tax income in the third quarter of fiscal 2010, compared to the 28% effective tax rate for the full year of fiscal 2009. The effective tax rate for fiscal 2010 is based on the projected composition and level of our taxable income for the year. We expect our effective tax rate for fiscal 2010 to increase compared to fiscal 2009 as our tax deduction for depletion is projected to decrease due primarily to fewer tons sold.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FOREIGN OPERATIONS</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Net sales by our foreign subsidiaries during the first nine months of fiscal 2010 were $10,621,000, an increase of 4% from net sales of $10,206,000 during the first nine months of fiscal 2009. Net sales by our foreign subsidiaries represented 6% of our consolidated net sales during the first nine months of fiscal 2010, the same percentage as during the first nine months of fiscal 2009. Net sales of our Canadian subsidiary increased due to higher net sales of both industrial products and cat litter, including sales to a new customer. In addition, the Canadian Dollar was about 12% stronger on average against the U.S. Dollar for the first nine months of fiscal 2010 compared to the first nine months of fiscal 2009, which resulted in higher sales values after translation to U.S. Dollars. Partially offsetting the higher Canadian net sales was a decline in net sales of industrial absorbents by our United Kingdom subsidiary due primarily to the continued slump in the manufacturing industry in its principal market.</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For the first nine months of fiscal 2010, our foreign subsidiaries reported a net loss of $152,000, compared to a net loss of $496,000 in the first nine months of fiscal 2009. The decrease in the net loss was due in part to the higher sales for our Canadian subsidiary, which more than offset the sales decline of our United Kingdom subsidiary. In addition, the currency translation loss reported by our foreign operations in the first nine months of fiscal 2010 was significantly less than the loss reported in the first nine months of fiscal 2009. The British Pound declined significantly in value compared to the U.S. Dollar during the first nine months of fiscal 2009, which resulted in a substantial currency translation loss. Partially offsetting the increases to net income was higher freight costs in Canada for a multi-year withholding tax charge on our leased railcars.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jc w:val="both"/>
        <w:spacing w:after="0" w:line="268" w:lineRule="auto"/>
        <w:rPr>
          <w:sz w:val="20"/>
          <w:szCs w:val="20"/>
          <w:color w:val="auto"/>
        </w:rPr>
      </w:pPr>
      <w:r>
        <w:rPr>
          <w:rFonts w:ascii="Arial" w:cs="Arial" w:eastAsia="Arial" w:hAnsi="Arial"/>
          <w:sz w:val="17"/>
          <w:szCs w:val="17"/>
          <w:color w:val="auto"/>
        </w:rPr>
        <w:t>Identifiable assets of our foreign subsidiaries as of April 30, 2010 were $9,455,000 compared to $9,186,000 as of April 30, 2009. The increase is primarily due to higher cash and cash equivalents that were partially offset by lower accounts receivable, net fixed assets and inventories.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Net sales by our foreign subsidiaries during the third quarter of fiscal 2010 were $3,159,000, an increase of 1% from net sales of $3,117,000 during the third quarter of fiscal 2009. Net sales by our foreign subsidiaries represented 6% of our consolidated net sales during the third quarter of fiscal 2010 and 5% of our consolidated net sales during the third quarter of fiscal 2009. Net sales of our Canadian subsidiary increased due to higher net sales of both industrial products and cat litter, which more than offset lower net sales of industrial absorbents by our United Kingdom subsidiary due primarily to the continued slump in the manufacturing industry in its principal market. In addition, the Canadian Dollar was about 17% stronger on average against the U.S. Dollar in the third quarter of fiscal 2010 compared to the third quarter of fiscal 2009, which resulted in higher sales values after translation to U.S. Dollars.</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For the third quarter of fiscal 2010, our foreign subsidiaries reported a net loss of $322,000, compared to a $63,000 net loss reported in the third quarter of fiscal 2009. The increase in the net loss was due in part to higher costs for our Canadian subsidiary, which were partially offset by lower material costs in our United Kingdom subsidiary. The higher costs in Canada included an additional freight cost for a multi-year withholding tax charge on our leased railcars. In addition, in the third quarter of fiscal 2010 we incurred a currency translation loss compared to the currency translation gain that was reported by our foreign operations in the third quarter of fiscal 2009. Compared to the U.S. Dollar, the average value of the British Pound was approximately 6% higher in the third quarter of fiscal 2010 compared to the third quarter of fiscal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principal capital requirements include funding working capital needs, the purchasing and upgrading of real estate, equipment and facilities, funding new product development and investing in infrastructure and potential acquisitions. We principally have used cash generated from operations and, to the extent needed, issuance of debt securities and borrowings under our credit facilities to fund these requirements. Cash and cash equivalents increased $9,800,000 during the first nine months of fiscal 2010 to $21,639,000 at April 30, 2010.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w w:val="90"/>
              </w:rPr>
              <w:t>The following table sets forth certain elements of our unaudited condensed consolidated statements of cash flows (in thousands):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3"/>
        </w:trPr>
        <w:tc>
          <w:tcPr>
            <w:tcW w:w="88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Nine Months Ended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8820" w:type="dxa"/>
            <w:vAlign w:val="bottom"/>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9"/>
              </w:rPr>
              <w:t>April 30, 2010</w:t>
            </w:r>
          </w:p>
        </w:tc>
        <w:tc>
          <w:tcPr>
            <w:tcW w:w="220" w:type="dxa"/>
            <w:vAlign w:val="bottom"/>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9"/>
              </w:rPr>
              <w:t>April 30, 2009</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20,096</w:t>
            </w:r>
          </w:p>
        </w:tc>
        <w:tc>
          <w:tcPr>
            <w:tcW w:w="62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8,307</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Net cash (used in) provided by investing activities</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(3,593)</w:t>
            </w:r>
          </w:p>
        </w:tc>
        <w:tc>
          <w:tcPr>
            <w:tcW w:w="6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4,375</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(6,599)</w:t>
            </w:r>
          </w:p>
        </w:tc>
        <w:tc>
          <w:tcPr>
            <w:tcW w:w="6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(8,740)</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(104)</w:t>
            </w:r>
          </w:p>
        </w:tc>
        <w:tc>
          <w:tcPr>
            <w:tcW w:w="6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890</w:t>
            </w:r>
          </w:p>
        </w:tc>
      </w:tr>
      <w:tr>
        <w:trPr>
          <w:trHeight w:val="241"/>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increase in cash and cash equivalents</w:t>
            </w: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9,800</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(used in) operating activities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Net cash provided by operations was $20,096,000 for the first nine months of fiscal 2010, compared to $8,307,000 for the first nine months of fiscal 2009. The increase was due primarily to changes in working capital. For the first nine months of fiscal years 2010 and 2009, the primary components of working capital that impacted operating cash flows were as follows:</w:t>
      </w:r>
    </w:p>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Accounts receivable, less allowance for doubtful accounts, decreased $2,297,000 in the first nine months of fiscal 2010. Net sales in the last month of the third quarter in fiscal 2010 were less than net sales in the last month of the fourth quarter of fiscal 2009. Accounts receivable, less allowance for doubtful accounts, decreased $2,623,000 in the first nine months of fiscal 2009. Net sales in the third quarter of fiscal 2009 were significantly less than net sales in the fourth quarter of fiscal 2008, particularly in the comparison of the last month of each quarter. The change in both periods is also subject to timing of sales and collections and the payment terms provided to various customers. In terms of aging and days sales outstanding, our accounts receivable had improved as of April 30, 2010 compared to April 30, 2009.</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jc w:val="both"/>
        <w:spacing w:after="0" w:line="289" w:lineRule="auto"/>
        <w:rPr>
          <w:sz w:val="20"/>
          <w:szCs w:val="20"/>
          <w:color w:val="auto"/>
        </w:rPr>
      </w:pPr>
      <w:r>
        <w:rPr>
          <w:rFonts w:ascii="Arial" w:cs="Arial" w:eastAsia="Arial" w:hAnsi="Arial"/>
          <w:sz w:val="15"/>
          <w:szCs w:val="15"/>
          <w:color w:val="auto"/>
        </w:rPr>
        <w:t>Accrued expenses increased $1,729,000 in the first nine months of fiscal 2010 compared to a decrease of $1,676,000 in the first nine months of fiscal 2009. Accrued freight increased in the first nine months of fiscal 2010 compared to a decrease in the first nine months of fiscal 2009 due primarily to an increase in freight costs in the third quarter of fiscal 2010 and the timing of payments. Accrued expenses included the discretionary bonus accrual. The bonus accrual in both years decreased by the payout of the prior fiscal year’s bonus accrual and increased by the current fiscal year’s first nine month bonus accrual. In the first nine months of fiscal 2010, the net bonus accrual increased as the current fiscal year’s bonus accrual was higher than the payout of the prior fiscal year’s bonus. In contrast, in the first nine months of fiscal 2009, the net bonus accrual decreased as the current fiscal year’s bonus accrual was lower than the prior year’s bonus payout. In addition, the increase in the accrual for trade promotions was higher in the first nine months of fiscal 2010 due to the timing and level of promotional activities.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Accounts payable increased $1,114,000 in the first nine months of fiscal 2010 compared to a decrease of $1,424,000 in the same period in fiscal 2009. The increase in fiscal 2010 reflected a higher income tax rate and a higher accrual for the tax impact of stock option exercises. The decrease in fiscal 2009 reflected a recent decline in manufacturing fuel costs combined with fewer tons of clay processed at our plants, particularly during the last month of the fiscal 2009 third quarter. Both years were subject to normal fluctuations in the timing of payments.</w:t>
      </w:r>
    </w:p>
    <w:p>
      <w:pPr>
        <w:spacing w:after="0" w:line="20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Deferred compensation increased $611,000 in the first nine months of fiscal 2010 compared to an increase of $252,000 in the first nine months of fiscal 2009. The increase in both years is due to continued employee deferrals and interest on accumulated deferred compensation balances in excess of payouts.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Other assets decreased $491,000 in the first nine months of fiscal 2010 compared to an increase of $1,042,000 in the first nine months of fiscal 2009. The change in other assets included the effect of currency exchange rate fluctuations on non-cash assets held by our foreign subsidiaries. The change in the relative value of the U.S. Dollar to both the British Pound and the Canadian Dollar resulted in a small decrease in other assets in the first nine months of fiscal 2010, while in the same period in fiscal 2009 the result was a significant increase.</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Prepaid expenses decreased $442,000 in the first nine months of fiscal 2010 compared to an increase of $1,018,000 in the first nine months of fiscal 2009. Prepaid repair expense decreased in the first nine months of fiscal 2010 compared to an increase in the first nine months of fiscal 2009 due to the timing of repairs and the implementation of a new process during fiscal 2009 to manage spare parts inventory. The timing of insurance premium payments also resulted in an increase in prepaid expenses in both years.</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Inventories decreased $405,000 in the first nine months of fiscal 2010 compared to an increase of $2,392,000 in the same period in fiscal 2009. Packaging inventories decreased in the first nine months of fiscal 2010 primarily due to lower sales requirements and lower costs. Supplies inventories decreased due to the adjustment of an overstatement described in Note 2 to the consolidated financial statements. Partially offsetting these decreases was an increase in finished goods inventory due primarily to mix of products. In the first nine months of fiscal 2009, finished goods and packaging inventories increased due primarily to higher costs and increased tons in inventory to cover downtime for planned maintenance.</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Other liabilities increased $354,000 in the first nine months of fiscal 2010 compared to an increase of $384,000 in the same period of fiscal 2009. Accruals for postretirement benefits increased during the first nine months of fiscal 2010 and decreased slightly in the same period in fiscal 2009. The change in other liabilities also included the effect of currency exchange rate fluctuations on the liabilities of our foreign subsidiaries. The fluctuation in the relative value of the U.S. Dollar to both the British Pound and the Canadian Dollar resulted in a small decrease in other liabilities in the first nine months of fiscal 2010 compared to a larger increase in the same period of fiscal 2009.</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provided by investing activities</w:t>
      </w:r>
    </w:p>
    <w:p>
      <w:pPr>
        <w:spacing w:after="0" w:line="23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Cash used in investing activities was $3,593,000 in the first nine months of fiscal 2010 compared to cash provided by investing activities of $4,375,000 in the first nine months of fiscal 2009. Cash used for capital expenditures of $7,945,000 in the first nine months of fiscal 2010 included approximately $3,000,000 to purchase land and mineral rights near our Georgia production plant. Capital expenditures of $12,682,000 in the same period of fiscal 2009 included approximately $7,000,000 for capital projects related to new product development at our manufacturing facilities and land purchases. In the first nine months of fiscal 2010, net cash provided by dispositions of investment securities was $4,007,000 compared to $17,035,000 in the first nine months of fiscal 2009. In the first nine months of fiscal 2009, more cash was needed to fund capital expenditures and payments on long-term debt compared to the first nine months of fiscal 2010. Purchases and dispositions of investment securities in both periods are subject to variations in the timing of investment maturities. In addition, in the first nine months of fiscal 2010 we received $337,000 from the sale of land and buildings at our United Kingdom subsidiary.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Cash used in financing activities was $6,599,000 in the first nine months of fiscal 2010 compared to $8,740,000 in the first nine months of fiscal 2009. Cash used for payment of long-term debt in the first nine months of fiscal 2010 was $2,380,000 less than in the first nine months of fiscal 2009. In addition, cash provided by issuance of Common Stock in connection with stock option exercises was $827,000 higher in the first nine months of fiscal 2010. Conversely, $1,372,000 more cash was used to repurchase Common Stock in the first nine months of fiscal 2010 compared to the same period in fiscal 2009. Also, cash used for dividend payments was $235,000 higher in the first nine months of fiscal 2010 due to a dividend increase.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Total cash and investment balances held by our foreign subsidiaries at April 30, 2010 and 2009 were $1,808,000 and $1,125,000, respectively. Our foreign subsidiaries’ cash and investment balances increased during fiscal 2010 as a result of improvements in working capital.</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part of our normal course of business, we guarantee certain debts and trade payables of our wholly owned subsidiaries. These arrangements are made at the request of the subsidiaries’ creditors because separate financial statements are not distributed for the wholly owned subsidiaries. As of April 30, 2010, the value of these guarantees was $193,000 of lease liabilities.</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Our $15,000,000 unsecured revolving credit agreement with Harris N.A. (“Harris”) is effective until December 31, 2011. The credit agreement provides that we may select a variable rate based on either Harris’ prime rate or a LIBOR-based rate, plus a margin which varies depending on our debt to earnings ratio, or a fixed rate as agreed between us and Harris. At April 30, 2010, the variable rates would have been 3.25% for the Harris’ prime-based rate or 1.46% for the LIBOR-based rate. The credit agreement contains restrictive covenants that, among other things and under various conditions (including a limitation on capital expenditures), limit our ability to incur additional indebtedness or to dispose of assets. The agreement also requires us to maintain a minimum fixed coverage ratio and a minimum consolidated net worth. As of April 30, 2010 and 2009, there were no outstanding borrowings under this credit facility and we were in compliance with its covenants.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April 30, 2010, we had remaining authority to repurchase 410,114 shares of common stock under a repurchase plan approved by the Board of Directors. These repurchases may be made on the open market (pursuant to Rule 10b5-1 plans or otherwise) or in negotiated transactions and the timing and amount of shares repurchased will be determined by our management.</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believe that cash flow from operations, availability under our revolving credit facility and current cash and investment balances will provide adequate cash funds for foreseeable working capital needs, capital expenditures and debt service obligations for at least the next 12 months. We currently expect cash requirements for capital expenditures in fiscal 2010 to decrease from fiscal 2009 due primarily to completion of certain capital projects at our manufacturing facilities.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The tables in the following subsection summarize our contractual obligations and commercial commitments at April 30, 2010 for the time frames indicated.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CONTRACTUAL OBLIGATIONS AND COMMERCIAL COMMITMENTS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Payments Due by Period</w:t>
            </w: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40"/>
              <w:spacing w:after="0" w:line="185" w:lineRule="exact"/>
              <w:rPr>
                <w:sz w:val="20"/>
                <w:szCs w:val="20"/>
                <w:color w:val="auto"/>
              </w:rPr>
            </w:pPr>
            <w:r>
              <w:rPr>
                <w:rFonts w:ascii="Arial" w:cs="Arial" w:eastAsia="Arial" w:hAnsi="Arial"/>
                <w:sz w:val="17"/>
                <w:szCs w:val="17"/>
                <w:b w:val="1"/>
                <w:bCs w:val="1"/>
                <w:color w:val="auto"/>
                <w:w w:val="89"/>
              </w:rPr>
              <w:t>Less Than 1</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620" w:type="dxa"/>
            <w:vAlign w:val="bottom"/>
          </w:tcPr>
          <w:p>
            <w:pPr>
              <w:ind w:left="1380"/>
              <w:spacing w:after="0"/>
              <w:rPr>
                <w:sz w:val="20"/>
                <w:szCs w:val="20"/>
                <w:color w:val="auto"/>
              </w:rPr>
            </w:pPr>
            <w:r>
              <w:rPr>
                <w:rFonts w:ascii="Arial" w:cs="Arial" w:eastAsia="Arial" w:hAnsi="Arial"/>
                <w:sz w:val="17"/>
                <w:szCs w:val="17"/>
                <w:b w:val="1"/>
                <w:bCs w:val="1"/>
                <w:color w:val="auto"/>
              </w:rPr>
              <w:t>Contractual Obligations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Total</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Year</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1 – 3 Years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92"/>
              </w:rPr>
              <w:t>4 – 5 Years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87"/>
              </w:rPr>
              <w:t>After 5 Years</w:t>
            </w:r>
          </w:p>
        </w:tc>
        <w:tc>
          <w:tcPr>
            <w:tcW w:w="100" w:type="dxa"/>
            <w:vAlign w:val="bottom"/>
          </w:tcPr>
          <w:p>
            <w:pPr>
              <w:spacing w:after="0"/>
              <w:rPr>
                <w:sz w:val="19"/>
                <w:szCs w:val="19"/>
                <w:color w:val="auto"/>
              </w:rPr>
            </w:pPr>
          </w:p>
        </w:tc>
      </w:tr>
      <w:tr>
        <w:trPr>
          <w:trHeight w:val="201"/>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18,300,000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7,400,000</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400,000</w:t>
            </w:r>
          </w:p>
        </w:tc>
      </w:tr>
      <w:tr>
        <w:trPr>
          <w:trHeight w:val="201"/>
        </w:trPr>
        <w:tc>
          <w:tcPr>
            <w:tcW w:w="4620" w:type="dxa"/>
            <w:vAlign w:val="bottom"/>
          </w:tcPr>
          <w:p>
            <w:pPr>
              <w:spacing w:after="0"/>
              <w:rPr>
                <w:sz w:val="20"/>
                <w:szCs w:val="20"/>
                <w:color w:val="auto"/>
              </w:rPr>
            </w:pPr>
            <w:r>
              <w:rPr>
                <w:rFonts w:ascii="Arial" w:cs="Arial" w:eastAsia="Arial" w:hAnsi="Arial"/>
                <w:sz w:val="17"/>
                <w:szCs w:val="17"/>
                <w:color w:val="auto"/>
              </w:rPr>
              <w:t>Interest on Long-Term Debt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2,970,000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1,067,000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1,432,000</w:t>
            </w:r>
          </w:p>
        </w:tc>
        <w:tc>
          <w:tcPr>
            <w:tcW w:w="2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459,000</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12,000</w:t>
            </w:r>
          </w:p>
        </w:tc>
      </w:tr>
      <w:tr>
        <w:trPr>
          <w:trHeight w:val="201"/>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Capital Leases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49,000</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44,000</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4620" w:type="dxa"/>
            <w:vAlign w:val="bottom"/>
          </w:tcPr>
          <w:p>
            <w:pPr>
              <w:spacing w:after="0"/>
              <w:rPr>
                <w:sz w:val="20"/>
                <w:szCs w:val="20"/>
                <w:color w:val="auto"/>
              </w:rPr>
            </w:pPr>
            <w:r>
              <w:rPr>
                <w:rFonts w:ascii="Arial" w:cs="Arial" w:eastAsia="Arial" w:hAnsi="Arial"/>
                <w:sz w:val="17"/>
                <w:szCs w:val="17"/>
                <w:color w:val="auto"/>
              </w:rPr>
              <w:t>Operating Leases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14,122,000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3,059,000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3,516,000</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2,673,000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4,874,000</w:t>
            </w:r>
          </w:p>
        </w:tc>
      </w:tr>
      <w:tr>
        <w:trPr>
          <w:trHeight w:val="201"/>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Unconditional Purchase Obligations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3,357,000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2,947,000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410,000</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46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620" w:type="dxa"/>
            <w:vAlign w:val="bottom"/>
          </w:tcPr>
          <w:p>
            <w:pPr>
              <w:spacing w:after="0"/>
              <w:rPr>
                <w:sz w:val="20"/>
                <w:szCs w:val="20"/>
                <w:color w:val="auto"/>
              </w:rPr>
            </w:pPr>
            <w:r>
              <w:rPr>
                <w:rFonts w:ascii="Arial" w:cs="Arial" w:eastAsia="Arial" w:hAnsi="Arial"/>
                <w:sz w:val="17"/>
                <w:szCs w:val="17"/>
                <w:color w:val="auto"/>
              </w:rPr>
              <w:t>Total Contractual Cash Obligations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38,842,000</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10,622,000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12,802,000</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10,132,000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5,286,000</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the third quarter of fiscal 2010 we made a contribution of $922,000 to our defined benefit pension plan. We have not presented this obligation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April 30, 2010, our non-current liability for uncertain tax positions was approximately $200,000. We have not presented this obligation in the table above because the timing of future cash flows is dependent on examinations by taxing authorities and can not reasonably be estimated.</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unconditional purchase obligations include forward purchase contracts we have entered into for a portion of our natural gas fuel needs for fiscal 2010 and 2011. As of April 30, 2010, the remaining purchase obligation for fiscal 2010 was $1,369,000 for 220,000 MMBtu and for fiscal 2011 was $1,988,000 for 360,000 MMBtu. These contracts were entered into in the normal course of business and no contracts were entered into for speculative purposes.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9"/>
          </w:tcPr>
          <w:p>
            <w:pPr>
              <w:ind w:left="100"/>
              <w:spacing w:after="0"/>
              <w:rPr>
                <w:sz w:val="20"/>
                <w:szCs w:val="20"/>
                <w:color w:val="auto"/>
              </w:rPr>
            </w:pPr>
            <w:r>
              <w:rPr>
                <w:rFonts w:ascii="Arial" w:cs="Arial" w:eastAsia="Arial" w:hAnsi="Arial"/>
                <w:sz w:val="17"/>
                <w:szCs w:val="17"/>
                <w:b w:val="1"/>
                <w:bCs w:val="1"/>
                <w:color w:val="auto"/>
              </w:rPr>
              <w:t>Amount of Commitment Expiration Per Period</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3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20"/>
              <w:spacing w:after="0" w:line="185" w:lineRule="exact"/>
              <w:rPr>
                <w:sz w:val="20"/>
                <w:szCs w:val="20"/>
                <w:color w:val="auto"/>
              </w:rPr>
            </w:pPr>
            <w:r>
              <w:rPr>
                <w:rFonts w:ascii="Arial" w:cs="Arial" w:eastAsia="Arial" w:hAnsi="Arial"/>
                <w:sz w:val="17"/>
                <w:szCs w:val="17"/>
                <w:b w:val="1"/>
                <w:bCs w:val="1"/>
                <w:color w:val="auto"/>
              </w:rPr>
              <w:t>Less Than 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Total</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Year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89"/>
              </w:rPr>
              <w:t>1 – 3 Years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89"/>
              </w:rPr>
              <w:t>4 – 5 Years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87"/>
              </w:rPr>
              <w:t>After 5 Years</w:t>
            </w:r>
          </w:p>
        </w:tc>
        <w:tc>
          <w:tcPr>
            <w:tcW w:w="100" w:type="dxa"/>
            <w:vAlign w:val="bottom"/>
          </w:tcPr>
          <w:p>
            <w:pPr>
              <w:spacing w:after="0"/>
              <w:rPr>
                <w:sz w:val="19"/>
                <w:szCs w:val="19"/>
                <w:color w:val="auto"/>
              </w:rPr>
            </w:pPr>
          </w:p>
        </w:tc>
      </w:tr>
      <w:tr>
        <w:trPr>
          <w:trHeight w:val="221"/>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Other Commercial Commitments</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6"/>
              </w:rPr>
              <w:t>32,875,000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24,415,000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other commercial commitments represent open purchase orders, including blanket purchase orders, for items such as packaging, additives and pallets used in the normal course of operations. The expected timing of payments of these obligations is estimated based on current information. Timing of payments and actual amounts paid may be different depending on the time of receipt of goods or services, or changes to agreed-upon amounts for some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POLICIES AND ESTIMATES</w:t>
      </w:r>
    </w:p>
    <w:p>
      <w:pPr>
        <w:spacing w:after="0" w:line="23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This discussion and analysis of financial condition and results of operations is based on our unaudited condensed consolidated financial statements, which have been prepared in conformity with accounting principles generally accepted in the United States.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are revised periodically. Actual results could differ from these estimates.</w:t>
      </w:r>
    </w:p>
    <w:p>
      <w:pPr>
        <w:spacing w:after="0" w:line="174"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See the information concerning our critical accounting policies included under Management’s Discussion of Financial Condition and Results of Operations in our Annual Report on Form 10-K for the fiscal year ended July 31, 2009 filed with the Securities and Exchange Commission, which is incorporated by reference in this Form 10-Q.</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Recently Adopted Accounting Standards</w:t>
      </w:r>
    </w:p>
    <w:p>
      <w:pPr>
        <w:spacing w:after="0" w:line="23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 xml:space="preserve">We adopted the required portions of FASB guidance issued in January 2010 under ASC 820-10 </w:t>
      </w:r>
      <w:r>
        <w:rPr>
          <w:rFonts w:ascii="Arial" w:cs="Arial" w:eastAsia="Arial" w:hAnsi="Arial"/>
          <w:sz w:val="15"/>
          <w:szCs w:val="15"/>
          <w:i w:val="1"/>
          <w:iCs w:val="1"/>
          <w:color w:val="auto"/>
        </w:rPr>
        <w:t>Fair Value Measurements and Disclosures: Improving Disclosures about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Fair Value Measurements. </w:t>
      </w:r>
      <w:r>
        <w:rPr>
          <w:rFonts w:ascii="Arial" w:cs="Arial" w:eastAsia="Arial" w:hAnsi="Arial"/>
          <w:sz w:val="15"/>
          <w:szCs w:val="15"/>
          <w:color w:val="auto"/>
        </w:rPr>
        <w:t>The guidance effective for this Quarterly Report on Form 10-Q for the quarter ending April 30, 2010, required enhanced disclosures about</w:t>
      </w:r>
      <w:r>
        <w:rPr>
          <w:rFonts w:ascii="Arial" w:cs="Arial" w:eastAsia="Arial" w:hAnsi="Arial"/>
          <w:sz w:val="15"/>
          <w:szCs w:val="15"/>
          <w:i w:val="1"/>
          <w:iCs w:val="1"/>
          <w:color w:val="auto"/>
        </w:rPr>
        <w:t xml:space="preserve"> </w:t>
      </w:r>
      <w:r>
        <w:rPr>
          <w:rFonts w:ascii="Arial" w:cs="Arial" w:eastAsia="Arial" w:hAnsi="Arial"/>
          <w:sz w:val="15"/>
          <w:szCs w:val="15"/>
          <w:color w:val="auto"/>
        </w:rPr>
        <w:t>valuation techniques and inputs for Level 2 and Level 3 fair value measurements. The guidance also required new disclosures about transfers in and out of Level 1 and Level 2 fair value measurements. The adoption of this guidance resulted in enhanced disclosures in Note 5 to the unaudited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3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 xml:space="preserve">In December 2008, the FASB issued guidance under ASC 715-20 </w:t>
      </w:r>
      <w:r>
        <w:rPr>
          <w:rFonts w:ascii="Arial" w:cs="Arial" w:eastAsia="Arial" w:hAnsi="Arial"/>
          <w:sz w:val="15"/>
          <w:szCs w:val="15"/>
          <w:i w:val="1"/>
          <w:iCs w:val="1"/>
          <w:color w:val="auto"/>
        </w:rPr>
        <w:t>Compensation – Retirement Benefits</w:t>
      </w:r>
      <w:r>
        <w:rPr>
          <w:rFonts w:ascii="Arial" w:cs="Arial" w:eastAsia="Arial" w:hAnsi="Arial"/>
          <w:sz w:val="15"/>
          <w:szCs w:val="15"/>
          <w:color w:val="auto"/>
        </w:rPr>
        <w:t xml:space="preserve"> that will require expanded disclosure for employers’ pension and other postretirement benefit plan assets fair value measurements, investment policies and strategies for the major categories of plan assets and significant concentrations of risk within plan assets. The adoption of the guidance will result in enhanced disclosures in our Annual Report on Form 10-K for the fiscal year ending July 31, 2010.</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January 2010, the FASB issued guidance under ASC 820-10 </w:t>
      </w:r>
      <w:r>
        <w:rPr>
          <w:rFonts w:ascii="Arial" w:cs="Arial" w:eastAsia="Arial" w:hAnsi="Arial"/>
          <w:sz w:val="17"/>
          <w:szCs w:val="17"/>
          <w:i w:val="1"/>
          <w:iCs w:val="1"/>
          <w:color w:val="auto"/>
        </w:rPr>
        <w:t>Fair Value Measurements and Disclosures: Improving Disclosures about Fair Value Measurements</w:t>
      </w:r>
      <w:r>
        <w:rPr>
          <w:rFonts w:ascii="Arial" w:cs="Arial" w:eastAsia="Arial" w:hAnsi="Arial"/>
          <w:sz w:val="17"/>
          <w:szCs w:val="17"/>
          <w:color w:val="auto"/>
        </w:rPr>
        <w:t xml:space="preserve"> that will require new disclosures related to Level 3 fair value measurements. Adoption of this guidance will result in enhanced disclosures in our Quarterly Report on Form 10-Q for the quarter ending October 31, 2010.</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exposed to interest rate risk and employ policies and procedures to manage our exposure to changes in the market risk of our cash equivalents and short-term investments. As of April 30, 2010, the process to unwind our two interest rate swap agreements was completed.</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are exposed to foreign currency fluctuation risk, primarily U.S. Dollar/British Pound, U.S. Dollar/Euro and U.S. Dollar/Canadian Dollar, as it relates to certain accounts receivables and our foreign operations. Foreign currency denominated accounts receivable is a small fraction of our consolidated accounts receivable. We are also subject to translation exposure of our foreign subsidiaries’ financial statements. In recent years, our foreign subsidiaries have not generated a substantial portion of our consolidated sales or net income. We do not enter into any hedge contracts in an attempt to offset any adverse effect of changes in currency exchange rates. We believe that the foreign currency fluctuation risk is not material to our consolidated financial statements.</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are exposed to market risk at it relates to the investments that make up our plan assets under our defined benefit pension plan. The fair value of these assets is subject to change due to fluctuations in the financial markets. The decline in the equity markets resulted in a lower value of our pension plan assets as of July 31, 2009. The lower asset value increased our expense for fiscal 2010 and may increase the amount and accelerate the timing of future funding contributions.</w:t>
      </w:r>
    </w:p>
    <w:p>
      <w:pPr>
        <w:spacing w:after="0" w:line="183"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We are exposed to regulatory risk in the fluid purification, animal health and agricultural markets, principally as a result of the risk of increasing regulation of the food chain in the United States and Europe. We actively monitor developments in this area, both directly and through trade organizations of which we are a member.</w:t>
      </w:r>
    </w:p>
    <w:p>
      <w:pPr>
        <w:spacing w:after="0" w:line="14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are exposed to commodity price risk with respect to fuel. We have contracted for a portion of our anticipated fuel needs using forward purchase contracts to mitigate the volatility of our kiln fuel prices. As of April 30, 2010, we have purchased natural gas contracts representing approximately 50% of our planned kiln fuel needs for fiscal 2010. We estimate the weighted average cost of these natural gas contracts in fiscal 2010 to be approximately 38% lower than the contracts in fiscal 2009; however, this average will change if we continue to buy natural gas contracts. We have also purchased contracts for a portion of our fuel requirements for fiscal 2011 to take advantage of declines in natural gas prices. All contracts are related to the normal course of business and no contracts are entered into for speculative purposes.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6" w:name="page27"/>
    <w:bookmarkEnd w:id="26"/>
    <w:p>
      <w:pPr>
        <w:jc w:val="both"/>
        <w:spacing w:after="0" w:line="254" w:lineRule="auto"/>
        <w:rPr>
          <w:sz w:val="20"/>
          <w:szCs w:val="20"/>
          <w:color w:val="auto"/>
        </w:rPr>
      </w:pPr>
      <w:r>
        <w:rPr>
          <w:rFonts w:ascii="Arial" w:cs="Arial" w:eastAsia="Arial" w:hAnsi="Arial"/>
          <w:sz w:val="17"/>
          <w:szCs w:val="17"/>
          <w:color w:val="auto"/>
        </w:rPr>
        <w:t>The tables below provide information about our natural gas purchase contracts, which are sensitive to changes in commodity prices, specifically natural gas prices. For the purchase contracts outstanding at April 30, 2010, the table presents the notional amounts in MMBtu’s, the weighted average contract prices, and the total dollar contract amount, which will mature by July 31 of 2010 and 2011. The Fair Value was determined using the “Most Recent Settle” price for the “Henry Hub Natural Gas” option contract prices as listed by the New York Mercantile Exchange on May 26,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264795</wp:posOffset>
            </wp:positionV>
            <wp:extent cx="580326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03265" cy="1587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Commodity Price Sensitivity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Natural Gas Future Contracts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Three months Ending July 31, 2010</w:t>
      </w:r>
    </w:p>
    <w:p>
      <w:pPr>
        <w:spacing w:after="0" w:line="6" w:lineRule="exact"/>
        <w:rPr>
          <w:sz w:val="20"/>
          <w:szCs w:val="20"/>
          <w:color w:val="auto"/>
        </w:rPr>
      </w:pPr>
    </w:p>
    <w:tbl>
      <w:tblPr>
        <w:tblLayout w:type="fixed"/>
        <w:tblInd w:w="1140" w:type="dxa"/>
        <w:tblCellMar>
          <w:top w:w="0" w:type="dxa"/>
          <w:left w:w="0" w:type="dxa"/>
          <w:bottom w:w="0" w:type="dxa"/>
          <w:right w:w="0" w:type="dxa"/>
        </w:tblCellMar>
      </w:tblPr>
      <w:tr>
        <w:trPr>
          <w:trHeight w:val="194"/>
        </w:trPr>
        <w:tc>
          <w:tcPr>
            <w:tcW w:w="306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420"/>
              <w:spacing w:after="0" w:line="194" w:lineRule="exact"/>
              <w:rPr>
                <w:sz w:val="20"/>
                <w:szCs w:val="20"/>
                <w:color w:val="auto"/>
              </w:rPr>
            </w:pPr>
            <w:r>
              <w:rPr>
                <w:rFonts w:ascii="Arial" w:cs="Arial" w:eastAsia="Arial" w:hAnsi="Arial"/>
                <w:sz w:val="17"/>
                <w:szCs w:val="17"/>
                <w:color w:val="auto"/>
                <w:w w:val="88"/>
              </w:rPr>
              <w:t>Expected 2010</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30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6"/>
              <w:spacing w:after="0"/>
              <w:rPr>
                <w:sz w:val="20"/>
                <w:szCs w:val="20"/>
                <w:color w:val="auto"/>
              </w:rPr>
            </w:pPr>
            <w:r>
              <w:rPr>
                <w:rFonts w:ascii="Arial" w:cs="Arial" w:eastAsia="Arial" w:hAnsi="Arial"/>
                <w:sz w:val="17"/>
                <w:szCs w:val="17"/>
                <w:color w:val="auto"/>
                <w:w w:val="95"/>
              </w:rPr>
              <w:t>Maturity</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Fair Value</w:t>
            </w:r>
          </w:p>
        </w:tc>
        <w:tc>
          <w:tcPr>
            <w:tcW w:w="20" w:type="dxa"/>
            <w:vAlign w:val="bottom"/>
          </w:tcPr>
          <w:p>
            <w:pPr>
              <w:spacing w:after="0"/>
              <w:rPr>
                <w:sz w:val="19"/>
                <w:szCs w:val="19"/>
                <w:color w:val="auto"/>
              </w:rPr>
            </w:pPr>
          </w:p>
        </w:tc>
      </w:tr>
      <w:tr>
        <w:trPr>
          <w:trHeight w:val="201"/>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Natural Gas Future Volumes (MMBtu)</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220,000</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1"/>
        </w:trPr>
        <w:tc>
          <w:tcPr>
            <w:tcW w:w="3060" w:type="dxa"/>
            <w:vAlign w:val="bottom"/>
          </w:tcPr>
          <w:p>
            <w:pPr>
              <w:spacing w:after="0"/>
              <w:rPr>
                <w:sz w:val="20"/>
                <w:szCs w:val="20"/>
                <w:color w:val="auto"/>
              </w:rPr>
            </w:pPr>
            <w:r>
              <w:rPr>
                <w:rFonts w:ascii="Arial" w:cs="Arial" w:eastAsia="Arial" w:hAnsi="Arial"/>
                <w:sz w:val="17"/>
                <w:szCs w:val="17"/>
                <w:color w:val="auto"/>
              </w:rPr>
              <w:t>Weighted Average Price (Per MMBtu)</w:t>
            </w:r>
          </w:p>
        </w:tc>
        <w:tc>
          <w:tcPr>
            <w:tcW w:w="30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6.23</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41"/>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Contract Amount ($ U.S., in thousands)</w:t>
            </w:r>
          </w:p>
        </w:tc>
        <w:tc>
          <w:tcPr>
            <w:tcW w:w="27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1,369.5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933.6</w:t>
            </w:r>
          </w:p>
        </w:tc>
        <w:tc>
          <w:tcPr>
            <w:tcW w:w="20" w:type="dxa"/>
            <w:vAlign w:val="bottom"/>
          </w:tcPr>
          <w:p>
            <w:pPr>
              <w:spacing w:after="0"/>
              <w:rPr>
                <w:sz w:val="20"/>
                <w:szCs w:val="20"/>
                <w:color w:val="auto"/>
              </w:rPr>
            </w:pPr>
          </w:p>
        </w:tc>
      </w:tr>
      <w:tr>
        <w:trPr>
          <w:trHeight w:val="222"/>
        </w:trPr>
        <w:tc>
          <w:tcPr>
            <w:tcW w:w="306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CCEEFF"/>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3060" w:type="dxa"/>
            <w:vAlign w:val="bottom"/>
          </w:tcPr>
          <w:p>
            <w:pPr>
              <w:spacing w:after="0"/>
              <w:rPr>
                <w:sz w:val="16"/>
                <w:szCs w:val="16"/>
                <w:color w:val="auto"/>
              </w:rPr>
            </w:pPr>
          </w:p>
        </w:tc>
        <w:tc>
          <w:tcPr>
            <w:tcW w:w="3040" w:type="dxa"/>
            <w:vAlign w:val="bottom"/>
            <w:gridSpan w:val="3"/>
          </w:tcPr>
          <w:p>
            <w:pPr>
              <w:jc w:val="center"/>
              <w:ind w:right="20"/>
              <w:spacing w:after="0" w:line="189" w:lineRule="exact"/>
              <w:rPr>
                <w:sz w:val="20"/>
                <w:szCs w:val="20"/>
                <w:color w:val="auto"/>
              </w:rPr>
            </w:pPr>
            <w:r>
              <w:rPr>
                <w:rFonts w:ascii="Arial" w:cs="Arial" w:eastAsia="Arial" w:hAnsi="Arial"/>
                <w:sz w:val="17"/>
                <w:szCs w:val="17"/>
                <w:color w:val="auto"/>
                <w:w w:val="92"/>
              </w:rPr>
              <w:t>Commodity Price Sensitivity</w:t>
            </w: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3060" w:type="dxa"/>
            <w:vAlign w:val="bottom"/>
          </w:tcPr>
          <w:p>
            <w:pPr>
              <w:spacing w:after="0"/>
              <w:rPr>
                <w:sz w:val="17"/>
                <w:szCs w:val="17"/>
                <w:color w:val="auto"/>
              </w:rPr>
            </w:pPr>
          </w:p>
        </w:tc>
        <w:tc>
          <w:tcPr>
            <w:tcW w:w="3040" w:type="dxa"/>
            <w:vAlign w:val="bottom"/>
            <w:gridSpan w:val="3"/>
          </w:tcPr>
          <w:p>
            <w:pPr>
              <w:jc w:val="center"/>
              <w:spacing w:after="0"/>
              <w:rPr>
                <w:sz w:val="20"/>
                <w:szCs w:val="20"/>
                <w:color w:val="auto"/>
              </w:rPr>
            </w:pPr>
            <w:r>
              <w:rPr>
                <w:rFonts w:ascii="Arial" w:cs="Arial" w:eastAsia="Arial" w:hAnsi="Arial"/>
                <w:sz w:val="17"/>
                <w:szCs w:val="17"/>
                <w:color w:val="auto"/>
                <w:w w:val="88"/>
              </w:rPr>
              <w:t>Natural Gas Future Contracts</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30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89"/>
              </w:rPr>
              <w:t>For the Year Ending July 31, 2011</w:t>
            </w:r>
          </w:p>
        </w:tc>
        <w:tc>
          <w:tcPr>
            <w:tcW w:w="1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30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420"/>
              <w:spacing w:after="0" w:line="189" w:lineRule="exact"/>
              <w:rPr>
                <w:sz w:val="20"/>
                <w:szCs w:val="20"/>
                <w:color w:val="auto"/>
              </w:rPr>
            </w:pPr>
            <w:r>
              <w:rPr>
                <w:rFonts w:ascii="Arial" w:cs="Arial" w:eastAsia="Arial" w:hAnsi="Arial"/>
                <w:sz w:val="17"/>
                <w:szCs w:val="17"/>
                <w:color w:val="auto"/>
                <w:w w:val="88"/>
              </w:rPr>
              <w:t>Expected 2011</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30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6"/>
              <w:spacing w:after="0"/>
              <w:rPr>
                <w:sz w:val="20"/>
                <w:szCs w:val="20"/>
                <w:color w:val="auto"/>
              </w:rPr>
            </w:pPr>
            <w:r>
              <w:rPr>
                <w:rFonts w:ascii="Arial" w:cs="Arial" w:eastAsia="Arial" w:hAnsi="Arial"/>
                <w:sz w:val="17"/>
                <w:szCs w:val="17"/>
                <w:color w:val="auto"/>
                <w:w w:val="95"/>
              </w:rPr>
              <w:t>Maturity</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Fair Value</w:t>
            </w:r>
          </w:p>
        </w:tc>
        <w:tc>
          <w:tcPr>
            <w:tcW w:w="20" w:type="dxa"/>
            <w:vAlign w:val="bottom"/>
          </w:tcPr>
          <w:p>
            <w:pPr>
              <w:spacing w:after="0"/>
              <w:rPr>
                <w:sz w:val="19"/>
                <w:szCs w:val="19"/>
                <w:color w:val="auto"/>
              </w:rPr>
            </w:pPr>
          </w:p>
        </w:tc>
      </w:tr>
      <w:tr>
        <w:trPr>
          <w:trHeight w:val="201"/>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Natural Gas Future Volumes (MMBtu)</w:t>
            </w:r>
          </w:p>
        </w:tc>
        <w:tc>
          <w:tcPr>
            <w:tcW w:w="2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360,000</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1"/>
        </w:trPr>
        <w:tc>
          <w:tcPr>
            <w:tcW w:w="3060" w:type="dxa"/>
            <w:vAlign w:val="bottom"/>
          </w:tcPr>
          <w:p>
            <w:pPr>
              <w:spacing w:after="0"/>
              <w:rPr>
                <w:sz w:val="20"/>
                <w:szCs w:val="20"/>
                <w:color w:val="auto"/>
              </w:rPr>
            </w:pPr>
            <w:r>
              <w:rPr>
                <w:rFonts w:ascii="Arial" w:cs="Arial" w:eastAsia="Arial" w:hAnsi="Arial"/>
                <w:sz w:val="17"/>
                <w:szCs w:val="17"/>
                <w:color w:val="auto"/>
              </w:rPr>
              <w:t>Weighted Average Price (Per MMBtu)</w:t>
            </w:r>
          </w:p>
        </w:tc>
        <w:tc>
          <w:tcPr>
            <w:tcW w:w="30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5.52</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21"/>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Contract Amount ($ U.S., in thousands)</w:t>
            </w:r>
          </w:p>
        </w:tc>
        <w:tc>
          <w:tcPr>
            <w:tcW w:w="27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1,987.7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1,703.9</w:t>
            </w:r>
          </w:p>
        </w:tc>
        <w:tc>
          <w:tcPr>
            <w:tcW w:w="20" w:type="dxa"/>
            <w:vAlign w:val="bottom"/>
          </w:tcPr>
          <w:p>
            <w:pPr>
              <w:spacing w:after="0"/>
              <w:rPr>
                <w:sz w:val="19"/>
                <w:szCs w:val="19"/>
                <w:color w:val="auto"/>
              </w:rPr>
            </w:pPr>
          </w:p>
        </w:tc>
      </w:tr>
      <w:tr>
        <w:trPr>
          <w:trHeight w:val="20"/>
        </w:trPr>
        <w:tc>
          <w:tcPr>
            <w:tcW w:w="3060" w:type="dxa"/>
            <w:vAlign w:val="bottom"/>
            <w:tcBorders>
              <w:top w:val="single" w:sz="8" w:color="auto"/>
            </w:tcBorders>
            <w:shd w:val="clear" w:color="auto" w:fill="000000"/>
          </w:tcPr>
          <w:p>
            <w:pPr>
              <w:spacing w:after="0" w:line="20" w:lineRule="exact"/>
              <w:rPr>
                <w:sz w:val="1"/>
                <w:szCs w:val="1"/>
                <w:color w:val="auto"/>
              </w:rPr>
            </w:pPr>
          </w:p>
        </w:tc>
        <w:tc>
          <w:tcPr>
            <w:tcW w:w="2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Factors that could influence the fair value of the natural gas contracts, include, but are not limited to, the creditworthiness of our natural gas suppliers, the overall general economy, developments in world events, and the general demand for natural gas by the manufacturing sector, seasonality and the weather patterns throughout the United States and the world. Some of these same events have allowed us to mitigate the impact of the natural gas contracts by the continued, and in some cases expanded, use of recycled oil in our manufacturing processes. Accurate estimates of the impact that these contracts may have on our financial results are difficult to make due to the inherent uncertainty of future fluctuations in option contract prices in the natural gas options market.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Management conducted an evaluation of the effectiveness of the design and operation of our disclosure controls and procedures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were no changes in our internal control over financial reporting that occurred during the fiscal quarter ended April 30, 2010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23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Our management, including the CEO and CFO, do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PART II – OTHER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Items 1, 1A, 3 and 5 of this Part II are either inapplicable or are answered in the negative and are omitted pursuant to the instructions to Part II.</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6" w:lineRule="exact"/>
        <w:rPr>
          <w:sz w:val="20"/>
          <w:szCs w:val="20"/>
          <w:color w:val="auto"/>
        </w:rPr>
      </w:pPr>
    </w:p>
    <w:p>
      <w:pPr>
        <w:ind w:right="560"/>
        <w:spacing w:after="0" w:line="268" w:lineRule="auto"/>
        <w:rPr>
          <w:sz w:val="20"/>
          <w:szCs w:val="20"/>
          <w:color w:val="auto"/>
        </w:rPr>
      </w:pPr>
      <w:r>
        <w:rPr>
          <w:rFonts w:ascii="Arial" w:cs="Arial" w:eastAsia="Arial" w:hAnsi="Arial"/>
          <w:sz w:val="17"/>
          <w:szCs w:val="17"/>
          <w:color w:val="auto"/>
        </w:rPr>
        <w:t>During the three months ended April 30, 2010, we did not sell any securities which were not registered under the Securities Act. The following chart summarizes Common Stock repurchases during this period.</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u w:val="single" w:color="auto"/>
          <w:color w:val="auto"/>
        </w:rPr>
        <w:t>ISSUER PURCHASES OF EQUITY SECURITIES</w:t>
      </w:r>
      <w:r>
        <w:rPr>
          <w:rFonts w:ascii="Arial" w:cs="Arial" w:eastAsia="Arial" w:hAnsi="Arial"/>
          <w:sz w:val="23"/>
          <w:szCs w:val="23"/>
          <w:b w:val="1"/>
          <w:bCs w:val="1"/>
          <w:u w:val="single" w:color="auto"/>
          <w:color w:val="auto"/>
          <w:vertAlign w:val="superscript"/>
        </w:rPr>
        <w:t>1</w:t>
      </w:r>
    </w:p>
    <w:p>
      <w:pPr>
        <w:sectPr>
          <w:pgSz w:w="11900" w:h="16838" w:orient="portrait"/>
          <w:cols w:equalWidth="0" w:num="1">
            <w:col w:w="11420"/>
          </w:cols>
          <w:pgMar w:left="240" w:top="714" w:right="239" w:bottom="1440" w:gutter="0" w:footer="0" w:header="0"/>
        </w:sectPr>
      </w:pPr>
    </w:p>
    <w:p>
      <w:pPr>
        <w:spacing w:after="0" w:line="138" w:lineRule="exact"/>
        <w:rPr>
          <w:sz w:val="20"/>
          <w:szCs w:val="20"/>
          <w:color w:val="auto"/>
        </w:rPr>
      </w:pPr>
    </w:p>
    <w:p>
      <w:pPr>
        <w:ind w:left="6500"/>
        <w:spacing w:after="0"/>
        <w:rPr>
          <w:sz w:val="20"/>
          <w:szCs w:val="20"/>
          <w:color w:val="auto"/>
        </w:rPr>
      </w:pPr>
      <w:r>
        <w:rPr>
          <w:rFonts w:ascii="Arial" w:cs="Arial" w:eastAsia="Arial" w:hAnsi="Arial"/>
          <w:sz w:val="16"/>
          <w:szCs w:val="16"/>
          <w:b w:val="1"/>
          <w:bCs w:val="1"/>
          <w:color w:val="auto"/>
        </w:rPr>
        <w:t>(c) Total Number of Shares</w:t>
      </w:r>
    </w:p>
    <w:p>
      <w:pPr>
        <w:spacing w:after="0" w:line="33" w:lineRule="exact"/>
        <w:rPr>
          <w:sz w:val="20"/>
          <w:szCs w:val="20"/>
          <w:color w:val="auto"/>
        </w:rPr>
      </w:pPr>
    </w:p>
    <w:p>
      <w:pPr>
        <w:ind w:left="20"/>
        <w:spacing w:after="0"/>
        <w:tabs>
          <w:tab w:leader="none" w:pos="2960" w:val="left"/>
          <w:tab w:leader="none" w:pos="4540" w:val="left"/>
          <w:tab w:leader="none" w:pos="6380" w:val="left"/>
        </w:tabs>
        <w:rPr>
          <w:sz w:val="20"/>
          <w:szCs w:val="20"/>
          <w:color w:val="auto"/>
        </w:rPr>
      </w:pPr>
      <w:r>
        <w:rPr>
          <w:rFonts w:ascii="Arial" w:cs="Arial" w:eastAsia="Arial" w:hAnsi="Arial"/>
          <w:sz w:val="17"/>
          <w:szCs w:val="17"/>
          <w:b w:val="1"/>
          <w:bCs w:val="1"/>
          <w:color w:val="auto"/>
        </w:rPr>
        <w:t>For the Three Months Ended April 30,</w:t>
        <w:tab/>
        <w:t>(a) Total Number of</w:t>
        <w:tab/>
        <w:t>(b) Average Price Paid</w:t>
      </w:r>
      <w:r>
        <w:rPr>
          <w:sz w:val="20"/>
          <w:szCs w:val="20"/>
          <w:color w:val="auto"/>
        </w:rPr>
        <w:tab/>
      </w:r>
      <w:r>
        <w:rPr>
          <w:rFonts w:ascii="Arial" w:cs="Arial" w:eastAsia="Arial" w:hAnsi="Arial"/>
          <w:sz w:val="15"/>
          <w:szCs w:val="15"/>
          <w:b w:val="1"/>
          <w:bCs w:val="1"/>
          <w:color w:val="auto"/>
        </w:rPr>
        <w:t>Purchased as Part of Publicly</w:t>
      </w:r>
    </w:p>
    <w:p>
      <w:pPr>
        <w:spacing w:after="0" w:line="6" w:lineRule="exact"/>
        <w:rPr>
          <w:sz w:val="20"/>
          <w:szCs w:val="20"/>
          <w:color w:val="auto"/>
        </w:rPr>
      </w:pPr>
    </w:p>
    <w:p>
      <w:pPr>
        <w:jc w:val="both"/>
        <w:ind w:left="1260"/>
        <w:spacing w:after="0"/>
        <w:tabs>
          <w:tab w:leader="none" w:pos="3040" w:val="left"/>
          <w:tab w:leader="none" w:pos="5000" w:val="left"/>
          <w:tab w:leader="none" w:pos="6340" w:val="left"/>
        </w:tabs>
        <w:rPr>
          <w:sz w:val="20"/>
          <w:szCs w:val="20"/>
          <w:color w:val="auto"/>
        </w:rPr>
      </w:pPr>
      <w:r>
        <w:rPr>
          <w:rFonts w:ascii="Arial" w:cs="Arial" w:eastAsia="Arial" w:hAnsi="Arial"/>
          <w:sz w:val="17"/>
          <w:szCs w:val="17"/>
          <w:b w:val="1"/>
          <w:bCs w:val="1"/>
          <w:color w:val="auto"/>
        </w:rPr>
        <w:t>2010</w:t>
      </w:r>
      <w:r>
        <w:rPr>
          <w:sz w:val="20"/>
          <w:szCs w:val="20"/>
          <w:color w:val="auto"/>
        </w:rPr>
        <w:tab/>
      </w:r>
      <w:r>
        <w:rPr>
          <w:rFonts w:ascii="Arial" w:cs="Arial" w:eastAsia="Arial" w:hAnsi="Arial"/>
          <w:sz w:val="17"/>
          <w:szCs w:val="17"/>
          <w:b w:val="1"/>
          <w:bCs w:val="1"/>
          <w:color w:val="auto"/>
        </w:rPr>
        <w:t>Shares Purchased</w:t>
      </w:r>
      <w:r>
        <w:rPr>
          <w:sz w:val="20"/>
          <w:szCs w:val="20"/>
          <w:color w:val="auto"/>
        </w:rPr>
        <w:tab/>
      </w:r>
      <w:r>
        <w:rPr>
          <w:rFonts w:ascii="Arial" w:cs="Arial" w:eastAsia="Arial" w:hAnsi="Arial"/>
          <w:sz w:val="17"/>
          <w:szCs w:val="17"/>
          <w:b w:val="1"/>
          <w:bCs w:val="1"/>
          <w:color w:val="auto"/>
        </w:rPr>
        <w:t>per Share</w:t>
      </w:r>
      <w:r>
        <w:rPr>
          <w:sz w:val="20"/>
          <w:szCs w:val="20"/>
          <w:color w:val="auto"/>
        </w:rPr>
        <w:tab/>
      </w:r>
      <w:r>
        <w:rPr>
          <w:rFonts w:ascii="Arial" w:cs="Arial" w:eastAsia="Arial" w:hAnsi="Arial"/>
          <w:sz w:val="14"/>
          <w:szCs w:val="14"/>
          <w:b w:val="1"/>
          <w:bCs w:val="1"/>
          <w:color w:val="auto"/>
        </w:rPr>
        <w:t>Announced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25614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614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both"/>
        <w:ind w:left="-24" w:firstLine="24"/>
        <w:spacing w:after="0" w:line="291" w:lineRule="auto"/>
        <w:tabs>
          <w:tab w:leader="none" w:pos="238"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Maximum Number of Shares that may yet be Purchased Under Plans or</w:t>
      </w:r>
    </w:p>
    <w:p>
      <w:pPr>
        <w:ind w:left="956"/>
        <w:spacing w:after="0"/>
        <w:rPr>
          <w:rFonts w:ascii="Arial" w:cs="Arial" w:eastAsia="Arial" w:hAnsi="Arial"/>
          <w:sz w:val="15"/>
          <w:szCs w:val="15"/>
          <w:b w:val="1"/>
          <w:bCs w:val="1"/>
          <w:color w:val="auto"/>
        </w:rPr>
      </w:pPr>
      <w:r>
        <w:rPr>
          <w:rFonts w:ascii="Arial" w:cs="Arial" w:eastAsia="Arial" w:hAnsi="Arial"/>
          <w:sz w:val="17"/>
          <w:szCs w:val="17"/>
          <w:b w:val="1"/>
          <w:bCs w:val="1"/>
          <w:color w:val="auto"/>
        </w:rPr>
        <w:t>Programs</w:t>
      </w:r>
      <w:r>
        <w:rPr>
          <w:rFonts w:ascii="Arial" w:cs="Arial" w:eastAsia="Arial" w:hAnsi="Arial"/>
          <w:sz w:val="23"/>
          <w:szCs w:val="23"/>
          <w:b w:val="1"/>
          <w:bCs w:val="1"/>
          <w:color w:val="auto"/>
          <w:vertAlign w:val="superscript"/>
        </w:rPr>
        <w:t>2</w:t>
      </w:r>
    </w:p>
    <w:p>
      <w:pPr>
        <w:spacing w:after="0" w:line="151" w:lineRule="exact"/>
        <w:rPr>
          <w:sz w:val="20"/>
          <w:szCs w:val="20"/>
          <w:color w:val="auto"/>
        </w:rPr>
      </w:pPr>
    </w:p>
    <w:p>
      <w:pPr>
        <w:sectPr>
          <w:pgSz w:w="11900" w:h="16838" w:orient="portrait"/>
          <w:cols w:equalWidth="0" w:num="2">
            <w:col w:w="8560" w:space="184"/>
            <w:col w:w="2676"/>
          </w:cols>
          <w:pgMar w:left="240" w:top="714" w:right="2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400" w:type="dxa"/>
            <w:vAlign w:val="bottom"/>
          </w:tcPr>
          <w:p>
            <w:pPr>
              <w:spacing w:after="0"/>
              <w:rPr>
                <w:sz w:val="20"/>
                <w:szCs w:val="20"/>
                <w:color w:val="auto"/>
              </w:rPr>
            </w:pPr>
            <w:r>
              <w:rPr>
                <w:rFonts w:ascii="Arial" w:cs="Arial" w:eastAsia="Arial" w:hAnsi="Arial"/>
                <w:sz w:val="17"/>
                <w:szCs w:val="17"/>
                <w:color w:val="auto"/>
              </w:rPr>
              <w:t>February 1, 2010 to</w:t>
            </w:r>
          </w:p>
        </w:tc>
        <w:tc>
          <w:tcPr>
            <w:tcW w:w="2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01"/>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February 28, 2010</w:t>
            </w:r>
          </w:p>
        </w:tc>
        <w:tc>
          <w:tcPr>
            <w:tcW w:w="2120" w:type="dxa"/>
            <w:vAlign w:val="bottom"/>
            <w:shd w:val="clear" w:color="auto" w:fill="CCEEFF"/>
          </w:tcPr>
          <w:p>
            <w:pPr>
              <w:jc w:val="center"/>
              <w:ind w:left="376"/>
              <w:spacing w:after="0"/>
              <w:rPr>
                <w:sz w:val="20"/>
                <w:szCs w:val="20"/>
                <w:color w:val="auto"/>
              </w:rPr>
            </w:pPr>
            <w:r>
              <w:rPr>
                <w:rFonts w:ascii="Arial" w:cs="Arial" w:eastAsia="Arial" w:hAnsi="Arial"/>
                <w:sz w:val="17"/>
                <w:szCs w:val="17"/>
                <w:color w:val="auto"/>
                <w:w w:val="89"/>
              </w:rPr>
              <w:t>6,300</w:t>
            </w:r>
          </w:p>
        </w:tc>
        <w:tc>
          <w:tcPr>
            <w:tcW w:w="1900" w:type="dxa"/>
            <w:vAlign w:val="bottom"/>
            <w:shd w:val="clear" w:color="auto" w:fill="CCEEFF"/>
          </w:tcPr>
          <w:p>
            <w:pPr>
              <w:jc w:val="right"/>
              <w:ind w:right="736"/>
              <w:spacing w:after="0"/>
              <w:rPr>
                <w:sz w:val="20"/>
                <w:szCs w:val="20"/>
                <w:color w:val="auto"/>
              </w:rPr>
            </w:pPr>
            <w:r>
              <w:rPr>
                <w:rFonts w:ascii="Arial" w:cs="Arial" w:eastAsia="Arial" w:hAnsi="Arial"/>
                <w:sz w:val="17"/>
                <w:szCs w:val="17"/>
                <w:color w:val="auto"/>
              </w:rPr>
              <w:t>$15.89</w:t>
            </w:r>
          </w:p>
        </w:tc>
        <w:tc>
          <w:tcPr>
            <w:tcW w:w="2320" w:type="dxa"/>
            <w:vAlign w:val="bottom"/>
            <w:shd w:val="clear" w:color="auto" w:fill="CCEEFF"/>
          </w:tcPr>
          <w:p>
            <w:pPr>
              <w:jc w:val="center"/>
              <w:ind w:right="156"/>
              <w:spacing w:after="0"/>
              <w:rPr>
                <w:sz w:val="20"/>
                <w:szCs w:val="20"/>
                <w:color w:val="auto"/>
              </w:rPr>
            </w:pPr>
            <w:r>
              <w:rPr>
                <w:rFonts w:ascii="Arial" w:cs="Arial" w:eastAsia="Arial" w:hAnsi="Arial"/>
                <w:sz w:val="17"/>
                <w:szCs w:val="17"/>
                <w:color w:val="auto"/>
                <w:w w:val="84"/>
              </w:rPr>
              <w:t>6,300</w:t>
            </w:r>
          </w:p>
        </w:tc>
        <w:tc>
          <w:tcPr>
            <w:tcW w:w="26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rPr>
              <w:t>231,943</w:t>
            </w:r>
          </w:p>
        </w:tc>
      </w:tr>
      <w:tr>
        <w:trPr>
          <w:trHeight w:val="206"/>
        </w:trPr>
        <w:tc>
          <w:tcPr>
            <w:tcW w:w="24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r>
      <w:tr>
        <w:trPr>
          <w:trHeight w:val="201"/>
        </w:trPr>
        <w:tc>
          <w:tcPr>
            <w:tcW w:w="24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r>
      <w:tr>
        <w:trPr>
          <w:trHeight w:val="201"/>
        </w:trPr>
        <w:tc>
          <w:tcPr>
            <w:tcW w:w="2400" w:type="dxa"/>
            <w:vAlign w:val="bottom"/>
          </w:tcPr>
          <w:p>
            <w:pPr>
              <w:spacing w:after="0"/>
              <w:rPr>
                <w:sz w:val="20"/>
                <w:szCs w:val="20"/>
                <w:color w:val="auto"/>
              </w:rPr>
            </w:pPr>
            <w:r>
              <w:rPr>
                <w:rFonts w:ascii="Arial" w:cs="Arial" w:eastAsia="Arial" w:hAnsi="Arial"/>
                <w:sz w:val="17"/>
                <w:szCs w:val="17"/>
                <w:color w:val="auto"/>
              </w:rPr>
              <w:t>March 1, 2010 to</w:t>
            </w:r>
          </w:p>
        </w:tc>
        <w:tc>
          <w:tcPr>
            <w:tcW w:w="2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1"/>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March 31, 2010</w:t>
            </w:r>
          </w:p>
        </w:tc>
        <w:tc>
          <w:tcPr>
            <w:tcW w:w="2120" w:type="dxa"/>
            <w:vAlign w:val="bottom"/>
            <w:shd w:val="clear" w:color="auto" w:fill="CCEEFF"/>
          </w:tcPr>
          <w:p>
            <w:pPr>
              <w:jc w:val="center"/>
              <w:ind w:left="376"/>
              <w:spacing w:after="0"/>
              <w:rPr>
                <w:sz w:val="20"/>
                <w:szCs w:val="20"/>
                <w:color w:val="auto"/>
              </w:rPr>
            </w:pPr>
            <w:r>
              <w:rPr>
                <w:rFonts w:ascii="Arial" w:cs="Arial" w:eastAsia="Arial" w:hAnsi="Arial"/>
                <w:sz w:val="17"/>
                <w:szCs w:val="17"/>
                <w:color w:val="auto"/>
                <w:w w:val="88"/>
              </w:rPr>
              <w:t>28,203</w:t>
            </w:r>
          </w:p>
        </w:tc>
        <w:tc>
          <w:tcPr>
            <w:tcW w:w="1900" w:type="dxa"/>
            <w:vAlign w:val="bottom"/>
            <w:shd w:val="clear" w:color="auto" w:fill="CCEEFF"/>
          </w:tcPr>
          <w:p>
            <w:pPr>
              <w:jc w:val="right"/>
              <w:ind w:right="736"/>
              <w:spacing w:after="0"/>
              <w:rPr>
                <w:sz w:val="20"/>
                <w:szCs w:val="20"/>
                <w:color w:val="auto"/>
              </w:rPr>
            </w:pPr>
            <w:r>
              <w:rPr>
                <w:rFonts w:ascii="Arial" w:cs="Arial" w:eastAsia="Arial" w:hAnsi="Arial"/>
                <w:sz w:val="17"/>
                <w:szCs w:val="17"/>
                <w:color w:val="auto"/>
              </w:rPr>
              <w:t>$18.41</w:t>
            </w:r>
          </w:p>
        </w:tc>
        <w:tc>
          <w:tcPr>
            <w:tcW w:w="2320" w:type="dxa"/>
            <w:vAlign w:val="bottom"/>
            <w:shd w:val="clear" w:color="auto" w:fill="CCEEFF"/>
          </w:tcPr>
          <w:p>
            <w:pPr>
              <w:jc w:val="center"/>
              <w:ind w:right="136"/>
              <w:spacing w:after="0"/>
              <w:rPr>
                <w:sz w:val="20"/>
                <w:szCs w:val="20"/>
                <w:color w:val="auto"/>
              </w:rPr>
            </w:pPr>
            <w:r>
              <w:rPr>
                <w:rFonts w:ascii="Arial" w:cs="Arial" w:eastAsia="Arial" w:hAnsi="Arial"/>
                <w:sz w:val="17"/>
                <w:szCs w:val="17"/>
                <w:color w:val="auto"/>
                <w:w w:val="88"/>
              </w:rPr>
              <w:t>28,203</w:t>
            </w:r>
          </w:p>
        </w:tc>
        <w:tc>
          <w:tcPr>
            <w:tcW w:w="26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rPr>
              <w:t>453,740</w:t>
            </w:r>
          </w:p>
        </w:tc>
      </w:tr>
      <w:tr>
        <w:trPr>
          <w:trHeight w:val="206"/>
        </w:trPr>
        <w:tc>
          <w:tcPr>
            <w:tcW w:w="24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r>
      <w:tr>
        <w:trPr>
          <w:trHeight w:val="201"/>
        </w:trPr>
        <w:tc>
          <w:tcPr>
            <w:tcW w:w="24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r>
      <w:tr>
        <w:trPr>
          <w:trHeight w:val="201"/>
        </w:trPr>
        <w:tc>
          <w:tcPr>
            <w:tcW w:w="2400" w:type="dxa"/>
            <w:vAlign w:val="bottom"/>
          </w:tcPr>
          <w:p>
            <w:pPr>
              <w:spacing w:after="0"/>
              <w:rPr>
                <w:sz w:val="20"/>
                <w:szCs w:val="20"/>
                <w:color w:val="auto"/>
              </w:rPr>
            </w:pPr>
            <w:r>
              <w:rPr>
                <w:rFonts w:ascii="Arial" w:cs="Arial" w:eastAsia="Arial" w:hAnsi="Arial"/>
                <w:sz w:val="17"/>
                <w:szCs w:val="17"/>
                <w:color w:val="auto"/>
              </w:rPr>
              <w:t>April 1, 2010 to</w:t>
            </w:r>
          </w:p>
        </w:tc>
        <w:tc>
          <w:tcPr>
            <w:tcW w:w="2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1"/>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April 30, 2010</w:t>
            </w:r>
          </w:p>
        </w:tc>
        <w:tc>
          <w:tcPr>
            <w:tcW w:w="2120" w:type="dxa"/>
            <w:vAlign w:val="bottom"/>
            <w:shd w:val="clear" w:color="auto" w:fill="CCEEFF"/>
          </w:tcPr>
          <w:p>
            <w:pPr>
              <w:jc w:val="center"/>
              <w:ind w:left="376"/>
              <w:spacing w:after="0"/>
              <w:rPr>
                <w:sz w:val="20"/>
                <w:szCs w:val="20"/>
                <w:color w:val="auto"/>
              </w:rPr>
            </w:pPr>
            <w:r>
              <w:rPr>
                <w:rFonts w:ascii="Arial" w:cs="Arial" w:eastAsia="Arial" w:hAnsi="Arial"/>
                <w:sz w:val="17"/>
                <w:szCs w:val="17"/>
                <w:color w:val="auto"/>
                <w:w w:val="88"/>
              </w:rPr>
              <w:t>43,626</w:t>
            </w:r>
          </w:p>
        </w:tc>
        <w:tc>
          <w:tcPr>
            <w:tcW w:w="1900" w:type="dxa"/>
            <w:vAlign w:val="bottom"/>
            <w:shd w:val="clear" w:color="auto" w:fill="CCEEFF"/>
          </w:tcPr>
          <w:p>
            <w:pPr>
              <w:jc w:val="right"/>
              <w:ind w:right="736"/>
              <w:spacing w:after="0"/>
              <w:rPr>
                <w:sz w:val="20"/>
                <w:szCs w:val="20"/>
                <w:color w:val="auto"/>
              </w:rPr>
            </w:pPr>
            <w:r>
              <w:rPr>
                <w:rFonts w:ascii="Arial" w:cs="Arial" w:eastAsia="Arial" w:hAnsi="Arial"/>
                <w:sz w:val="17"/>
                <w:szCs w:val="17"/>
                <w:color w:val="auto"/>
              </w:rPr>
              <w:t>$19.95</w:t>
            </w:r>
          </w:p>
        </w:tc>
        <w:tc>
          <w:tcPr>
            <w:tcW w:w="2320" w:type="dxa"/>
            <w:vAlign w:val="bottom"/>
            <w:shd w:val="clear" w:color="auto" w:fill="CCEEFF"/>
          </w:tcPr>
          <w:p>
            <w:pPr>
              <w:jc w:val="center"/>
              <w:ind w:right="136"/>
              <w:spacing w:after="0"/>
              <w:rPr>
                <w:sz w:val="20"/>
                <w:szCs w:val="20"/>
                <w:color w:val="auto"/>
              </w:rPr>
            </w:pPr>
            <w:r>
              <w:rPr>
                <w:rFonts w:ascii="Arial" w:cs="Arial" w:eastAsia="Arial" w:hAnsi="Arial"/>
                <w:sz w:val="17"/>
                <w:szCs w:val="17"/>
                <w:color w:val="auto"/>
                <w:w w:val="88"/>
              </w:rPr>
              <w:t>43,626</w:t>
            </w:r>
          </w:p>
        </w:tc>
        <w:tc>
          <w:tcPr>
            <w:tcW w:w="268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rPr>
              <w:t>410,114</w:t>
            </w:r>
          </w:p>
        </w:tc>
      </w:tr>
      <w:tr>
        <w:trPr>
          <w:trHeight w:val="206"/>
        </w:trPr>
        <w:tc>
          <w:tcPr>
            <w:tcW w:w="24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r>
    </w:tbl>
    <w:p>
      <w:pPr>
        <w:spacing w:after="0" w:line="214" w:lineRule="exact"/>
        <w:rPr>
          <w:sz w:val="20"/>
          <w:szCs w:val="20"/>
          <w:color w:val="auto"/>
        </w:rPr>
      </w:pPr>
    </w:p>
    <w:p>
      <w:pPr>
        <w:jc w:val="both"/>
        <w:ind w:firstLine="1"/>
        <w:spacing w:after="0" w:line="230" w:lineRule="auto"/>
        <w:tabs>
          <w:tab w:leader="none" w:pos="1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7 of the consolidated financial statements included in our Annual Report on Form 10-K for the fiscal year ended July 31, 2009 filed with the SEC.</w:t>
      </w:r>
    </w:p>
    <w:p>
      <w:pPr>
        <w:spacing w:after="0" w:line="215" w:lineRule="exact"/>
        <w:rPr>
          <w:sz w:val="20"/>
          <w:szCs w:val="20"/>
          <w:color w:val="auto"/>
        </w:rPr>
      </w:pPr>
    </w:p>
    <w:p>
      <w:pPr>
        <w:jc w:val="both"/>
        <w:ind w:firstLine="1"/>
        <w:spacing w:after="0" w:line="235" w:lineRule="auto"/>
        <w:tabs>
          <w:tab w:leader="none" w:pos="101"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On October 10, 2005, our Board of Directors authorized the repurchase of up to 500,000 shares of Common Stock, with repurchases to be made from time to time in the discretion of our management and in accordance with applicable laws, rules and regulations. This authorization does not have a stated expiration date. On March 11, 2010, our Board of Directors authorized the repurchase of an additional 250,000 shares of Common Stock. The share numbers in this column indicate the number of shares of Common Stock that may yet be repurchased under these authorizations. The share numbers were not affected by the five-for-four stock split that occurred on September 8, 2006. We do not have any current authorization from our Board of Directors to repurchase shares of Class B Stock, and no shares of Class A Common Stock are currently outstanding.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17"/>
        </w:trPr>
        <w:tc>
          <w:tcPr>
            <w:tcW w:w="6200" w:type="dxa"/>
            <w:vAlign w:val="bottom"/>
            <w:gridSpan w:val="11"/>
          </w:tcPr>
          <w:p>
            <w:pPr>
              <w:spacing w:after="0"/>
              <w:rPr>
                <w:sz w:val="20"/>
                <w:szCs w:val="20"/>
                <w:color w:val="auto"/>
              </w:rPr>
            </w:pPr>
            <w:r>
              <w:rPr>
                <w:rFonts w:ascii="Arial" w:cs="Arial" w:eastAsia="Arial" w:hAnsi="Arial"/>
                <w:sz w:val="17"/>
                <w:szCs w:val="17"/>
                <w:b w:val="1"/>
                <w:bCs w:val="1"/>
                <w:color w:val="auto"/>
              </w:rPr>
              <w:t>ITEM 6. EXHIBITS</w:t>
            </w: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616"/>
        </w:trPr>
        <w:tc>
          <w:tcPr>
            <w:tcW w:w="100" w:type="dxa"/>
            <w:vAlign w:val="bottom"/>
          </w:tcPr>
          <w:p>
            <w:pPr>
              <w:spacing w:after="0"/>
              <w:rPr>
                <w:sz w:val="24"/>
                <w:szCs w:val="24"/>
                <w:color w:val="auto"/>
              </w:rPr>
            </w:pPr>
          </w:p>
        </w:tc>
        <w:tc>
          <w:tcPr>
            <w:tcW w:w="78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w w:val="92"/>
              </w:rPr>
              <w:t>Exhibit No.</w:t>
            </w: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7"/>
                <w:szCs w:val="17"/>
                <w:color w:val="auto"/>
              </w:rPr>
              <w:t>Description</w:t>
            </w:r>
          </w:p>
        </w:tc>
        <w:tc>
          <w:tcPr>
            <w:tcW w:w="180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SEC Document Reference</w:t>
            </w:r>
          </w:p>
        </w:tc>
      </w:tr>
      <w:tr>
        <w:trPr>
          <w:trHeight w:val="20"/>
        </w:trPr>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93"/>
        </w:trPr>
        <w:tc>
          <w:tcPr>
            <w:tcW w:w="880" w:type="dxa"/>
            <w:vAlign w:val="bottom"/>
            <w:gridSpan w:val="7"/>
          </w:tcPr>
          <w:p>
            <w:pPr>
              <w:jc w:val="center"/>
              <w:ind w:left="16"/>
              <w:spacing w:after="0"/>
              <w:rPr>
                <w:sz w:val="20"/>
                <w:szCs w:val="20"/>
                <w:color w:val="auto"/>
              </w:rPr>
            </w:pPr>
            <w:r>
              <w:rPr>
                <w:rFonts w:ascii="Arial" w:cs="Arial" w:eastAsia="Arial" w:hAnsi="Arial"/>
                <w:sz w:val="17"/>
                <w:szCs w:val="17"/>
                <w:color w:val="auto"/>
                <w:w w:val="90"/>
              </w:rPr>
              <w:t>10.1</w:t>
            </w:r>
          </w:p>
        </w:tc>
        <w:tc>
          <w:tcPr>
            <w:tcW w:w="60" w:type="dxa"/>
            <w:vAlign w:val="bottom"/>
          </w:tcPr>
          <w:p>
            <w:pPr>
              <w:spacing w:after="0"/>
              <w:rPr>
                <w:sz w:val="24"/>
                <w:szCs w:val="24"/>
                <w:color w:val="auto"/>
              </w:rPr>
            </w:pPr>
          </w:p>
        </w:tc>
        <w:tc>
          <w:tcPr>
            <w:tcW w:w="5260" w:type="dxa"/>
            <w:vAlign w:val="bottom"/>
            <w:gridSpan w:val="3"/>
          </w:tcPr>
          <w:p>
            <w:pPr>
              <w:ind w:left="40"/>
              <w:spacing w:after="0"/>
              <w:rPr>
                <w:sz w:val="20"/>
                <w:szCs w:val="20"/>
                <w:color w:val="auto"/>
              </w:rPr>
            </w:pPr>
            <w:r>
              <w:rPr>
                <w:rFonts w:ascii="Arial" w:cs="Arial" w:eastAsia="Arial" w:hAnsi="Arial"/>
                <w:sz w:val="17"/>
                <w:szCs w:val="17"/>
                <w:color w:val="auto"/>
                <w:w w:val="93"/>
              </w:rPr>
              <w:t>Amendment, dated April 15, 2010, to the Letter Agreement, dated January</w:t>
            </w:r>
          </w:p>
        </w:tc>
        <w:tc>
          <w:tcPr>
            <w:tcW w:w="5220" w:type="dxa"/>
            <w:vAlign w:val="bottom"/>
            <w:gridSpan w:val="3"/>
          </w:tcPr>
          <w:p>
            <w:pPr>
              <w:ind w:left="140"/>
              <w:spacing w:after="0"/>
              <w:rPr>
                <w:sz w:val="20"/>
                <w:szCs w:val="20"/>
                <w:color w:val="auto"/>
              </w:rPr>
            </w:pPr>
            <w:r>
              <w:rPr>
                <w:rFonts w:ascii="Arial" w:cs="Arial" w:eastAsia="Arial" w:hAnsi="Arial"/>
                <w:sz w:val="17"/>
                <w:szCs w:val="17"/>
                <w:color w:val="auto"/>
                <w:w w:val="91"/>
              </w:rPr>
              <w:t>Incorporated by reference to Exhibit 10.1 to Oil-Dri’s (File No. 001-12622)</w:t>
            </w:r>
          </w:p>
        </w:tc>
      </w:tr>
      <w:tr>
        <w:trPr>
          <w:trHeight w:val="213"/>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60" w:type="dxa"/>
            <w:vAlign w:val="bottom"/>
            <w:gridSpan w:val="3"/>
          </w:tcPr>
          <w:p>
            <w:pPr>
              <w:ind w:left="40"/>
              <w:spacing w:after="0"/>
              <w:rPr>
                <w:sz w:val="20"/>
                <w:szCs w:val="20"/>
                <w:color w:val="auto"/>
              </w:rPr>
            </w:pPr>
            <w:r>
              <w:rPr>
                <w:rFonts w:ascii="Arial" w:cs="Arial" w:eastAsia="Arial" w:hAnsi="Arial"/>
                <w:sz w:val="17"/>
                <w:szCs w:val="17"/>
                <w:color w:val="auto"/>
                <w:w w:val="94"/>
              </w:rPr>
              <w:t>11, 2010, between Oil-Dri Corporation of America and Brian K. Bancroft.*</w:t>
            </w:r>
          </w:p>
        </w:tc>
        <w:tc>
          <w:tcPr>
            <w:tcW w:w="5220" w:type="dxa"/>
            <w:vAlign w:val="bottom"/>
            <w:gridSpan w:val="3"/>
          </w:tcPr>
          <w:p>
            <w:pPr>
              <w:ind w:left="140"/>
              <w:spacing w:after="0"/>
              <w:rPr>
                <w:sz w:val="20"/>
                <w:szCs w:val="20"/>
                <w:color w:val="auto"/>
              </w:rPr>
            </w:pPr>
            <w:r>
              <w:rPr>
                <w:rFonts w:ascii="Arial" w:cs="Arial" w:eastAsia="Arial" w:hAnsi="Arial"/>
                <w:sz w:val="17"/>
                <w:szCs w:val="17"/>
                <w:color w:val="auto"/>
              </w:rPr>
              <w:t>Current Report on Form 8-K filed on April 16, 2010.</w:t>
            </w:r>
          </w:p>
        </w:tc>
      </w:tr>
      <w:tr>
        <w:trPr>
          <w:trHeight w:val="365"/>
        </w:trPr>
        <w:tc>
          <w:tcPr>
            <w:tcW w:w="880" w:type="dxa"/>
            <w:vAlign w:val="bottom"/>
            <w:gridSpan w:val="7"/>
          </w:tcPr>
          <w:p>
            <w:pPr>
              <w:jc w:val="center"/>
              <w:ind w:left="16"/>
              <w:spacing w:after="0"/>
              <w:rPr>
                <w:rFonts w:ascii="Arial" w:cs="Arial" w:eastAsia="Arial" w:hAnsi="Arial"/>
                <w:sz w:val="17"/>
                <w:szCs w:val="17"/>
                <w:color w:val="0000EE"/>
                <w:w w:val="90"/>
              </w:rPr>
            </w:pPr>
            <w:hyperlink w:anchor="page33">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2</w:t>
              </w:r>
            </w:hyperlink>
          </w:p>
        </w:tc>
        <w:tc>
          <w:tcPr>
            <w:tcW w:w="60" w:type="dxa"/>
            <w:vAlign w:val="bottom"/>
          </w:tcPr>
          <w:p>
            <w:pPr>
              <w:spacing w:after="0"/>
              <w:rPr>
                <w:sz w:val="24"/>
                <w:szCs w:val="24"/>
                <w:color w:val="auto"/>
              </w:rPr>
            </w:pPr>
          </w:p>
        </w:tc>
        <w:tc>
          <w:tcPr>
            <w:tcW w:w="5260" w:type="dxa"/>
            <w:vAlign w:val="bottom"/>
            <w:gridSpan w:val="3"/>
          </w:tcPr>
          <w:p>
            <w:pPr>
              <w:ind w:left="40"/>
              <w:spacing w:after="0"/>
              <w:rPr>
                <w:sz w:val="20"/>
                <w:szCs w:val="20"/>
                <w:color w:val="auto"/>
              </w:rPr>
            </w:pPr>
            <w:r>
              <w:rPr>
                <w:rFonts w:ascii="Arial" w:cs="Arial" w:eastAsia="Arial" w:hAnsi="Arial"/>
                <w:sz w:val="17"/>
                <w:szCs w:val="17"/>
                <w:color w:val="auto"/>
                <w:w w:val="95"/>
              </w:rPr>
              <w:t>Supplemental  Executive  Retirement  Plan  (as  amended  and  restated</w:t>
            </w:r>
          </w:p>
        </w:tc>
        <w:tc>
          <w:tcPr>
            <w:tcW w:w="5220" w:type="dxa"/>
            <w:vAlign w:val="bottom"/>
            <w:gridSpan w:val="3"/>
          </w:tcPr>
          <w:p>
            <w:pPr>
              <w:ind w:left="140"/>
              <w:spacing w:after="0"/>
              <w:rPr>
                <w:sz w:val="20"/>
                <w:szCs w:val="20"/>
                <w:color w:val="auto"/>
              </w:rPr>
            </w:pPr>
            <w:r>
              <w:rPr>
                <w:rFonts w:ascii="Arial" w:cs="Arial" w:eastAsia="Arial" w:hAnsi="Arial"/>
                <w:sz w:val="17"/>
                <w:szCs w:val="17"/>
                <w:color w:val="auto"/>
              </w:rPr>
              <w:t>Filed herewith.</w:t>
            </w:r>
          </w:p>
        </w:tc>
      </w:tr>
      <w:tr>
        <w:trPr>
          <w:trHeight w:val="219"/>
        </w:trPr>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60" w:type="dxa"/>
            <w:vAlign w:val="bottom"/>
            <w:gridSpan w:val="3"/>
          </w:tcPr>
          <w:p>
            <w:pPr>
              <w:ind w:left="40"/>
              <w:spacing w:after="0"/>
              <w:rPr>
                <w:sz w:val="20"/>
                <w:szCs w:val="20"/>
                <w:color w:val="auto"/>
              </w:rPr>
            </w:pPr>
            <w:r>
              <w:rPr>
                <w:rFonts w:ascii="Arial" w:cs="Arial" w:eastAsia="Arial" w:hAnsi="Arial"/>
                <w:sz w:val="17"/>
                <w:szCs w:val="17"/>
                <w:color w:val="auto"/>
              </w:rPr>
              <w:t>effective January 1, 2009)*</w:t>
            </w:r>
          </w:p>
        </w:tc>
        <w:tc>
          <w:tcPr>
            <w:tcW w:w="1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65"/>
        </w:trPr>
        <w:tc>
          <w:tcPr>
            <w:tcW w:w="580" w:type="dxa"/>
            <w:vAlign w:val="bottom"/>
            <w:gridSpan w:val="5"/>
          </w:tcPr>
          <w:p>
            <w:pPr>
              <w:jc w:val="center"/>
              <w:ind w:left="336"/>
              <w:spacing w:after="0"/>
              <w:rPr>
                <w:rFonts w:ascii="Arial" w:cs="Arial" w:eastAsia="Arial" w:hAnsi="Arial"/>
                <w:sz w:val="17"/>
                <w:szCs w:val="17"/>
                <w:color w:val="0000EE"/>
                <w:w w:val="84"/>
              </w:rPr>
            </w:pPr>
            <w:hyperlink w:anchor="page39">
              <w:r>
                <w:rPr>
                  <w:rFonts w:ascii="Arial" w:cs="Arial" w:eastAsia="Arial" w:hAnsi="Arial"/>
                  <w:sz w:val="17"/>
                  <w:szCs w:val="17"/>
                  <w:color w:val="0000EE"/>
                  <w:w w:val="84"/>
                </w:rPr>
                <w:t>11</w:t>
              </w:r>
            </w:hyperlink>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60" w:type="dxa"/>
            <w:vAlign w:val="bottom"/>
            <w:gridSpan w:val="3"/>
          </w:tcPr>
          <w:p>
            <w:pPr>
              <w:ind w:left="40"/>
              <w:spacing w:after="0"/>
              <w:rPr>
                <w:sz w:val="20"/>
                <w:szCs w:val="20"/>
                <w:color w:val="auto"/>
              </w:rPr>
            </w:pPr>
            <w:r>
              <w:rPr>
                <w:rFonts w:ascii="Arial" w:cs="Arial" w:eastAsia="Arial" w:hAnsi="Arial"/>
                <w:sz w:val="17"/>
                <w:szCs w:val="17"/>
                <w:color w:val="auto"/>
              </w:rPr>
              <w:t>Statement re: Computation of Earnings per Share.</w:t>
            </w:r>
          </w:p>
        </w:tc>
        <w:tc>
          <w:tcPr>
            <w:tcW w:w="5220" w:type="dxa"/>
            <w:vAlign w:val="bottom"/>
            <w:gridSpan w:val="3"/>
          </w:tcPr>
          <w:p>
            <w:pPr>
              <w:ind w:left="140"/>
              <w:spacing w:after="0"/>
              <w:rPr>
                <w:sz w:val="20"/>
                <w:szCs w:val="20"/>
                <w:color w:val="auto"/>
              </w:rPr>
            </w:pPr>
            <w:r>
              <w:rPr>
                <w:rFonts w:ascii="Arial" w:cs="Arial" w:eastAsia="Arial" w:hAnsi="Arial"/>
                <w:sz w:val="17"/>
                <w:szCs w:val="17"/>
                <w:color w:val="auto"/>
              </w:rPr>
              <w:t>Filed herewith.</w:t>
            </w:r>
          </w:p>
        </w:tc>
      </w:tr>
      <w:tr>
        <w:trPr>
          <w:trHeight w:val="20"/>
        </w:trPr>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r>
      <w:tr>
        <w:trPr>
          <w:trHeight w:val="382"/>
        </w:trPr>
        <w:tc>
          <w:tcPr>
            <w:tcW w:w="4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center"/>
              <w:spacing w:after="0"/>
              <w:rPr>
                <w:rFonts w:ascii="Arial" w:cs="Arial" w:eastAsia="Arial" w:hAnsi="Arial"/>
                <w:sz w:val="17"/>
                <w:szCs w:val="17"/>
                <w:color w:val="0000EE"/>
                <w:w w:val="94"/>
              </w:rPr>
            </w:pPr>
            <w:hyperlink w:anchor="page40">
              <w:r>
                <w:rPr>
                  <w:rFonts w:ascii="Arial" w:cs="Arial" w:eastAsia="Arial" w:hAnsi="Arial"/>
                  <w:sz w:val="17"/>
                  <w:szCs w:val="17"/>
                  <w:color w:val="0000EE"/>
                  <w:w w:val="94"/>
                </w:rPr>
                <w:t>31</w:t>
              </w:r>
            </w:hyperlink>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60" w:type="dxa"/>
            <w:vAlign w:val="bottom"/>
            <w:gridSpan w:val="3"/>
          </w:tcPr>
          <w:p>
            <w:pPr>
              <w:ind w:left="40"/>
              <w:spacing w:after="0"/>
              <w:rPr>
                <w:sz w:val="20"/>
                <w:szCs w:val="20"/>
                <w:color w:val="auto"/>
              </w:rPr>
            </w:pPr>
            <w:r>
              <w:rPr>
                <w:rFonts w:ascii="Arial" w:cs="Arial" w:eastAsia="Arial" w:hAnsi="Arial"/>
                <w:sz w:val="17"/>
                <w:szCs w:val="17"/>
                <w:color w:val="auto"/>
              </w:rPr>
              <w:t>Certifications pursuant to Rule 13a – 14(a).</w:t>
            </w:r>
          </w:p>
        </w:tc>
        <w:tc>
          <w:tcPr>
            <w:tcW w:w="5220" w:type="dxa"/>
            <w:vAlign w:val="bottom"/>
            <w:gridSpan w:val="3"/>
          </w:tcPr>
          <w:p>
            <w:pPr>
              <w:ind w:left="140"/>
              <w:spacing w:after="0"/>
              <w:rPr>
                <w:sz w:val="20"/>
                <w:szCs w:val="20"/>
                <w:color w:val="auto"/>
              </w:rPr>
            </w:pPr>
            <w:r>
              <w:rPr>
                <w:rFonts w:ascii="Arial" w:cs="Arial" w:eastAsia="Arial" w:hAnsi="Arial"/>
                <w:sz w:val="17"/>
                <w:szCs w:val="17"/>
                <w:color w:val="auto"/>
              </w:rPr>
              <w:t>Filed herewith.</w:t>
            </w:r>
          </w:p>
        </w:tc>
      </w:tr>
      <w:tr>
        <w:trPr>
          <w:trHeight w:val="382"/>
        </w:trPr>
        <w:tc>
          <w:tcPr>
            <w:tcW w:w="4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center"/>
              <w:spacing w:after="0"/>
              <w:rPr>
                <w:rFonts w:ascii="Arial" w:cs="Arial" w:eastAsia="Arial" w:hAnsi="Arial"/>
                <w:sz w:val="17"/>
                <w:szCs w:val="17"/>
                <w:color w:val="0000EE"/>
                <w:w w:val="94"/>
              </w:rPr>
            </w:pPr>
            <w:hyperlink w:anchor="page42">
              <w:r>
                <w:rPr>
                  <w:rFonts w:ascii="Arial" w:cs="Arial" w:eastAsia="Arial" w:hAnsi="Arial"/>
                  <w:sz w:val="17"/>
                  <w:szCs w:val="17"/>
                  <w:color w:val="0000EE"/>
                  <w:w w:val="94"/>
                </w:rPr>
                <w:t>32</w:t>
              </w:r>
            </w:hyperlink>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60" w:type="dxa"/>
            <w:vAlign w:val="bottom"/>
            <w:gridSpan w:val="3"/>
          </w:tcPr>
          <w:p>
            <w:pPr>
              <w:ind w:left="40"/>
              <w:spacing w:after="0"/>
              <w:rPr>
                <w:sz w:val="20"/>
                <w:szCs w:val="20"/>
                <w:color w:val="auto"/>
              </w:rPr>
            </w:pPr>
            <w:r>
              <w:rPr>
                <w:rFonts w:ascii="Arial" w:cs="Arial" w:eastAsia="Arial" w:hAnsi="Arial"/>
                <w:sz w:val="17"/>
                <w:szCs w:val="17"/>
                <w:color w:val="auto"/>
                <w:w w:val="92"/>
              </w:rPr>
              <w:t>Certifications pursuant to Section 1350 of the Sarbanes-Oxley Act of 2002.</w:t>
            </w:r>
          </w:p>
        </w:tc>
        <w:tc>
          <w:tcPr>
            <w:tcW w:w="5220" w:type="dxa"/>
            <w:vAlign w:val="bottom"/>
            <w:gridSpan w:val="3"/>
          </w:tcPr>
          <w:p>
            <w:pPr>
              <w:ind w:left="140"/>
              <w:spacing w:after="0"/>
              <w:rPr>
                <w:sz w:val="20"/>
                <w:szCs w:val="20"/>
                <w:color w:val="auto"/>
              </w:rPr>
            </w:pPr>
            <w:r>
              <w:rPr>
                <w:rFonts w:ascii="Arial" w:cs="Arial" w:eastAsia="Arial" w:hAnsi="Arial"/>
                <w:sz w:val="17"/>
                <w:szCs w:val="17"/>
                <w:color w:val="auto"/>
              </w:rPr>
              <w:t>Furnished herewith.</w:t>
            </w:r>
          </w:p>
        </w:tc>
      </w:tr>
    </w:tbl>
    <w:p>
      <w:pPr>
        <w:spacing w:after="0" w:line="214" w:lineRule="exact"/>
        <w:rPr>
          <w:sz w:val="20"/>
          <w:szCs w:val="20"/>
          <w:color w:val="auto"/>
        </w:rPr>
      </w:pPr>
    </w:p>
    <w:p>
      <w:pPr>
        <w:ind w:left="980" w:hanging="531"/>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auto"/>
        </w:rPr>
        <w:t>SIGNATURES</w:t>
      </w:r>
    </w:p>
    <w:p>
      <w:pPr>
        <w:spacing w:after="0" w:line="23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authorized.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OIL-DRI CORPORATION OF AMERICA</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BY /s/ Andrew N. Peterson</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Andrew N. Peterson</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BY /s/ Daniel S. Jaffee</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Daniel S. Jaffee</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Dated: June 8, 2010</w:t>
      </w:r>
    </w:p>
    <w:p>
      <w:pPr>
        <w:spacing w:after="0" w:line="200" w:lineRule="exact"/>
        <w:rPr>
          <w:sz w:val="20"/>
          <w:szCs w:val="20"/>
          <w:color w:val="auto"/>
        </w:rPr>
      </w:pPr>
    </w:p>
    <w:p>
      <w:pPr>
        <w:spacing w:after="0" w:line="39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73025</wp:posOffset>
            </wp:positionV>
            <wp:extent cx="726059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60"/>
          </w:cols>
          <w:pgMar w:left="540" w:top="718" w:right="199" w:bottom="1440" w:gutter="0" w:footer="0" w:header="0"/>
        </w:sectPr>
      </w:pPr>
    </w:p>
    <w:bookmarkStart w:id="31" w:name="page32"/>
    <w:bookmarkEnd w:id="31"/>
    <w:tbl>
      <w:tblPr>
        <w:tblLayout w:type="fixed"/>
        <w:tblInd w:w="80" w:type="dxa"/>
        <w:tblCellMar>
          <w:top w:w="0" w:type="dxa"/>
          <w:left w:w="0" w:type="dxa"/>
          <w:bottom w:w="0" w:type="dxa"/>
          <w:right w:w="0" w:type="dxa"/>
        </w:tblCellMar>
      </w:tblPr>
      <w:tr>
        <w:trPr>
          <w:trHeight w:val="217"/>
        </w:trPr>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60" w:type="dxa"/>
            <w:vAlign w:val="bottom"/>
            <w:gridSpan w:val="3"/>
          </w:tcPr>
          <w:p>
            <w:pPr>
              <w:ind w:left="4380"/>
              <w:spacing w:after="0"/>
              <w:rPr>
                <w:sz w:val="20"/>
                <w:szCs w:val="20"/>
                <w:color w:val="auto"/>
              </w:rPr>
            </w:pPr>
            <w:r>
              <w:rPr>
                <w:rFonts w:ascii="Arial" w:cs="Arial" w:eastAsia="Arial" w:hAnsi="Arial"/>
                <w:sz w:val="17"/>
                <w:szCs w:val="17"/>
                <w:b w:val="1"/>
                <w:bCs w:val="1"/>
                <w:color w:val="auto"/>
              </w:rPr>
              <w:t>EXHIBITS</w:t>
            </w:r>
          </w:p>
        </w:tc>
      </w:tr>
      <w:tr>
        <w:trPr>
          <w:trHeight w:val="390"/>
        </w:trPr>
        <w:tc>
          <w:tcPr>
            <w:tcW w:w="780" w:type="dxa"/>
            <w:vAlign w:val="bottom"/>
            <w:gridSpan w:val="3"/>
          </w:tcPr>
          <w:p>
            <w:pPr>
              <w:spacing w:after="0"/>
              <w:rPr>
                <w:sz w:val="20"/>
                <w:szCs w:val="20"/>
                <w:color w:val="auto"/>
              </w:rPr>
            </w:pPr>
            <w:r>
              <w:rPr>
                <w:rFonts w:ascii="Arial" w:cs="Arial" w:eastAsia="Arial" w:hAnsi="Arial"/>
                <w:sz w:val="17"/>
                <w:szCs w:val="17"/>
                <w:color w:val="auto"/>
                <w:w w:val="92"/>
              </w:rPr>
              <w:t>Exhibit No.</w:t>
            </w:r>
          </w:p>
        </w:tc>
        <w:tc>
          <w:tcPr>
            <w:tcW w:w="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7"/>
                <w:szCs w:val="17"/>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535"/>
        </w:trPr>
        <w:tc>
          <w:tcPr>
            <w:tcW w:w="780" w:type="dxa"/>
            <w:vAlign w:val="bottom"/>
            <w:gridSpan w:val="3"/>
          </w:tcPr>
          <w:p>
            <w:pPr>
              <w:jc w:val="center"/>
              <w:ind w:right="200"/>
              <w:spacing w:after="0"/>
              <w:rPr>
                <w:sz w:val="20"/>
                <w:szCs w:val="20"/>
                <w:color w:val="auto"/>
              </w:rPr>
            </w:pPr>
            <w:r>
              <w:rPr>
                <w:rFonts w:ascii="Arial" w:cs="Arial" w:eastAsia="Arial" w:hAnsi="Arial"/>
                <w:sz w:val="17"/>
                <w:szCs w:val="17"/>
                <w:color w:val="auto"/>
              </w:rPr>
              <w:t>10.1</w:t>
            </w:r>
            <w:r>
              <w:rPr>
                <w:rFonts w:ascii="Arial" w:cs="Arial" w:eastAsia="Arial" w:hAnsi="Arial"/>
                <w:sz w:val="23"/>
                <w:szCs w:val="23"/>
                <w:color w:val="auto"/>
                <w:vertAlign w:val="superscript"/>
              </w:rPr>
              <w:t>1</w:t>
            </w:r>
          </w:p>
        </w:tc>
        <w:tc>
          <w:tcPr>
            <w:tcW w:w="40" w:type="dxa"/>
            <w:vAlign w:val="bottom"/>
          </w:tcPr>
          <w:p>
            <w:pPr>
              <w:spacing w:after="0"/>
              <w:rPr>
                <w:sz w:val="24"/>
                <w:szCs w:val="24"/>
                <w:color w:val="auto"/>
              </w:rPr>
            </w:pPr>
          </w:p>
        </w:tc>
        <w:tc>
          <w:tcPr>
            <w:tcW w:w="10160" w:type="dxa"/>
            <w:vAlign w:val="bottom"/>
            <w:gridSpan w:val="3"/>
          </w:tcPr>
          <w:p>
            <w:pPr>
              <w:ind w:left="40"/>
              <w:spacing w:after="0"/>
              <w:rPr>
                <w:sz w:val="20"/>
                <w:szCs w:val="20"/>
                <w:color w:val="auto"/>
              </w:rPr>
            </w:pPr>
            <w:r>
              <w:rPr>
                <w:rFonts w:ascii="Arial" w:cs="Arial" w:eastAsia="Arial" w:hAnsi="Arial"/>
                <w:sz w:val="17"/>
                <w:szCs w:val="17"/>
                <w:color w:val="auto"/>
                <w:w w:val="90"/>
              </w:rPr>
              <w:t>Amendment, dated April 15, 2010, to the Letter Agreement, dated January 11, 2010, between Oil-Dri Corporation of America and Brian K. Bancroft.*</w:t>
            </w:r>
          </w:p>
        </w:tc>
      </w:tr>
      <w:tr>
        <w:trPr>
          <w:trHeight w:val="274"/>
        </w:trPr>
        <w:tc>
          <w:tcPr>
            <w:tcW w:w="540" w:type="dxa"/>
            <w:vAlign w:val="bottom"/>
            <w:gridSpan w:val="2"/>
          </w:tcPr>
          <w:p>
            <w:pPr>
              <w:jc w:val="center"/>
              <w:spacing w:after="0"/>
              <w:rPr>
                <w:rFonts w:ascii="Arial" w:cs="Arial" w:eastAsia="Arial" w:hAnsi="Arial"/>
                <w:sz w:val="17"/>
                <w:szCs w:val="17"/>
                <w:color w:val="0000EE"/>
              </w:rPr>
            </w:pPr>
            <w:hyperlink w:anchor="page33">
              <w:r>
                <w:rPr>
                  <w:rFonts w:ascii="Arial" w:cs="Arial" w:eastAsia="Arial" w:hAnsi="Arial"/>
                  <w:sz w:val="17"/>
                  <w:szCs w:val="17"/>
                  <w:color w:val="0000EE"/>
                </w:rPr>
                <w:t>10.</w:t>
              </w:r>
              <w:r>
                <w:rPr>
                  <w:rFonts w:ascii="Arial" w:cs="Arial" w:eastAsia="Arial" w:hAnsi="Arial"/>
                  <w:sz w:val="17"/>
                  <w:szCs w:val="17"/>
                  <w:u w:val="single" w:color="auto"/>
                  <w:color w:val="0000EE"/>
                </w:rPr>
                <w:t>2</w:t>
              </w:r>
            </w:hyperlink>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160" w:type="dxa"/>
            <w:vAlign w:val="bottom"/>
            <w:gridSpan w:val="3"/>
          </w:tcPr>
          <w:p>
            <w:pPr>
              <w:ind w:left="40"/>
              <w:spacing w:after="0"/>
              <w:rPr>
                <w:sz w:val="20"/>
                <w:szCs w:val="20"/>
                <w:color w:val="auto"/>
              </w:rPr>
            </w:pPr>
            <w:r>
              <w:rPr>
                <w:rFonts w:ascii="Arial" w:cs="Arial" w:eastAsia="Arial" w:hAnsi="Arial"/>
                <w:sz w:val="17"/>
                <w:szCs w:val="17"/>
                <w:color w:val="auto"/>
              </w:rPr>
              <w:t>Supplemental Executive Retirement Plan (as amended and restated effective January 1, 2009)*</w:t>
            </w:r>
          </w:p>
        </w:tc>
      </w:tr>
      <w:tr>
        <w:trPr>
          <w:trHeight w:val="20"/>
        </w:trPr>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bl>
    <w:p>
      <w:pPr>
        <w:spacing w:after="0" w:line="214" w:lineRule="exact"/>
        <w:rPr>
          <w:sz w:val="20"/>
          <w:szCs w:val="20"/>
          <w:color w:val="auto"/>
        </w:rPr>
      </w:pPr>
    </w:p>
    <w:p>
      <w:pPr>
        <w:ind w:left="940" w:hanging="556"/>
        <w:spacing w:after="0"/>
        <w:tabs>
          <w:tab w:leader="none" w:pos="940" w:val="left"/>
        </w:tabs>
        <w:numPr>
          <w:ilvl w:val="0"/>
          <w:numId w:val="6"/>
        </w:numPr>
        <w:rPr>
          <w:rFonts w:ascii="Arial" w:cs="Arial" w:eastAsia="Arial" w:hAnsi="Arial"/>
          <w:sz w:val="17"/>
          <w:szCs w:val="17"/>
          <w:u w:val="single" w:color="auto"/>
          <w:color w:val="0000EE"/>
        </w:rPr>
      </w:pPr>
      <w:r>
        <w:rPr>
          <w:rFonts w:ascii="Arial" w:cs="Arial" w:eastAsia="Arial" w:hAnsi="Arial"/>
          <w:sz w:val="17"/>
          <w:szCs w:val="17"/>
          <w:color w:val="auto"/>
        </w:rPr>
        <w:t>Statement re: Computation of Earnings per Share.</w:t>
      </w:r>
    </w:p>
    <w:p>
      <w:pPr>
        <w:spacing w:after="0" w:line="206" w:lineRule="exact"/>
        <w:rPr>
          <w:rFonts w:ascii="Arial" w:cs="Arial" w:eastAsia="Arial" w:hAnsi="Arial"/>
          <w:sz w:val="17"/>
          <w:szCs w:val="17"/>
          <w:u w:val="single" w:color="auto"/>
          <w:color w:val="0000EE"/>
        </w:rPr>
      </w:pPr>
    </w:p>
    <w:p>
      <w:pPr>
        <w:ind w:left="940" w:hanging="559"/>
        <w:spacing w:after="0"/>
        <w:tabs>
          <w:tab w:leader="none" w:pos="940" w:val="left"/>
        </w:tabs>
        <w:numPr>
          <w:ilvl w:val="0"/>
          <w:numId w:val="7"/>
        </w:numPr>
        <w:rPr>
          <w:rFonts w:ascii="Arial" w:cs="Arial" w:eastAsia="Arial" w:hAnsi="Arial"/>
          <w:sz w:val="17"/>
          <w:szCs w:val="17"/>
          <w:u w:val="single" w:color="auto"/>
          <w:color w:val="0000EE"/>
        </w:rPr>
      </w:pPr>
      <w:r>
        <w:rPr>
          <w:rFonts w:ascii="Arial" w:cs="Arial" w:eastAsia="Arial" w:hAnsi="Arial"/>
          <w:sz w:val="17"/>
          <w:szCs w:val="17"/>
          <w:color w:val="auto"/>
        </w:rPr>
        <w:t>Certifications pursuant to Rule 13a – 14(a).</w:t>
      </w:r>
    </w:p>
    <w:p>
      <w:pPr>
        <w:spacing w:after="0" w:line="206" w:lineRule="exact"/>
        <w:rPr>
          <w:rFonts w:ascii="Arial" w:cs="Arial" w:eastAsia="Arial" w:hAnsi="Arial"/>
          <w:sz w:val="17"/>
          <w:szCs w:val="17"/>
          <w:u w:val="single" w:color="auto"/>
          <w:color w:val="0000EE"/>
        </w:rPr>
      </w:pPr>
    </w:p>
    <w:p>
      <w:pPr>
        <w:ind w:left="940" w:hanging="559"/>
        <w:spacing w:after="0"/>
        <w:tabs>
          <w:tab w:leader="none" w:pos="940" w:val="left"/>
        </w:tabs>
        <w:numPr>
          <w:ilvl w:val="0"/>
          <w:numId w:val="7"/>
        </w:numPr>
        <w:rPr>
          <w:rFonts w:ascii="Arial" w:cs="Arial" w:eastAsia="Arial" w:hAnsi="Arial"/>
          <w:sz w:val="17"/>
          <w:szCs w:val="17"/>
          <w:u w:val="single" w:color="auto"/>
          <w:color w:val="0000EE"/>
        </w:rPr>
      </w:pPr>
      <w:r>
        <w:rPr>
          <w:rFonts w:ascii="Arial" w:cs="Arial" w:eastAsia="Arial" w:hAnsi="Arial"/>
          <w:sz w:val="17"/>
          <w:szCs w:val="17"/>
          <w:color w:val="auto"/>
        </w:rPr>
        <w:t>Certifications pursuant to Section 1350 of the Sarbanes-Oxley Act of 2002.</w:t>
      </w:r>
    </w:p>
    <w:p>
      <w:pPr>
        <w:spacing w:after="0" w:line="206" w:lineRule="exact"/>
        <w:rPr>
          <w:rFonts w:ascii="Arial" w:cs="Arial" w:eastAsia="Arial" w:hAnsi="Arial"/>
          <w:sz w:val="17"/>
          <w:szCs w:val="17"/>
          <w:u w:val="single" w:color="auto"/>
          <w:color w:val="0000EE"/>
        </w:rPr>
      </w:pPr>
    </w:p>
    <w:p>
      <w:pPr>
        <w:ind w:left="420"/>
        <w:spacing w:after="0"/>
        <w:rPr>
          <w:rFonts w:ascii="Arial" w:cs="Arial" w:eastAsia="Arial" w:hAnsi="Arial"/>
          <w:sz w:val="17"/>
          <w:szCs w:val="17"/>
          <w:u w:val="single" w:color="auto"/>
          <w:color w:val="0000EE"/>
        </w:rPr>
      </w:pPr>
      <w:r>
        <w:rPr>
          <w:rFonts w:ascii="Arial" w:cs="Arial" w:eastAsia="Arial" w:hAnsi="Arial"/>
          <w:sz w:val="17"/>
          <w:szCs w:val="17"/>
          <w:color w:val="auto"/>
        </w:rPr>
        <w:t>*</w:t>
      </w:r>
      <w:r>
        <w:rPr>
          <w:rFonts w:ascii="Arial" w:cs="Arial" w:eastAsia="Arial" w:hAnsi="Arial"/>
          <w:sz w:val="15"/>
          <w:szCs w:val="15"/>
          <w:color w:val="auto"/>
        </w:rPr>
        <w:t>Management contract or compensatory plan or arrangement.</w:t>
      </w:r>
    </w:p>
    <w:p>
      <w:pPr>
        <w:spacing w:after="0" w:line="156" w:lineRule="exact"/>
        <w:rPr>
          <w:sz w:val="20"/>
          <w:szCs w:val="20"/>
          <w:color w:val="auto"/>
        </w:rPr>
      </w:pPr>
    </w:p>
    <w:p>
      <w:pPr>
        <w:ind w:left="940" w:hanging="505"/>
        <w:spacing w:after="0"/>
        <w:tabs>
          <w:tab w:leader="none" w:pos="94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Incorporated by reference to Exhibit 10.1 to Oil-Dri’s (File No. 001-12622) Current Report on Form 8-K filed on April 16, 2010.</w:t>
      </w:r>
    </w:p>
    <w:p>
      <w:pPr>
        <w:spacing w:after="0" w:line="214" w:lineRule="exact"/>
        <w:rPr>
          <w:sz w:val="20"/>
          <w:szCs w:val="20"/>
          <w:color w:val="auto"/>
        </w:rPr>
      </w:pPr>
    </w:p>
    <w:p>
      <w:pPr>
        <w:ind w:left="580" w:hanging="599"/>
        <w:spacing w:after="0" w:line="268" w:lineRule="auto"/>
        <w:tabs>
          <w:tab w:leader="none" w:pos="560" w:val="left"/>
        </w:tabs>
        <w:rPr>
          <w:sz w:val="20"/>
          <w:szCs w:val="20"/>
          <w:color w:val="auto"/>
        </w:rPr>
      </w:pPr>
      <w:r>
        <w:rPr>
          <w:rFonts w:ascii="Arial" w:cs="Arial" w:eastAsia="Arial" w:hAnsi="Arial"/>
          <w:sz w:val="17"/>
          <w:szCs w:val="17"/>
          <w:color w:val="auto"/>
        </w:rPr>
        <w:t>Note:</w:t>
        <w:tab/>
        <w:t>Stockholders may receive copies of the above listed exhibits, without fee, by written request to Investor Relations, Oil-Dri Corporation of America, 410 North Michigan Avenue, Suite 400, Chicago, Illinois 60611-4213, by telephone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2605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0590" cy="42545"/>
                    </a:xfrm>
                    <a:prstGeom prst="rect">
                      <a:avLst/>
                    </a:prstGeom>
                    <a:noFill/>
                  </pic:spPr>
                </pic:pic>
              </a:graphicData>
            </a:graphic>
          </wp:anchor>
        </w:drawing>
      </w:r>
    </w:p>
    <w:p>
      <w:pPr>
        <w:sectPr>
          <w:pgSz w:w="11900" w:h="16838" w:orient="portrait"/>
          <w:cols w:equalWidth="0" w:num="1">
            <w:col w:w="11400"/>
          </w:cols>
          <w:pgMar w:left="260" w:top="714"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150495</wp:posOffset>
            </wp:positionH>
            <wp:positionV relativeFrom="page">
              <wp:posOffset>190500</wp:posOffset>
            </wp:positionV>
            <wp:extent cx="726059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0590" cy="36830"/>
                    </a:xfrm>
                    <a:prstGeom prst="rect">
                      <a:avLst/>
                    </a:prstGeom>
                    <a:noFill/>
                  </pic:spPr>
                </pic:pic>
              </a:graphicData>
            </a:graphic>
          </wp:anchor>
        </w:drawing>
        <w:t>Exhibit 10.2:</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As Recommended, Adopted and Approved by the Compensation</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Committee and the Board of Directors on October 15, 2008</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OIL-DRI CORPORATION OF AMERICA</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EXECUTIVE RETIREMENT PLAN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EFFECTIVE JANUARY 1, 2009</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FOREWORD</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Oil-Dri Corporation of America (the “Company”) originally adopted this Supplemental Executive Retirement Plan (the “Plan”) for the benefit of certain of its executives, effective April 1, 2003. Effective January 1, 2009, the Company adopts this amendment and restatement of the Plan in compliance with the requirements of Section 409A of the Internal Revenue Code (the “Code”) and final Treasury regulations issued thereunder.</w:t>
      </w:r>
    </w:p>
    <w:p>
      <w:pPr>
        <w:spacing w:after="0" w:line="202"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The Excess Benefit provided under the Plan is intended to be an “excess benefit plan” as defined in Section 3(36) of the Employee Retirement Income Security Act of 1974, as amended (ERISA), and the Supplemental Benefit provided under the Plan is intended to be a deferred compensation plan for “a select group of management or highly compensated employees” as that term is used in ERISA and the Plan shall be interpreted and administered to the extent possible in a manner consistent with that intent. The terms of this Plan, as amended and restated, apply to all benefits earned under the Plan, regardless of whether such benefits were earned and vested as of December 31, 2004.</w:t>
      </w:r>
    </w:p>
    <w:p>
      <w:pPr>
        <w:spacing w:after="0" w:line="200" w:lineRule="exact"/>
        <w:rPr>
          <w:sz w:val="20"/>
          <w:szCs w:val="20"/>
          <w:color w:val="auto"/>
        </w:rPr>
      </w:pPr>
    </w:p>
    <w:p>
      <w:pPr>
        <w:spacing w:after="0" w:line="23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purpose of the Plan is to provide certain retired participants in the Oil-Dri Corporation of America Pension Plan (“Retirement Plan”) with the amount of benefits that would have been provided under the Retirement Plan but for:</w:t>
      </w:r>
    </w:p>
    <w:p>
      <w:pPr>
        <w:spacing w:after="0" w:line="192" w:lineRule="exact"/>
        <w:rPr>
          <w:sz w:val="20"/>
          <w:szCs w:val="20"/>
          <w:color w:val="auto"/>
        </w:rPr>
      </w:pPr>
    </w:p>
    <w:p>
      <w:pPr>
        <w:ind w:left="1200" w:hanging="596"/>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limitations on benefits imposed by Section 415 of the Code, and/or</w:t>
      </w:r>
    </w:p>
    <w:p>
      <w:pPr>
        <w:spacing w:after="0" w:line="231" w:lineRule="exact"/>
        <w:rPr>
          <w:rFonts w:ascii="Arial" w:cs="Arial" w:eastAsia="Arial" w:hAnsi="Arial"/>
          <w:sz w:val="17"/>
          <w:szCs w:val="17"/>
          <w:color w:val="auto"/>
        </w:rPr>
      </w:pPr>
    </w:p>
    <w:p>
      <w:pPr>
        <w:ind w:left="1200" w:hanging="596"/>
        <w:spacing w:after="0"/>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limitation on compensation for purposes of calculating benefits under the Retirement Plan imposed by Section 401(a)(17) of the Code.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spacing w:after="0"/>
        <w:tabs>
          <w:tab w:leader="none" w:pos="1060" w:val="left"/>
        </w:tabs>
        <w:rPr>
          <w:sz w:val="20"/>
          <w:szCs w:val="20"/>
          <w:color w:val="auto"/>
        </w:rPr>
      </w:pPr>
      <w:r>
        <w:rPr>
          <w:rFonts w:ascii="Arial" w:cs="Arial" w:eastAsia="Arial" w:hAnsi="Arial"/>
          <w:sz w:val="17"/>
          <w:szCs w:val="17"/>
          <w:b w:val="1"/>
          <w:bCs w:val="1"/>
          <w:color w:val="auto"/>
        </w:rPr>
        <w:t>ARTICLE 1</w:t>
      </w:r>
      <w:r>
        <w:rPr>
          <w:sz w:val="20"/>
          <w:szCs w:val="20"/>
          <w:color w:val="auto"/>
        </w:rPr>
        <w:tab/>
      </w:r>
      <w:r>
        <w:rPr>
          <w:rFonts w:ascii="Arial" w:cs="Arial" w:eastAsia="Arial" w:hAnsi="Arial"/>
          <w:sz w:val="16"/>
          <w:szCs w:val="16"/>
          <w:color w:val="auto"/>
        </w:rPr>
        <w:t>- Definitions</w:t>
      </w:r>
    </w:p>
    <w:p>
      <w:pPr>
        <w:spacing w:after="0" w:line="236" w:lineRule="exact"/>
        <w:rPr>
          <w:sz w:val="20"/>
          <w:szCs w:val="20"/>
          <w:color w:val="auto"/>
        </w:rPr>
      </w:pPr>
    </w:p>
    <w:p>
      <w:pPr>
        <w:jc w:val="both"/>
        <w:ind w:left="600" w:hanging="292"/>
        <w:spacing w:after="0" w:line="268" w:lineRule="auto"/>
        <w:rPr>
          <w:sz w:val="20"/>
          <w:szCs w:val="20"/>
          <w:color w:val="auto"/>
        </w:rPr>
      </w:pPr>
      <w:r>
        <w:rPr>
          <w:rFonts w:ascii="Arial" w:cs="Arial" w:eastAsia="Arial" w:hAnsi="Arial"/>
          <w:sz w:val="17"/>
          <w:szCs w:val="17"/>
          <w:color w:val="auto"/>
        </w:rPr>
        <w:t>1.1 Except to the extent otherwise indicated herein, or to the extent otherwise inappropriate in the context, the definitions contained in Article II of the Retirement Plan are applicable under this Plan.</w:t>
      </w:r>
    </w:p>
    <w:p>
      <w:pPr>
        <w:spacing w:after="0" w:line="192" w:lineRule="exact"/>
        <w:rPr>
          <w:sz w:val="20"/>
          <w:szCs w:val="20"/>
          <w:color w:val="auto"/>
        </w:rPr>
      </w:pPr>
    </w:p>
    <w:p>
      <w:pPr>
        <w:jc w:val="both"/>
        <w:ind w:left="600" w:hanging="292"/>
        <w:spacing w:after="0" w:line="257" w:lineRule="auto"/>
        <w:rPr>
          <w:sz w:val="20"/>
          <w:szCs w:val="20"/>
          <w:color w:val="auto"/>
        </w:rPr>
      </w:pPr>
      <w:r>
        <w:rPr>
          <w:rFonts w:ascii="Arial" w:cs="Arial" w:eastAsia="Arial" w:hAnsi="Arial"/>
          <w:sz w:val="17"/>
          <w:szCs w:val="17"/>
          <w:color w:val="auto"/>
        </w:rPr>
        <w:t>1.2 “Affiliate” means any corporation or enterprise, other than the Company, which, as of a given date, is a member of the same controlled group of corporations, the same group of trades or businesses under common control, or the same affiliated service group, determined in accordance with Sections 414(b), (c), (m) and (o) of the Code, as is the Company.</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1.3 “Committee” means the persons appointed by the Company as the Administrative Committee of the Retirement Plan.</w:t>
      </w:r>
    </w:p>
    <w:p>
      <w:pPr>
        <w:spacing w:after="0" w:line="232" w:lineRule="exact"/>
        <w:rPr>
          <w:sz w:val="20"/>
          <w:szCs w:val="20"/>
          <w:color w:val="auto"/>
        </w:rPr>
      </w:pPr>
    </w:p>
    <w:p>
      <w:pPr>
        <w:jc w:val="both"/>
        <w:ind w:left="600" w:hanging="292"/>
        <w:spacing w:after="0" w:line="257" w:lineRule="auto"/>
        <w:rPr>
          <w:sz w:val="20"/>
          <w:szCs w:val="20"/>
          <w:color w:val="auto"/>
        </w:rPr>
      </w:pPr>
      <w:r>
        <w:rPr>
          <w:rFonts w:ascii="Arial" w:cs="Arial" w:eastAsia="Arial" w:hAnsi="Arial"/>
          <w:sz w:val="17"/>
          <w:szCs w:val="17"/>
          <w:color w:val="auto"/>
        </w:rPr>
        <w:t>1.4 “Company” means Oil-Dri Corporation of America, a corporation organized and existing under the laws of the State of Delaware and having its principal office in Chicago, Illinois. The Board of Directors of the Company or the Compensation Committee or any other authorized committee of the Board of Directors shall act on behalf of the Company.</w:t>
      </w:r>
    </w:p>
    <w:p>
      <w:pPr>
        <w:spacing w:after="0" w:line="202" w:lineRule="exact"/>
        <w:rPr>
          <w:sz w:val="20"/>
          <w:szCs w:val="20"/>
          <w:color w:val="auto"/>
        </w:rPr>
      </w:pPr>
    </w:p>
    <w:p>
      <w:pPr>
        <w:jc w:val="both"/>
        <w:ind w:left="600" w:hanging="292"/>
        <w:spacing w:after="0" w:line="257" w:lineRule="auto"/>
        <w:rPr>
          <w:sz w:val="20"/>
          <w:szCs w:val="20"/>
          <w:color w:val="auto"/>
        </w:rPr>
      </w:pPr>
      <w:r>
        <w:rPr>
          <w:rFonts w:ascii="Arial" w:cs="Arial" w:eastAsia="Arial" w:hAnsi="Arial"/>
          <w:sz w:val="17"/>
          <w:szCs w:val="17"/>
          <w:color w:val="auto"/>
        </w:rPr>
        <w:t>1.5 “Excess Benefit” means the excess, if any, of the Retirement Benefit which would have been payable to or with respect to a Participant under the Retirement Plan had the limitations on benefits imposed by Section 415 of the Code not been applicable, over the Retirement Benefit actually payable to or with respect to the Participant under the Retirement Plan.</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1.6 “Participant” means an individual who is eligible to receive benefits under the Plan as set forth in Article 2.1.</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1.7 “Plan” means this Oil-Dri Corporation of America Supplemental Executive Retirement Plan, as amended, modified, or restated from time to time.</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1.8 “Retirement Benefit” means, as the context requires, the benefit payable from the Retirement Plan.</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1.9 “Retirement Plan” means the Oil-Dri Corporation of America Pension Plan, as amended, modified, or restated from time to time.</w:t>
      </w:r>
    </w:p>
    <w:p>
      <w:pPr>
        <w:spacing w:after="0" w:line="232" w:lineRule="exact"/>
        <w:rPr>
          <w:sz w:val="20"/>
          <w:szCs w:val="20"/>
          <w:color w:val="auto"/>
        </w:rPr>
      </w:pPr>
    </w:p>
    <w:p>
      <w:pPr>
        <w:jc w:val="both"/>
        <w:ind w:left="600" w:hanging="376"/>
        <w:spacing w:after="0" w:line="291" w:lineRule="auto"/>
        <w:rPr>
          <w:sz w:val="20"/>
          <w:szCs w:val="20"/>
          <w:color w:val="auto"/>
        </w:rPr>
      </w:pPr>
      <w:r>
        <w:rPr>
          <w:rFonts w:ascii="Arial" w:cs="Arial" w:eastAsia="Arial" w:hAnsi="Arial"/>
          <w:sz w:val="15"/>
          <w:szCs w:val="15"/>
          <w:color w:val="auto"/>
        </w:rPr>
        <w:t>1.10 “Separation from Service” means the Participant’s death, retirement or other termination of employment with the Company and all Affiliates. For purposes of this definition, a “termination of employment” shall occur when the facts and circumstances indicate that the Company and the employee reasonably anticipate that no further services would be performed by the employee for the Company or any Affiliate after a certain date or that the level of bona fide services the employee would perform after such date (whether as an employee or as an independent contractor), would permanently decrease to no more than 20% of the average level of bona fide services performed (whether as an employee or as an independent contractor) over the immediately preceding 36-month period (or full period of services to the Company and all Affiliates if the employee has been providing services to the Company less than 36 months).</w:t>
      </w:r>
    </w:p>
    <w:p>
      <w:pPr>
        <w:spacing w:after="0" w:line="178" w:lineRule="exact"/>
        <w:rPr>
          <w:sz w:val="20"/>
          <w:szCs w:val="20"/>
          <w:color w:val="auto"/>
        </w:rPr>
      </w:pPr>
    </w:p>
    <w:p>
      <w:pPr>
        <w:jc w:val="both"/>
        <w:ind w:left="600" w:hanging="370"/>
        <w:spacing w:after="0" w:line="285" w:lineRule="auto"/>
        <w:rPr>
          <w:sz w:val="20"/>
          <w:szCs w:val="20"/>
          <w:color w:val="auto"/>
        </w:rPr>
      </w:pPr>
      <w:r>
        <w:rPr>
          <w:rFonts w:ascii="Arial" w:cs="Arial" w:eastAsia="Arial" w:hAnsi="Arial"/>
          <w:sz w:val="15"/>
          <w:szCs w:val="15"/>
          <w:color w:val="auto"/>
        </w:rPr>
        <w:t>1.11 “Supplemental Benefit” means the excess, if any, of the Retirement Benefit that would have been payable to or with respect to a Participant under the Retirement Plan had the amount of the Participant’s annual Compensation taken into account for purposes of calculating benefits under the Retirement Plan not been limited by Code Section 401(a)(17), over the sum of (a) the Retirement Benefit actually payable to or with respect to the Participant under the Retirement Plan and</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 any Excess Benefit payable under this Plan.</w:t>
      </w: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ARTICLE 2</w:t>
      </w:r>
      <w:r>
        <w:rPr>
          <w:sz w:val="20"/>
          <w:szCs w:val="20"/>
          <w:color w:val="auto"/>
        </w:rPr>
        <w:tab/>
      </w:r>
      <w:r>
        <w:rPr>
          <w:rFonts w:ascii="Arial" w:cs="Arial" w:eastAsia="Arial" w:hAnsi="Arial"/>
          <w:sz w:val="15"/>
          <w:szCs w:val="15"/>
          <w:color w:val="auto"/>
        </w:rPr>
        <w:t>- Participation</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2.1 Participation</w:t>
      </w:r>
    </w:p>
    <w:p>
      <w:pPr>
        <w:spacing w:after="0" w:line="232" w:lineRule="exact"/>
        <w:rPr>
          <w:sz w:val="20"/>
          <w:szCs w:val="20"/>
          <w:color w:val="auto"/>
        </w:rPr>
      </w:pPr>
    </w:p>
    <w:p>
      <w:pPr>
        <w:jc w:val="both"/>
        <w:ind w:left="600"/>
        <w:spacing w:after="0" w:line="257" w:lineRule="auto"/>
        <w:rPr>
          <w:sz w:val="20"/>
          <w:szCs w:val="20"/>
          <w:color w:val="auto"/>
        </w:rPr>
      </w:pPr>
      <w:r>
        <w:rPr>
          <w:rFonts w:ascii="Arial" w:cs="Arial" w:eastAsia="Arial" w:hAnsi="Arial"/>
          <w:sz w:val="17"/>
          <w:szCs w:val="17"/>
          <w:color w:val="auto"/>
        </w:rPr>
        <w:t>Each Retirement Plan participant whose Accrued Benefit under the Retirement Plan is limited by application of the limitations on benefits imposed by Code Section 415 and/or the limitation on considered compensation imposed by Code Section 401(a)(17) shall be a Participant in this Plan. Participation in this Plan shall be limited to such Retirement Plan participants.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spacing w:after="0"/>
        <w:tabs>
          <w:tab w:leader="none" w:pos="1060" w:val="left"/>
        </w:tabs>
        <w:rPr>
          <w:sz w:val="20"/>
          <w:szCs w:val="20"/>
          <w:color w:val="auto"/>
        </w:rPr>
      </w:pPr>
      <w:r>
        <w:rPr>
          <w:rFonts w:ascii="Arial" w:cs="Arial" w:eastAsia="Arial" w:hAnsi="Arial"/>
          <w:sz w:val="17"/>
          <w:szCs w:val="17"/>
          <w:b w:val="1"/>
          <w:bCs w:val="1"/>
          <w:color w:val="auto"/>
        </w:rPr>
        <w:t>ARTICLE 3</w:t>
      </w:r>
      <w:r>
        <w:rPr>
          <w:sz w:val="20"/>
          <w:szCs w:val="20"/>
          <w:color w:val="auto"/>
        </w:rPr>
        <w:tab/>
      </w:r>
      <w:r>
        <w:rPr>
          <w:rFonts w:ascii="Arial" w:cs="Arial" w:eastAsia="Arial" w:hAnsi="Arial"/>
          <w:sz w:val="15"/>
          <w:szCs w:val="15"/>
          <w:color w:val="auto"/>
        </w:rPr>
        <w:t>- Benefits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3.1 Excess Benefit</w:t>
      </w:r>
    </w:p>
    <w:p>
      <w:pPr>
        <w:spacing w:after="0" w:line="232" w:lineRule="exact"/>
        <w:rPr>
          <w:sz w:val="20"/>
          <w:szCs w:val="20"/>
          <w:color w:val="auto"/>
        </w:rPr>
      </w:pPr>
    </w:p>
    <w:p>
      <w:pPr>
        <w:ind w:left="600"/>
        <w:spacing w:after="0" w:line="268" w:lineRule="auto"/>
        <w:rPr>
          <w:sz w:val="20"/>
          <w:szCs w:val="20"/>
          <w:color w:val="auto"/>
        </w:rPr>
      </w:pPr>
      <w:r>
        <w:rPr>
          <w:rFonts w:ascii="Arial" w:cs="Arial" w:eastAsia="Arial" w:hAnsi="Arial"/>
          <w:sz w:val="17"/>
          <w:szCs w:val="17"/>
          <w:color w:val="auto"/>
        </w:rPr>
        <w:t>The aggregate amount of Excess Benefit payable to or with respect to the Participant shall be paid directly to such Participant or his or her Beneficiary from the general assets of the Company in accordance with Articles 3.3 and 3.4.</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3.2 Supplemental Benefit</w:t>
      </w:r>
    </w:p>
    <w:p>
      <w:pPr>
        <w:spacing w:after="0" w:line="232" w:lineRule="exact"/>
        <w:rPr>
          <w:sz w:val="20"/>
          <w:szCs w:val="20"/>
          <w:color w:val="auto"/>
        </w:rPr>
      </w:pPr>
    </w:p>
    <w:p>
      <w:pPr>
        <w:ind w:left="600"/>
        <w:spacing w:after="0" w:line="268" w:lineRule="auto"/>
        <w:rPr>
          <w:sz w:val="20"/>
          <w:szCs w:val="20"/>
          <w:color w:val="auto"/>
        </w:rPr>
      </w:pPr>
      <w:r>
        <w:rPr>
          <w:rFonts w:ascii="Arial" w:cs="Arial" w:eastAsia="Arial" w:hAnsi="Arial"/>
          <w:sz w:val="17"/>
          <w:szCs w:val="17"/>
          <w:color w:val="auto"/>
        </w:rPr>
        <w:t>The aggregate amount of Supplemental Benefit payable to or with respect to the Participant shall be paid directly to such Participant or his or her Beneficiary from the general assets of the Company in accordance with Articles 3.3 and 3.4.</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3.3 General Provisions</w:t>
      </w:r>
    </w:p>
    <w:p>
      <w:pPr>
        <w:spacing w:after="0" w:line="232" w:lineRule="exact"/>
        <w:rPr>
          <w:sz w:val="20"/>
          <w:szCs w:val="20"/>
          <w:color w:val="auto"/>
        </w:rPr>
      </w:pPr>
    </w:p>
    <w:p>
      <w:pPr>
        <w:ind w:left="1200" w:hanging="262"/>
        <w:spacing w:after="0"/>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shall make no provision for the funding of any Excess Benefits or Supplemental Benefits payable hereunder.</w:t>
      </w:r>
    </w:p>
    <w:p>
      <w:pPr>
        <w:spacing w:after="0" w:line="231" w:lineRule="exact"/>
        <w:rPr>
          <w:rFonts w:ascii="Arial" w:cs="Arial" w:eastAsia="Arial" w:hAnsi="Arial"/>
          <w:sz w:val="17"/>
          <w:szCs w:val="17"/>
          <w:color w:val="auto"/>
        </w:rPr>
      </w:pPr>
    </w:p>
    <w:p>
      <w:pPr>
        <w:jc w:val="both"/>
        <w:ind w:left="1200" w:hanging="272"/>
        <w:spacing w:after="0" w:line="257" w:lineRule="auto"/>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event that the Company shall decide to establish an advance accrual reserve on its books against the future expense of Excess Benefit or Supplemental Benefit payments, such reserve shall not under any circumstances be deemed to be an asset of the Plan but, at all times, shall remain a part of the general assets of the Company, subject to claims of the Company’s creditors.</w:t>
      </w:r>
    </w:p>
    <w:p>
      <w:pPr>
        <w:spacing w:after="0" w:line="201" w:lineRule="exact"/>
        <w:rPr>
          <w:rFonts w:ascii="Arial" w:cs="Arial" w:eastAsia="Arial" w:hAnsi="Arial"/>
          <w:sz w:val="17"/>
          <w:szCs w:val="17"/>
          <w:color w:val="auto"/>
        </w:rPr>
      </w:pPr>
    </w:p>
    <w:p>
      <w:pPr>
        <w:jc w:val="both"/>
        <w:ind w:left="1200" w:hanging="262"/>
        <w:spacing w:after="0" w:line="268" w:lineRule="auto"/>
        <w:tabs>
          <w:tab w:leader="none" w:pos="1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Excess Benefit and/or Supplemental Benefit with respect to a Participant shall be paid to the Participant or his or her Beneficiary in the form of five substantially equal annual installments, with the first such installment paid on or as soon as practicable after the first day of the calendar month following the six-month anniversary of the Participant’s Separation from Service and the remaining four annual installments paid annually thereafter on or as soon as practicable following the first day of the calendar month following the 18-month, 30-month, 42-month, and 54-month anniversaries of such Separation from Service. The calculation of the annual installments shall be performed using the same actuarial factors then utilized by the Retirement Plan for determining actuarial equivalence. All federal, state, and local taxes that the Committee determines are required to be withheld from any benefit payments made under the Plan shall be withheld.</w:t>
      </w:r>
    </w:p>
    <w:p>
      <w:pPr>
        <w:spacing w:after="0" w:line="196" w:lineRule="exact"/>
        <w:rPr>
          <w:rFonts w:ascii="Arial" w:cs="Arial" w:eastAsia="Arial" w:hAnsi="Arial"/>
          <w:sz w:val="16"/>
          <w:szCs w:val="16"/>
          <w:color w:val="auto"/>
        </w:rPr>
      </w:pPr>
    </w:p>
    <w:p>
      <w:pPr>
        <w:jc w:val="both"/>
        <w:ind w:left="1200" w:hanging="272"/>
        <w:spacing w:after="0" w:line="254" w:lineRule="auto"/>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other provision of the Plan to the contrary notwithstanding, in the event the present value of the vested combined Excess Benefit and Supplemental Benefit with respect to a Participant who has a Separation from Service does not exceed $50,000, payment of his or her benefit shall be made in a lump sum on or as soon as administratively feasible after the first day of the calendar month next following the six (6)-month anniversary of said Separation from Service.</w:t>
      </w:r>
    </w:p>
    <w:p>
      <w:pPr>
        <w:spacing w:after="0" w:line="203" w:lineRule="exact"/>
        <w:rPr>
          <w:rFonts w:ascii="Arial" w:cs="Arial" w:eastAsia="Arial" w:hAnsi="Arial"/>
          <w:sz w:val="17"/>
          <w:szCs w:val="17"/>
          <w:color w:val="auto"/>
        </w:rPr>
      </w:pPr>
    </w:p>
    <w:p>
      <w:pPr>
        <w:ind w:left="1200" w:hanging="262"/>
        <w:spacing w:after="0" w:line="268" w:lineRule="auto"/>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Excess Benefit and/or Supplemental Benefit shall be paid in accordance with subsections (c) or (d) above regardless of whether the Participant is a “specified employee” of the Company (as defined in Treasury Regulation Section 1.409A-1(i)).</w:t>
      </w:r>
    </w:p>
    <w:p>
      <w:pPr>
        <w:spacing w:after="0" w:line="191" w:lineRule="exact"/>
        <w:rPr>
          <w:rFonts w:ascii="Arial" w:cs="Arial" w:eastAsia="Arial" w:hAnsi="Arial"/>
          <w:sz w:val="17"/>
          <w:szCs w:val="17"/>
          <w:color w:val="auto"/>
        </w:rPr>
      </w:pPr>
    </w:p>
    <w:p>
      <w:pPr>
        <w:ind w:left="1200" w:hanging="244"/>
        <w:spacing w:after="0" w:line="336" w:lineRule="auto"/>
        <w:tabs>
          <w:tab w:leader="none" w:pos="12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the event that the Retirement Plan shall be terminated, Excess Benefits and/or Supplemental Benefits shall continue to be paid directly by the Company as provided in subsections (c) or (d) above, but only with respect to such benefits accrued as of the date of the Retirement Plan’s termination.</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3.4 Limitations on Benefits</w:t>
      </w:r>
    </w:p>
    <w:p>
      <w:pPr>
        <w:spacing w:after="0" w:line="232" w:lineRule="exact"/>
        <w:rPr>
          <w:sz w:val="20"/>
          <w:szCs w:val="20"/>
          <w:color w:val="auto"/>
        </w:rPr>
      </w:pPr>
    </w:p>
    <w:p>
      <w:pPr>
        <w:ind w:left="1200" w:hanging="262"/>
        <w:spacing w:after="0" w:line="268" w:lineRule="auto"/>
        <w:tabs>
          <w:tab w:leader="none" w:pos="1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Excess Benefit and any Supplemental Benefit under this Plan shall be considered vested and nonforfeitable only if and when the Participant’s Accrued Benefit under the Retirement Plan is vested and nonforfeitable.</w:t>
      </w:r>
    </w:p>
    <w:p>
      <w:pPr>
        <w:spacing w:after="0" w:line="191" w:lineRule="exact"/>
        <w:rPr>
          <w:rFonts w:ascii="Arial" w:cs="Arial" w:eastAsia="Arial" w:hAnsi="Arial"/>
          <w:sz w:val="17"/>
          <w:szCs w:val="17"/>
          <w:color w:val="auto"/>
        </w:rPr>
      </w:pPr>
    </w:p>
    <w:p>
      <w:pPr>
        <w:ind w:left="1200" w:hanging="272"/>
        <w:spacing w:after="0" w:line="300" w:lineRule="auto"/>
        <w:tabs>
          <w:tab w:leader="none" w:pos="1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Notwithstanding the foregoing, the Excess Benefit and/or Supplemental Benefit with respect to a Participant shall be subject to adjustment by reason of changes in Code Section 401(a)(17) and/or 415 affecting the Accrued Benefit payable under the Retirement Plan.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01" w:right="239" w:bottom="1440" w:gutter="0" w:footer="0" w:header="0"/>
        </w:sectPr>
      </w:pPr>
    </w:p>
    <w:bookmarkStart w:id="35" w:name="page36"/>
    <w:bookmarkEnd w:id="35"/>
    <w:p>
      <w:pPr>
        <w:jc w:val="both"/>
        <w:ind w:left="1200" w:hanging="262"/>
        <w:spacing w:after="0" w:line="257" w:lineRule="auto"/>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other provision of the Plan to the contrary notwithstanding, in no event will any benefit be payable under the Plan with respect to a Participant who terminates employment or retires, if such individual performs services for a competitor of the Company, and such service is determined by the Committee to violate any non-competition agreement signed by the Participant.</w:t>
      </w:r>
    </w:p>
    <w:p>
      <w:pPr>
        <w:spacing w:after="0" w:line="223"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ARTICLE 4</w:t>
      </w:r>
      <w:r>
        <w:rPr>
          <w:sz w:val="20"/>
          <w:szCs w:val="20"/>
          <w:color w:val="auto"/>
        </w:rPr>
        <w:tab/>
      </w:r>
      <w:r>
        <w:rPr>
          <w:rFonts w:ascii="Arial" w:cs="Arial" w:eastAsia="Arial" w:hAnsi="Arial"/>
          <w:sz w:val="15"/>
          <w:szCs w:val="15"/>
          <w:color w:val="auto"/>
        </w:rPr>
        <w:t>- Administration</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4.1 Plan Administrator</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Committee shall be the “administrator” of the Plan within the meaning of Section 3(16)(A) of ERISA.</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4.2 Powers of Plan Administrator</w:t>
      </w:r>
    </w:p>
    <w:p>
      <w:pPr>
        <w:spacing w:after="0" w:line="232" w:lineRule="exact"/>
        <w:rPr>
          <w:sz w:val="20"/>
          <w:szCs w:val="20"/>
          <w:color w:val="auto"/>
        </w:rPr>
      </w:pPr>
    </w:p>
    <w:p>
      <w:pPr>
        <w:jc w:val="both"/>
        <w:ind w:left="600"/>
        <w:spacing w:after="0" w:line="257" w:lineRule="auto"/>
        <w:rPr>
          <w:sz w:val="20"/>
          <w:szCs w:val="20"/>
          <w:color w:val="auto"/>
        </w:rPr>
      </w:pPr>
      <w:r>
        <w:rPr>
          <w:rFonts w:ascii="Arial" w:cs="Arial" w:eastAsia="Arial" w:hAnsi="Arial"/>
          <w:sz w:val="17"/>
          <w:szCs w:val="17"/>
          <w:color w:val="auto"/>
        </w:rPr>
        <w:t>The Committee shall be vested with the general administration of the Plan. The Committee shall have the exclusive right, and discretionary authority, to interpret the Plan. The decisions, actions and records of the Committee shall be conclusive and binding upon the Company, upon any adopting Employers, and upon all persons having or claiming to have any right or interest in or under the Plan.</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4.3 Participation by Subsidiary</w:t>
      </w:r>
    </w:p>
    <w:p>
      <w:pPr>
        <w:spacing w:after="0" w:line="232" w:lineRule="exact"/>
        <w:rPr>
          <w:sz w:val="20"/>
          <w:szCs w:val="20"/>
          <w:color w:val="auto"/>
        </w:rPr>
      </w:pPr>
    </w:p>
    <w:p>
      <w:pPr>
        <w:jc w:val="both"/>
        <w:ind w:left="600"/>
        <w:spacing w:after="0" w:line="300" w:lineRule="auto"/>
        <w:rPr>
          <w:sz w:val="20"/>
          <w:szCs w:val="20"/>
          <w:color w:val="auto"/>
        </w:rPr>
      </w:pPr>
      <w:r>
        <w:rPr>
          <w:rFonts w:ascii="Arial" w:cs="Arial" w:eastAsia="Arial" w:hAnsi="Arial"/>
          <w:sz w:val="16"/>
          <w:szCs w:val="16"/>
          <w:color w:val="auto"/>
        </w:rPr>
        <w:t>If any entity is now or hereafter becomes a subsidiary or Affiliate of the Company and becomes an adopting Employer under the Retirement Plan, the Company may authorize such subsidiary or Affiliate to participate in this Plan upon appropriate action by such entity necessary to adopt the Plan.</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4.4 Claim Procedure</w:t>
      </w:r>
    </w:p>
    <w:p>
      <w:pPr>
        <w:spacing w:after="0" w:line="232" w:lineRule="exact"/>
        <w:rPr>
          <w:sz w:val="20"/>
          <w:szCs w:val="20"/>
          <w:color w:val="auto"/>
        </w:rPr>
      </w:pPr>
    </w:p>
    <w:p>
      <w:pPr>
        <w:jc w:val="both"/>
        <w:ind w:left="600"/>
        <w:spacing w:after="0" w:line="284" w:lineRule="auto"/>
        <w:rPr>
          <w:sz w:val="20"/>
          <w:szCs w:val="20"/>
          <w:color w:val="auto"/>
        </w:rPr>
      </w:pPr>
      <w:r>
        <w:rPr>
          <w:rFonts w:ascii="Arial" w:cs="Arial" w:eastAsia="Arial" w:hAnsi="Arial"/>
          <w:sz w:val="15"/>
          <w:szCs w:val="15"/>
          <w:color w:val="auto"/>
        </w:rPr>
        <w:t>Any Participant or Beneficiary, or his or her representative, who believes he or she is entitled to payment of a benefit for which provision is made in the Plan shall file a written claim with the Committee and shall furnish such evidence of entitlement to benefits as the Committee may reasonably require. The Committee shall notify the Participant or Beneficiary in writing as to the amount of the benefit to which he or she is entitled, the duration of such benefit, the time the benefit is to commence and other pertinent information concerning his or her benefit. If a claim for a benefit is denied by the Committee, in whole or in part, the Committee shall provide adequate notice in writing to the Participant or Beneficiary whose claim for a benefit has been denied within the 90-day period following receipt of the claim by the Committee. If, under special circumstances, the Committee requires an extension of time for processing the claim, written notice of the extension shall be furnished to the claimant prior to the termination of the initial 90-day period. In no event shall such extension exceed a period of 90 days from the end of such initial period. If written notice of the denial is not furnished in accordance with the above, the claim shall be deemed denied and the claimant may proceed with an appeal of the denial, as provided below. The written notice regarding the benefit denied shall set forth (a) the specific reason or reasons for the denial; (b) specific reference to pertinent Plan provisions on which the denial is based; (c) a description of any additional material or information necessary for the claimant to perfect the claim and an explanation of why such material or information is necessary; and (d) a statement that any appeal of the denial must be made in writing to the Committee, within 60 days after receipt of the notice, which must include a full description of the pertinent issues and the basis of the appeal. If the Participant or Beneficiary fails to appeal such action to the Committee in writing within the prescribed period of time, the Committee’s determination shall be final, binding and conclusive.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4.5 Appeal of Denial of Claim</w:t>
      </w:r>
    </w:p>
    <w:p>
      <w:pPr>
        <w:spacing w:after="0" w:line="232" w:lineRule="exact"/>
        <w:rPr>
          <w:sz w:val="20"/>
          <w:szCs w:val="20"/>
          <w:color w:val="auto"/>
        </w:rPr>
      </w:pPr>
    </w:p>
    <w:p>
      <w:pPr>
        <w:jc w:val="both"/>
        <w:ind w:left="600"/>
        <w:spacing w:after="0" w:line="270" w:lineRule="auto"/>
        <w:rPr>
          <w:sz w:val="20"/>
          <w:szCs w:val="20"/>
          <w:color w:val="auto"/>
        </w:rPr>
      </w:pPr>
      <w:r>
        <w:rPr>
          <w:rFonts w:ascii="Arial" w:cs="Arial" w:eastAsia="Arial" w:hAnsi="Arial"/>
          <w:sz w:val="16"/>
          <w:szCs w:val="16"/>
          <w:color w:val="auto"/>
        </w:rPr>
        <w:t>If the Committee receives from a Participant or a Beneficiary, or his or her representative, within the prescribed period of time, a notice of an appeal of the denial of a claim for benefits, the Committee shall reconsider the claim, and may hold a hearing or otherwise ascertain such facts as it deems necessary, and shall render a decision which shall be binding upon both parties. The decision of the Committee shall be in writing and a copy thereof shall be sent by certified mail to the claimant within 60 days after the receipt by the Committee of the notice of appeal, unless special circumstances require an extension of such 60-day period, but in any event, not later than 120 days after receipt. If written notice of the denial on appeal of a claim for benefits is not received within the 60- or 120-day period, as applicable, then the claim shall be treated as a denied claim on appeal.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spacing w:after="0"/>
        <w:tabs>
          <w:tab w:leader="none" w:pos="1100" w:val="left"/>
        </w:tabs>
        <w:rPr>
          <w:sz w:val="20"/>
          <w:szCs w:val="20"/>
          <w:color w:val="auto"/>
        </w:rPr>
      </w:pPr>
      <w:r>
        <w:rPr>
          <w:rFonts w:ascii="Arial" w:cs="Arial" w:eastAsia="Arial" w:hAnsi="Arial"/>
          <w:sz w:val="17"/>
          <w:szCs w:val="17"/>
          <w:b w:val="1"/>
          <w:bCs w:val="1"/>
          <w:color w:val="auto"/>
        </w:rPr>
        <w:t>ARTICLE 5</w:t>
      </w:r>
      <w:r>
        <w:rPr>
          <w:sz w:val="20"/>
          <w:szCs w:val="20"/>
          <w:color w:val="auto"/>
        </w:rPr>
        <w:tab/>
      </w:r>
      <w:r>
        <w:rPr>
          <w:rFonts w:ascii="Arial" w:cs="Arial" w:eastAsia="Arial" w:hAnsi="Arial"/>
          <w:sz w:val="15"/>
          <w:szCs w:val="15"/>
          <w:color w:val="auto"/>
        </w:rPr>
        <w:t>- Amendment and Termination</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5.1 Amendment of the Plan</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Subject to the provisions of Article 5.3, the Plan may be wholly or partially amended or otherwise modified at any time by the Company.</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5.2 Termination of the Plan</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Subject to the provisions of Article 5.3, the Plan may be terminated at any time by the Company.</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5.3 No Impairment of Benefits</w:t>
      </w:r>
    </w:p>
    <w:p>
      <w:pPr>
        <w:spacing w:after="0" w:line="232" w:lineRule="exact"/>
        <w:rPr>
          <w:sz w:val="20"/>
          <w:szCs w:val="20"/>
          <w:color w:val="auto"/>
        </w:rPr>
      </w:pPr>
    </w:p>
    <w:p>
      <w:pPr>
        <w:jc w:val="both"/>
        <w:ind w:left="600"/>
        <w:spacing w:after="0" w:line="257" w:lineRule="auto"/>
        <w:rPr>
          <w:sz w:val="20"/>
          <w:szCs w:val="20"/>
          <w:color w:val="auto"/>
        </w:rPr>
      </w:pPr>
      <w:r>
        <w:rPr>
          <w:rFonts w:ascii="Arial" w:cs="Arial" w:eastAsia="Arial" w:hAnsi="Arial"/>
          <w:sz w:val="17"/>
          <w:szCs w:val="17"/>
          <w:color w:val="auto"/>
        </w:rPr>
        <w:t>Notwithstanding the provisions of Articles 5.1 and 5.2, no amendment to or termination of the Plan shall impair any rights to Excess Benefits and Supplemental Benefits which have accrued hereunder. In the event the Plan is terminated, any Excess Benefits and Supplemental Benefits remaining will be distributed in such manner as is determined by the Committee in its sole discretion.</w:t>
      </w:r>
    </w:p>
    <w:p>
      <w:pPr>
        <w:spacing w:after="0" w:line="223"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ARTICLE 6</w:t>
      </w:r>
      <w:r>
        <w:rPr>
          <w:sz w:val="20"/>
          <w:szCs w:val="20"/>
          <w:color w:val="auto"/>
        </w:rPr>
        <w:tab/>
      </w:r>
      <w:r>
        <w:rPr>
          <w:rFonts w:ascii="Arial" w:cs="Arial" w:eastAsia="Arial" w:hAnsi="Arial"/>
          <w:sz w:val="15"/>
          <w:szCs w:val="15"/>
          <w:color w:val="auto"/>
        </w:rPr>
        <w:t>– Incorporation of Retirement Plan by Reference</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6.1 Incorporation of Retirement Plan by Reference</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Except to the extent otherwise indicated herein, the applicable provisions of the Retirement Plan are hereby incorporated by reference into this Plan.</w:t>
      </w:r>
    </w:p>
    <w:p>
      <w:pPr>
        <w:spacing w:after="0" w:line="265"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ARTICLE 7</w:t>
      </w:r>
      <w:r>
        <w:rPr>
          <w:sz w:val="20"/>
          <w:szCs w:val="20"/>
          <w:color w:val="auto"/>
        </w:rPr>
        <w:tab/>
      </w:r>
      <w:r>
        <w:rPr>
          <w:rFonts w:ascii="Arial" w:cs="Arial" w:eastAsia="Arial" w:hAnsi="Arial"/>
          <w:sz w:val="15"/>
          <w:szCs w:val="15"/>
          <w:color w:val="auto"/>
        </w:rPr>
        <w:t>– Miscellaneous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7.1 Non-Alienation</w:t>
      </w:r>
    </w:p>
    <w:p>
      <w:pPr>
        <w:spacing w:after="0" w:line="232" w:lineRule="exact"/>
        <w:rPr>
          <w:sz w:val="20"/>
          <w:szCs w:val="20"/>
          <w:color w:val="auto"/>
        </w:rPr>
      </w:pPr>
    </w:p>
    <w:p>
      <w:pPr>
        <w:jc w:val="both"/>
        <w:ind w:left="600"/>
        <w:spacing w:after="0" w:line="251" w:lineRule="auto"/>
        <w:rPr>
          <w:sz w:val="20"/>
          <w:szCs w:val="20"/>
          <w:color w:val="auto"/>
        </w:rPr>
      </w:pPr>
      <w:r>
        <w:rPr>
          <w:rFonts w:ascii="Arial" w:cs="Arial" w:eastAsia="Arial" w:hAnsi="Arial"/>
          <w:sz w:val="17"/>
          <w:szCs w:val="17"/>
          <w:color w:val="auto"/>
        </w:rPr>
        <w:t>No right or benefit under the Plan shall be subject to anticipation, alienation, sale, assignment, pledge, encumbrance or charge, and any attempt to anticipate, alienate, sell, assign, pledge, encumber or charge the same shall be void. No right or benefit under the Plan shall in any manner be liable for or subject to the debts, contracts, liabilities or torts of the person entitled to such benefit except such claims as may be made by the Company or any Affiliate. Notwithstanding the foregoing, a Participant’s Excess Benefit and/or Supplemental Benefit may be assigned or awarded to an alternate payee pursuant to a domestic relations order the Committee determines to be a “qualified domestic relations order” (or “QDRO”) described in Code Section 414(p) and Treasury Regulation Section 1.409A-3(j)(4)(ii).</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7.2 Unsecured General Creditor</w:t>
      </w:r>
    </w:p>
    <w:p>
      <w:pPr>
        <w:spacing w:after="0" w:line="232" w:lineRule="exact"/>
        <w:rPr>
          <w:sz w:val="20"/>
          <w:szCs w:val="20"/>
          <w:color w:val="auto"/>
        </w:rPr>
      </w:pPr>
    </w:p>
    <w:p>
      <w:pPr>
        <w:jc w:val="both"/>
        <w:ind w:left="600"/>
        <w:spacing w:after="0" w:line="252" w:lineRule="auto"/>
        <w:rPr>
          <w:sz w:val="20"/>
          <w:szCs w:val="20"/>
          <w:color w:val="auto"/>
        </w:rPr>
      </w:pPr>
      <w:r>
        <w:rPr>
          <w:rFonts w:ascii="Arial" w:cs="Arial" w:eastAsia="Arial" w:hAnsi="Arial"/>
          <w:sz w:val="17"/>
          <w:szCs w:val="17"/>
          <w:color w:val="auto"/>
        </w:rPr>
        <w:t>Participants and their Beneficiaries, heirs, successors and assigns shall have no legal or equitable rights, interests or claims in any property or assets of the Company. For purposes of the payment of benefits under the Plan, the Company’s assets shall be, and remain, neither pledged nor restricted under or as a result of the Plan. The Company’s obligation under the Plan shall be merely that of an unfunded and unsecured promise to pay money in the future. All amounts deferred and accrued under the Plan will be unsecured liabilities of the Company. For purposes of this Section 7.2, all references to the “Company” shall be deemed to also refer to any adopting Employer.</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7.3 Court Order</w:t>
      </w:r>
    </w:p>
    <w:p>
      <w:pPr>
        <w:spacing w:after="0" w:line="232" w:lineRule="exact"/>
        <w:rPr>
          <w:sz w:val="20"/>
          <w:szCs w:val="20"/>
          <w:color w:val="auto"/>
        </w:rPr>
      </w:pPr>
    </w:p>
    <w:p>
      <w:pPr>
        <w:jc w:val="both"/>
        <w:ind w:left="600"/>
        <w:spacing w:after="0" w:line="300" w:lineRule="auto"/>
        <w:rPr>
          <w:sz w:val="20"/>
          <w:szCs w:val="20"/>
          <w:color w:val="auto"/>
        </w:rPr>
      </w:pPr>
      <w:r>
        <w:rPr>
          <w:rFonts w:ascii="Arial" w:cs="Arial" w:eastAsia="Arial" w:hAnsi="Arial"/>
          <w:sz w:val="16"/>
          <w:szCs w:val="16"/>
          <w:color w:val="auto"/>
        </w:rPr>
        <w:t>If an interest in a Participant’s Excess Benefit and/or Supplemental Benefit under the Plan is assigned or awarded to an alternate payee pursuant to a QDRO, the QDRO may provide for the immediate distribution to the alternate payee his or her interest in such benefit in a lump sum.</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7.4 Participant’s Rights</w:t>
      </w:r>
    </w:p>
    <w:p>
      <w:pPr>
        <w:spacing w:after="0" w:line="232" w:lineRule="exact"/>
        <w:rPr>
          <w:sz w:val="20"/>
          <w:szCs w:val="20"/>
          <w:color w:val="auto"/>
        </w:rPr>
      </w:pPr>
    </w:p>
    <w:p>
      <w:pPr>
        <w:jc w:val="both"/>
        <w:ind w:left="600"/>
        <w:spacing w:after="0" w:line="281" w:lineRule="auto"/>
        <w:rPr>
          <w:sz w:val="20"/>
          <w:szCs w:val="20"/>
          <w:color w:val="auto"/>
        </w:rPr>
      </w:pPr>
      <w:r>
        <w:rPr>
          <w:rFonts w:ascii="Arial" w:cs="Arial" w:eastAsia="Arial" w:hAnsi="Arial"/>
          <w:sz w:val="16"/>
          <w:szCs w:val="16"/>
          <w:color w:val="auto"/>
        </w:rPr>
        <w:t>The establishment of the Plan shall not be construed as giving any Participant the right to be retained as an employee of the Company or any adopting Employer, or the right to receive any benefits not specifically provided herein. The Company and any adopting Employer shall have no obligation to fund its obligations under the Plan. Nothing herein shall be deemed to create a trust of any kind or to create any fiduciary relationships.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37" w:name="page38"/>
    <w:bookmarkEnd w:id="37"/>
    <w:p>
      <w:pPr>
        <w:ind w:left="320"/>
        <w:spacing w:after="0"/>
        <w:rPr>
          <w:sz w:val="20"/>
          <w:szCs w:val="20"/>
          <w:color w:val="auto"/>
        </w:rPr>
      </w:pPr>
      <w:r>
        <w:rPr>
          <w:rFonts w:ascii="Arial" w:cs="Arial" w:eastAsia="Arial" w:hAnsi="Arial"/>
          <w:sz w:val="17"/>
          <w:szCs w:val="17"/>
          <w:color w:val="auto"/>
        </w:rPr>
        <w:t>7.5 Notice</w:t>
      </w:r>
    </w:p>
    <w:p>
      <w:pPr>
        <w:spacing w:after="0" w:line="232" w:lineRule="exact"/>
        <w:rPr>
          <w:sz w:val="20"/>
          <w:szCs w:val="20"/>
          <w:color w:val="auto"/>
        </w:rPr>
      </w:pPr>
    </w:p>
    <w:p>
      <w:pPr>
        <w:jc w:val="both"/>
        <w:ind w:left="600"/>
        <w:spacing w:after="0" w:line="268" w:lineRule="auto"/>
        <w:rPr>
          <w:sz w:val="20"/>
          <w:szCs w:val="20"/>
          <w:color w:val="auto"/>
        </w:rPr>
      </w:pPr>
      <w:r>
        <w:rPr>
          <w:rFonts w:ascii="Arial" w:cs="Arial" w:eastAsia="Arial" w:hAnsi="Arial"/>
          <w:sz w:val="17"/>
          <w:szCs w:val="17"/>
          <w:color w:val="auto"/>
        </w:rPr>
        <w:t>Any notice authorized or required to be given to the Company under the Plan shall be deemed given upon delivery in writing, signed by the person giving the notice, to the General Counsel of the Company or such other officer as may be designated by the Committee.</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7.6 Applicable Law</w:t>
      </w:r>
    </w:p>
    <w:p>
      <w:pPr>
        <w:spacing w:after="0" w:line="232" w:lineRule="exact"/>
        <w:rPr>
          <w:sz w:val="20"/>
          <w:szCs w:val="20"/>
          <w:color w:val="auto"/>
        </w:rPr>
      </w:pPr>
    </w:p>
    <w:p>
      <w:pPr>
        <w:jc w:val="both"/>
        <w:ind w:left="600"/>
        <w:spacing w:after="0" w:line="268" w:lineRule="auto"/>
        <w:rPr>
          <w:sz w:val="20"/>
          <w:szCs w:val="20"/>
          <w:color w:val="auto"/>
        </w:rPr>
      </w:pPr>
      <w:r>
        <w:rPr>
          <w:rFonts w:ascii="Arial" w:cs="Arial" w:eastAsia="Arial" w:hAnsi="Arial"/>
          <w:sz w:val="17"/>
          <w:szCs w:val="17"/>
          <w:color w:val="auto"/>
        </w:rPr>
        <w:t>To the extent not preempted by the laws of the United States of America, the Plan shall be governed by the laws of the State of Illinois without regard to its conflict of laws rules.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7.7 Expenses</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expenses of administering the Plan shall be borne by the Company.</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7.8 Incompetency</w:t>
      </w:r>
    </w:p>
    <w:p>
      <w:pPr>
        <w:spacing w:after="0" w:line="232" w:lineRule="exact"/>
        <w:rPr>
          <w:sz w:val="20"/>
          <w:szCs w:val="20"/>
          <w:color w:val="auto"/>
        </w:rPr>
      </w:pPr>
    </w:p>
    <w:p>
      <w:pPr>
        <w:jc w:val="both"/>
        <w:ind w:left="600"/>
        <w:spacing w:after="0" w:line="275" w:lineRule="auto"/>
        <w:rPr>
          <w:sz w:val="20"/>
          <w:szCs w:val="20"/>
          <w:color w:val="auto"/>
        </w:rPr>
      </w:pPr>
      <w:r>
        <w:rPr>
          <w:rFonts w:ascii="Arial" w:cs="Arial" w:eastAsia="Arial" w:hAnsi="Arial"/>
          <w:sz w:val="16"/>
          <w:szCs w:val="16"/>
          <w:color w:val="auto"/>
        </w:rPr>
        <w:t>If any Participant or Beneficiary is, in the opinion of the Committee, legally incapable of giving a valid receipt and discharge for any payment, the Committee may, at its option, direct that such payment or any part thereof be made to such person or persons who in the opinion of the Committee are caring for and supporting such Participant or Beneficiary, unless it has received due notice of claim from a duly appointed guardian or conservator of the estate of the Participant or Beneficiary. A payment so made will be a complete discharge of the obligations under the Plan.</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7.9 Severability</w:t>
      </w:r>
    </w:p>
    <w:p>
      <w:pPr>
        <w:spacing w:after="0" w:line="232" w:lineRule="exact"/>
        <w:rPr>
          <w:sz w:val="20"/>
          <w:szCs w:val="20"/>
          <w:color w:val="auto"/>
        </w:rPr>
      </w:pPr>
    </w:p>
    <w:p>
      <w:pPr>
        <w:jc w:val="both"/>
        <w:ind w:left="600"/>
        <w:spacing w:after="0" w:line="268" w:lineRule="auto"/>
        <w:rPr>
          <w:sz w:val="20"/>
          <w:szCs w:val="20"/>
          <w:color w:val="auto"/>
        </w:rPr>
      </w:pPr>
      <w:r>
        <w:rPr>
          <w:rFonts w:ascii="Arial" w:cs="Arial" w:eastAsia="Arial" w:hAnsi="Arial"/>
          <w:sz w:val="17"/>
          <w:szCs w:val="17"/>
          <w:color w:val="auto"/>
        </w:rPr>
        <w:t>If any provisions of the Plan shall be held illegal or invalid for any reason, said illegality or invalidity shall not affect the remaining parts of the Plan, but the Plan shall be construed and enforced as if said illegal and invalid provisions had never been included herein.</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7.10 Gender and Number</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Masculine gender shall include the feminine, and the singular shall include the plural, unless the context clearly indicates otherwise.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7.11 Captions</w:t>
      </w:r>
    </w:p>
    <w:p>
      <w:pPr>
        <w:spacing w:after="0" w:line="232" w:lineRule="exact"/>
        <w:rPr>
          <w:sz w:val="20"/>
          <w:szCs w:val="20"/>
          <w:color w:val="auto"/>
        </w:rPr>
      </w:pPr>
    </w:p>
    <w:p>
      <w:pPr>
        <w:jc w:val="both"/>
        <w:ind w:left="600"/>
        <w:spacing w:after="0" w:line="268" w:lineRule="auto"/>
        <w:rPr>
          <w:sz w:val="20"/>
          <w:szCs w:val="20"/>
          <w:color w:val="auto"/>
        </w:rPr>
      </w:pPr>
      <w:r>
        <w:rPr>
          <w:rFonts w:ascii="Arial" w:cs="Arial" w:eastAsia="Arial" w:hAnsi="Arial"/>
          <w:sz w:val="17"/>
          <w:szCs w:val="17"/>
          <w:color w:val="auto"/>
        </w:rPr>
        <w:t>The captions of the sections and paragraphs of the Plan are for convenience only and shall not control or effect the meaning or construction of any of its provisions.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Company has caused the Plan to be executed upon the signature of its duly qualified officer as of the date first written above.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OIL-DRI CORPORATION OF AMERICA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Charles P. Brissman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Its Vice President and General Counsel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ATTEST: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Angela M. Hatseras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72605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0590" cy="4254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150495</wp:posOffset>
            </wp:positionH>
            <wp:positionV relativeFrom="page">
              <wp:posOffset>190500</wp:posOffset>
            </wp:positionV>
            <wp:extent cx="726059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0590" cy="36830"/>
                    </a:xfrm>
                    <a:prstGeom prst="rect">
                      <a:avLst/>
                    </a:prstGeom>
                    <a:noFill/>
                  </pic:spPr>
                </pic:pic>
              </a:graphicData>
            </a:graphic>
          </wp:anchor>
        </w:drawing>
        <w:t>Exhibit 11:</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OIL-DRI CORPORATION OF AMERICA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Computation of Earnings Per Share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for per share amounts)</w:t>
      </w:r>
    </w:p>
    <w:p>
      <w:pPr>
        <w:spacing w:after="0" w:line="216" w:lineRule="exact"/>
        <w:rPr>
          <w:sz w:val="20"/>
          <w:szCs w:val="20"/>
          <w:color w:val="auto"/>
        </w:rPr>
      </w:pPr>
    </w:p>
    <w:tbl>
      <w:tblPr>
        <w:tblLayout w:type="fixed"/>
        <w:tblInd w:w="5940" w:type="dxa"/>
        <w:tblCellMar>
          <w:top w:w="0" w:type="dxa"/>
          <w:left w:w="0" w:type="dxa"/>
          <w:bottom w:w="0" w:type="dxa"/>
          <w:right w:w="0" w:type="dxa"/>
        </w:tblCellMar>
      </w:tblPr>
      <w:tr>
        <w:trPr>
          <w:trHeight w:val="201"/>
        </w:trPr>
        <w:tc>
          <w:tcPr>
            <w:tcW w:w="268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Three months Ended</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8"/>
              </w:rPr>
              <w:t>Nine months Ended</w:t>
            </w:r>
          </w:p>
        </w:tc>
      </w:tr>
      <w:tr>
        <w:trPr>
          <w:trHeight w:val="201"/>
        </w:trPr>
        <w:tc>
          <w:tcPr>
            <w:tcW w:w="940" w:type="dxa"/>
            <w:vAlign w:val="bottom"/>
          </w:tcPr>
          <w:p>
            <w:pPr>
              <w:spacing w:after="0"/>
              <w:rPr>
                <w:sz w:val="17"/>
                <w:szCs w:val="17"/>
                <w:color w:val="auto"/>
              </w:rPr>
            </w:pPr>
          </w:p>
        </w:tc>
        <w:tc>
          <w:tcPr>
            <w:tcW w:w="1740" w:type="dxa"/>
            <w:vAlign w:val="bottom"/>
          </w:tcPr>
          <w:p>
            <w:pPr>
              <w:jc w:val="center"/>
              <w:ind w:right="856"/>
              <w:spacing w:after="0"/>
              <w:rPr>
                <w:sz w:val="20"/>
                <w:szCs w:val="20"/>
                <w:color w:val="auto"/>
              </w:rPr>
            </w:pPr>
            <w:r>
              <w:rPr>
                <w:rFonts w:ascii="Arial" w:cs="Arial" w:eastAsia="Arial" w:hAnsi="Arial"/>
                <w:sz w:val="17"/>
                <w:szCs w:val="17"/>
                <w:b w:val="1"/>
                <w:bCs w:val="1"/>
                <w:color w:val="auto"/>
                <w:w w:val="95"/>
              </w:rPr>
              <w:t>April 30,</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2"/>
              </w:rPr>
              <w:t>April 30,</w:t>
            </w:r>
          </w:p>
        </w:tc>
      </w:tr>
      <w:tr>
        <w:trPr>
          <w:trHeight w:val="223"/>
        </w:trPr>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2010</w:t>
            </w:r>
          </w:p>
        </w:tc>
        <w:tc>
          <w:tcPr>
            <w:tcW w:w="174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2009</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2010</w:t>
            </w:r>
          </w:p>
        </w:tc>
        <w:tc>
          <w:tcPr>
            <w:tcW w:w="15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256145" cy="255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6145" cy="255270"/>
                    </a:xfrm>
                    <a:prstGeom prst="rect">
                      <a:avLst/>
                    </a:prstGeom>
                    <a:noFill/>
                  </pic:spPr>
                </pic:pic>
              </a:graphicData>
            </a:graphic>
          </wp:anchor>
        </w:drawing>
      </w:r>
    </w:p>
    <w:p>
      <w:pPr>
        <w:sectPr>
          <w:pgSz w:w="11900" w:h="16838" w:orient="portrait"/>
          <w:cols w:equalWidth="0" w:num="1">
            <w:col w:w="11440"/>
          </w:cols>
          <w:pgMar w:left="240" w:top="877" w:right="219" w:bottom="1440" w:gutter="0" w:footer="0" w:header="0"/>
        </w:sectPr>
      </w:pPr>
    </w:p>
    <w:p>
      <w:pPr>
        <w:spacing w:after="0" w:line="18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Net income available to stockholders</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Less: Distributed and undistributed earnings allocated to nonvested stock</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Earnings available to common shareholders</w:t>
      </w:r>
    </w:p>
    <w:tbl>
      <w:tblPr>
        <w:tblLayout w:type="fixed"/>
        <w:tblInd w:w="140" w:type="dxa"/>
        <w:tblCellMar>
          <w:top w:w="0" w:type="dxa"/>
          <w:left w:w="0" w:type="dxa"/>
          <w:bottom w:w="0" w:type="dxa"/>
          <w:right w:w="0" w:type="dxa"/>
        </w:tblCellMar>
      </w:tblPr>
      <w:tr>
        <w:trPr>
          <w:trHeight w:val="182"/>
        </w:trPr>
        <w:tc>
          <w:tcPr>
            <w:tcW w:w="1260" w:type="dxa"/>
            <w:vAlign w:val="bottom"/>
            <w:tcBorders>
              <w:bottom w:val="single" w:sz="8" w:color="auto"/>
            </w:tcBorders>
          </w:tcPr>
          <w:p>
            <w:pPr>
              <w:spacing w:after="0" w:line="181" w:lineRule="exact"/>
              <w:rPr>
                <w:sz w:val="20"/>
                <w:szCs w:val="20"/>
                <w:color w:val="auto"/>
              </w:rPr>
            </w:pPr>
            <w:r>
              <w:rPr>
                <w:rFonts w:ascii="Arial" w:cs="Arial" w:eastAsia="Arial" w:hAnsi="Arial"/>
                <w:sz w:val="17"/>
                <w:szCs w:val="17"/>
                <w:color w:val="auto"/>
                <w:w w:val="86"/>
              </w:rPr>
              <w:t>Shares Calculation</w:t>
            </w:r>
          </w:p>
        </w:tc>
        <w:tc>
          <w:tcPr>
            <w:tcW w:w="7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6"/>
        </w:trPr>
        <w:tc>
          <w:tcPr>
            <w:tcW w:w="2040" w:type="dxa"/>
            <w:vAlign w:val="bottom"/>
            <w:gridSpan w:val="2"/>
          </w:tcPr>
          <w:p>
            <w:pPr>
              <w:spacing w:after="0"/>
              <w:rPr>
                <w:sz w:val="20"/>
                <w:szCs w:val="20"/>
                <w:color w:val="auto"/>
              </w:rPr>
            </w:pPr>
            <w:r>
              <w:rPr>
                <w:rFonts w:ascii="Arial" w:cs="Arial" w:eastAsia="Arial" w:hAnsi="Arial"/>
                <w:sz w:val="17"/>
                <w:szCs w:val="17"/>
                <w:color w:val="auto"/>
                <w:w w:val="89"/>
              </w:rPr>
              <w:t>Average shares outstanding –</w:t>
            </w:r>
          </w:p>
        </w:tc>
        <w:tc>
          <w:tcPr>
            <w:tcW w:w="1680" w:type="dxa"/>
            <w:vAlign w:val="bottom"/>
          </w:tcPr>
          <w:p>
            <w:pPr>
              <w:ind w:left="100"/>
              <w:spacing w:after="0"/>
              <w:rPr>
                <w:sz w:val="20"/>
                <w:szCs w:val="20"/>
                <w:color w:val="auto"/>
              </w:rPr>
            </w:pPr>
            <w:r>
              <w:rPr>
                <w:rFonts w:ascii="Arial" w:cs="Arial" w:eastAsia="Arial" w:hAnsi="Arial"/>
                <w:sz w:val="17"/>
                <w:szCs w:val="17"/>
                <w:color w:val="auto"/>
              </w:rPr>
              <w:t>Basic Common</w:t>
            </w:r>
          </w:p>
        </w:tc>
      </w:tr>
      <w:tr>
        <w:trPr>
          <w:trHeight w:val="212"/>
        </w:trPr>
        <w:tc>
          <w:tcPr>
            <w:tcW w:w="2040" w:type="dxa"/>
            <w:vAlign w:val="bottom"/>
            <w:gridSpan w:val="2"/>
          </w:tcPr>
          <w:p>
            <w:pPr>
              <w:spacing w:after="0"/>
              <w:rPr>
                <w:sz w:val="20"/>
                <w:szCs w:val="20"/>
                <w:color w:val="auto"/>
              </w:rPr>
            </w:pPr>
            <w:r>
              <w:rPr>
                <w:rFonts w:ascii="Arial" w:cs="Arial" w:eastAsia="Arial" w:hAnsi="Arial"/>
                <w:sz w:val="17"/>
                <w:szCs w:val="17"/>
                <w:color w:val="auto"/>
                <w:w w:val="89"/>
              </w:rPr>
              <w:t>Average shares outstanding –</w:t>
            </w:r>
          </w:p>
        </w:tc>
        <w:tc>
          <w:tcPr>
            <w:tcW w:w="1680" w:type="dxa"/>
            <w:vAlign w:val="bottom"/>
          </w:tcPr>
          <w:p>
            <w:pPr>
              <w:ind w:left="100"/>
              <w:spacing w:after="0"/>
              <w:rPr>
                <w:sz w:val="20"/>
                <w:szCs w:val="20"/>
                <w:color w:val="auto"/>
              </w:rPr>
            </w:pPr>
            <w:r>
              <w:rPr>
                <w:rFonts w:ascii="Arial" w:cs="Arial" w:eastAsia="Arial" w:hAnsi="Arial"/>
                <w:sz w:val="17"/>
                <w:szCs w:val="17"/>
                <w:color w:val="auto"/>
                <w:w w:val="87"/>
              </w:rPr>
              <w:t>Basic Class B Common</w:t>
            </w: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ind w:right="380"/>
        <w:spacing w:after="0"/>
        <w:tabs>
          <w:tab w:leader="none" w:pos="880" w:val="left"/>
        </w:tabs>
        <w:rPr>
          <w:sz w:val="20"/>
          <w:szCs w:val="20"/>
          <w:color w:val="auto"/>
        </w:rPr>
      </w:pPr>
      <w:r>
        <w:rPr>
          <w:rFonts w:ascii="Arial" w:cs="Arial" w:eastAsia="Arial" w:hAnsi="Arial"/>
          <w:sz w:val="17"/>
          <w:szCs w:val="17"/>
          <w:b w:val="1"/>
          <w:bCs w:val="1"/>
          <w:color w:val="auto"/>
        </w:rPr>
        <w:t>$ 2,586</w:t>
      </w:r>
      <w:r>
        <w:rPr>
          <w:sz w:val="20"/>
          <w:szCs w:val="20"/>
          <w:color w:val="auto"/>
        </w:rPr>
        <w:tab/>
      </w:r>
      <w:r>
        <w:rPr>
          <w:rFonts w:ascii="Arial" w:cs="Arial" w:eastAsia="Arial" w:hAnsi="Arial"/>
          <w:sz w:val="15"/>
          <w:szCs w:val="15"/>
          <w:color w:val="auto"/>
        </w:rPr>
        <w:t>$ 2,416</w:t>
      </w:r>
    </w:p>
    <w:p>
      <w:pPr>
        <w:spacing w:after="0" w:line="22" w:lineRule="exact"/>
        <w:rPr>
          <w:sz w:val="20"/>
          <w:szCs w:val="20"/>
          <w:color w:val="auto"/>
        </w:rPr>
      </w:pPr>
    </w:p>
    <w:p>
      <w:pPr>
        <w:ind w:left="2400" w:hanging="1256"/>
        <w:spacing w:after="0"/>
        <w:tabs>
          <w:tab w:leader="none" w:pos="2400" w:val="left"/>
        </w:tabs>
        <w:numPr>
          <w:ilvl w:val="0"/>
          <w:numId w:val="13"/>
        </w:numPr>
        <w:rPr>
          <w:rFonts w:ascii="Arial" w:cs="Arial" w:eastAsia="Arial" w:hAnsi="Arial"/>
          <w:sz w:val="15"/>
          <w:szCs w:val="15"/>
          <w:b w:val="1"/>
          <w:bCs w:val="1"/>
          <w:color w:val="auto"/>
        </w:rPr>
      </w:pPr>
      <w:r>
        <w:rPr>
          <w:rFonts w:ascii="Arial" w:cs="Arial" w:eastAsia="Arial" w:hAnsi="Arial"/>
          <w:sz w:val="15"/>
          <w:szCs w:val="15"/>
          <w:color w:val="auto"/>
        </w:rPr>
        <w:t>(10)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$ 2,579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$ 2,406</w:t>
            </w: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76"/>
        </w:trPr>
        <w:tc>
          <w:tcPr>
            <w:tcW w:w="1760" w:type="dxa"/>
            <w:vAlign w:val="bottom"/>
          </w:tcPr>
          <w:p>
            <w:pPr>
              <w:jc w:val="right"/>
              <w:ind w:right="336"/>
              <w:spacing w:after="0"/>
              <w:rPr>
                <w:sz w:val="20"/>
                <w:szCs w:val="20"/>
                <w:color w:val="auto"/>
              </w:rPr>
            </w:pPr>
            <w:r>
              <w:rPr>
                <w:rFonts w:ascii="Arial" w:cs="Arial" w:eastAsia="Arial" w:hAnsi="Arial"/>
                <w:sz w:val="17"/>
                <w:szCs w:val="17"/>
                <w:b w:val="1"/>
                <w:bCs w:val="1"/>
                <w:color w:val="auto"/>
              </w:rPr>
              <w:t>5,245</w:t>
            </w:r>
          </w:p>
        </w:tc>
        <w:tc>
          <w:tcPr>
            <w:tcW w:w="920" w:type="dxa"/>
            <w:vAlign w:val="bottom"/>
          </w:tcPr>
          <w:p>
            <w:pPr>
              <w:jc w:val="right"/>
              <w:spacing w:after="0"/>
              <w:rPr>
                <w:sz w:val="20"/>
                <w:szCs w:val="20"/>
                <w:color w:val="auto"/>
              </w:rPr>
            </w:pPr>
            <w:r>
              <w:rPr>
                <w:rFonts w:ascii="Arial" w:cs="Arial" w:eastAsia="Arial" w:hAnsi="Arial"/>
                <w:sz w:val="17"/>
                <w:szCs w:val="17"/>
                <w:color w:val="auto"/>
              </w:rPr>
              <w:t>5,149</w:t>
            </w:r>
          </w:p>
        </w:tc>
      </w:tr>
      <w:tr>
        <w:trPr>
          <w:trHeight w:val="216"/>
        </w:trPr>
        <w:tc>
          <w:tcPr>
            <w:tcW w:w="1760" w:type="dxa"/>
            <w:vAlign w:val="bottom"/>
          </w:tcPr>
          <w:p>
            <w:pPr>
              <w:jc w:val="right"/>
              <w:ind w:right="336"/>
              <w:spacing w:after="0"/>
              <w:rPr>
                <w:sz w:val="20"/>
                <w:szCs w:val="20"/>
                <w:color w:val="auto"/>
              </w:rPr>
            </w:pPr>
            <w:r>
              <w:rPr>
                <w:rFonts w:ascii="Arial" w:cs="Arial" w:eastAsia="Arial" w:hAnsi="Arial"/>
                <w:sz w:val="17"/>
                <w:szCs w:val="17"/>
                <w:b w:val="1"/>
                <w:bCs w:val="1"/>
                <w:color w:val="auto"/>
              </w:rPr>
              <w:t>1,897</w:t>
            </w:r>
          </w:p>
        </w:tc>
        <w:tc>
          <w:tcPr>
            <w:tcW w:w="920" w:type="dxa"/>
            <w:vAlign w:val="bottom"/>
          </w:tcPr>
          <w:p>
            <w:pPr>
              <w:jc w:val="right"/>
              <w:spacing w:after="0"/>
              <w:rPr>
                <w:sz w:val="20"/>
                <w:szCs w:val="20"/>
                <w:color w:val="auto"/>
              </w:rPr>
            </w:pPr>
            <w:r>
              <w:rPr>
                <w:rFonts w:ascii="Arial" w:cs="Arial" w:eastAsia="Arial" w:hAnsi="Arial"/>
                <w:sz w:val="17"/>
                <w:szCs w:val="17"/>
                <w:color w:val="auto"/>
              </w:rPr>
              <w:t>1,880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-253365</wp:posOffset>
            </wp:positionV>
            <wp:extent cx="7256145" cy="1276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-3770630</wp:posOffset>
            </wp:positionH>
            <wp:positionV relativeFrom="paragraph">
              <wp:posOffset>-541020</wp:posOffset>
            </wp:positionV>
            <wp:extent cx="7256145" cy="159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6145" cy="159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$ 7,042</w:t>
      </w:r>
      <w:r>
        <w:rPr>
          <w:sz w:val="20"/>
          <w:szCs w:val="20"/>
          <w:color w:val="auto"/>
        </w:rPr>
        <w:tab/>
      </w:r>
      <w:r>
        <w:rPr>
          <w:rFonts w:ascii="Arial" w:cs="Arial" w:eastAsia="Arial" w:hAnsi="Arial"/>
          <w:sz w:val="14"/>
          <w:szCs w:val="14"/>
          <w:color w:val="auto"/>
        </w:rPr>
        <w:t>$ 7,034</w:t>
      </w:r>
    </w:p>
    <w:p>
      <w:pPr>
        <w:spacing w:after="0" w:line="22" w:lineRule="exact"/>
        <w:rPr>
          <w:sz w:val="20"/>
          <w:szCs w:val="20"/>
          <w:color w:val="auto"/>
        </w:rPr>
      </w:pPr>
    </w:p>
    <w:p>
      <w:pPr>
        <w:ind w:left="1280" w:hanging="1058"/>
        <w:spacing w:after="0"/>
        <w:tabs>
          <w:tab w:leader="none" w:pos="1280" w:val="left"/>
        </w:tabs>
        <w:numPr>
          <w:ilvl w:val="0"/>
          <w:numId w:val="14"/>
        </w:numPr>
        <w:rPr>
          <w:rFonts w:ascii="Arial" w:cs="Arial" w:eastAsia="Arial" w:hAnsi="Arial"/>
          <w:sz w:val="15"/>
          <w:szCs w:val="15"/>
          <w:b w:val="1"/>
          <w:bCs w:val="1"/>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18415</wp:posOffset>
            </wp:positionV>
            <wp:extent cx="150876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08760" cy="15875"/>
                    </a:xfrm>
                    <a:prstGeom prst="rect">
                      <a:avLst/>
                    </a:prstGeom>
                    <a:noFill/>
                  </pic:spPr>
                </pic:pic>
              </a:graphicData>
            </a:graphic>
          </wp:anchor>
        </w:drawing>
      </w:r>
    </w:p>
    <w:p>
      <w:pPr>
        <w:spacing w:after="0" w:line="18"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color w:val="auto"/>
        </w:rPr>
        <w:t>$ 7,019</w:t>
      </w:r>
      <w:r>
        <w:rPr>
          <w:sz w:val="20"/>
          <w:szCs w:val="20"/>
          <w:color w:val="auto"/>
        </w:rPr>
        <w:tab/>
      </w:r>
      <w:r>
        <w:rPr>
          <w:rFonts w:ascii="Arial" w:cs="Arial" w:eastAsia="Arial" w:hAnsi="Arial"/>
          <w:sz w:val="15"/>
          <w:szCs w:val="15"/>
          <w:color w:val="auto"/>
        </w:rPr>
        <w:t>$6,998</w:t>
      </w:r>
    </w:p>
    <w:p>
      <w:pPr>
        <w:spacing w:after="0" w:line="257"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5"/>
          <w:szCs w:val="15"/>
          <w:b w:val="1"/>
          <w:bCs w:val="1"/>
          <w:color w:val="auto"/>
        </w:rPr>
        <w:t>5,215</w:t>
      </w:r>
      <w:r>
        <w:rPr>
          <w:sz w:val="20"/>
          <w:szCs w:val="20"/>
          <w:color w:val="auto"/>
        </w:rPr>
        <w:tab/>
      </w:r>
      <w:r>
        <w:rPr>
          <w:rFonts w:ascii="Arial" w:cs="Arial" w:eastAsia="Arial" w:hAnsi="Arial"/>
          <w:sz w:val="15"/>
          <w:szCs w:val="15"/>
          <w:color w:val="auto"/>
        </w:rPr>
        <w:t>5,136</w:t>
      </w:r>
    </w:p>
    <w:p>
      <w:pPr>
        <w:spacing w:after="0" w:line="45"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5"/>
          <w:szCs w:val="15"/>
          <w:b w:val="1"/>
          <w:bCs w:val="1"/>
          <w:color w:val="auto"/>
        </w:rPr>
        <w:t>1,889</w:t>
      </w:r>
      <w:r>
        <w:rPr>
          <w:sz w:val="20"/>
          <w:szCs w:val="20"/>
          <w:color w:val="auto"/>
        </w:rPr>
        <w:tab/>
      </w:r>
      <w:r>
        <w:rPr>
          <w:rFonts w:ascii="Arial" w:cs="Arial" w:eastAsia="Arial" w:hAnsi="Arial"/>
          <w:sz w:val="15"/>
          <w:szCs w:val="15"/>
          <w:color w:val="auto"/>
        </w:rPr>
        <w:t>1,872</w:t>
      </w:r>
    </w:p>
    <w:p>
      <w:pPr>
        <w:spacing w:after="0" w:line="27" w:lineRule="exact"/>
        <w:rPr>
          <w:sz w:val="20"/>
          <w:szCs w:val="20"/>
          <w:color w:val="auto"/>
        </w:rPr>
      </w:pPr>
    </w:p>
    <w:p>
      <w:pPr>
        <w:sectPr>
          <w:pgSz w:w="11900" w:h="16838" w:orient="portrait"/>
          <w:cols w:equalWidth="0" w:num="3">
            <w:col w:w="5220" w:space="720"/>
            <w:col w:w="3060" w:space="720"/>
            <w:col w:w="1720"/>
          </w:cols>
          <w:pgMar w:left="240" w:top="877" w:right="21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940" w:type="dxa"/>
            <w:vAlign w:val="bottom"/>
            <w:tcBorders>
              <w:bottom w:val="single" w:sz="8" w:color="CCEEFF"/>
            </w:tcBorders>
            <w:gridSpan w:val="2"/>
            <w:shd w:val="clear" w:color="auto" w:fill="CCEEFF"/>
          </w:tcPr>
          <w:p>
            <w:pPr>
              <w:ind w:left="140"/>
              <w:spacing w:after="0" w:line="183" w:lineRule="exact"/>
              <w:rPr>
                <w:sz w:val="20"/>
                <w:szCs w:val="20"/>
                <w:color w:val="auto"/>
              </w:rPr>
            </w:pPr>
            <w:r>
              <w:rPr>
                <w:rFonts w:ascii="Arial" w:cs="Arial" w:eastAsia="Arial" w:hAnsi="Arial"/>
                <w:sz w:val="17"/>
                <w:szCs w:val="17"/>
                <w:color w:val="auto"/>
              </w:rPr>
              <w:t>Potential Common Stock relating  to stock options</w:t>
            </w:r>
          </w:p>
        </w:tc>
        <w:tc>
          <w:tcPr>
            <w:tcW w:w="9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56"/>
              <w:spacing w:after="0" w:line="183" w:lineRule="exact"/>
              <w:rPr>
                <w:sz w:val="20"/>
                <w:szCs w:val="20"/>
                <w:color w:val="auto"/>
              </w:rPr>
            </w:pPr>
            <w:r>
              <w:rPr>
                <w:rFonts w:ascii="Arial" w:cs="Arial" w:eastAsia="Arial" w:hAnsi="Arial"/>
                <w:sz w:val="17"/>
                <w:szCs w:val="17"/>
                <w:b w:val="1"/>
                <w:bCs w:val="1"/>
                <w:color w:val="auto"/>
              </w:rPr>
              <w:t>167</w:t>
            </w:r>
          </w:p>
        </w:tc>
        <w:tc>
          <w:tcPr>
            <w:tcW w:w="5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158</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16"/>
              <w:spacing w:after="0" w:line="183" w:lineRule="exact"/>
              <w:rPr>
                <w:sz w:val="20"/>
                <w:szCs w:val="20"/>
                <w:color w:val="auto"/>
              </w:rPr>
            </w:pPr>
            <w:r>
              <w:rPr>
                <w:rFonts w:ascii="Arial" w:cs="Arial" w:eastAsia="Arial" w:hAnsi="Arial"/>
                <w:sz w:val="17"/>
                <w:szCs w:val="17"/>
                <w:b w:val="1"/>
                <w:bCs w:val="1"/>
                <w:color w:val="auto"/>
              </w:rPr>
              <w:t>181</w:t>
            </w:r>
          </w:p>
        </w:tc>
        <w:tc>
          <w:tcPr>
            <w:tcW w:w="3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185</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91"/>
        </w:trPr>
        <w:tc>
          <w:tcPr>
            <w:tcW w:w="5940" w:type="dxa"/>
            <w:vAlign w:val="bottom"/>
            <w:gridSpan w:val="2"/>
          </w:tcPr>
          <w:p>
            <w:pPr>
              <w:ind w:left="140"/>
              <w:spacing w:after="0" w:line="181" w:lineRule="exact"/>
              <w:rPr>
                <w:sz w:val="20"/>
                <w:szCs w:val="20"/>
                <w:color w:val="auto"/>
              </w:rPr>
            </w:pPr>
            <w:r>
              <w:rPr>
                <w:rFonts w:ascii="Arial" w:cs="Arial" w:eastAsia="Arial" w:hAnsi="Arial"/>
                <w:sz w:val="17"/>
                <w:szCs w:val="17"/>
                <w:color w:val="auto"/>
              </w:rPr>
              <w:t>Average shares outstanding – Assuming dilution</w:t>
            </w:r>
          </w:p>
        </w:tc>
        <w:tc>
          <w:tcPr>
            <w:tcW w:w="960" w:type="dxa"/>
            <w:vAlign w:val="bottom"/>
          </w:tcPr>
          <w:p>
            <w:pPr>
              <w:spacing w:after="0"/>
              <w:rPr>
                <w:sz w:val="16"/>
                <w:szCs w:val="16"/>
                <w:color w:val="auto"/>
              </w:rPr>
            </w:pPr>
          </w:p>
        </w:tc>
        <w:tc>
          <w:tcPr>
            <w:tcW w:w="820" w:type="dxa"/>
            <w:vAlign w:val="bottom"/>
          </w:tcPr>
          <w:p>
            <w:pPr>
              <w:jc w:val="right"/>
              <w:ind w:right="356"/>
              <w:spacing w:after="0" w:line="181" w:lineRule="exact"/>
              <w:rPr>
                <w:sz w:val="20"/>
                <w:szCs w:val="20"/>
                <w:color w:val="auto"/>
              </w:rPr>
            </w:pPr>
            <w:r>
              <w:rPr>
                <w:rFonts w:ascii="Arial" w:cs="Arial" w:eastAsia="Arial" w:hAnsi="Arial"/>
                <w:sz w:val="17"/>
                <w:szCs w:val="17"/>
                <w:b w:val="1"/>
                <w:bCs w:val="1"/>
                <w:color w:val="auto"/>
                <w:w w:val="84"/>
              </w:rPr>
              <w:t>7,309</w:t>
            </w:r>
          </w:p>
        </w:tc>
        <w:tc>
          <w:tcPr>
            <w:tcW w:w="520" w:type="dxa"/>
            <w:vAlign w:val="bottom"/>
          </w:tcPr>
          <w:p>
            <w:pPr>
              <w:spacing w:after="0"/>
              <w:rPr>
                <w:sz w:val="16"/>
                <w:szCs w:val="16"/>
                <w:color w:val="auto"/>
              </w:rPr>
            </w:pPr>
          </w:p>
        </w:tc>
        <w:tc>
          <w:tcPr>
            <w:tcW w:w="660" w:type="dxa"/>
            <w:vAlign w:val="bottom"/>
            <w:gridSpan w:val="2"/>
          </w:tcPr>
          <w:p>
            <w:pPr>
              <w:jc w:val="right"/>
              <w:ind w:right="280"/>
              <w:spacing w:after="0" w:line="181" w:lineRule="exact"/>
              <w:rPr>
                <w:sz w:val="20"/>
                <w:szCs w:val="20"/>
                <w:color w:val="auto"/>
              </w:rPr>
            </w:pPr>
            <w:r>
              <w:rPr>
                <w:rFonts w:ascii="Arial" w:cs="Arial" w:eastAsia="Arial" w:hAnsi="Arial"/>
                <w:sz w:val="17"/>
                <w:szCs w:val="17"/>
                <w:color w:val="auto"/>
                <w:w w:val="84"/>
              </w:rPr>
              <w:t>7,187</w:t>
            </w:r>
          </w:p>
        </w:tc>
        <w:tc>
          <w:tcPr>
            <w:tcW w:w="940" w:type="dxa"/>
            <w:vAlign w:val="bottom"/>
          </w:tcPr>
          <w:p>
            <w:pPr>
              <w:spacing w:after="0"/>
              <w:rPr>
                <w:sz w:val="16"/>
                <w:szCs w:val="16"/>
                <w:color w:val="auto"/>
              </w:rPr>
            </w:pPr>
          </w:p>
        </w:tc>
        <w:tc>
          <w:tcPr>
            <w:tcW w:w="680" w:type="dxa"/>
            <w:vAlign w:val="bottom"/>
          </w:tcPr>
          <w:p>
            <w:pPr>
              <w:jc w:val="right"/>
              <w:ind w:right="216"/>
              <w:spacing w:after="0" w:line="181" w:lineRule="exact"/>
              <w:rPr>
                <w:sz w:val="20"/>
                <w:szCs w:val="20"/>
                <w:color w:val="auto"/>
              </w:rPr>
            </w:pPr>
            <w:r>
              <w:rPr>
                <w:rFonts w:ascii="Arial" w:cs="Arial" w:eastAsia="Arial" w:hAnsi="Arial"/>
                <w:sz w:val="17"/>
                <w:szCs w:val="17"/>
                <w:b w:val="1"/>
                <w:bCs w:val="1"/>
                <w:color w:val="auto"/>
                <w:w w:val="84"/>
              </w:rPr>
              <w:t>7,285</w:t>
            </w:r>
          </w:p>
        </w:tc>
        <w:tc>
          <w:tcPr>
            <w:tcW w:w="380" w:type="dxa"/>
            <w:vAlign w:val="bottom"/>
          </w:tcPr>
          <w:p>
            <w:pPr>
              <w:spacing w:after="0"/>
              <w:rPr>
                <w:sz w:val="16"/>
                <w:szCs w:val="16"/>
                <w:color w:val="auto"/>
              </w:rPr>
            </w:pPr>
          </w:p>
        </w:tc>
        <w:tc>
          <w:tcPr>
            <w:tcW w:w="520" w:type="dxa"/>
            <w:vAlign w:val="bottom"/>
            <w:gridSpan w:val="2"/>
          </w:tcPr>
          <w:p>
            <w:pPr>
              <w:jc w:val="right"/>
              <w:ind w:right="140"/>
              <w:spacing w:after="0" w:line="181" w:lineRule="exact"/>
              <w:rPr>
                <w:sz w:val="20"/>
                <w:szCs w:val="20"/>
                <w:color w:val="auto"/>
              </w:rPr>
            </w:pPr>
            <w:r>
              <w:rPr>
                <w:rFonts w:ascii="Arial" w:cs="Arial" w:eastAsia="Arial" w:hAnsi="Arial"/>
                <w:sz w:val="17"/>
                <w:szCs w:val="17"/>
                <w:color w:val="auto"/>
                <w:w w:val="84"/>
              </w:rPr>
              <w:t>7,193</w:t>
            </w:r>
          </w:p>
        </w:tc>
        <w:tc>
          <w:tcPr>
            <w:tcW w:w="20" w:type="dxa"/>
            <w:vAlign w:val="bottom"/>
          </w:tcPr>
          <w:p>
            <w:pPr>
              <w:spacing w:after="0"/>
              <w:rPr>
                <w:sz w:val="16"/>
                <w:szCs w:val="16"/>
                <w:color w:val="auto"/>
              </w:rPr>
            </w:pPr>
          </w:p>
        </w:tc>
      </w:tr>
      <w:tr>
        <w:trPr>
          <w:trHeight w:val="20"/>
        </w:trPr>
        <w:tc>
          <w:tcPr>
            <w:tcW w:w="17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1740" w:type="dxa"/>
            <w:vAlign w:val="bottom"/>
            <w:tcBorders>
              <w:bottom w:val="single" w:sz="8" w:color="CCEEFF"/>
            </w:tcBorders>
            <w:shd w:val="clear" w:color="auto" w:fill="CCEEFF"/>
          </w:tcPr>
          <w:p>
            <w:pPr>
              <w:ind w:left="140"/>
              <w:spacing w:after="0" w:line="181" w:lineRule="exact"/>
              <w:rPr>
                <w:sz w:val="20"/>
                <w:szCs w:val="20"/>
                <w:color w:val="auto"/>
              </w:rPr>
            </w:pPr>
            <w:r>
              <w:rPr>
                <w:rFonts w:ascii="Arial" w:cs="Arial" w:eastAsia="Arial" w:hAnsi="Arial"/>
                <w:sz w:val="17"/>
                <w:szCs w:val="17"/>
                <w:color w:val="auto"/>
                <w:w w:val="91"/>
              </w:rPr>
              <w:t>Net Income Per Share:</w:t>
            </w:r>
          </w:p>
        </w:tc>
        <w:tc>
          <w:tcPr>
            <w:tcW w:w="4200" w:type="dxa"/>
            <w:vAlign w:val="bottom"/>
            <w:tcBorders>
              <w:bottom w:val="single" w:sz="8" w:color="CCEEFF"/>
            </w:tcBorders>
            <w:shd w:val="clear" w:color="auto" w:fill="CCEEFF"/>
          </w:tcPr>
          <w:p>
            <w:pPr>
              <w:ind w:left="80"/>
              <w:spacing w:after="0" w:line="181" w:lineRule="exact"/>
              <w:rPr>
                <w:sz w:val="20"/>
                <w:szCs w:val="20"/>
                <w:color w:val="auto"/>
              </w:rPr>
            </w:pPr>
            <w:r>
              <w:rPr>
                <w:rFonts w:ascii="Arial" w:cs="Arial" w:eastAsia="Arial" w:hAnsi="Arial"/>
                <w:sz w:val="17"/>
                <w:szCs w:val="17"/>
                <w:color w:val="auto"/>
              </w:rPr>
              <w:t>Basic Common</w:t>
            </w: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ind w:right="356"/>
              <w:spacing w:after="0" w:line="181" w:lineRule="exact"/>
              <w:rPr>
                <w:sz w:val="20"/>
                <w:szCs w:val="20"/>
                <w:color w:val="auto"/>
              </w:rPr>
            </w:pPr>
            <w:r>
              <w:rPr>
                <w:rFonts w:ascii="Arial" w:cs="Arial" w:eastAsia="Arial" w:hAnsi="Arial"/>
                <w:sz w:val="17"/>
                <w:szCs w:val="17"/>
                <w:b w:val="1"/>
                <w:bCs w:val="1"/>
                <w:color w:val="auto"/>
              </w:rPr>
              <w:t>0.39</w:t>
            </w:r>
          </w:p>
        </w:tc>
        <w:tc>
          <w:tcPr>
            <w:tcW w:w="5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0.37</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shd w:val="clear" w:color="auto" w:fill="CCEEFF"/>
          </w:tcPr>
          <w:p>
            <w:pPr>
              <w:jc w:val="right"/>
              <w:ind w:right="216"/>
              <w:spacing w:after="0" w:line="181" w:lineRule="exact"/>
              <w:rPr>
                <w:sz w:val="20"/>
                <w:szCs w:val="20"/>
                <w:color w:val="auto"/>
              </w:rPr>
            </w:pPr>
            <w:r>
              <w:rPr>
                <w:rFonts w:ascii="Arial" w:cs="Arial" w:eastAsia="Arial" w:hAnsi="Arial"/>
                <w:sz w:val="17"/>
                <w:szCs w:val="17"/>
                <w:b w:val="1"/>
                <w:bCs w:val="1"/>
                <w:color w:val="auto"/>
              </w:rPr>
              <w:t>1.06</w:t>
            </w:r>
          </w:p>
        </w:tc>
        <w:tc>
          <w:tcPr>
            <w:tcW w:w="3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1.07</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740" w:type="dxa"/>
            <w:vAlign w:val="bottom"/>
          </w:tcPr>
          <w:p>
            <w:pPr>
              <w:ind w:left="140"/>
              <w:spacing w:after="0" w:line="181" w:lineRule="exact"/>
              <w:rPr>
                <w:sz w:val="20"/>
                <w:szCs w:val="20"/>
                <w:color w:val="auto"/>
              </w:rPr>
            </w:pPr>
            <w:r>
              <w:rPr>
                <w:rFonts w:ascii="Arial" w:cs="Arial" w:eastAsia="Arial" w:hAnsi="Arial"/>
                <w:sz w:val="17"/>
                <w:szCs w:val="17"/>
                <w:color w:val="auto"/>
                <w:w w:val="91"/>
              </w:rPr>
              <w:t>Net Income Per Share:</w:t>
            </w:r>
          </w:p>
        </w:tc>
        <w:tc>
          <w:tcPr>
            <w:tcW w:w="4200" w:type="dxa"/>
            <w:vAlign w:val="bottom"/>
          </w:tcPr>
          <w:p>
            <w:pPr>
              <w:ind w:left="80"/>
              <w:spacing w:after="0" w:line="181" w:lineRule="exact"/>
              <w:rPr>
                <w:sz w:val="20"/>
                <w:szCs w:val="20"/>
                <w:color w:val="auto"/>
              </w:rPr>
            </w:pPr>
            <w:r>
              <w:rPr>
                <w:rFonts w:ascii="Arial" w:cs="Arial" w:eastAsia="Arial" w:hAnsi="Arial"/>
                <w:sz w:val="17"/>
                <w:szCs w:val="17"/>
                <w:color w:val="auto"/>
              </w:rPr>
              <w:t>Basic Class B Common</w:t>
            </w:r>
          </w:p>
        </w:tc>
        <w:tc>
          <w:tcPr>
            <w:tcW w:w="960" w:type="dxa"/>
            <w:vAlign w:val="bottom"/>
          </w:tcPr>
          <w:p>
            <w:pPr>
              <w:jc w:val="right"/>
              <w:spacing w:after="0" w:line="181" w:lineRule="exact"/>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356"/>
              <w:spacing w:after="0" w:line="181" w:lineRule="exact"/>
              <w:rPr>
                <w:sz w:val="20"/>
                <w:szCs w:val="20"/>
                <w:color w:val="auto"/>
              </w:rPr>
            </w:pPr>
            <w:r>
              <w:rPr>
                <w:rFonts w:ascii="Arial" w:cs="Arial" w:eastAsia="Arial" w:hAnsi="Arial"/>
                <w:sz w:val="17"/>
                <w:szCs w:val="17"/>
                <w:b w:val="1"/>
                <w:bCs w:val="1"/>
                <w:color w:val="auto"/>
              </w:rPr>
              <w:t>0.29</w:t>
            </w:r>
          </w:p>
        </w:tc>
        <w:tc>
          <w:tcPr>
            <w:tcW w:w="52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80"/>
              <w:spacing w:after="0" w:line="181" w:lineRule="exact"/>
              <w:rPr>
                <w:sz w:val="20"/>
                <w:szCs w:val="20"/>
                <w:color w:val="auto"/>
              </w:rPr>
            </w:pPr>
            <w:r>
              <w:rPr>
                <w:rFonts w:ascii="Arial" w:cs="Arial" w:eastAsia="Arial" w:hAnsi="Arial"/>
                <w:sz w:val="17"/>
                <w:szCs w:val="17"/>
                <w:color w:val="auto"/>
              </w:rPr>
              <w:t>0.27</w:t>
            </w:r>
          </w:p>
        </w:tc>
        <w:tc>
          <w:tcPr>
            <w:tcW w:w="940" w:type="dxa"/>
            <w:vAlign w:val="bottom"/>
          </w:tcPr>
          <w:p>
            <w:pPr>
              <w:jc w:val="right"/>
              <w:spacing w:after="0" w:line="181" w:lineRule="exact"/>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216"/>
              <w:spacing w:after="0" w:line="181" w:lineRule="exact"/>
              <w:rPr>
                <w:sz w:val="20"/>
                <w:szCs w:val="20"/>
                <w:color w:val="auto"/>
              </w:rPr>
            </w:pPr>
            <w:r>
              <w:rPr>
                <w:rFonts w:ascii="Arial" w:cs="Arial" w:eastAsia="Arial" w:hAnsi="Arial"/>
                <w:sz w:val="17"/>
                <w:szCs w:val="17"/>
                <w:b w:val="1"/>
                <w:bCs w:val="1"/>
                <w:color w:val="auto"/>
              </w:rPr>
              <w:t>0.80</w:t>
            </w:r>
          </w:p>
        </w:tc>
        <w:tc>
          <w:tcPr>
            <w:tcW w:w="38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40"/>
              <w:spacing w:after="0" w:line="181" w:lineRule="exact"/>
              <w:rPr>
                <w:sz w:val="20"/>
                <w:szCs w:val="20"/>
                <w:color w:val="auto"/>
              </w:rPr>
            </w:pPr>
            <w:r>
              <w:rPr>
                <w:rFonts w:ascii="Arial" w:cs="Arial" w:eastAsia="Arial" w:hAnsi="Arial"/>
                <w:sz w:val="17"/>
                <w:szCs w:val="17"/>
                <w:color w:val="auto"/>
              </w:rPr>
              <w:t>0.80</w:t>
            </w:r>
          </w:p>
        </w:tc>
        <w:tc>
          <w:tcPr>
            <w:tcW w:w="20" w:type="dxa"/>
            <w:vAlign w:val="bottom"/>
          </w:tcPr>
          <w:p>
            <w:pPr>
              <w:spacing w:after="0"/>
              <w:rPr>
                <w:sz w:val="16"/>
                <w:szCs w:val="16"/>
                <w:color w:val="auto"/>
              </w:rPr>
            </w:pPr>
          </w:p>
        </w:tc>
      </w:tr>
      <w:tr>
        <w:trPr>
          <w:trHeight w:val="20"/>
        </w:trPr>
        <w:tc>
          <w:tcPr>
            <w:tcW w:w="17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1740" w:type="dxa"/>
            <w:vAlign w:val="bottom"/>
            <w:shd w:val="clear" w:color="auto" w:fill="CCEEFF"/>
          </w:tcPr>
          <w:p>
            <w:pPr>
              <w:ind w:left="140"/>
              <w:spacing w:after="0" w:line="181" w:lineRule="exact"/>
              <w:rPr>
                <w:sz w:val="20"/>
                <w:szCs w:val="20"/>
                <w:color w:val="auto"/>
              </w:rPr>
            </w:pPr>
            <w:r>
              <w:rPr>
                <w:rFonts w:ascii="Arial" w:cs="Arial" w:eastAsia="Arial" w:hAnsi="Arial"/>
                <w:sz w:val="17"/>
                <w:szCs w:val="17"/>
                <w:color w:val="auto"/>
                <w:w w:val="91"/>
              </w:rPr>
              <w:t>Net Income Per Share:</w:t>
            </w:r>
          </w:p>
        </w:tc>
        <w:tc>
          <w:tcPr>
            <w:tcW w:w="4200" w:type="dxa"/>
            <w:vAlign w:val="bottom"/>
            <w:shd w:val="clear" w:color="auto" w:fill="CCEEFF"/>
          </w:tcPr>
          <w:p>
            <w:pPr>
              <w:ind w:left="80"/>
              <w:spacing w:after="0" w:line="181" w:lineRule="exact"/>
              <w:rPr>
                <w:sz w:val="20"/>
                <w:szCs w:val="20"/>
                <w:color w:val="auto"/>
              </w:rPr>
            </w:pPr>
            <w:r>
              <w:rPr>
                <w:rFonts w:ascii="Arial" w:cs="Arial" w:eastAsia="Arial" w:hAnsi="Arial"/>
                <w:sz w:val="17"/>
                <w:szCs w:val="17"/>
                <w:color w:val="auto"/>
              </w:rPr>
              <w:t>Diluted</w:t>
            </w: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ind w:right="356"/>
              <w:spacing w:after="0" w:line="181" w:lineRule="exact"/>
              <w:rPr>
                <w:sz w:val="20"/>
                <w:szCs w:val="20"/>
                <w:color w:val="auto"/>
              </w:rPr>
            </w:pPr>
            <w:r>
              <w:rPr>
                <w:rFonts w:ascii="Arial" w:cs="Arial" w:eastAsia="Arial" w:hAnsi="Arial"/>
                <w:sz w:val="17"/>
                <w:szCs w:val="17"/>
                <w:b w:val="1"/>
                <w:bCs w:val="1"/>
                <w:color w:val="auto"/>
              </w:rPr>
              <w:t>0.35</w:t>
            </w: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80"/>
              <w:spacing w:after="0" w:line="181" w:lineRule="exact"/>
              <w:rPr>
                <w:sz w:val="20"/>
                <w:szCs w:val="20"/>
                <w:color w:val="auto"/>
              </w:rPr>
            </w:pPr>
            <w:r>
              <w:rPr>
                <w:rFonts w:ascii="Arial" w:cs="Arial" w:eastAsia="Arial" w:hAnsi="Arial"/>
                <w:sz w:val="17"/>
                <w:szCs w:val="17"/>
                <w:color w:val="auto"/>
              </w:rPr>
              <w:t>0.33</w:t>
            </w:r>
          </w:p>
        </w:tc>
        <w:tc>
          <w:tcPr>
            <w:tcW w:w="94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216"/>
              <w:spacing w:after="0" w:line="181" w:lineRule="exact"/>
              <w:rPr>
                <w:sz w:val="20"/>
                <w:szCs w:val="20"/>
                <w:color w:val="auto"/>
              </w:rPr>
            </w:pPr>
            <w:r>
              <w:rPr>
                <w:rFonts w:ascii="Arial" w:cs="Arial" w:eastAsia="Arial" w:hAnsi="Arial"/>
                <w:sz w:val="17"/>
                <w:szCs w:val="17"/>
                <w:b w:val="1"/>
                <w:bCs w:val="1"/>
                <w:color w:val="auto"/>
              </w:rPr>
              <w:t>0.96</w:t>
            </w:r>
          </w:p>
        </w:tc>
        <w:tc>
          <w:tcPr>
            <w:tcW w:w="3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7"/>
                <w:szCs w:val="17"/>
                <w:color w:val="auto"/>
              </w:rPr>
              <w:t>0.97</w:t>
            </w:r>
          </w:p>
        </w:tc>
        <w:tc>
          <w:tcPr>
            <w:tcW w:w="20" w:type="dxa"/>
            <w:vAlign w:val="bottom"/>
          </w:tcPr>
          <w:p>
            <w:pPr>
              <w:spacing w:after="0"/>
              <w:rPr>
                <w:sz w:val="20"/>
                <w:szCs w:val="20"/>
                <w:color w:val="auto"/>
              </w:rPr>
            </w:pPr>
          </w:p>
        </w:tc>
      </w:tr>
      <w:tr>
        <w:trPr>
          <w:trHeight w:val="1457"/>
        </w:trPr>
        <w:tc>
          <w:tcPr>
            <w:tcW w:w="1740" w:type="dxa"/>
            <w:vAlign w:val="bottom"/>
            <w:tcBorders>
              <w:top w:val="single" w:sz="8" w:color="CCEEFF"/>
            </w:tcBorders>
          </w:tcPr>
          <w:p>
            <w:pPr>
              <w:spacing w:after="0"/>
              <w:rPr>
                <w:sz w:val="24"/>
                <w:szCs w:val="24"/>
                <w:color w:val="auto"/>
              </w:rPr>
            </w:pPr>
          </w:p>
        </w:tc>
        <w:tc>
          <w:tcPr>
            <w:tcW w:w="420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67"/>
        </w:trPr>
        <w:tc>
          <w:tcPr>
            <w:tcW w:w="1740" w:type="dxa"/>
            <w:vAlign w:val="bottom"/>
            <w:shd w:val="clear" w:color="auto" w:fill="808080"/>
          </w:tcPr>
          <w:p>
            <w:pPr>
              <w:spacing w:after="0"/>
              <w:rPr>
                <w:sz w:val="5"/>
                <w:szCs w:val="5"/>
                <w:color w:val="auto"/>
              </w:rPr>
            </w:pPr>
          </w:p>
        </w:tc>
        <w:tc>
          <w:tcPr>
            <w:tcW w:w="4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40"/>
          </w:cols>
          <w:pgMar w:left="240" w:top="877" w:right="21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150495</wp:posOffset>
            </wp:positionH>
            <wp:positionV relativeFrom="page">
              <wp:posOffset>190500</wp:posOffset>
            </wp:positionV>
            <wp:extent cx="726059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0590" cy="36830"/>
                    </a:xfrm>
                    <a:prstGeom prst="rect">
                      <a:avLst/>
                    </a:prstGeom>
                    <a:noFill/>
                  </pic:spPr>
                </pic:pic>
              </a:graphicData>
            </a:graphic>
          </wp:anchor>
        </w:drawing>
        <w:t>Exhibit 31: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RULE 13A -14(A) UNDER THE SECURITIES EXCHANGE ACT OF 1934, AS AMENDED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20" w:lineRule="exact"/>
        <w:rPr>
          <w:sz w:val="20"/>
          <w:szCs w:val="20"/>
          <w:color w:val="auto"/>
        </w:rPr>
      </w:pPr>
    </w:p>
    <w:p>
      <w:pPr>
        <w:ind w:left="780" w:hanging="478"/>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Daniel S. Jaffee, certify that:</w:t>
      </w:r>
    </w:p>
    <w:p>
      <w:pPr>
        <w:spacing w:after="0" w:line="231" w:lineRule="exact"/>
        <w:rPr>
          <w:rFonts w:ascii="Arial" w:cs="Arial" w:eastAsia="Arial" w:hAnsi="Arial"/>
          <w:sz w:val="17"/>
          <w:szCs w:val="17"/>
          <w:color w:val="auto"/>
        </w:rPr>
      </w:pPr>
    </w:p>
    <w:p>
      <w:pPr>
        <w:ind w:left="1200" w:hanging="445"/>
        <w:spacing w:after="0"/>
        <w:tabs>
          <w:tab w:leader="none" w:pos="12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Oil-Dri Corporation of America (the “registrant”);</w:t>
      </w:r>
    </w:p>
    <w:p>
      <w:pPr>
        <w:spacing w:after="0" w:line="231" w:lineRule="exact"/>
        <w:rPr>
          <w:rFonts w:ascii="Arial" w:cs="Arial" w:eastAsia="Arial" w:hAnsi="Arial"/>
          <w:sz w:val="17"/>
          <w:szCs w:val="17"/>
          <w:color w:val="auto"/>
        </w:rPr>
      </w:pPr>
    </w:p>
    <w:p>
      <w:pPr>
        <w:jc w:val="both"/>
        <w:ind w:left="1200" w:hanging="445"/>
        <w:spacing w:after="0" w:line="336" w:lineRule="auto"/>
        <w:tabs>
          <w:tab w:leader="none" w:pos="12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5"/>
          <w:szCs w:val="15"/>
          <w:color w:val="auto"/>
        </w:rPr>
      </w:pPr>
    </w:p>
    <w:p>
      <w:pPr>
        <w:ind w:left="1200" w:hanging="445"/>
        <w:spacing w:after="0" w:line="268" w:lineRule="auto"/>
        <w:tabs>
          <w:tab w:leader="none" w:pos="12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jc w:val="both"/>
        <w:ind w:left="1200" w:hanging="445"/>
        <w:spacing w:after="0" w:line="257" w:lineRule="auto"/>
        <w:tabs>
          <w:tab w:leader="none" w:pos="12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jc w:val="both"/>
        <w:ind w:left="1660" w:hanging="200"/>
        <w:spacing w:after="0" w:line="257" w:lineRule="auto"/>
        <w:tabs>
          <w:tab w:leader="none" w:pos="1660" w:val="left"/>
        </w:tabs>
        <w:numPr>
          <w:ilvl w:val="3"/>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660" w:hanging="209"/>
        <w:spacing w:after="0" w:line="257" w:lineRule="auto"/>
        <w:tabs>
          <w:tab w:leader="none" w:pos="1660" w:val="left"/>
        </w:tabs>
        <w:numPr>
          <w:ilvl w:val="3"/>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660" w:hanging="200"/>
        <w:spacing w:after="0" w:line="300" w:lineRule="auto"/>
        <w:tabs>
          <w:tab w:leader="none" w:pos="1660" w:val="left"/>
        </w:tabs>
        <w:numPr>
          <w:ilvl w:val="3"/>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1660" w:hanging="209"/>
        <w:spacing w:after="0" w:line="257" w:lineRule="auto"/>
        <w:tabs>
          <w:tab w:leader="none" w:pos="1660" w:val="left"/>
        </w:tabs>
        <w:numPr>
          <w:ilvl w:val="3"/>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1200" w:hanging="445"/>
        <w:spacing w:after="0" w:line="300" w:lineRule="auto"/>
        <w:tabs>
          <w:tab w:leader="none" w:pos="12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6"/>
          <w:szCs w:val="16"/>
          <w:color w:val="auto"/>
        </w:rPr>
      </w:pPr>
    </w:p>
    <w:p>
      <w:pPr>
        <w:ind w:left="1500" w:hanging="293"/>
        <w:spacing w:after="0" w:line="268" w:lineRule="auto"/>
        <w:tabs>
          <w:tab w:leader="none" w:pos="1500" w:val="left"/>
        </w:tabs>
        <w:numPr>
          <w:ilvl w:val="2"/>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7"/>
          <w:szCs w:val="17"/>
          <w:color w:val="auto"/>
        </w:rPr>
      </w:pPr>
    </w:p>
    <w:p>
      <w:pPr>
        <w:ind w:left="1500" w:hanging="293"/>
        <w:spacing w:after="0" w:line="268" w:lineRule="auto"/>
        <w:tabs>
          <w:tab w:leader="none" w:pos="1500" w:val="left"/>
        </w:tabs>
        <w:numPr>
          <w:ilvl w:val="2"/>
          <w:numId w:val="1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June 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11430</wp:posOffset>
            </wp:positionV>
            <wp:extent cx="152463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24635" cy="15875"/>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-12065</wp:posOffset>
            </wp:positionV>
            <wp:extent cx="26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11430</wp:posOffset>
            </wp:positionV>
            <wp:extent cx="152463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24635" cy="1587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Daniel S. Jaffee</w:t>
      </w:r>
    </w:p>
    <w:p>
      <w:pPr>
        <w:spacing w:after="0" w:line="1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726059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Exhibit 31 (continued):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20" w:lineRule="exact"/>
        <w:rPr>
          <w:sz w:val="20"/>
          <w:szCs w:val="20"/>
          <w:color w:val="auto"/>
        </w:rPr>
      </w:pPr>
    </w:p>
    <w:p>
      <w:pPr>
        <w:ind w:left="780" w:hanging="478"/>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Andrew N. Peterson, certify that:</w:t>
      </w:r>
    </w:p>
    <w:p>
      <w:pPr>
        <w:spacing w:after="0" w:line="231" w:lineRule="exact"/>
        <w:rPr>
          <w:rFonts w:ascii="Arial" w:cs="Arial" w:eastAsia="Arial" w:hAnsi="Arial"/>
          <w:sz w:val="17"/>
          <w:szCs w:val="17"/>
          <w:color w:val="auto"/>
        </w:rPr>
      </w:pPr>
    </w:p>
    <w:p>
      <w:pPr>
        <w:ind w:left="1200" w:hanging="445"/>
        <w:spacing w:after="0"/>
        <w:tabs>
          <w:tab w:leader="none" w:pos="12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Oil-Dri Corporation of America (the “registrant”);</w:t>
      </w:r>
    </w:p>
    <w:p>
      <w:pPr>
        <w:spacing w:after="0" w:line="231" w:lineRule="exact"/>
        <w:rPr>
          <w:rFonts w:ascii="Arial" w:cs="Arial" w:eastAsia="Arial" w:hAnsi="Arial"/>
          <w:sz w:val="17"/>
          <w:szCs w:val="17"/>
          <w:color w:val="auto"/>
        </w:rPr>
      </w:pPr>
    </w:p>
    <w:p>
      <w:pPr>
        <w:jc w:val="both"/>
        <w:ind w:left="1200" w:hanging="445"/>
        <w:spacing w:after="0" w:line="336" w:lineRule="auto"/>
        <w:tabs>
          <w:tab w:leader="none" w:pos="1200" w:val="left"/>
        </w:tabs>
        <w:numPr>
          <w:ilvl w:val="1"/>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5"/>
          <w:szCs w:val="15"/>
          <w:color w:val="auto"/>
        </w:rPr>
      </w:pPr>
    </w:p>
    <w:p>
      <w:pPr>
        <w:ind w:left="1200" w:hanging="445"/>
        <w:spacing w:after="0" w:line="268" w:lineRule="auto"/>
        <w:tabs>
          <w:tab w:leader="none" w:pos="12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jc w:val="both"/>
        <w:ind w:left="1200" w:hanging="445"/>
        <w:spacing w:after="0" w:line="257" w:lineRule="auto"/>
        <w:tabs>
          <w:tab w:leader="none" w:pos="12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jc w:val="both"/>
        <w:ind w:left="1500" w:hanging="191"/>
        <w:spacing w:after="0" w:line="257" w:lineRule="auto"/>
        <w:tabs>
          <w:tab w:leader="none" w:pos="1500" w:val="left"/>
        </w:tabs>
        <w:numPr>
          <w:ilvl w:val="3"/>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500" w:hanging="200"/>
        <w:spacing w:after="0" w:line="257" w:lineRule="auto"/>
        <w:tabs>
          <w:tab w:leader="none" w:pos="1500" w:val="left"/>
        </w:tabs>
        <w:numPr>
          <w:ilvl w:val="3"/>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500" w:hanging="191"/>
        <w:spacing w:after="0" w:line="300" w:lineRule="auto"/>
        <w:tabs>
          <w:tab w:leader="none" w:pos="1500" w:val="left"/>
        </w:tabs>
        <w:numPr>
          <w:ilvl w:val="3"/>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1500" w:hanging="200"/>
        <w:spacing w:after="0" w:line="257" w:lineRule="auto"/>
        <w:tabs>
          <w:tab w:leader="none" w:pos="1500" w:val="left"/>
        </w:tabs>
        <w:numPr>
          <w:ilvl w:val="3"/>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1200" w:hanging="445"/>
        <w:spacing w:after="0" w:line="300" w:lineRule="auto"/>
        <w:tabs>
          <w:tab w:leader="none" w:pos="12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6"/>
          <w:szCs w:val="16"/>
          <w:color w:val="auto"/>
        </w:rPr>
      </w:pPr>
    </w:p>
    <w:p>
      <w:pPr>
        <w:ind w:left="1500" w:hanging="293"/>
        <w:spacing w:after="0" w:line="268" w:lineRule="auto"/>
        <w:tabs>
          <w:tab w:leader="none" w:pos="1500" w:val="left"/>
        </w:tabs>
        <w:numPr>
          <w:ilvl w:val="2"/>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7"/>
          <w:szCs w:val="17"/>
          <w:color w:val="auto"/>
        </w:rPr>
      </w:pPr>
    </w:p>
    <w:p>
      <w:pPr>
        <w:ind w:left="1500" w:hanging="293"/>
        <w:spacing w:after="0" w:line="268" w:lineRule="auto"/>
        <w:tabs>
          <w:tab w:leader="none" w:pos="1500" w:val="left"/>
        </w:tabs>
        <w:numPr>
          <w:ilvl w:val="2"/>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June 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11430</wp:posOffset>
            </wp:positionV>
            <wp:extent cx="152463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24635" cy="15875"/>
                    </a:xfrm>
                    <a:prstGeom prst="rect">
                      <a:avLst/>
                    </a:prstGeom>
                    <a:noFill/>
                  </pic:spPr>
                </pic:pic>
              </a:graphicData>
            </a:graphic>
          </wp:anchor>
        </w:drawing>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Andrew 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11430</wp:posOffset>
            </wp:positionV>
            <wp:extent cx="152463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24635" cy="15875"/>
                    </a:xfrm>
                    <a:prstGeom prst="rect">
                      <a:avLst/>
                    </a:prstGeom>
                    <a:noFill/>
                  </pic:spPr>
                </pic:pic>
              </a:graphicData>
            </a:graphic>
          </wp:anchor>
        </w:drawing>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Andrew N. Peterson</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72605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0590" cy="42545"/>
                    </a:xfrm>
                    <a:prstGeom prst="rect">
                      <a:avLst/>
                    </a:prstGeom>
                    <a:noFill/>
                  </pic:spPr>
                </pic:pic>
              </a:graphicData>
            </a:graphic>
          </wp:anchor>
        </w:drawing>
      </w:r>
    </w:p>
    <w:p>
      <w:pPr>
        <w:sectPr>
          <w:pgSz w:w="11900" w:h="16838" w:orient="portrait"/>
          <w:cols w:equalWidth="0" w:num="1">
            <w:col w:w="11420"/>
          </w:cols>
          <w:pgMar w:left="240" w:top="953"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150495</wp:posOffset>
            </wp:positionH>
            <wp:positionV relativeFrom="page">
              <wp:posOffset>190500</wp:posOffset>
            </wp:positionV>
            <wp:extent cx="726059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0590" cy="36830"/>
                    </a:xfrm>
                    <a:prstGeom prst="rect">
                      <a:avLst/>
                    </a:prstGeom>
                    <a:noFill/>
                  </pic:spPr>
                </pic:pic>
              </a:graphicData>
            </a:graphic>
          </wp:anchor>
        </w:drawing>
        <w:t>Exhibit 32:</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18 U.S.C. SECTION 1350 AS ADOPTED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 CERTIFICATION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Pursuant to 18 U.S.C. Section 1350, the undersigned officer of Oil-Dri Corporation of America (the “Company”) hereby certifies that to the best of my knowledge the Company’s Quarterly Report on Form 10-Q for the quarter ended April 30, 2010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Dated: June 8, 2010</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 Daniel S. Jaffee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Name: Daniel S. Jaffee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Title: President and Chief Executive Officer</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Pursuant to 18 U.S.C. Section 1350, the undersigned officer of Oil-Dri Corporation of America (the “Company”) hereby certifies that to the best of my knowledge the Company’s Quarterly Report on Form 10-Q for the quarter ended April 30, 2010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Dated: June 8, 2010</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 Andrew N. Peterson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Name: Andrew N. Peterson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Title: Vice President and Chief Financial Officer</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774065</wp:posOffset>
            </wp:positionV>
            <wp:extent cx="72605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0590" cy="42545"/>
                    </a:xfrm>
                    <a:prstGeom prst="rect">
                      <a:avLst/>
                    </a:prstGeom>
                    <a:noFill/>
                  </pic:spPr>
                </pic:pic>
              </a:graphicData>
            </a:graphic>
          </wp:anchor>
        </w:drawing>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1"/>
    </w:lvl>
  </w:abstractNum>
  <w:abstractNum w:abstractNumId="6">
    <w:nsid w:val="1190CDE7"/>
    <w:multiLevelType w:val="hybridMultilevel"/>
    <w:lvl w:ilvl="0">
      <w:lvlJc w:val="left"/>
      <w:lvlText w:val="%1"/>
      <w:numFmt w:val="decimal"/>
      <w:start w:val="3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3"/>
    </w:lvl>
  </w:abstractNum>
  <w:abstractNum w:abstractNumId="12">
    <w:nsid w:val="7FDCC233"/>
    <w:multiLevelType w:val="hybridMultilevel"/>
    <w:lvl w:ilvl="0">
      <w:lvlJc w:val="left"/>
      <w:lvlText w:val="(%1)"/>
      <w:numFmt w:val="decimal"/>
      <w:start w:val="7"/>
    </w:lvl>
  </w:abstractNum>
  <w:abstractNum w:abstractNumId="13">
    <w:nsid w:val="1BEFD79F"/>
    <w:multiLevelType w:val="hybridMultilevel"/>
    <w:lvl w:ilvl="0">
      <w:lvlJc w:val="left"/>
      <w:lvlText w:val="(%1)"/>
      <w:numFmt w:val="decimal"/>
      <w:start w:val="23"/>
    </w:lvl>
  </w:abstractNum>
  <w:abstractNum w:abstractNumId="14">
    <w:nsid w:val="41A7C4C9"/>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5">
    <w:nsid w:val="6B68079A"/>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lvl w:ilvl="3">
      <w:lvlJc w:val="left"/>
      <w:lvlText w:val="%4."/>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2020-01-29T09:52:45Z</dcterms:created>
  <dcterms:modified xsi:type="dcterms:W3CDTF">2020-01-29T09:52:45Z</dcterms:modified>
</cp:coreProperties>
</file>