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100"/>
              <w:spacing w:after="0"/>
              <w:rPr>
                <w:sz w:val="20"/>
                <w:szCs w:val="20"/>
                <w:color w:val="auto"/>
              </w:rPr>
            </w:pPr>
            <w:r>
              <w:rPr>
                <w:rFonts w:ascii="Arial" w:cs="Arial" w:eastAsia="Arial" w:hAnsi="Arial"/>
                <w:sz w:val="18"/>
                <w:szCs w:val="18"/>
                <w:color w:val="auto"/>
              </w:rPr>
              <w:t>Date of Report (Date of earliest event reported)</w:t>
            </w:r>
          </w:p>
        </w:tc>
        <w:tc>
          <w:tcPr>
            <w:tcW w:w="1760" w:type="dxa"/>
            <w:vAlign w:val="bottom"/>
          </w:tcPr>
          <w:p>
            <w:pPr>
              <w:spacing w:after="0"/>
              <w:rPr>
                <w:sz w:val="20"/>
                <w:szCs w:val="20"/>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4, 2012</w:t>
            </w:r>
          </w:p>
        </w:tc>
        <w:tc>
          <w:tcPr>
            <w:tcW w:w="3040" w:type="dxa"/>
            <w:vAlign w:val="bottom"/>
            <w:tcBorders>
              <w:bottom w:val="single" w:sz="8" w:color="auto"/>
            </w:tcBorders>
          </w:tcPr>
          <w:p>
            <w:pPr>
              <w:spacing w:after="0"/>
              <w:rPr>
                <w:sz w:val="20"/>
                <w:szCs w:val="20"/>
                <w:color w:val="auto"/>
              </w:rPr>
            </w:pPr>
          </w:p>
        </w:tc>
      </w:tr>
      <w:tr>
        <w:trPr>
          <w:trHeight w:val="844"/>
        </w:trPr>
        <w:tc>
          <w:tcPr>
            <w:tcW w:w="4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jc w:val="center"/>
              <w:ind w:right="1290"/>
              <w:spacing w:after="0"/>
              <w:rPr>
                <w:sz w:val="20"/>
                <w:szCs w:val="20"/>
                <w:color w:val="auto"/>
              </w:rPr>
            </w:pPr>
            <w:r>
              <w:rPr>
                <w:rFonts w:ascii="Arial" w:cs="Arial" w:eastAsia="Arial" w:hAnsi="Arial"/>
                <w:sz w:val="18"/>
                <w:szCs w:val="18"/>
                <w:b w:val="1"/>
                <w:bCs w:val="1"/>
                <w:color w:val="auto"/>
                <w:w w:val="94"/>
              </w:rPr>
              <w:t>Oil-Dri Corporation of America</w:t>
            </w:r>
          </w:p>
        </w:tc>
        <w:tc>
          <w:tcPr>
            <w:tcW w:w="3040" w:type="dxa"/>
            <w:vAlign w:val="bottom"/>
            <w:tcBorders>
              <w:bottom w:val="single" w:sz="8" w:color="auto"/>
            </w:tcBorders>
          </w:tcPr>
          <w:p>
            <w:pPr>
              <w:spacing w:after="0"/>
              <w:rPr>
                <w:sz w:val="24"/>
                <w:szCs w:val="24"/>
                <w:color w:val="auto"/>
              </w:rPr>
            </w:pPr>
          </w:p>
        </w:tc>
      </w:tr>
      <w:tr>
        <w:trPr>
          <w:trHeight w:val="224"/>
        </w:trPr>
        <w:tc>
          <w:tcPr>
            <w:tcW w:w="8380" w:type="dxa"/>
            <w:vAlign w:val="bottom"/>
            <w:gridSpan w:val="3"/>
          </w:tcPr>
          <w:p>
            <w:pPr>
              <w:jc w:val="center"/>
              <w:ind w:left="2970"/>
              <w:spacing w:after="0"/>
              <w:rPr>
                <w:sz w:val="20"/>
                <w:szCs w:val="20"/>
                <w:color w:val="auto"/>
              </w:rPr>
            </w:pPr>
            <w:r>
              <w:rPr>
                <w:rFonts w:ascii="Arial" w:cs="Arial" w:eastAsia="Arial" w:hAnsi="Arial"/>
                <w:sz w:val="18"/>
                <w:szCs w:val="18"/>
                <w:color w:val="auto"/>
                <w:w w:val="90"/>
              </w:rPr>
              <w:t>(Exact name of registrant as specified in its charter)</w:t>
            </w:r>
          </w:p>
        </w:tc>
        <w:tc>
          <w:tcPr>
            <w:tcW w:w="3040" w:type="dxa"/>
            <w:vAlign w:val="bottom"/>
          </w:tcPr>
          <w:p>
            <w:pPr>
              <w:spacing w:after="0"/>
              <w:rPr>
                <w:sz w:val="19"/>
                <w:szCs w:val="19"/>
                <w:color w:val="auto"/>
              </w:rPr>
            </w:pPr>
          </w:p>
        </w:tc>
      </w:tr>
      <w:tr>
        <w:trPr>
          <w:trHeight w:val="6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b w:val="1"/>
                <w:bCs w:val="1"/>
                <w:color w:val="auto"/>
              </w:rPr>
              <w:t>001-12622</w:t>
            </w:r>
          </w:p>
        </w:tc>
        <w:tc>
          <w:tcPr>
            <w:tcW w:w="30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9"/>
              </w:rPr>
              <w:t>36-2048898</w:t>
            </w:r>
          </w:p>
        </w:tc>
      </w:tr>
      <w:tr>
        <w:trPr>
          <w:trHeight w:val="195"/>
        </w:trPr>
        <w:tc>
          <w:tcPr>
            <w:tcW w:w="44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3960" w:type="dxa"/>
            <w:vAlign w:val="bottom"/>
            <w:gridSpan w:val="2"/>
          </w:tcPr>
          <w:p>
            <w:pPr>
              <w:ind w:left="1240"/>
              <w:spacing w:after="0" w:line="195" w:lineRule="exact"/>
              <w:rPr>
                <w:sz w:val="20"/>
                <w:szCs w:val="20"/>
                <w:color w:val="auto"/>
              </w:rPr>
            </w:pPr>
            <w:r>
              <w:rPr>
                <w:rFonts w:ascii="Arial" w:cs="Arial" w:eastAsia="Arial" w:hAnsi="Arial"/>
                <w:sz w:val="18"/>
                <w:szCs w:val="18"/>
                <w:color w:val="auto"/>
              </w:rPr>
              <w:t>(Commission File Number)</w:t>
            </w:r>
          </w:p>
        </w:tc>
        <w:tc>
          <w:tcPr>
            <w:tcW w:w="3040" w:type="dxa"/>
            <w:vAlign w:val="bottom"/>
          </w:tcPr>
          <w:p>
            <w:pPr>
              <w:jc w:val="center"/>
              <w:ind w:left="450"/>
              <w:spacing w:after="0" w:line="195"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4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9"/>
              </w:rPr>
              <w:t>No.)</w:t>
            </w:r>
          </w:p>
        </w:tc>
      </w:tr>
      <w:tr>
        <w:trPr>
          <w:trHeight w:val="630"/>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1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1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17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(Zip Code)</w:t>
            </w:r>
          </w:p>
        </w:tc>
      </w:tr>
      <w:tr>
        <w:trPr>
          <w:trHeight w:val="418"/>
        </w:trPr>
        <w:tc>
          <w:tcPr>
            <w:tcW w:w="4420" w:type="dxa"/>
            <w:vAlign w:val="bottom"/>
          </w:tcPr>
          <w:p>
            <w:pPr>
              <w:ind w:left="100"/>
              <w:spacing w:after="0"/>
              <w:rPr>
                <w:sz w:val="20"/>
                <w:szCs w:val="20"/>
                <w:color w:val="auto"/>
              </w:rPr>
            </w:pPr>
            <w:r>
              <w:rPr>
                <w:rFonts w:ascii="Arial" w:cs="Arial" w:eastAsia="Arial" w:hAnsi="Arial"/>
                <w:sz w:val="18"/>
                <w:szCs w:val="18"/>
                <w:color w:val="auto"/>
              </w:rPr>
              <w:t>Registrant’s telephone number, including area code</w:t>
            </w:r>
          </w:p>
        </w:tc>
        <w:tc>
          <w:tcPr>
            <w:tcW w:w="1760" w:type="dxa"/>
            <w:vAlign w:val="bottom"/>
          </w:tcPr>
          <w:p>
            <w:pPr>
              <w:spacing w:after="0"/>
              <w:rPr>
                <w:sz w:val="24"/>
                <w:szCs w:val="24"/>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(312) 321-1515</w:t>
            </w:r>
          </w:p>
        </w:tc>
        <w:tc>
          <w:tcPr>
            <w:tcW w:w="304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 special meeting on December 4, 2012, the Registrant’s Board of Directors declared accelerated cash dividends of $0.36 per share of the Registrant’s Common Stock and $0.27 per share of the Registrant’s Class B Stock, which reflect an acceleration of the quarterly dividends that would normally be paid for the third and fourth quarters of fiscal 2013. The dividends will be payable on December 28, 2012, to stockholders of record at the close of business on December 14, 2012. A copy of the Registrant’s press release announcing these matters is attached as Exhibit 99.1 and the information contained therein is incorporated herein by reference.</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5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500" w:type="dxa"/>
            <w:vAlign w:val="bottom"/>
          </w:tcPr>
          <w:p>
            <w:pPr>
              <w:spacing w:after="0"/>
              <w:rPr>
                <w:sz w:val="20"/>
                <w:szCs w:val="20"/>
                <w:color w:val="auto"/>
              </w:rPr>
            </w:pPr>
          </w:p>
        </w:tc>
        <w:tc>
          <w:tcPr>
            <w:tcW w:w="874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Description of Exhibits</w:t>
            </w:r>
          </w:p>
        </w:tc>
        <w:tc>
          <w:tcPr>
            <w:tcW w:w="1140" w:type="dxa"/>
            <w:vAlign w:val="bottom"/>
          </w:tcPr>
          <w:p>
            <w:pPr>
              <w:spacing w:after="0"/>
              <w:rPr>
                <w:sz w:val="20"/>
                <w:szCs w:val="20"/>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Press Release dated December 4, 2012</w:t>
            </w:r>
          </w:p>
        </w:tc>
        <w:tc>
          <w:tcPr>
            <w:tcW w:w="1140" w:type="dxa"/>
            <w:vAlign w:val="bottom"/>
          </w:tcPr>
          <w:p>
            <w:pPr>
              <w:spacing w:after="0"/>
              <w:rPr>
                <w:sz w:val="24"/>
                <w:szCs w:val="24"/>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tabs>
          <w:tab w:leader="none" w:pos="5020" w:val="left"/>
          <w:tab w:leader="none" w:pos="5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-10160</wp:posOffset>
            </wp:positionV>
            <wp:extent cx="2111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137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Douglas A. Graham</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88"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40" w:type="dxa"/>
            <w:vAlign w:val="bottom"/>
            <w:gridSpan w:val="3"/>
          </w:tcPr>
          <w:p>
            <w:pPr>
              <w:ind w:left="3680"/>
              <w:spacing w:after="0"/>
              <w:rPr>
                <w:sz w:val="20"/>
                <w:szCs w:val="20"/>
                <w:color w:val="auto"/>
              </w:rPr>
            </w:pPr>
            <w:r>
              <w:rPr>
                <w:rFonts w:ascii="Arial" w:cs="Arial" w:eastAsia="Arial" w:hAnsi="Arial"/>
                <w:sz w:val="18"/>
                <w:szCs w:val="18"/>
                <w:color w:val="auto"/>
              </w:rPr>
              <w:t>Exhibit Index</w:t>
            </w:r>
          </w:p>
        </w:tc>
        <w:tc>
          <w:tcPr>
            <w:tcW w:w="1140" w:type="dxa"/>
            <w:vAlign w:val="bottom"/>
          </w:tcPr>
          <w:p>
            <w:pPr>
              <w:spacing w:after="0"/>
              <w:rPr>
                <w:sz w:val="17"/>
                <w:szCs w:val="17"/>
                <w:color w:val="auto"/>
              </w:rPr>
            </w:pPr>
          </w:p>
        </w:tc>
      </w:tr>
      <w:tr>
        <w:trPr>
          <w:trHeight w:val="654"/>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500" w:type="dxa"/>
            <w:vAlign w:val="bottom"/>
          </w:tcPr>
          <w:p>
            <w:pPr>
              <w:spacing w:after="0"/>
              <w:rPr>
                <w:sz w:val="20"/>
                <w:szCs w:val="20"/>
                <w:color w:val="auto"/>
              </w:rPr>
            </w:pPr>
          </w:p>
        </w:tc>
        <w:tc>
          <w:tcPr>
            <w:tcW w:w="8740" w:type="dxa"/>
            <w:vAlign w:val="bottom"/>
            <w:tcBorders>
              <w:bottom w:val="single" w:sz="8" w:color="auto"/>
            </w:tcBorders>
            <w:gridSpan w:val="3"/>
          </w:tcPr>
          <w:p>
            <w:pPr>
              <w:ind w:left="3480"/>
              <w:spacing w:after="0"/>
              <w:rPr>
                <w:sz w:val="20"/>
                <w:szCs w:val="20"/>
                <w:color w:val="auto"/>
              </w:rPr>
            </w:pPr>
            <w:r>
              <w:rPr>
                <w:rFonts w:ascii="Arial" w:cs="Arial" w:eastAsia="Arial" w:hAnsi="Arial"/>
                <w:sz w:val="18"/>
                <w:szCs w:val="18"/>
                <w:color w:val="auto"/>
              </w:rPr>
              <w:t>Description of Exhibits</w:t>
            </w:r>
          </w:p>
        </w:tc>
        <w:tc>
          <w:tcPr>
            <w:tcW w:w="1140" w:type="dxa"/>
            <w:vAlign w:val="bottom"/>
          </w:tcPr>
          <w:p>
            <w:pPr>
              <w:spacing w:after="0"/>
              <w:rPr>
                <w:sz w:val="20"/>
                <w:szCs w:val="20"/>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gridSpan w:val="4"/>
          </w:tcPr>
          <w:p>
            <w:pPr>
              <w:ind w:left="500"/>
              <w:spacing w:after="0"/>
              <w:rPr>
                <w:sz w:val="20"/>
                <w:szCs w:val="20"/>
                <w:color w:val="auto"/>
              </w:rPr>
            </w:pPr>
            <w:r>
              <w:rPr>
                <w:rFonts w:ascii="Arial" w:cs="Arial" w:eastAsia="Arial" w:hAnsi="Arial"/>
                <w:sz w:val="18"/>
                <w:szCs w:val="18"/>
                <w:color w:val="auto"/>
              </w:rPr>
              <w:t>Press Release dated December 4, 2012</w:t>
            </w:r>
          </w:p>
        </w:tc>
        <w:tc>
          <w:tcPr>
            <w:tcW w:w="1140" w:type="dxa"/>
            <w:vAlign w:val="bottom"/>
          </w:tcPr>
          <w:p>
            <w:pPr>
              <w:spacing w:after="0"/>
              <w:rPr>
                <w:sz w:val="24"/>
                <w:szCs w:val="24"/>
                <w:color w:val="auto"/>
              </w:rPr>
            </w:pPr>
          </w:p>
        </w:tc>
      </w:tr>
      <w:tr>
        <w:trPr>
          <w:trHeight w:val="675"/>
        </w:trPr>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0000FF"/>
        </w:rPr>
        <w:drawing>
          <wp:anchor simplePos="0" relativeHeight="251657728" behindDoc="1" locked="0" layoutInCell="0" allowOverlap="1">
            <wp:simplePos x="0" y="0"/>
            <wp:positionH relativeFrom="page">
              <wp:posOffset>157480</wp:posOffset>
            </wp:positionH>
            <wp:positionV relativeFrom="page">
              <wp:posOffset>88900</wp:posOffset>
            </wp:positionV>
            <wp:extent cx="831850"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31850" cy="36893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Announcement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Oil-Dri Board of Directors Declares Accelerated Dividends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CHICAGO, IL – (December 4, 2012) – The Board of Directors of Oil-Dri Corporation of America (NYSE: ODC) today declared accelerated cash dividends of $0.36 per share of Common Stock and $0.27 per share of Class B Stock which reflect dividends for the third and fourth quarters of fiscal 2013.</w:t>
      </w:r>
    </w:p>
    <w:p>
      <w:pPr>
        <w:spacing w:after="0" w:line="3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Daniel S. Jaffee, President and Chief Executive Officer said, “We believe the Board’s decision to advance two quarters of expected dividend payments considers the best interests of our stockholders. This is not a special dividend payment or increase but rather an acceleration of the quarterly dividends that would be paid normally over the course of fiscal 2013. This payment will neither require us to take on any new debt nor negatively impact our ability to take advantage of potential business opportunities.”</w:t>
      </w: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dividends declared today will be payable on December 28, 2012, to stockholders of record at the close of business on December 14, 2012. The Board will consider its next regularly scheduled dividend payment at its June 2013 meeting.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Reagan B. Culbertson,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312/706-3256; reagan.culbertson@oildri.com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Ronda J. Williams,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312/706-3232; ronda.williams@oildri.com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3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2020-01-29T03:17:55Z</dcterms:created>
  <dcterms:modified xsi:type="dcterms:W3CDTF">2020-01-29T03:17:55Z</dcterms:modified>
</cp:coreProperties>
</file>