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77293_8k.htm"/>
      <w:bookmarkStart w:id="1" w:name="ksv177293_8k"/>
      <w:bookmarkStart w:id="2" w:name="v177293_8k.htm"/>
      <w:bookmarkStart w:id="3" w:name="ksv177293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March 11, 2010</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b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314"/>
        <w:gridCol w:w="131"/>
        <w:gridCol w:w="3314"/>
        <w:gridCol w:w="131"/>
        <w:gridCol w:w="3315"/>
      </w:tblGrid>
      <w:tr>
        <w:trPr/>
        <w:tc>
          <w:tcPr>
            <w:tcW w:w="331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131" w:type="dxa"/>
            <w:tcBorders>
              <w:bottom w:val="single" w:sz="12" w:space="0" w:color="000000"/>
            </w:tcBorders>
            <w:shd w:fill="auto" w:val="clear"/>
          </w:tcPr>
          <w:p>
            <w:pPr>
              <w:pStyle w:val="TableContents"/>
              <w:spacing w:before="0" w:after="283"/>
              <w:rPr/>
            </w:pPr>
            <w:r>
              <w:rPr/>
              <w:t xml:space="preserve">  </w:t>
            </w:r>
          </w:p>
        </w:tc>
        <w:tc>
          <w:tcPr>
            <w:tcW w:w="331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131" w:type="dxa"/>
            <w:tcBorders>
              <w:bottom w:val="single" w:sz="12" w:space="0" w:color="000000"/>
            </w:tcBorders>
            <w:shd w:fill="auto" w:val="clear"/>
          </w:tcPr>
          <w:p>
            <w:pPr>
              <w:pStyle w:val="TableContents"/>
              <w:spacing w:before="0" w:after="283"/>
              <w:rPr/>
            </w:pPr>
            <w:r>
              <w:rPr/>
              <w:t xml:space="preserve">  </w:t>
            </w:r>
          </w:p>
        </w:tc>
        <w:tc>
          <w:tcPr>
            <w:tcW w:w="331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31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131" w:type="dxa"/>
            <w:tcBorders/>
            <w:shd w:fill="auto" w:val="clear"/>
            <w:tcMar>
              <w:bottom w:w="0" w:type="dxa"/>
            </w:tcMar>
          </w:tcPr>
          <w:p>
            <w:pPr>
              <w:pStyle w:val="TableContents"/>
              <w:spacing w:before="0" w:after="283"/>
              <w:rPr/>
            </w:pPr>
            <w:r>
              <w:rPr/>
              <w:t xml:space="preserve">  </w:t>
            </w:r>
          </w:p>
        </w:tc>
        <w:tc>
          <w:tcPr>
            <w:tcW w:w="331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131" w:type="dxa"/>
            <w:tcBorders/>
            <w:shd w:fill="auto" w:val="clear"/>
            <w:tcMar>
              <w:bottom w:w="0" w:type="dxa"/>
            </w:tcMar>
          </w:tcPr>
          <w:p>
            <w:pPr>
              <w:pStyle w:val="TableContents"/>
              <w:spacing w:before="0" w:after="283"/>
              <w:rPr/>
            </w:pPr>
            <w:r>
              <w:rPr/>
              <w:t xml:space="preserve">  </w:t>
            </w:r>
          </w:p>
        </w:tc>
        <w:tc>
          <w:tcPr>
            <w:tcW w:w="331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103" w:type="dxa"/>
            <w:tcBorders>
              <w:bottom w:val="single" w:sz="12" w:space="0" w:color="000000"/>
            </w:tcBorders>
            <w:shd w:fill="auto" w:val="clear"/>
            <w:vAlign w:val="bottom"/>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60611-4213</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b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13e-4(c) under the Exchange Act (17 CFR 240.13e-4(c))</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8.01</w:t>
      </w:r>
      <w:r>
        <w:rPr>
          <w:rFonts w:ascii="Times New Roman" w:hAnsi="Times New Roman"/>
          <w:b/>
          <w:sz w:val="20"/>
        </w:rPr>
        <w:t>     Other Events.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 w:name="TAB1"/>
      <w:bookmarkEnd w:id="4"/>
      <w:r>
        <w:rPr>
          <w:rFonts w:ascii="Times New Roman" w:hAnsi="Times New Roman"/>
          <w:sz w:val="20"/>
        </w:rPr>
        <w:t>On March 11, 2010, the Board of Directors of Oil-Dri Corporation of America (the “Registrant”) authorized the repurchase of up to an additional 250,000 shares of the Registrant’s Common Stock.  The Registrant’s Board of Directors also declared regular quarterly cash dividends of $0.15 per share of the Registrant’s Common Stock and $0.1125 per share of the Registrant’s Class B Stock.  The dividends will be payable on June 4, 2010, to stockholders of record at the close of business on May 21, 2010.  A copy of the Registrant’s press release announcing these matters is attached as Exhibit 99.1, and the information contained therein is incorporated herein by reference.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6"/>
        <w:gridCol w:w="306"/>
        <w:gridCol w:w="9083"/>
      </w:tblGrid>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306" w:type="dxa"/>
            <w:tcBorders/>
            <w:shd w:fill="auto" w:val="clear"/>
          </w:tcPr>
          <w:p>
            <w:pPr>
              <w:pStyle w:val="TableContents"/>
              <w:spacing w:before="0" w:after="283"/>
              <w:jc w:val="left"/>
              <w:rPr/>
            </w:pPr>
            <w:r>
              <w:rPr/>
              <w:t> </w:t>
            </w:r>
          </w:p>
        </w:tc>
        <w:tc>
          <w:tcPr>
            <w:tcW w:w="9083" w:type="dxa"/>
            <w:tcBorders/>
            <w:shd w:fill="auto" w:val="clear"/>
          </w:tcPr>
          <w:p>
            <w:pPr>
              <w:pStyle w:val="TableContents"/>
              <w:spacing w:before="0" w:after="283"/>
              <w:rPr/>
            </w:pPr>
            <w:r>
              <w:rPr/>
              <w:t xml:space="preserve">  </w:t>
            </w:r>
          </w:p>
        </w:tc>
      </w:tr>
      <w:tr>
        <w:trPr/>
        <w:tc>
          <w:tcPr>
            <w:tcW w:w="816"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306" w:type="dxa"/>
            <w:tcBorders/>
            <w:shd w:fill="auto" w:val="clear"/>
          </w:tcPr>
          <w:p>
            <w:pPr>
              <w:pStyle w:val="TableContents"/>
              <w:spacing w:before="0" w:after="283"/>
              <w:jc w:val="left"/>
              <w:rPr/>
            </w:pPr>
            <w:r>
              <w:rPr/>
              <w:t> </w:t>
            </w:r>
          </w:p>
        </w:tc>
        <w:tc>
          <w:tcPr>
            <w:tcW w:w="908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w:t>
            </w:r>
          </w:p>
        </w:tc>
      </w:tr>
      <w:tr>
        <w:trPr/>
        <w:tc>
          <w:tcPr>
            <w:tcW w:w="816"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283"/>
              <w:rPr/>
            </w:pPr>
            <w:r>
              <w:rPr/>
              <w:t> </w:t>
            </w:r>
          </w:p>
        </w:tc>
        <w:tc>
          <w:tcPr>
            <w:tcW w:w="9083" w:type="dxa"/>
            <w:tcBorders/>
            <w:shd w:fill="auto" w:val="clear"/>
          </w:tcPr>
          <w:p>
            <w:pPr>
              <w:pStyle w:val="TableContents"/>
              <w:spacing w:before="0" w:after="283"/>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306" w:type="dxa"/>
            <w:tcBorders/>
            <w:shd w:fill="auto" w:val="clear"/>
          </w:tcPr>
          <w:p>
            <w:pPr>
              <w:pStyle w:val="TableContents"/>
              <w:spacing w:before="0" w:after="283"/>
              <w:jc w:val="left"/>
              <w:rPr/>
            </w:pPr>
            <w:r>
              <w:rPr/>
              <w:t> </w:t>
            </w:r>
          </w:p>
        </w:tc>
        <w:tc>
          <w:tcPr>
            <w:tcW w:w="908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March 12, 2010</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 w:name="GLFTR"/>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 w:name="PN"/>
      <w:bookmarkEnd w:id="1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 w:name="GLHDR"/>
      <w:bookmarkEnd w:id="1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sz w:val="20"/>
              </w:rPr>
            </w:pPr>
            <w:r>
              <w:rPr>
                <w:sz w:val="20"/>
              </w:rPr>
              <w:t>OIL-DRI CORPORATION OF AMERICA</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March 12, 2010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 w:name="GLFTR1"/>
      <w:bookmarkEnd w:id="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 w:name="PN1"/>
      <w:bookmarkEnd w:id="1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HDR1"/>
      <w:bookmarkStart w:id="21" w:name="HD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 w:name="GLHDR1"/>
      <w:bookmarkEnd w:id="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306"/>
        <w:gridCol w:w="9083"/>
      </w:tblGrid>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306" w:type="dxa"/>
            <w:tcBorders/>
            <w:shd w:fill="auto" w:val="clear"/>
          </w:tcPr>
          <w:p>
            <w:pPr>
              <w:pStyle w:val="TableContents"/>
              <w:spacing w:before="0" w:after="283"/>
              <w:jc w:val="left"/>
              <w:rPr/>
            </w:pPr>
            <w:r>
              <w:rPr/>
              <w:t> </w:t>
            </w:r>
          </w:p>
        </w:tc>
        <w:tc>
          <w:tcPr>
            <w:tcW w:w="9083" w:type="dxa"/>
            <w:tcBorders/>
            <w:shd w:fill="auto" w:val="clear"/>
          </w:tcPr>
          <w:p>
            <w:pPr>
              <w:pStyle w:val="TableContents"/>
              <w:spacing w:before="0" w:after="283"/>
              <w:rPr/>
            </w:pPr>
            <w:r>
              <w:rPr/>
              <w:t xml:space="preserve">  </w:t>
            </w:r>
          </w:p>
        </w:tc>
      </w:tr>
      <w:tr>
        <w:trPr/>
        <w:tc>
          <w:tcPr>
            <w:tcW w:w="816"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306" w:type="dxa"/>
            <w:tcBorders/>
            <w:shd w:fill="auto" w:val="clear"/>
          </w:tcPr>
          <w:p>
            <w:pPr>
              <w:pStyle w:val="TableContents"/>
              <w:spacing w:before="0" w:after="283"/>
              <w:jc w:val="left"/>
              <w:rPr/>
            </w:pPr>
            <w:r>
              <w:rPr/>
              <w:t> </w:t>
            </w:r>
          </w:p>
        </w:tc>
        <w:tc>
          <w:tcPr>
            <w:tcW w:w="908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w:t>
            </w:r>
          </w:p>
        </w:tc>
      </w:tr>
      <w:tr>
        <w:trPr/>
        <w:tc>
          <w:tcPr>
            <w:tcW w:w="816"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283"/>
              <w:rPr/>
            </w:pPr>
            <w:r>
              <w:rPr/>
              <w:t> </w:t>
            </w:r>
          </w:p>
        </w:tc>
        <w:tc>
          <w:tcPr>
            <w:tcW w:w="9083" w:type="dxa"/>
            <w:tcBorders/>
            <w:shd w:fill="auto" w:val="clear"/>
          </w:tcPr>
          <w:p>
            <w:pPr>
              <w:pStyle w:val="TableContents"/>
              <w:spacing w:before="0" w:after="283"/>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306" w:type="dxa"/>
            <w:tcBorders/>
            <w:shd w:fill="auto" w:val="clear"/>
          </w:tcPr>
          <w:p>
            <w:pPr>
              <w:pStyle w:val="TableContents"/>
              <w:spacing w:before="0" w:after="283"/>
              <w:jc w:val="left"/>
              <w:rPr/>
            </w:pPr>
            <w:r>
              <w:rPr/>
              <w:t> </w:t>
            </w:r>
          </w:p>
        </w:tc>
        <w:tc>
          <w:tcPr>
            <w:tcW w:w="908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March 12, 2010</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2"/>
      <w:bookmarkStart w:id="24" w:name="PGBRK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FTR2"/>
      <w:bookmarkStart w:id="26" w:name="FTR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 w:name="GLFTR2"/>
      <w:bookmarkEnd w:id="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 w:name="PN2"/>
      <w:bookmarkEnd w:id="28"/>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2"/>
      <w:bookmarkStart w:id="30" w:name="HD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 w:name="GLHDR2"/>
      <w:bookmarkEnd w:id="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hanging="0"/>
        <w:jc w:val="center"/>
        <w:rPr/>
      </w:pPr>
      <w:r>
        <w:rPr/>
        <w:t> </w:t>
      </w:r>
      <w:r>
        <w:br w:type="page"/>
      </w:r>
    </w:p>
    <w:p>
      <w:pPr>
        <w:pStyle w:val="TextBody"/>
        <w:spacing w:before="0" w:after="0"/>
        <w:rPr/>
      </w:pPr>
      <w:bookmarkStart w:id="32" w:name="v177293_ex99-1.htm"/>
      <w:bookmarkStart w:id="33" w:name="ksv177293_ex991"/>
      <w:bookmarkEnd w:id="32"/>
      <w:bookmarkEnd w:id="33"/>
      <w:r>
        <w:rPr/>
        <w:t> </w:t>
      </w:r>
    </w:p>
    <w:tbl>
      <w:tblPr>
        <w:tblW w:w="5000" w:type="pct"/>
        <w:jc w:val="left"/>
        <w:tblInd w:w="0" w:type="dxa"/>
        <w:tblCellMar>
          <w:top w:w="0" w:type="dxa"/>
          <w:left w:w="0" w:type="dxa"/>
          <w:bottom w:w="0" w:type="dxa"/>
          <w:right w:w="0" w:type="dxa"/>
        </w:tblCellMar>
      </w:tblPr>
      <w:tblGrid>
        <w:gridCol w:w="1649"/>
        <w:gridCol w:w="1649"/>
        <w:gridCol w:w="4124"/>
        <w:gridCol w:w="1133"/>
        <w:gridCol w:w="1650"/>
      </w:tblGrid>
      <w:tr>
        <w:trPr/>
        <w:tc>
          <w:tcPr>
            <w:tcW w:w="1649" w:type="dxa"/>
            <w:vMerge w:val="restart"/>
            <w:tcBorders/>
            <w:shd w:fill="000080" w:val="clear"/>
          </w:tcPr>
          <w:p>
            <w:pPr>
              <w:pStyle w:val="TableContents"/>
              <w:spacing w:before="0" w:after="0"/>
              <w:jc w:val="right"/>
              <w:rPr/>
            </w:pPr>
            <w:r>
              <w:rPr/>
              <w:t> </w:t>
            </w:r>
          </w:p>
          <w:p>
            <w:pPr>
              <w:pStyle w:val="TableContents"/>
              <w:spacing w:before="0" w:after="0"/>
              <w:jc w:val="right"/>
              <w:rPr/>
            </w:pPr>
            <w:r>
              <w:rPr/>
              <w:drawing>
                <wp:inline distT="0" distB="0" distL="0" distR="0">
                  <wp:extent cx="9525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409575"/>
                          </a:xfrm>
                          <a:prstGeom prst="rect">
                            <a:avLst/>
                          </a:prstGeom>
                        </pic:spPr>
                      </pic:pic>
                    </a:graphicData>
                  </a:graphic>
                </wp:inline>
              </w:drawing>
            </w:r>
            <w:r>
              <w:rPr/>
              <w:t xml:space="preserve"> </w:t>
            </w:r>
          </w:p>
        </w:tc>
        <w:tc>
          <w:tcPr>
            <w:tcW w:w="1649" w:type="dxa"/>
            <w:tcBorders/>
            <w:shd w:fill="auto" w:val="clear"/>
            <w:vAlign w:val="center"/>
          </w:tcPr>
          <w:p>
            <w:pPr>
              <w:pStyle w:val="TableContents"/>
              <w:spacing w:before="0" w:after="283"/>
              <w:jc w:val="left"/>
              <w:rPr/>
            </w:pPr>
            <w:r>
              <w:rPr/>
              <w:t xml:space="preserve">  </w:t>
            </w:r>
          </w:p>
        </w:tc>
        <w:tc>
          <w:tcPr>
            <w:tcW w:w="4124" w:type="dxa"/>
            <w:tcBorders/>
            <w:shd w:fill="auto" w:val="clear"/>
            <w:vAlign w:val="center"/>
          </w:tcPr>
          <w:p>
            <w:pPr>
              <w:pStyle w:val="TableContents"/>
              <w:spacing w:before="0" w:after="283"/>
              <w:jc w:val="left"/>
              <w:rPr/>
            </w:pPr>
            <w:r>
              <w:rPr/>
              <w:t xml:space="preserve">  </w:t>
            </w:r>
          </w:p>
        </w:tc>
        <w:tc>
          <w:tcPr>
            <w:tcW w:w="1133" w:type="dxa"/>
            <w:tcBorders/>
            <w:shd w:fill="auto" w:val="clear"/>
            <w:vAlign w:val="center"/>
          </w:tcPr>
          <w:p>
            <w:pPr>
              <w:pStyle w:val="TableContents"/>
              <w:spacing w:before="0" w:after="283"/>
              <w:jc w:val="left"/>
              <w:rPr/>
            </w:pPr>
            <w:r>
              <w:rPr/>
              <w:t xml:space="preserve">  </w:t>
            </w:r>
          </w:p>
        </w:tc>
        <w:tc>
          <w:tcPr>
            <w:tcW w:w="1650" w:type="dxa"/>
            <w:tcBorders/>
            <w:shd w:fill="auto" w:val="clear"/>
            <w:vAlign w:val="center"/>
          </w:tcPr>
          <w:p>
            <w:pPr>
              <w:pStyle w:val="TableContents"/>
              <w:spacing w:before="0" w:after="0"/>
              <w:ind w:left="0" w:right="0" w:hanging="0"/>
              <w:jc w:val="right"/>
              <w:rPr>
                <w:rFonts w:ascii="times new roman" w:hAnsi="times new roman"/>
                <w:b/>
                <w:sz w:val="20"/>
              </w:rPr>
            </w:pPr>
            <w:r>
              <w:rPr>
                <w:rFonts w:ascii="times new roman" w:hAnsi="times new roman"/>
                <w:b/>
                <w:sz w:val="20"/>
              </w:rPr>
              <w:t>Exhibit 99.1</w:t>
            </w:r>
          </w:p>
        </w:tc>
      </w:tr>
      <w:tr>
        <w:trPr/>
        <w:tc>
          <w:tcPr>
            <w:tcW w:w="1649" w:type="dxa"/>
            <w:vMerge w:val="continue"/>
            <w:tcBorders/>
            <w:shd w:fill="000080" w:val="clear"/>
          </w:tcPr>
          <w:p>
            <w:pPr>
              <w:pStyle w:val="Normal"/>
              <w:rPr/>
            </w:pPr>
            <w:r>
              <w:rPr/>
            </w:r>
          </w:p>
        </w:tc>
        <w:tc>
          <w:tcPr>
            <w:tcW w:w="1649" w:type="dxa"/>
            <w:tcBorders/>
            <w:shd w:fill="auto" w:val="clear"/>
            <w:vAlign w:val="center"/>
          </w:tcPr>
          <w:p>
            <w:pPr>
              <w:pStyle w:val="TableContents"/>
              <w:spacing w:before="0" w:after="283"/>
              <w:jc w:val="left"/>
              <w:rPr/>
            </w:pPr>
            <w:r>
              <w:rPr/>
              <w:t xml:space="preserve">  </w:t>
            </w:r>
          </w:p>
        </w:tc>
        <w:tc>
          <w:tcPr>
            <w:tcW w:w="4124" w:type="dxa"/>
            <w:tcBorders/>
            <w:shd w:fill="auto" w:val="clear"/>
            <w:vAlign w:val="center"/>
          </w:tcPr>
          <w:p>
            <w:pPr>
              <w:pStyle w:val="TableContents"/>
              <w:spacing w:before="0" w:after="283"/>
              <w:jc w:val="left"/>
              <w:rPr/>
            </w:pPr>
            <w:r>
              <w:rPr/>
              <w:t xml:space="preserve">  </w:t>
            </w:r>
          </w:p>
        </w:tc>
        <w:tc>
          <w:tcPr>
            <w:tcW w:w="1133" w:type="dxa"/>
            <w:tcBorders/>
            <w:shd w:fill="auto" w:val="clear"/>
            <w:vAlign w:val="center"/>
          </w:tcPr>
          <w:p>
            <w:pPr>
              <w:pStyle w:val="TableContents"/>
              <w:spacing w:before="0" w:after="283"/>
              <w:jc w:val="left"/>
              <w:rPr/>
            </w:pPr>
            <w:r>
              <w:rPr/>
              <w:t xml:space="preserve">  </w:t>
            </w:r>
          </w:p>
        </w:tc>
        <w:tc>
          <w:tcPr>
            <w:tcW w:w="1650" w:type="dxa"/>
            <w:tcBorders/>
            <w:shd w:fill="auto" w:val="clear"/>
            <w:vAlign w:val="center"/>
          </w:tcPr>
          <w:p>
            <w:pPr>
              <w:pStyle w:val="TableContents"/>
              <w:spacing w:before="0" w:after="283"/>
              <w:jc w:val="left"/>
              <w:rPr/>
            </w:pPr>
            <w:r>
              <w:rPr/>
              <w:t xml:space="preserve">  </w:t>
            </w:r>
          </w:p>
        </w:tc>
      </w:tr>
      <w:tr>
        <w:trPr/>
        <w:tc>
          <w:tcPr>
            <w:tcW w:w="1649" w:type="dxa"/>
            <w:vMerge w:val="continue"/>
            <w:tcBorders/>
            <w:shd w:fill="000080" w:val="clear"/>
          </w:tcPr>
          <w:p>
            <w:pPr>
              <w:pStyle w:val="Normal"/>
              <w:rPr/>
            </w:pPr>
            <w:r>
              <w:rPr/>
            </w:r>
          </w:p>
        </w:tc>
        <w:tc>
          <w:tcPr>
            <w:tcW w:w="1649" w:type="dxa"/>
            <w:tcBorders/>
            <w:shd w:fill="auto" w:val="clear"/>
            <w:vAlign w:val="center"/>
          </w:tcPr>
          <w:p>
            <w:pPr>
              <w:pStyle w:val="TableContents"/>
              <w:spacing w:before="0" w:after="283"/>
              <w:jc w:val="left"/>
              <w:rPr/>
            </w:pPr>
            <w:r>
              <w:rPr/>
              <w:t xml:space="preserve">  </w:t>
            </w:r>
          </w:p>
        </w:tc>
        <w:tc>
          <w:tcPr>
            <w:tcW w:w="4124" w:type="dxa"/>
            <w:tcBorders/>
            <w:shd w:fill="auto" w:val="clear"/>
            <w:vAlign w:val="center"/>
          </w:tcPr>
          <w:p>
            <w:pPr>
              <w:pStyle w:val="TableContents"/>
              <w:spacing w:before="0" w:after="283"/>
              <w:jc w:val="left"/>
              <w:rPr/>
            </w:pPr>
            <w:r>
              <w:rPr/>
              <w:t xml:space="preserve">  </w:t>
            </w:r>
          </w:p>
        </w:tc>
        <w:tc>
          <w:tcPr>
            <w:tcW w:w="1133" w:type="dxa"/>
            <w:tcBorders/>
            <w:shd w:fill="auto" w:val="clear"/>
            <w:vAlign w:val="center"/>
          </w:tcPr>
          <w:p>
            <w:pPr>
              <w:pStyle w:val="TableContents"/>
              <w:spacing w:before="0" w:after="283"/>
              <w:jc w:val="left"/>
              <w:rPr/>
            </w:pPr>
            <w:r>
              <w:rPr/>
              <w:t xml:space="preserve">  </w:t>
            </w:r>
          </w:p>
        </w:tc>
        <w:tc>
          <w:tcPr>
            <w:tcW w:w="1650" w:type="dxa"/>
            <w:tcBorders/>
            <w:shd w:fill="auto" w:val="clear"/>
            <w:vAlign w:val="center"/>
          </w:tcPr>
          <w:p>
            <w:pPr>
              <w:pStyle w:val="TableContents"/>
              <w:spacing w:before="0" w:after="283"/>
              <w:jc w:val="left"/>
              <w:rPr/>
            </w:pPr>
            <w:r>
              <w:rPr/>
              <w:t xml:space="preserve">  </w:t>
            </w:r>
          </w:p>
        </w:tc>
      </w:tr>
      <w:tr>
        <w:trPr/>
        <w:tc>
          <w:tcPr>
            <w:tcW w:w="1649" w:type="dxa"/>
            <w:vMerge w:val="continue"/>
            <w:tcBorders/>
            <w:shd w:fill="000080" w:val="clear"/>
          </w:tcPr>
          <w:p>
            <w:pPr>
              <w:pStyle w:val="Normal"/>
              <w:rPr/>
            </w:pPr>
            <w:r>
              <w:rPr/>
            </w:r>
          </w:p>
        </w:tc>
        <w:tc>
          <w:tcPr>
            <w:tcW w:w="1649" w:type="dxa"/>
            <w:tcBorders>
              <w:bottom w:val="single" w:sz="12" w:space="0" w:color="000000"/>
            </w:tcBorders>
            <w:shd w:fill="auto" w:val="clear"/>
            <w:tcMar>
              <w:bottom w:w="28" w:type="dxa"/>
            </w:tcMar>
            <w:vAlign w:val="center"/>
          </w:tcPr>
          <w:p>
            <w:pPr>
              <w:pStyle w:val="TableContents"/>
              <w:spacing w:before="0" w:after="283"/>
              <w:jc w:val="left"/>
              <w:rPr/>
            </w:pPr>
            <w:r>
              <w:rPr/>
              <w:t xml:space="preserve">  </w:t>
            </w:r>
          </w:p>
        </w:tc>
        <w:tc>
          <w:tcPr>
            <w:tcW w:w="4124" w:type="dxa"/>
            <w:tcBorders>
              <w:bottom w:val="single" w:sz="12" w:space="0" w:color="000000"/>
            </w:tcBorders>
            <w:shd w:fill="auto" w:val="clear"/>
            <w:tcMar>
              <w:bottom w:w="28" w:type="dxa"/>
            </w:tcMar>
            <w:vAlign w:val="center"/>
          </w:tcPr>
          <w:p>
            <w:pPr>
              <w:pStyle w:val="TableContents"/>
              <w:spacing w:before="0" w:after="283"/>
              <w:jc w:val="left"/>
              <w:rPr/>
            </w:pPr>
            <w:r>
              <w:rPr/>
              <w:t xml:space="preserve">  </w:t>
            </w:r>
          </w:p>
        </w:tc>
        <w:tc>
          <w:tcPr>
            <w:tcW w:w="2783" w:type="dxa"/>
            <w:gridSpan w:val="2"/>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b/>
                <w:color w:val="0000FF"/>
                <w:sz w:val="48"/>
              </w:rPr>
            </w:pPr>
            <w:r>
              <w:rPr>
                <w:rFonts w:ascii="Times New Roman" w:hAnsi="Times New Roman"/>
                <w:b/>
                <w:color w:val="0000FF"/>
                <w:sz w:val="48"/>
              </w:rPr>
              <w:t>News Release</w:t>
            </w:r>
          </w:p>
        </w:tc>
      </w:tr>
      <w:tr>
        <w:trPr/>
        <w:tc>
          <w:tcPr>
            <w:tcW w:w="1649" w:type="dxa"/>
            <w:vMerge w:val="continue"/>
            <w:tcBorders/>
            <w:shd w:fill="000080" w:val="clear"/>
          </w:tcPr>
          <w:p>
            <w:pPr>
              <w:pStyle w:val="Normal"/>
              <w:rPr/>
            </w:pPr>
            <w:r>
              <w:rPr/>
            </w:r>
          </w:p>
        </w:tc>
        <w:tc>
          <w:tcPr>
            <w:tcW w:w="1649" w:type="dxa"/>
            <w:tcBorders/>
            <w:shd w:fill="auto" w:val="clear"/>
            <w:vAlign w:val="center"/>
          </w:tcPr>
          <w:p>
            <w:pPr>
              <w:pStyle w:val="TableContents"/>
              <w:spacing w:before="0" w:after="0"/>
              <w:ind w:left="180" w:right="0" w:hanging="0"/>
              <w:jc w:val="left"/>
              <w:rPr>
                <w:rFonts w:ascii="times new roman" w:hAnsi="times new roman"/>
                <w:sz w:val="20"/>
              </w:rPr>
            </w:pPr>
            <w:r>
              <w:rPr>
                <w:rFonts w:ascii="times new roman" w:hAnsi="times new roman"/>
                <w:b/>
                <w:sz w:val="20"/>
              </w:rPr>
              <w:t xml:space="preserve">Release:   </w:t>
            </w:r>
            <w:r>
              <w:rPr>
                <w:rFonts w:ascii="times new roman" w:hAnsi="times new roman"/>
                <w:sz w:val="20"/>
              </w:rPr>
              <w:t>Immediate</w:t>
            </w:r>
          </w:p>
        </w:tc>
        <w:tc>
          <w:tcPr>
            <w:tcW w:w="4124" w:type="dxa"/>
            <w:tcBorders/>
            <w:shd w:fill="auto" w:val="clear"/>
            <w:vAlign w:val="center"/>
          </w:tcPr>
          <w:p>
            <w:pPr>
              <w:pStyle w:val="TableContents"/>
              <w:spacing w:before="0" w:after="283"/>
              <w:jc w:val="left"/>
              <w:rPr/>
            </w:pPr>
            <w:r>
              <w:rPr/>
              <w:t xml:space="preserve">  </w:t>
            </w:r>
          </w:p>
        </w:tc>
        <w:tc>
          <w:tcPr>
            <w:tcW w:w="1133" w:type="dxa"/>
            <w:tcBorders/>
            <w:shd w:fill="auto" w:val="clear"/>
            <w:vAlign w:val="center"/>
          </w:tcPr>
          <w:p>
            <w:pPr>
              <w:pStyle w:val="TableContents"/>
              <w:spacing w:before="0" w:after="0"/>
              <w:ind w:left="180" w:right="0" w:hanging="0"/>
              <w:jc w:val="left"/>
              <w:rPr>
                <w:rFonts w:ascii="times new roman" w:hAnsi="times new roman"/>
                <w:b/>
                <w:sz w:val="20"/>
              </w:rPr>
            </w:pPr>
            <w:r>
              <w:rPr>
                <w:rFonts w:ascii="times new roman" w:hAnsi="times new roman"/>
                <w:b/>
                <w:sz w:val="20"/>
              </w:rPr>
              <w:t>Contact:</w:t>
            </w:r>
          </w:p>
        </w:tc>
        <w:tc>
          <w:tcPr>
            <w:tcW w:w="16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Ronda J. Williams</w:t>
            </w:r>
          </w:p>
        </w:tc>
      </w:tr>
      <w:tr>
        <w:trPr/>
        <w:tc>
          <w:tcPr>
            <w:tcW w:w="1649" w:type="dxa"/>
            <w:vMerge w:val="continue"/>
            <w:tcBorders/>
            <w:shd w:fill="000080" w:val="clear"/>
          </w:tcPr>
          <w:p>
            <w:pPr>
              <w:pStyle w:val="Normal"/>
              <w:rPr/>
            </w:pPr>
            <w:r>
              <w:rPr/>
            </w:r>
          </w:p>
        </w:tc>
        <w:tc>
          <w:tcPr>
            <w:tcW w:w="1649" w:type="dxa"/>
            <w:tcBorders/>
            <w:shd w:fill="auto" w:val="clear"/>
            <w:vAlign w:val="center"/>
          </w:tcPr>
          <w:p>
            <w:pPr>
              <w:pStyle w:val="TableContents"/>
              <w:spacing w:before="0" w:after="283"/>
              <w:jc w:val="left"/>
              <w:rPr/>
            </w:pPr>
            <w:r>
              <w:rPr/>
              <w:t xml:space="preserve">  </w:t>
            </w:r>
          </w:p>
        </w:tc>
        <w:tc>
          <w:tcPr>
            <w:tcW w:w="4124" w:type="dxa"/>
            <w:tcBorders/>
            <w:shd w:fill="auto" w:val="clear"/>
            <w:vAlign w:val="center"/>
          </w:tcPr>
          <w:p>
            <w:pPr>
              <w:pStyle w:val="TableContents"/>
              <w:spacing w:before="0" w:after="283"/>
              <w:jc w:val="left"/>
              <w:rPr/>
            </w:pPr>
            <w:r>
              <w:rPr/>
              <w:t xml:space="preserve">  </w:t>
            </w:r>
          </w:p>
        </w:tc>
        <w:tc>
          <w:tcPr>
            <w:tcW w:w="1133" w:type="dxa"/>
            <w:tcBorders/>
            <w:shd w:fill="auto" w:val="clear"/>
            <w:vAlign w:val="center"/>
          </w:tcPr>
          <w:p>
            <w:pPr>
              <w:pStyle w:val="TableContents"/>
              <w:spacing w:before="0" w:after="283"/>
              <w:jc w:val="left"/>
              <w:rPr/>
            </w:pPr>
            <w:r>
              <w:rPr/>
              <w:t xml:space="preserve">  </w:t>
            </w:r>
          </w:p>
        </w:tc>
        <w:tc>
          <w:tcPr>
            <w:tcW w:w="16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312-706-3232</w:t>
            </w:r>
          </w:p>
        </w:tc>
      </w:tr>
      <w:tr>
        <w:trPr/>
        <w:tc>
          <w:tcPr>
            <w:tcW w:w="1649" w:type="dxa"/>
            <w:vMerge w:val="continue"/>
            <w:tcBorders/>
            <w:shd w:fill="000080" w:val="clear"/>
          </w:tcPr>
          <w:p>
            <w:pPr>
              <w:pStyle w:val="Normal"/>
              <w:rPr/>
            </w:pPr>
            <w:r>
              <w:rPr/>
            </w:r>
          </w:p>
        </w:tc>
        <w:tc>
          <w:tcPr>
            <w:tcW w:w="8556" w:type="dxa"/>
            <w:gridSpan w:val="4"/>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Board of Directors Authorizes Additional Common</w:t>
            </w:r>
          </w:p>
          <w:p>
            <w:pPr>
              <w:pStyle w:val="TableContents"/>
              <w:spacing w:before="0" w:after="0"/>
              <w:ind w:left="0" w:right="0" w:hanging="0"/>
              <w:jc w:val="center"/>
              <w:rPr>
                <w:rFonts w:ascii="times new roman" w:hAnsi="times new roman"/>
                <w:b/>
                <w:sz w:val="20"/>
              </w:rPr>
            </w:pPr>
            <w:r>
              <w:rPr>
                <w:rFonts w:ascii="times new roman" w:hAnsi="times new roman"/>
                <w:b/>
                <w:sz w:val="20"/>
              </w:rPr>
              <w:t>Stock Repurchases and Declares Dividends</w:t>
            </w:r>
          </w:p>
          <w:p>
            <w:pPr>
              <w:pStyle w:val="TableContents"/>
              <w:spacing w:before="0" w:after="0"/>
              <w:ind w:left="0" w:right="0" w:hanging="0"/>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CHICAGO – March 12, 2010 – Oil-Dri Corporation of America (NYSE: ODC) announced today that its Board of Directors has authorized the repurchase of an additional 250,000 shares of its Common Stock and has declared quarterly cash dividends of $0.15 per share of the Company’s Common Stock and $0.1125 per share of the Company’s Class B Stock.</w:t>
            </w:r>
          </w:p>
          <w:p>
            <w:pPr>
              <w:pStyle w:val="TableContents"/>
              <w:spacing w:before="0" w:after="0"/>
              <w:ind w:left="0" w:right="0" w:hanging="0"/>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President and Chief Executive Officer Daniel S. Jaffee said, “We continue to believe our Common Stock repurchase program is a good investment in our future and I am pleased with the Board’s decision to approve additional shares for this program.”</w:t>
            </w:r>
          </w:p>
          <w:p>
            <w:pPr>
              <w:pStyle w:val="TableContents"/>
              <w:spacing w:before="0" w:after="0"/>
              <w:ind w:left="0" w:right="0" w:hanging="0"/>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Including the 238,243 shares remaining under the prior authorizations, the Company is now authorized to repurchase a total of 488,243 shares of Common Stock.</w:t>
            </w:r>
          </w:p>
          <w:p>
            <w:pPr>
              <w:pStyle w:val="TableContents"/>
              <w:spacing w:before="0" w:after="0"/>
              <w:ind w:left="0" w:right="0" w:hanging="0"/>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The dividends will be payable on June 4, 2010, to stockholders of record at the close of business on May 21, 2010.  The Company has paid cash dividends continuously since 1974.</w:t>
            </w:r>
          </w:p>
          <w:p>
            <w:pPr>
              <w:pStyle w:val="TableContents"/>
              <w:spacing w:before="0" w:after="0"/>
              <w:ind w:left="0" w:right="0" w:hanging="0"/>
              <w:rPr/>
            </w:pPr>
            <w:r>
              <w:rPr/>
              <w:t> </w:t>
            </w:r>
          </w:p>
          <w:p>
            <w:pPr>
              <w:pStyle w:val="TableContents"/>
              <w:spacing w:before="0" w:after="0"/>
              <w:ind w:left="18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p>
            <w:pPr>
              <w:pStyle w:val="HorizontalLine"/>
              <w:pBdr>
                <w:bottom w:val="single" w:sz="12" w:space="0" w:color="808080"/>
              </w:pBdr>
              <w:jc w:val="left"/>
              <w:rPr/>
            </w:pPr>
            <w:r>
              <w:rPr/>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and specialty markets and the world’s largest manufacturer of cat litter.</w:t>
            </w:r>
          </w:p>
          <w:p>
            <w:pPr>
              <w:pStyle w:val="TableContents"/>
              <w:spacing w:before="0" w:after="0"/>
              <w:ind w:left="0" w:right="0" w:hanging="0"/>
              <w:rPr/>
            </w:pPr>
            <w:r>
              <w:rPr/>
              <w:t> </w:t>
            </w:r>
          </w:p>
          <w:p>
            <w:pPr>
              <w:pStyle w:val="TableContents"/>
              <w:spacing w:before="0" w:after="0"/>
              <w:ind w:left="180" w:right="0" w:hanging="0"/>
              <w:jc w:val="left"/>
              <w:rPr>
                <w:rFonts w:ascii="times new roman" w:hAnsi="times new roman"/>
                <w:i/>
                <w:sz w:val="20"/>
              </w:rPr>
            </w:pPr>
            <w:r>
              <w:rPr>
                <w:rFonts w:ascii="times new roman" w:hAnsi="times new roman"/>
                <w:i/>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ableContents"/>
              <w:spacing w:before="0" w:after="0"/>
              <w:ind w:left="0" w:right="0" w:hanging="0"/>
              <w:rPr/>
            </w:pPr>
            <w:r>
              <w:rPr/>
              <w:t> </w:t>
            </w:r>
          </w:p>
          <w:p>
            <w:pPr>
              <w:pStyle w:val="TableContents"/>
              <w:spacing w:before="0" w:after="0"/>
              <w:ind w:left="180" w:right="0" w:hanging="0"/>
              <w:jc w:val="left"/>
              <w:rPr>
                <w:rFonts w:ascii="times new roman" w:hAnsi="times new roman"/>
                <w:i/>
                <w:sz w:val="20"/>
              </w:rPr>
            </w:pPr>
            <w:r>
              <w:rPr>
                <w:rFonts w:ascii="times new roman" w:hAnsi="times new roman"/>
                <w:i/>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tc>
      </w:tr>
    </w:tbl>
    <w:p>
      <w:pPr>
        <w:pStyle w:val="TextBody"/>
        <w:spacing w:before="0" w:after="283"/>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915</Words>
  <CharactersWithSpaces>6238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