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320"/>
              <w:spacing w:after="0"/>
              <w:rPr>
                <w:sz w:val="20"/>
                <w:szCs w:val="20"/>
                <w:color w:val="auto"/>
              </w:rPr>
            </w:pPr>
            <w:r>
              <w:rPr>
                <w:rFonts w:ascii="Arial" w:cs="Arial" w:eastAsia="Arial" w:hAnsi="Arial"/>
                <w:sz w:val="18"/>
                <w:szCs w:val="18"/>
                <w:color w:val="auto"/>
                <w:w w:val="91"/>
              </w:rPr>
              <w:t>October 9, 2015</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2015, Oil-Dri Corporation of America (the “Registrant”) issued a press release announcing its results of operations for its fourth quarter and fiscal year ended July 31, 2015.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sectPr>
          <w:pgSz w:w="11900" w:h="16838" w:orient="portrait"/>
          <w:cols w:equalWidth="0" w:num="1">
            <w:col w:w="11420"/>
          </w:cols>
          <w:pgMar w:left="240" w:top="742" w:right="239" w:bottom="1440" w:gutter="0" w:footer="0" w:header="0"/>
        </w:sectPr>
      </w:pPr>
    </w:p>
    <w:bookmarkStart w:id="2" w:name="page3"/>
    <w:bookmarkEnd w:id="2"/>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700" w:type="dxa"/>
            <w:vAlign w:val="bottom"/>
          </w:tcPr>
          <w:p>
            <w:pPr>
              <w:ind w:left="40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of the Registrant dated October 9, 2015 (Quarterly Earnings)</w:t>
            </w:r>
          </w:p>
        </w:tc>
      </w:tr>
    </w:tbl>
    <w:p>
      <w:pPr>
        <w:sectPr>
          <w:pgSz w:w="11900" w:h="16838" w:orient="portrait"/>
          <w:cols w:equalWidth="0" w:num="1">
            <w:col w:w="11420"/>
          </w:cols>
          <w:pgMar w:left="240" w:top="742" w:right="239" w:bottom="1440" w:gutter="0" w:footer="0" w:header="0"/>
        </w:sectPr>
      </w:pPr>
    </w:p>
    <w:bookmarkStart w:id="3" w:name="page4"/>
    <w:bookmarkEnd w:id="3"/>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9, 2015</w:t>
      </w:r>
    </w:p>
    <w:p>
      <w:pPr>
        <w:sectPr>
          <w:pgSz w:w="11900" w:h="16838" w:orient="portrait"/>
          <w:cols w:equalWidth="0" w:num="1">
            <w:col w:w="10880"/>
          </w:cols>
          <w:pgMar w:left="240" w:top="580" w:right="7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3"/>
          </w:tcPr>
          <w:p>
            <w:pPr>
              <w:ind w:left="350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3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3500" w:type="dxa"/>
            <w:vAlign w:val="bottom"/>
          </w:tcPr>
          <w:p>
            <w:pPr>
              <w:spacing w:after="0"/>
              <w:rPr>
                <w:sz w:val="23"/>
                <w:szCs w:val="23"/>
                <w:color w:val="auto"/>
              </w:rPr>
            </w:pPr>
          </w:p>
        </w:tc>
        <w:tc>
          <w:tcPr>
            <w:tcW w:w="6200" w:type="dxa"/>
            <w:vAlign w:val="bottom"/>
            <w:gridSpan w:val="2"/>
          </w:tcPr>
          <w:p>
            <w:pPr>
              <w:ind w:left="5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gridSpan w:val="3"/>
          </w:tcPr>
          <w:p>
            <w:pPr>
              <w:ind w:left="40"/>
              <w:spacing w:after="0"/>
              <w:rPr>
                <w:sz w:val="20"/>
                <w:szCs w:val="20"/>
                <w:color w:val="auto"/>
              </w:rPr>
            </w:pPr>
            <w:r>
              <w:rPr>
                <w:rFonts w:ascii="Arial" w:cs="Arial" w:eastAsia="Arial" w:hAnsi="Arial"/>
                <w:sz w:val="18"/>
                <w:szCs w:val="18"/>
                <w:color w:val="auto"/>
              </w:rPr>
              <w:t>Press Release of the Registrant dated October 9, 2015 (Quarterly Earnings)</w:t>
            </w:r>
          </w:p>
        </w:tc>
      </w:tr>
    </w:tbl>
    <w:p>
      <w:pPr>
        <w:sectPr>
          <w:pgSz w:w="11900" w:h="16838" w:orient="portrait"/>
          <w:cols w:equalWidth="0" w:num="1">
            <w:col w:w="11420"/>
          </w:cols>
          <w:pgMar w:left="240" w:top="56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3"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Record High Fourth Quarter Earnings Per Share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Strong Fiscal 2015 Results</w:t>
      </w:r>
    </w:p>
    <w:p>
      <w:pPr>
        <w:spacing w:after="0" w:line="242"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CHICAGO-(October 9, 2015)-Oil-Dri Corporation of America (NYSE: ODC) today announced income for the fourth quarter of fiscal 2015 of $5,066,000, or $0.71 in diluted earnings per share, compared to net income of $466,000, or $0.07 in diluted earnings per share, in the prior year. Net sales in the quarter of $65,519,000 decreased by 1% compared to net sales of $66,045,000 in the prior year. Quarterly income was the highest ever, surpassing a record quarter in 2013 that was also positively impacted by an Alternative Minimum Tax (AMT) adjustment.</w:t>
      </w:r>
    </w:p>
    <w:p>
      <w:pPr>
        <w:spacing w:after="0" w:line="287" w:lineRule="exact"/>
        <w:rPr>
          <w:sz w:val="20"/>
          <w:szCs w:val="20"/>
          <w:color w:val="auto"/>
        </w:rPr>
      </w:pPr>
    </w:p>
    <w:p>
      <w:pPr>
        <w:jc w:val="both"/>
        <w:ind w:right="260"/>
        <w:spacing w:after="0" w:line="312" w:lineRule="auto"/>
        <w:rPr>
          <w:sz w:val="20"/>
          <w:szCs w:val="20"/>
          <w:color w:val="auto"/>
        </w:rPr>
      </w:pPr>
      <w:r>
        <w:rPr>
          <w:rFonts w:ascii="Arial" w:cs="Arial" w:eastAsia="Arial" w:hAnsi="Arial"/>
          <w:sz w:val="19"/>
          <w:szCs w:val="19"/>
          <w:color w:val="auto"/>
        </w:rPr>
        <w:t>Net income for the fiscal year was $11,368,000, or $1.59 in diluted earnings per share, compared to net income of $8,356,000, or $1.17 in diluted earnings per share in the prior year, making 2015 the second best year in company history. Net sales in the 2015 fiscal year of $261,402,000 decreased 2% compared to net sales of $266,313,000 in the prior year.</w:t>
      </w:r>
    </w:p>
    <w:p>
      <w:pPr>
        <w:spacing w:after="0" w:line="228"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In addition to benefiting from an improved gross profit margin, net income and earnings per share for both the quarter and the fiscal year were increased by the utilization of approximately $1,658,000 of domestic AMT attributes. This reduced the domestic AMT valuation allowance that had been established in prior years. As a result, the Company's federal income tax rate was 19.8% in fiscal 2015, compared to 26.3% in fiscal 2014. The tax rate is expected to return to historic levels in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937" w:right="239" w:bottom="1440" w:gutter="0" w:footer="0" w:header="0"/>
        </w:sectPr>
      </w:pPr>
    </w:p>
    <w:bookmarkStart w:id="6" w:name="page7"/>
    <w:bookmarkEnd w:id="6"/>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2"/>
          <w:szCs w:val="22"/>
          <w:b w:val="1"/>
          <w:bCs w:val="1"/>
          <w:color w:val="auto"/>
        </w:rPr>
        <w:t>BUSINESS REVIEW</w:t>
      </w:r>
    </w:p>
    <w:p>
      <w:pPr>
        <w:spacing w:after="0" w:line="26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President and Chief Executive Officer Daniel S. Jaffee said, “Results from the fourth quarter were a remarkable turnaround from the third quarter. Earnings per share, gross profit margin and cash generated from operations all increased. A combination of increased sales of our high margin value added products, and the continued downward pressure of energy costs and commodities in general, worked in our favor.</w:t>
      </w:r>
    </w:p>
    <w:p>
      <w:pPr>
        <w:spacing w:after="0" w:line="242"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“Overall, we are extremely pleased with the income record we have set for the quarter, our strong year-end results, and 2015’s tangible accomplishments:</w:t>
      </w:r>
    </w:p>
    <w:p>
      <w:pPr>
        <w:spacing w:after="0" w:line="2" w:lineRule="exact"/>
        <w:rPr>
          <w:sz w:val="20"/>
          <w:szCs w:val="20"/>
          <w:color w:val="auto"/>
        </w:rPr>
      </w:pPr>
    </w:p>
    <w:p>
      <w:pPr>
        <w:ind w:left="660" w:right="20" w:hanging="328"/>
        <w:spacing w:after="0" w:line="24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20"/>
          <w:szCs w:val="20"/>
          <w:color w:val="auto"/>
        </w:rPr>
        <w:t>Cat’s Pride Fresh &amp; Light</w:t>
      </w:r>
      <w:r>
        <w:rPr>
          <w:rFonts w:ascii="Arial" w:cs="Arial" w:eastAsia="Arial" w:hAnsi="Arial"/>
          <w:sz w:val="26"/>
          <w:szCs w:val="26"/>
          <w:color w:val="auto"/>
          <w:vertAlign w:val="superscript"/>
        </w:rPr>
        <w:t>®</w:t>
      </w:r>
      <w:r>
        <w:rPr>
          <w:rFonts w:ascii="Arial" w:cs="Arial" w:eastAsia="Arial" w:hAnsi="Arial"/>
          <w:sz w:val="20"/>
          <w:szCs w:val="20"/>
          <w:color w:val="auto"/>
        </w:rPr>
        <w:t xml:space="preserve"> represents 15% of the lightweight litter segment, and the lightweight litter category continues to grow and now represents 17.5% of the scoopable segment according to a third party market research company.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We now supply or have commitments from over 20 major accounts for their private label lightweight products.</w:t>
      </w:r>
    </w:p>
    <w:p>
      <w:pPr>
        <w:spacing w:after="0" w:line="21" w:lineRule="exact"/>
        <w:rPr>
          <w:rFonts w:ascii="Arial" w:cs="Arial" w:eastAsia="Arial" w:hAnsi="Arial"/>
          <w:sz w:val="18"/>
          <w:szCs w:val="18"/>
          <w:color w:val="auto"/>
        </w:rPr>
      </w:pPr>
    </w:p>
    <w:p>
      <w:pPr>
        <w:ind w:left="660" w:right="360" w:hanging="328"/>
        <w:spacing w:after="0" w:line="23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Industrial products business delivered a very strong year and introduced Snow &amp; Go</w:t>
      </w:r>
      <w:r>
        <w:rPr>
          <w:rFonts w:ascii="Arial" w:cs="Arial" w:eastAsia="Arial" w:hAnsi="Arial"/>
          <w:sz w:val="28"/>
          <w:szCs w:val="28"/>
          <w:color w:val="auto"/>
          <w:vertAlign w:val="superscript"/>
        </w:rPr>
        <w:t>™</w:t>
      </w:r>
      <w:r>
        <w:rPr>
          <w:rFonts w:ascii="Arial" w:cs="Arial" w:eastAsia="Arial" w:hAnsi="Arial"/>
          <w:sz w:val="18"/>
          <w:szCs w:val="18"/>
          <w:color w:val="auto"/>
        </w:rPr>
        <w:t>,</w:t>
      </w:r>
      <w:r>
        <w:rPr>
          <w:rFonts w:ascii="Arial" w:cs="Arial" w:eastAsia="Arial" w:hAnsi="Arial"/>
          <w:sz w:val="22"/>
          <w:szCs w:val="22"/>
          <w:color w:val="auto"/>
        </w:rPr>
        <w:t xml:space="preserve"> a winter traction aid and ice melt product, nationally.</w:t>
      </w:r>
    </w:p>
    <w:p>
      <w:pPr>
        <w:ind w:left="660" w:hanging="328"/>
        <w:spacing w:after="0" w:line="23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Demand is high for our Verge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engineered granules.</w:t>
      </w:r>
    </w:p>
    <w:p>
      <w:pPr>
        <w:ind w:left="660" w:right="20" w:hanging="328"/>
        <w:spacing w:after="0" w:line="26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21"/>
          <w:szCs w:val="21"/>
          <w:color w:val="auto"/>
        </w:rPr>
        <w:t>Changes were made within our senior management team, including my role. In order to ensure continued growth of our lightweight products, I have taken on direct management of our Consumer business. Succession planning has also paid off as various key managers retired and internal teammates filled their roles. Lastly, outside recruiting has enabled us to bring a fresh perspective to our manufacturing and operations.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60"/>
          </w:cols>
          <w:pgMar w:left="240" w:top="1440" w:right="299" w:bottom="1440" w:gutter="0" w:footer="0" w:header="0"/>
        </w:sectPr>
      </w:pPr>
    </w:p>
    <w:bookmarkStart w:id="7" w:name="page8"/>
    <w:bookmarkEnd w:id="7"/>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2"/>
          <w:szCs w:val="22"/>
          <w:b w:val="1"/>
          <w:bCs w:val="1"/>
          <w:color w:val="auto"/>
        </w:rPr>
        <w:t>SEGMENT REVIEW</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BUSINESS TO BUSINESS</w:t>
      </w:r>
    </w:p>
    <w:p>
      <w:pPr>
        <w:spacing w:after="0" w:line="15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Fourth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wp:posOffset>
            </wp:positionV>
            <wp:extent cx="71094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37" w:lineRule="exact"/>
        <w:rPr>
          <w:sz w:val="20"/>
          <w:szCs w:val="20"/>
          <w:color w:val="auto"/>
        </w:rPr>
      </w:pPr>
    </w:p>
    <w:tbl>
      <w:tblPr>
        <w:tblLayout w:type="fixed"/>
        <w:tblInd w:w="80" w:type="dxa"/>
        <w:tblCellMar>
          <w:top w:w="0" w:type="dxa"/>
          <w:left w:w="0" w:type="dxa"/>
          <w:bottom w:w="0" w:type="dxa"/>
          <w:right w:w="0" w:type="dxa"/>
        </w:tblCellMar>
      </w:tblPr>
      <w:tr>
        <w:trPr>
          <w:trHeight w:val="246"/>
        </w:trPr>
        <w:tc>
          <w:tcPr>
            <w:tcW w:w="3480" w:type="dxa"/>
            <w:vAlign w:val="bottom"/>
          </w:tcPr>
          <w:p>
            <w:pPr>
              <w:spacing w:after="0"/>
              <w:rPr>
                <w:sz w:val="21"/>
                <w:szCs w:val="21"/>
                <w:color w:val="auto"/>
              </w:rPr>
            </w:pPr>
          </w:p>
        </w:tc>
        <w:tc>
          <w:tcPr>
            <w:tcW w:w="5880" w:type="dxa"/>
            <w:vAlign w:val="bottom"/>
            <w:gridSpan w:val="2"/>
          </w:tcPr>
          <w:p>
            <w:pPr>
              <w:jc w:val="center"/>
              <w:ind w:left="1205"/>
              <w:spacing w:after="0"/>
              <w:rPr>
                <w:sz w:val="20"/>
                <w:szCs w:val="20"/>
                <w:color w:val="auto"/>
              </w:rPr>
            </w:pPr>
            <w:r>
              <w:rPr>
                <w:rFonts w:ascii="Arial" w:cs="Arial" w:eastAsia="Arial" w:hAnsi="Arial"/>
                <w:sz w:val="19"/>
                <w:szCs w:val="19"/>
                <w:b w:val="1"/>
                <w:bCs w:val="1"/>
                <w:color w:val="auto"/>
                <w:w w:val="93"/>
              </w:rPr>
              <w:t>Three Month Period</w:t>
            </w:r>
          </w:p>
        </w:tc>
        <w:tc>
          <w:tcPr>
            <w:tcW w:w="1840" w:type="dxa"/>
            <w:vAlign w:val="bottom"/>
          </w:tcPr>
          <w:p>
            <w:pPr>
              <w:spacing w:after="0"/>
              <w:rPr>
                <w:sz w:val="21"/>
                <w:szCs w:val="21"/>
                <w:color w:val="auto"/>
              </w:rPr>
            </w:pPr>
          </w:p>
        </w:tc>
      </w:tr>
      <w:tr>
        <w:trPr>
          <w:trHeight w:val="270"/>
        </w:trPr>
        <w:tc>
          <w:tcPr>
            <w:tcW w:w="3480" w:type="dxa"/>
            <w:vAlign w:val="bottom"/>
          </w:tcPr>
          <w:p>
            <w:pPr>
              <w:spacing w:after="0"/>
              <w:rPr>
                <w:sz w:val="23"/>
                <w:szCs w:val="23"/>
                <w:color w:val="auto"/>
              </w:rPr>
            </w:pPr>
          </w:p>
        </w:tc>
        <w:tc>
          <w:tcPr>
            <w:tcW w:w="4260" w:type="dxa"/>
            <w:vAlign w:val="bottom"/>
          </w:tcPr>
          <w:p>
            <w:pPr>
              <w:jc w:val="center"/>
              <w:ind w:left="2825"/>
              <w:spacing w:after="0"/>
              <w:rPr>
                <w:sz w:val="20"/>
                <w:szCs w:val="20"/>
                <w:color w:val="auto"/>
              </w:rPr>
            </w:pPr>
            <w:r>
              <w:rPr>
                <w:rFonts w:ascii="Arial" w:cs="Arial" w:eastAsia="Arial" w:hAnsi="Arial"/>
                <w:sz w:val="19"/>
                <w:szCs w:val="19"/>
                <w:b w:val="1"/>
                <w:bCs w:val="1"/>
                <w:color w:val="auto"/>
                <w:w w:val="93"/>
              </w:rPr>
              <w:t>May 1 - July 31</w:t>
            </w:r>
          </w:p>
        </w:tc>
        <w:tc>
          <w:tcPr>
            <w:tcW w:w="1620" w:type="dxa"/>
            <w:vAlign w:val="bottom"/>
          </w:tcPr>
          <w:p>
            <w:pPr>
              <w:spacing w:after="0"/>
              <w:rPr>
                <w:sz w:val="23"/>
                <w:szCs w:val="23"/>
                <w:color w:val="auto"/>
              </w:rPr>
            </w:pPr>
          </w:p>
        </w:tc>
        <w:tc>
          <w:tcPr>
            <w:tcW w:w="1840" w:type="dxa"/>
            <w:vAlign w:val="bottom"/>
          </w:tcPr>
          <w:p>
            <w:pPr>
              <w:ind w:left="640"/>
              <w:spacing w:after="0"/>
              <w:rPr>
                <w:sz w:val="20"/>
                <w:szCs w:val="20"/>
                <w:color w:val="auto"/>
              </w:rPr>
            </w:pPr>
            <w:r>
              <w:rPr>
                <w:rFonts w:ascii="Arial" w:cs="Arial" w:eastAsia="Arial" w:hAnsi="Arial"/>
                <w:sz w:val="19"/>
                <w:szCs w:val="19"/>
                <w:b w:val="1"/>
                <w:bCs w:val="1"/>
                <w:color w:val="auto"/>
              </w:rPr>
              <w:t>Change</w:t>
            </w:r>
          </w:p>
        </w:tc>
      </w:tr>
      <w:tr>
        <w:trPr>
          <w:trHeight w:val="25"/>
        </w:trPr>
        <w:tc>
          <w:tcPr>
            <w:tcW w:w="34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9"/>
                <w:szCs w:val="19"/>
                <w:b w:val="1"/>
                <w:bCs w:val="1"/>
                <w:color w:val="auto"/>
              </w:rPr>
              <w:t>Fiscal 2015</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9"/>
                <w:szCs w:val="19"/>
                <w:b w:val="1"/>
                <w:bCs w:val="1"/>
                <w:color w:val="auto"/>
              </w:rPr>
              <w:t>Fiscal 2014</w:t>
            </w:r>
          </w:p>
        </w:tc>
        <w:tc>
          <w:tcPr>
            <w:tcW w:w="1840" w:type="dxa"/>
            <w:vAlign w:val="bottom"/>
            <w:tcBorders>
              <w:bottom w:val="single" w:sz="8" w:color="CCEEFF"/>
            </w:tcBorders>
            <w:shd w:val="clear" w:color="auto" w:fill="CCEEFF"/>
          </w:tcPr>
          <w:p>
            <w:pPr>
              <w:spacing w:after="0"/>
              <w:rPr>
                <w:sz w:val="21"/>
                <w:szCs w:val="21"/>
                <w:color w:val="auto"/>
              </w:rPr>
            </w:pPr>
          </w:p>
        </w:tc>
      </w:tr>
      <w:tr>
        <w:trPr>
          <w:trHeight w:val="246"/>
        </w:trPr>
        <w:tc>
          <w:tcPr>
            <w:tcW w:w="3480" w:type="dxa"/>
            <w:vAlign w:val="bottom"/>
          </w:tcPr>
          <w:p>
            <w:pPr>
              <w:ind w:left="200"/>
              <w:spacing w:after="0"/>
              <w:rPr>
                <w:sz w:val="20"/>
                <w:szCs w:val="20"/>
                <w:color w:val="auto"/>
              </w:rPr>
            </w:pPr>
            <w:r>
              <w:rPr>
                <w:rFonts w:ascii="Arial" w:cs="Arial" w:eastAsia="Arial" w:hAnsi="Arial"/>
                <w:sz w:val="19"/>
                <w:szCs w:val="19"/>
                <w:b w:val="1"/>
                <w:bCs w:val="1"/>
                <w:color w:val="auto"/>
              </w:rPr>
              <w:t>Net Sales</w:t>
            </w:r>
          </w:p>
        </w:tc>
        <w:tc>
          <w:tcPr>
            <w:tcW w:w="4260" w:type="dxa"/>
            <w:vAlign w:val="bottom"/>
          </w:tcPr>
          <w:p>
            <w:pPr>
              <w:jc w:val="right"/>
              <w:ind w:right="1265"/>
              <w:spacing w:after="0"/>
              <w:rPr>
                <w:sz w:val="20"/>
                <w:szCs w:val="20"/>
                <w:color w:val="auto"/>
              </w:rPr>
            </w:pPr>
            <w:r>
              <w:rPr>
                <w:rFonts w:ascii="Arial" w:cs="Arial" w:eastAsia="Arial" w:hAnsi="Arial"/>
                <w:sz w:val="19"/>
                <w:szCs w:val="19"/>
                <w:color w:val="auto"/>
              </w:rPr>
              <w:t>$23,777,000</w:t>
            </w:r>
          </w:p>
        </w:tc>
        <w:tc>
          <w:tcPr>
            <w:tcW w:w="1620" w:type="dxa"/>
            <w:vAlign w:val="bottom"/>
          </w:tcPr>
          <w:p>
            <w:pPr>
              <w:jc w:val="right"/>
              <w:ind w:right="545"/>
              <w:spacing w:after="0"/>
              <w:rPr>
                <w:sz w:val="20"/>
                <w:szCs w:val="20"/>
                <w:color w:val="auto"/>
              </w:rPr>
            </w:pPr>
            <w:r>
              <w:rPr>
                <w:rFonts w:ascii="Arial" w:cs="Arial" w:eastAsia="Arial" w:hAnsi="Arial"/>
                <w:sz w:val="19"/>
                <w:szCs w:val="19"/>
                <w:color w:val="auto"/>
                <w:w w:val="90"/>
              </w:rPr>
              <w:t>$22,637,000</w:t>
            </w:r>
          </w:p>
        </w:tc>
        <w:tc>
          <w:tcPr>
            <w:tcW w:w="1840" w:type="dxa"/>
            <w:vAlign w:val="bottom"/>
          </w:tcPr>
          <w:p>
            <w:pPr>
              <w:jc w:val="right"/>
              <w:ind w:right="665"/>
              <w:spacing w:after="0"/>
              <w:rPr>
                <w:sz w:val="20"/>
                <w:szCs w:val="20"/>
                <w:color w:val="auto"/>
              </w:rPr>
            </w:pPr>
            <w:r>
              <w:rPr>
                <w:rFonts w:ascii="Arial" w:cs="Arial" w:eastAsia="Arial" w:hAnsi="Arial"/>
                <w:sz w:val="19"/>
                <w:szCs w:val="19"/>
                <w:color w:val="auto"/>
              </w:rPr>
              <w:t>5%</w:t>
            </w:r>
          </w:p>
        </w:tc>
      </w:tr>
      <w:tr>
        <w:trPr>
          <w:trHeight w:val="24"/>
        </w:trPr>
        <w:tc>
          <w:tcPr>
            <w:tcW w:w="3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4260" w:type="dxa"/>
            <w:vAlign w:val="bottom"/>
            <w:tcBorders>
              <w:bottom w:val="single" w:sz="8" w:color="CCEEFF"/>
            </w:tcBorders>
            <w:shd w:val="clear" w:color="auto" w:fill="CCEEFF"/>
          </w:tcPr>
          <w:p>
            <w:pPr>
              <w:jc w:val="right"/>
              <w:ind w:right="1325"/>
              <w:spacing w:after="0"/>
              <w:rPr>
                <w:sz w:val="20"/>
                <w:szCs w:val="20"/>
                <w:color w:val="auto"/>
              </w:rPr>
            </w:pPr>
            <w:r>
              <w:rPr>
                <w:rFonts w:ascii="Arial" w:cs="Arial" w:eastAsia="Arial" w:hAnsi="Arial"/>
                <w:sz w:val="19"/>
                <w:szCs w:val="19"/>
                <w:color w:val="auto"/>
              </w:rPr>
              <w:t>$8,416,000</w:t>
            </w:r>
          </w:p>
        </w:tc>
        <w:tc>
          <w:tcPr>
            <w:tcW w:w="1620" w:type="dxa"/>
            <w:vAlign w:val="bottom"/>
            <w:tcBorders>
              <w:bottom w:val="single" w:sz="8" w:color="CCEEFF"/>
            </w:tcBorders>
            <w:shd w:val="clear" w:color="auto" w:fill="CCEEFF"/>
          </w:tcPr>
          <w:p>
            <w:pPr>
              <w:jc w:val="right"/>
              <w:ind w:right="585"/>
              <w:spacing w:after="0"/>
              <w:rPr>
                <w:sz w:val="20"/>
                <w:szCs w:val="20"/>
                <w:color w:val="auto"/>
              </w:rPr>
            </w:pPr>
            <w:r>
              <w:rPr>
                <w:rFonts w:ascii="Arial" w:cs="Arial" w:eastAsia="Arial" w:hAnsi="Arial"/>
                <w:sz w:val="19"/>
                <w:szCs w:val="19"/>
                <w:color w:val="auto"/>
                <w:w w:val="96"/>
              </w:rPr>
              <w:t>$5,674,000</w:t>
            </w:r>
          </w:p>
        </w:tc>
        <w:tc>
          <w:tcPr>
            <w:tcW w:w="1840" w:type="dxa"/>
            <w:vAlign w:val="bottom"/>
            <w:tcBorders>
              <w:bottom w:val="single" w:sz="8" w:color="CCEEFF"/>
            </w:tcBorders>
            <w:shd w:val="clear" w:color="auto" w:fill="CCEEFF"/>
          </w:tcPr>
          <w:p>
            <w:pPr>
              <w:jc w:val="right"/>
              <w:ind w:right="625"/>
              <w:spacing w:after="0"/>
              <w:rPr>
                <w:sz w:val="20"/>
                <w:szCs w:val="20"/>
                <w:color w:val="auto"/>
              </w:rPr>
            </w:pPr>
            <w:r>
              <w:rPr>
                <w:rFonts w:ascii="Arial" w:cs="Arial" w:eastAsia="Arial" w:hAnsi="Arial"/>
                <w:sz w:val="19"/>
                <w:szCs w:val="19"/>
                <w:color w:val="auto"/>
              </w:rPr>
              <w:t>48%</w:t>
            </w:r>
          </w:p>
        </w:tc>
      </w:tr>
      <w:tr>
        <w:trPr>
          <w:trHeight w:val="20"/>
        </w:trPr>
        <w:tc>
          <w:tcPr>
            <w:tcW w:w="3480" w:type="dxa"/>
            <w:vAlign w:val="bottom"/>
            <w:shd w:val="clear" w:color="auto" w:fill="000000"/>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Fiscal Year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wp:posOffset>
            </wp:positionV>
            <wp:extent cx="7109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37" w:lineRule="exact"/>
        <w:rPr>
          <w:sz w:val="20"/>
          <w:szCs w:val="20"/>
          <w:color w:val="auto"/>
        </w:rPr>
      </w:pPr>
    </w:p>
    <w:tbl>
      <w:tblPr>
        <w:tblLayout w:type="fixed"/>
        <w:tblInd w:w="80" w:type="dxa"/>
        <w:tblCellMar>
          <w:top w:w="0" w:type="dxa"/>
          <w:left w:w="0" w:type="dxa"/>
          <w:bottom w:w="0" w:type="dxa"/>
          <w:right w:w="0" w:type="dxa"/>
        </w:tblCellMar>
      </w:tblPr>
      <w:tr>
        <w:trPr>
          <w:trHeight w:val="246"/>
        </w:trPr>
        <w:tc>
          <w:tcPr>
            <w:tcW w:w="3480" w:type="dxa"/>
            <w:vAlign w:val="bottom"/>
          </w:tcPr>
          <w:p>
            <w:pPr>
              <w:spacing w:after="0"/>
              <w:rPr>
                <w:sz w:val="21"/>
                <w:szCs w:val="21"/>
                <w:color w:val="auto"/>
              </w:rPr>
            </w:pPr>
          </w:p>
        </w:tc>
        <w:tc>
          <w:tcPr>
            <w:tcW w:w="5880" w:type="dxa"/>
            <w:vAlign w:val="bottom"/>
            <w:gridSpan w:val="2"/>
          </w:tcPr>
          <w:p>
            <w:pPr>
              <w:jc w:val="center"/>
              <w:ind w:left="1205"/>
              <w:spacing w:after="0"/>
              <w:rPr>
                <w:sz w:val="20"/>
                <w:szCs w:val="20"/>
                <w:color w:val="auto"/>
              </w:rPr>
            </w:pPr>
            <w:r>
              <w:rPr>
                <w:rFonts w:ascii="Arial" w:cs="Arial" w:eastAsia="Arial" w:hAnsi="Arial"/>
                <w:sz w:val="19"/>
                <w:szCs w:val="19"/>
                <w:b w:val="1"/>
                <w:bCs w:val="1"/>
                <w:color w:val="auto"/>
                <w:w w:val="91"/>
              </w:rPr>
              <w:t>Twelve Month Period</w:t>
            </w:r>
          </w:p>
        </w:tc>
        <w:tc>
          <w:tcPr>
            <w:tcW w:w="1840" w:type="dxa"/>
            <w:vAlign w:val="bottom"/>
          </w:tcPr>
          <w:p>
            <w:pPr>
              <w:spacing w:after="0"/>
              <w:rPr>
                <w:sz w:val="21"/>
                <w:szCs w:val="21"/>
                <w:color w:val="auto"/>
              </w:rPr>
            </w:pPr>
          </w:p>
        </w:tc>
      </w:tr>
      <w:tr>
        <w:trPr>
          <w:trHeight w:val="270"/>
        </w:trPr>
        <w:tc>
          <w:tcPr>
            <w:tcW w:w="3480" w:type="dxa"/>
            <w:vAlign w:val="bottom"/>
          </w:tcPr>
          <w:p>
            <w:pPr>
              <w:spacing w:after="0"/>
              <w:rPr>
                <w:sz w:val="23"/>
                <w:szCs w:val="23"/>
                <w:color w:val="auto"/>
              </w:rPr>
            </w:pPr>
          </w:p>
        </w:tc>
        <w:tc>
          <w:tcPr>
            <w:tcW w:w="5880" w:type="dxa"/>
            <w:vAlign w:val="bottom"/>
            <w:gridSpan w:val="2"/>
          </w:tcPr>
          <w:p>
            <w:pPr>
              <w:jc w:val="center"/>
              <w:ind w:left="1205"/>
              <w:spacing w:after="0"/>
              <w:rPr>
                <w:sz w:val="20"/>
                <w:szCs w:val="20"/>
                <w:color w:val="auto"/>
              </w:rPr>
            </w:pPr>
            <w:r>
              <w:rPr>
                <w:rFonts w:ascii="Arial" w:cs="Arial" w:eastAsia="Arial" w:hAnsi="Arial"/>
                <w:sz w:val="19"/>
                <w:szCs w:val="19"/>
                <w:b w:val="1"/>
                <w:bCs w:val="1"/>
                <w:color w:val="auto"/>
                <w:w w:val="89"/>
              </w:rPr>
              <w:t>August 1 - July 31</w:t>
            </w:r>
          </w:p>
        </w:tc>
        <w:tc>
          <w:tcPr>
            <w:tcW w:w="1840" w:type="dxa"/>
            <w:vAlign w:val="bottom"/>
          </w:tcPr>
          <w:p>
            <w:pPr>
              <w:ind w:left="640"/>
              <w:spacing w:after="0"/>
              <w:rPr>
                <w:sz w:val="20"/>
                <w:szCs w:val="20"/>
                <w:color w:val="auto"/>
              </w:rPr>
            </w:pPr>
            <w:r>
              <w:rPr>
                <w:rFonts w:ascii="Arial" w:cs="Arial" w:eastAsia="Arial" w:hAnsi="Arial"/>
                <w:sz w:val="19"/>
                <w:szCs w:val="19"/>
                <w:b w:val="1"/>
                <w:bCs w:val="1"/>
                <w:color w:val="auto"/>
              </w:rPr>
              <w:t>Change</w:t>
            </w:r>
          </w:p>
        </w:tc>
      </w:tr>
      <w:tr>
        <w:trPr>
          <w:trHeight w:val="25"/>
        </w:trPr>
        <w:tc>
          <w:tcPr>
            <w:tcW w:w="34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9"/>
                <w:szCs w:val="19"/>
                <w:b w:val="1"/>
                <w:bCs w:val="1"/>
                <w:color w:val="auto"/>
              </w:rPr>
              <w:t>Fiscal 2015</w:t>
            </w:r>
          </w:p>
        </w:tc>
        <w:tc>
          <w:tcPr>
            <w:tcW w:w="2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9"/>
                <w:szCs w:val="19"/>
                <w:b w:val="1"/>
                <w:bCs w:val="1"/>
                <w:color w:val="auto"/>
              </w:rPr>
              <w:t>Fiscal 2014</w:t>
            </w:r>
          </w:p>
        </w:tc>
        <w:tc>
          <w:tcPr>
            <w:tcW w:w="1840" w:type="dxa"/>
            <w:vAlign w:val="bottom"/>
            <w:tcBorders>
              <w:bottom w:val="single" w:sz="8" w:color="CCEEFF"/>
            </w:tcBorders>
            <w:shd w:val="clear" w:color="auto" w:fill="CCEEFF"/>
          </w:tcPr>
          <w:p>
            <w:pPr>
              <w:spacing w:after="0"/>
              <w:rPr>
                <w:sz w:val="21"/>
                <w:szCs w:val="21"/>
                <w:color w:val="auto"/>
              </w:rPr>
            </w:pPr>
          </w:p>
        </w:tc>
      </w:tr>
      <w:tr>
        <w:trPr>
          <w:trHeight w:val="246"/>
        </w:trPr>
        <w:tc>
          <w:tcPr>
            <w:tcW w:w="3480" w:type="dxa"/>
            <w:vAlign w:val="bottom"/>
          </w:tcPr>
          <w:p>
            <w:pPr>
              <w:ind w:left="200"/>
              <w:spacing w:after="0"/>
              <w:rPr>
                <w:sz w:val="20"/>
                <w:szCs w:val="20"/>
                <w:color w:val="auto"/>
              </w:rPr>
            </w:pPr>
            <w:r>
              <w:rPr>
                <w:rFonts w:ascii="Arial" w:cs="Arial" w:eastAsia="Arial" w:hAnsi="Arial"/>
                <w:sz w:val="19"/>
                <w:szCs w:val="19"/>
                <w:b w:val="1"/>
                <w:bCs w:val="1"/>
                <w:color w:val="auto"/>
              </w:rPr>
              <w:t>Net Sales</w:t>
            </w:r>
          </w:p>
        </w:tc>
        <w:tc>
          <w:tcPr>
            <w:tcW w:w="3600" w:type="dxa"/>
            <w:vAlign w:val="bottom"/>
          </w:tcPr>
          <w:p>
            <w:pPr>
              <w:ind w:left="1940"/>
              <w:spacing w:after="0"/>
              <w:rPr>
                <w:sz w:val="20"/>
                <w:szCs w:val="20"/>
                <w:color w:val="auto"/>
              </w:rPr>
            </w:pPr>
            <w:r>
              <w:rPr>
                <w:rFonts w:ascii="Arial" w:cs="Arial" w:eastAsia="Arial" w:hAnsi="Arial"/>
                <w:sz w:val="19"/>
                <w:szCs w:val="19"/>
                <w:color w:val="auto"/>
              </w:rPr>
              <w:t>$92,326,000</w:t>
            </w:r>
          </w:p>
        </w:tc>
        <w:tc>
          <w:tcPr>
            <w:tcW w:w="2280" w:type="dxa"/>
            <w:vAlign w:val="bottom"/>
          </w:tcPr>
          <w:p>
            <w:pPr>
              <w:ind w:left="700"/>
              <w:spacing w:after="0"/>
              <w:rPr>
                <w:sz w:val="20"/>
                <w:szCs w:val="20"/>
                <w:color w:val="auto"/>
              </w:rPr>
            </w:pPr>
            <w:r>
              <w:rPr>
                <w:rFonts w:ascii="Arial" w:cs="Arial" w:eastAsia="Arial" w:hAnsi="Arial"/>
                <w:sz w:val="19"/>
                <w:szCs w:val="19"/>
                <w:color w:val="auto"/>
              </w:rPr>
              <w:t>$94,286,000</w:t>
            </w:r>
          </w:p>
        </w:tc>
        <w:tc>
          <w:tcPr>
            <w:tcW w:w="1840" w:type="dxa"/>
            <w:vAlign w:val="bottom"/>
          </w:tcPr>
          <w:p>
            <w:pPr>
              <w:jc w:val="right"/>
              <w:ind w:right="625"/>
              <w:spacing w:after="0"/>
              <w:rPr>
                <w:sz w:val="20"/>
                <w:szCs w:val="20"/>
                <w:color w:val="auto"/>
              </w:rPr>
            </w:pPr>
            <w:r>
              <w:rPr>
                <w:rFonts w:ascii="Arial" w:cs="Arial" w:eastAsia="Arial" w:hAnsi="Arial"/>
                <w:sz w:val="19"/>
                <w:szCs w:val="19"/>
                <w:color w:val="auto"/>
              </w:rPr>
              <w:t>-2%</w:t>
            </w:r>
          </w:p>
        </w:tc>
      </w:tr>
      <w:tr>
        <w:trPr>
          <w:trHeight w:val="24"/>
        </w:trPr>
        <w:tc>
          <w:tcPr>
            <w:tcW w:w="34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0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9"/>
                <w:szCs w:val="19"/>
                <w:color w:val="auto"/>
              </w:rPr>
              <w:t>$29,406,000</w:t>
            </w:r>
          </w:p>
        </w:tc>
        <w:tc>
          <w:tcPr>
            <w:tcW w:w="2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9"/>
                <w:szCs w:val="19"/>
                <w:color w:val="auto"/>
              </w:rPr>
              <w:t>$26,654,000</w:t>
            </w:r>
          </w:p>
        </w:tc>
        <w:tc>
          <w:tcPr>
            <w:tcW w:w="1840" w:type="dxa"/>
            <w:vAlign w:val="bottom"/>
            <w:tcBorders>
              <w:bottom w:val="single" w:sz="8" w:color="CCEEFF"/>
            </w:tcBorders>
            <w:shd w:val="clear" w:color="auto" w:fill="CCEEFF"/>
          </w:tcPr>
          <w:p>
            <w:pPr>
              <w:jc w:val="right"/>
              <w:ind w:right="625"/>
              <w:spacing w:after="0"/>
              <w:rPr>
                <w:sz w:val="20"/>
                <w:szCs w:val="20"/>
                <w:color w:val="auto"/>
              </w:rPr>
            </w:pPr>
            <w:r>
              <w:rPr>
                <w:rFonts w:ascii="Arial" w:cs="Arial" w:eastAsia="Arial" w:hAnsi="Arial"/>
                <w:sz w:val="19"/>
                <w:szCs w:val="19"/>
                <w:color w:val="auto"/>
              </w:rPr>
              <w:t>10%</w:t>
            </w:r>
          </w:p>
        </w:tc>
      </w:tr>
      <w:tr>
        <w:trPr>
          <w:trHeight w:val="20"/>
        </w:trPr>
        <w:tc>
          <w:tcPr>
            <w:tcW w:w="3480" w:type="dxa"/>
            <w:vAlign w:val="bottom"/>
            <w:shd w:val="clear" w:color="auto" w:fill="000000"/>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49"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Results of the Business to Business segment were driven by similar factors in both the fourth quarter and the fiscal year. For the fiscal year, sales of our animal health and nutrition products increased by approximately 18% and sales of our agricultural and horticultural products increased approximately 12% over fiscal 2014.</w:t>
      </w:r>
    </w:p>
    <w:p>
      <w:pPr>
        <w:spacing w:after="0" w:line="240"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Net sales and units sold for fluid purification products were both down approximately 10% compared to fiscal year 2014. Sales in foreign markets were negatively impacted by the strength of the U.S. Dollar relative to various foreign currencies, which effectively increased the price of our product compared to foreign competitors’ products. Additionally, sales were negatively impacted by natural variations in the quality and other characteristics of certain seed and bean crops.</w:t>
      </w:r>
    </w:p>
    <w:p>
      <w:pPr>
        <w:spacing w:after="0" w:line="197"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Net sales of our co-packaged coarse cat litter decreased approximately 7% and reflect the continued decline in the coarse litter market.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280"/>
          </w:cols>
          <w:pgMar w:left="240" w:top="1440" w:right="379" w:bottom="1440" w:gutter="0" w:footer="0" w:header="0"/>
        </w:sectPr>
      </w:pPr>
    </w:p>
    <w:bookmarkStart w:id="8" w:name="page9"/>
    <w:bookmarkEnd w:id="8"/>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b w:val="1"/>
          <w:bCs w:val="1"/>
          <w:color w:val="auto"/>
        </w:rPr>
        <w:t>RETAIL AND WHOLESALE</w:t>
      </w:r>
    </w:p>
    <w:p>
      <w:pPr>
        <w:spacing w:after="0" w:line="152"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Fourth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wp:posOffset>
            </wp:positionV>
            <wp:extent cx="71094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37" w:lineRule="exact"/>
        <w:rPr>
          <w:sz w:val="20"/>
          <w:szCs w:val="20"/>
          <w:color w:val="auto"/>
        </w:rPr>
      </w:pPr>
    </w:p>
    <w:tbl>
      <w:tblPr>
        <w:tblLayout w:type="fixed"/>
        <w:tblInd w:w="80" w:type="dxa"/>
        <w:tblCellMar>
          <w:top w:w="0" w:type="dxa"/>
          <w:left w:w="0" w:type="dxa"/>
          <w:bottom w:w="0" w:type="dxa"/>
          <w:right w:w="0" w:type="dxa"/>
        </w:tblCellMar>
      </w:tblPr>
      <w:tr>
        <w:trPr>
          <w:trHeight w:val="246"/>
        </w:trPr>
        <w:tc>
          <w:tcPr>
            <w:tcW w:w="3480" w:type="dxa"/>
            <w:vAlign w:val="bottom"/>
          </w:tcPr>
          <w:p>
            <w:pPr>
              <w:spacing w:after="0"/>
              <w:rPr>
                <w:sz w:val="21"/>
                <w:szCs w:val="21"/>
                <w:color w:val="auto"/>
              </w:rPr>
            </w:pPr>
          </w:p>
        </w:tc>
        <w:tc>
          <w:tcPr>
            <w:tcW w:w="5780" w:type="dxa"/>
            <w:vAlign w:val="bottom"/>
            <w:gridSpan w:val="2"/>
          </w:tcPr>
          <w:p>
            <w:pPr>
              <w:jc w:val="center"/>
              <w:ind w:left="1305"/>
              <w:spacing w:after="0"/>
              <w:rPr>
                <w:sz w:val="20"/>
                <w:szCs w:val="20"/>
                <w:color w:val="auto"/>
              </w:rPr>
            </w:pPr>
            <w:r>
              <w:rPr>
                <w:rFonts w:ascii="Arial" w:cs="Arial" w:eastAsia="Arial" w:hAnsi="Arial"/>
                <w:sz w:val="19"/>
                <w:szCs w:val="19"/>
                <w:b w:val="1"/>
                <w:bCs w:val="1"/>
                <w:color w:val="auto"/>
                <w:w w:val="93"/>
              </w:rPr>
              <w:t>Three Month Period</w:t>
            </w:r>
          </w:p>
        </w:tc>
        <w:tc>
          <w:tcPr>
            <w:tcW w:w="1940" w:type="dxa"/>
            <w:vAlign w:val="bottom"/>
          </w:tcPr>
          <w:p>
            <w:pPr>
              <w:spacing w:after="0"/>
              <w:rPr>
                <w:sz w:val="21"/>
                <w:szCs w:val="21"/>
                <w:color w:val="auto"/>
              </w:rPr>
            </w:pPr>
          </w:p>
        </w:tc>
      </w:tr>
      <w:tr>
        <w:trPr>
          <w:trHeight w:val="270"/>
        </w:trPr>
        <w:tc>
          <w:tcPr>
            <w:tcW w:w="3480" w:type="dxa"/>
            <w:vAlign w:val="bottom"/>
          </w:tcPr>
          <w:p>
            <w:pPr>
              <w:spacing w:after="0"/>
              <w:rPr>
                <w:sz w:val="23"/>
                <w:szCs w:val="23"/>
                <w:color w:val="auto"/>
              </w:rPr>
            </w:pPr>
          </w:p>
        </w:tc>
        <w:tc>
          <w:tcPr>
            <w:tcW w:w="4260" w:type="dxa"/>
            <w:vAlign w:val="bottom"/>
          </w:tcPr>
          <w:p>
            <w:pPr>
              <w:jc w:val="center"/>
              <w:ind w:left="2825"/>
              <w:spacing w:after="0"/>
              <w:rPr>
                <w:sz w:val="20"/>
                <w:szCs w:val="20"/>
                <w:color w:val="auto"/>
              </w:rPr>
            </w:pPr>
            <w:r>
              <w:rPr>
                <w:rFonts w:ascii="Arial" w:cs="Arial" w:eastAsia="Arial" w:hAnsi="Arial"/>
                <w:sz w:val="19"/>
                <w:szCs w:val="19"/>
                <w:b w:val="1"/>
                <w:bCs w:val="1"/>
                <w:color w:val="auto"/>
                <w:w w:val="93"/>
              </w:rPr>
              <w:t>May 1 - July 31</w:t>
            </w:r>
          </w:p>
        </w:tc>
        <w:tc>
          <w:tcPr>
            <w:tcW w:w="1520" w:type="dxa"/>
            <w:vAlign w:val="bottom"/>
          </w:tcPr>
          <w:p>
            <w:pPr>
              <w:spacing w:after="0"/>
              <w:rPr>
                <w:sz w:val="23"/>
                <w:szCs w:val="23"/>
                <w:color w:val="auto"/>
              </w:rPr>
            </w:pPr>
          </w:p>
        </w:tc>
        <w:tc>
          <w:tcPr>
            <w:tcW w:w="1940" w:type="dxa"/>
            <w:vAlign w:val="bottom"/>
          </w:tcPr>
          <w:p>
            <w:pPr>
              <w:jc w:val="center"/>
              <w:ind w:left="70"/>
              <w:spacing w:after="0"/>
              <w:rPr>
                <w:sz w:val="20"/>
                <w:szCs w:val="20"/>
                <w:color w:val="auto"/>
              </w:rPr>
            </w:pPr>
            <w:r>
              <w:rPr>
                <w:rFonts w:ascii="Arial" w:cs="Arial" w:eastAsia="Arial" w:hAnsi="Arial"/>
                <w:sz w:val="19"/>
                <w:szCs w:val="19"/>
                <w:b w:val="1"/>
                <w:bCs w:val="1"/>
                <w:color w:val="auto"/>
                <w:w w:val="88"/>
              </w:rPr>
              <w:t>Change</w:t>
            </w:r>
          </w:p>
        </w:tc>
      </w:tr>
      <w:tr>
        <w:trPr>
          <w:trHeight w:val="25"/>
        </w:trPr>
        <w:tc>
          <w:tcPr>
            <w:tcW w:w="34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9"/>
                <w:szCs w:val="19"/>
                <w:b w:val="1"/>
                <w:bCs w:val="1"/>
                <w:color w:val="auto"/>
              </w:rPr>
              <w:t>Fiscal 2015</w:t>
            </w: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9"/>
                <w:szCs w:val="19"/>
                <w:b w:val="1"/>
                <w:bCs w:val="1"/>
                <w:color w:val="auto"/>
              </w:rPr>
              <w:t>Fiscal 2014</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46"/>
        </w:trPr>
        <w:tc>
          <w:tcPr>
            <w:tcW w:w="3480" w:type="dxa"/>
            <w:vAlign w:val="bottom"/>
          </w:tcPr>
          <w:p>
            <w:pPr>
              <w:ind w:left="200"/>
              <w:spacing w:after="0"/>
              <w:rPr>
                <w:sz w:val="20"/>
                <w:szCs w:val="20"/>
                <w:color w:val="auto"/>
              </w:rPr>
            </w:pPr>
            <w:r>
              <w:rPr>
                <w:rFonts w:ascii="Arial" w:cs="Arial" w:eastAsia="Arial" w:hAnsi="Arial"/>
                <w:sz w:val="19"/>
                <w:szCs w:val="19"/>
                <w:b w:val="1"/>
                <w:bCs w:val="1"/>
                <w:color w:val="auto"/>
              </w:rPr>
              <w:t>Net Sales</w:t>
            </w:r>
          </w:p>
        </w:tc>
        <w:tc>
          <w:tcPr>
            <w:tcW w:w="4260" w:type="dxa"/>
            <w:vAlign w:val="bottom"/>
          </w:tcPr>
          <w:p>
            <w:pPr>
              <w:jc w:val="right"/>
              <w:ind w:right="1265"/>
              <w:spacing w:after="0"/>
              <w:rPr>
                <w:sz w:val="20"/>
                <w:szCs w:val="20"/>
                <w:color w:val="auto"/>
              </w:rPr>
            </w:pPr>
            <w:r>
              <w:rPr>
                <w:rFonts w:ascii="Arial" w:cs="Arial" w:eastAsia="Arial" w:hAnsi="Arial"/>
                <w:sz w:val="19"/>
                <w:szCs w:val="19"/>
                <w:color w:val="auto"/>
              </w:rPr>
              <w:t>$41,742,000</w:t>
            </w:r>
          </w:p>
        </w:tc>
        <w:tc>
          <w:tcPr>
            <w:tcW w:w="1520" w:type="dxa"/>
            <w:vAlign w:val="bottom"/>
          </w:tcPr>
          <w:p>
            <w:pPr>
              <w:jc w:val="right"/>
              <w:ind w:right="445"/>
              <w:spacing w:after="0"/>
              <w:rPr>
                <w:sz w:val="20"/>
                <w:szCs w:val="20"/>
                <w:color w:val="auto"/>
              </w:rPr>
            </w:pPr>
            <w:r>
              <w:rPr>
                <w:rFonts w:ascii="Arial" w:cs="Arial" w:eastAsia="Arial" w:hAnsi="Arial"/>
                <w:sz w:val="19"/>
                <w:szCs w:val="19"/>
                <w:color w:val="auto"/>
                <w:w w:val="90"/>
              </w:rPr>
              <w:t>$43,408,000</w:t>
            </w:r>
          </w:p>
        </w:tc>
        <w:tc>
          <w:tcPr>
            <w:tcW w:w="1940" w:type="dxa"/>
            <w:vAlign w:val="bottom"/>
          </w:tcPr>
          <w:p>
            <w:pPr>
              <w:jc w:val="center"/>
              <w:ind w:left="90"/>
              <w:spacing w:after="0"/>
              <w:rPr>
                <w:sz w:val="20"/>
                <w:szCs w:val="20"/>
                <w:color w:val="auto"/>
              </w:rPr>
            </w:pPr>
            <w:r>
              <w:rPr>
                <w:rFonts w:ascii="Arial" w:cs="Arial" w:eastAsia="Arial" w:hAnsi="Arial"/>
                <w:sz w:val="19"/>
                <w:szCs w:val="19"/>
                <w:color w:val="auto"/>
                <w:w w:val="94"/>
              </w:rPr>
              <w:t>-4%</w:t>
            </w:r>
          </w:p>
        </w:tc>
      </w:tr>
      <w:tr>
        <w:trPr>
          <w:trHeight w:val="24"/>
        </w:trPr>
        <w:tc>
          <w:tcPr>
            <w:tcW w:w="3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4260" w:type="dxa"/>
            <w:vAlign w:val="bottom"/>
            <w:tcBorders>
              <w:bottom w:val="single" w:sz="8" w:color="CCEEFF"/>
            </w:tcBorders>
            <w:shd w:val="clear" w:color="auto" w:fill="CCEEFF"/>
          </w:tcPr>
          <w:p>
            <w:pPr>
              <w:jc w:val="right"/>
              <w:ind w:right="1325"/>
              <w:spacing w:after="0"/>
              <w:rPr>
                <w:sz w:val="20"/>
                <w:szCs w:val="20"/>
                <w:color w:val="auto"/>
              </w:rPr>
            </w:pPr>
            <w:r>
              <w:rPr>
                <w:rFonts w:ascii="Arial" w:cs="Arial" w:eastAsia="Arial" w:hAnsi="Arial"/>
                <w:sz w:val="19"/>
                <w:szCs w:val="19"/>
                <w:color w:val="auto"/>
              </w:rPr>
              <w:t>$2,685,000</w:t>
            </w:r>
          </w:p>
        </w:tc>
        <w:tc>
          <w:tcPr>
            <w:tcW w:w="1520" w:type="dxa"/>
            <w:vAlign w:val="bottom"/>
            <w:tcBorders>
              <w:bottom w:val="single" w:sz="8" w:color="CCEEFF"/>
            </w:tcBorders>
            <w:shd w:val="clear" w:color="auto" w:fill="CCEEFF"/>
          </w:tcPr>
          <w:p>
            <w:pPr>
              <w:jc w:val="right"/>
              <w:ind w:right="665"/>
              <w:spacing w:after="0"/>
              <w:rPr>
                <w:sz w:val="20"/>
                <w:szCs w:val="20"/>
                <w:color w:val="auto"/>
              </w:rPr>
            </w:pPr>
            <w:r>
              <w:rPr>
                <w:rFonts w:ascii="Arial" w:cs="Arial" w:eastAsia="Arial" w:hAnsi="Arial"/>
                <w:sz w:val="19"/>
                <w:szCs w:val="19"/>
                <w:color w:val="auto"/>
              </w:rPr>
              <w:t>$5,000</w:t>
            </w:r>
          </w:p>
        </w:tc>
        <w:tc>
          <w:tcPr>
            <w:tcW w:w="194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6"/>
                <w:szCs w:val="16"/>
                <w:color w:val="auto"/>
                <w:w w:val="96"/>
              </w:rPr>
              <w:t>Not Meaningful</w:t>
            </w:r>
          </w:p>
        </w:tc>
      </w:tr>
      <w:tr>
        <w:trPr>
          <w:trHeight w:val="20"/>
        </w:trPr>
        <w:tc>
          <w:tcPr>
            <w:tcW w:w="3480" w:type="dxa"/>
            <w:vAlign w:val="bottom"/>
            <w:shd w:val="clear" w:color="auto" w:fill="000000"/>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Fiscal Year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wp:posOffset>
            </wp:positionV>
            <wp:extent cx="71094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37" w:lineRule="exact"/>
        <w:rPr>
          <w:sz w:val="20"/>
          <w:szCs w:val="20"/>
          <w:color w:val="auto"/>
        </w:rPr>
      </w:pPr>
    </w:p>
    <w:tbl>
      <w:tblPr>
        <w:tblLayout w:type="fixed"/>
        <w:tblInd w:w="80" w:type="dxa"/>
        <w:tblCellMar>
          <w:top w:w="0" w:type="dxa"/>
          <w:left w:w="0" w:type="dxa"/>
          <w:bottom w:w="0" w:type="dxa"/>
          <w:right w:w="0" w:type="dxa"/>
        </w:tblCellMar>
      </w:tblPr>
      <w:tr>
        <w:trPr>
          <w:trHeight w:val="246"/>
        </w:trPr>
        <w:tc>
          <w:tcPr>
            <w:tcW w:w="3460" w:type="dxa"/>
            <w:vAlign w:val="bottom"/>
          </w:tcPr>
          <w:p>
            <w:pPr>
              <w:spacing w:after="0"/>
              <w:rPr>
                <w:sz w:val="21"/>
                <w:szCs w:val="21"/>
                <w:color w:val="auto"/>
              </w:rPr>
            </w:pPr>
          </w:p>
        </w:tc>
        <w:tc>
          <w:tcPr>
            <w:tcW w:w="5920" w:type="dxa"/>
            <w:vAlign w:val="bottom"/>
            <w:gridSpan w:val="2"/>
          </w:tcPr>
          <w:p>
            <w:pPr>
              <w:jc w:val="center"/>
              <w:ind w:left="1205"/>
              <w:spacing w:after="0"/>
              <w:rPr>
                <w:sz w:val="20"/>
                <w:szCs w:val="20"/>
                <w:color w:val="auto"/>
              </w:rPr>
            </w:pPr>
            <w:r>
              <w:rPr>
                <w:rFonts w:ascii="Arial" w:cs="Arial" w:eastAsia="Arial" w:hAnsi="Arial"/>
                <w:sz w:val="19"/>
                <w:szCs w:val="19"/>
                <w:b w:val="1"/>
                <w:bCs w:val="1"/>
                <w:color w:val="auto"/>
                <w:w w:val="91"/>
              </w:rPr>
              <w:t>Twelve Month Period</w:t>
            </w:r>
          </w:p>
        </w:tc>
        <w:tc>
          <w:tcPr>
            <w:tcW w:w="1820" w:type="dxa"/>
            <w:vAlign w:val="bottom"/>
          </w:tcPr>
          <w:p>
            <w:pPr>
              <w:spacing w:after="0"/>
              <w:rPr>
                <w:sz w:val="21"/>
                <w:szCs w:val="21"/>
                <w:color w:val="auto"/>
              </w:rPr>
            </w:pPr>
          </w:p>
        </w:tc>
      </w:tr>
      <w:tr>
        <w:trPr>
          <w:trHeight w:val="270"/>
        </w:trPr>
        <w:tc>
          <w:tcPr>
            <w:tcW w:w="3460" w:type="dxa"/>
            <w:vAlign w:val="bottom"/>
          </w:tcPr>
          <w:p>
            <w:pPr>
              <w:spacing w:after="0"/>
              <w:rPr>
                <w:sz w:val="23"/>
                <w:szCs w:val="23"/>
                <w:color w:val="auto"/>
              </w:rPr>
            </w:pPr>
          </w:p>
        </w:tc>
        <w:tc>
          <w:tcPr>
            <w:tcW w:w="5920" w:type="dxa"/>
            <w:vAlign w:val="bottom"/>
            <w:gridSpan w:val="2"/>
          </w:tcPr>
          <w:p>
            <w:pPr>
              <w:jc w:val="center"/>
              <w:ind w:left="1205"/>
              <w:spacing w:after="0"/>
              <w:rPr>
                <w:sz w:val="20"/>
                <w:szCs w:val="20"/>
                <w:color w:val="auto"/>
              </w:rPr>
            </w:pPr>
            <w:r>
              <w:rPr>
                <w:rFonts w:ascii="Arial" w:cs="Arial" w:eastAsia="Arial" w:hAnsi="Arial"/>
                <w:sz w:val="19"/>
                <w:szCs w:val="19"/>
                <w:b w:val="1"/>
                <w:bCs w:val="1"/>
                <w:color w:val="auto"/>
                <w:w w:val="89"/>
              </w:rPr>
              <w:t>August 1 - July 31</w:t>
            </w:r>
          </w:p>
        </w:tc>
        <w:tc>
          <w:tcPr>
            <w:tcW w:w="1820" w:type="dxa"/>
            <w:vAlign w:val="bottom"/>
          </w:tcPr>
          <w:p>
            <w:pPr>
              <w:ind w:left="620"/>
              <w:spacing w:after="0"/>
              <w:rPr>
                <w:sz w:val="20"/>
                <w:szCs w:val="20"/>
                <w:color w:val="auto"/>
              </w:rPr>
            </w:pPr>
            <w:r>
              <w:rPr>
                <w:rFonts w:ascii="Arial" w:cs="Arial" w:eastAsia="Arial" w:hAnsi="Arial"/>
                <w:sz w:val="19"/>
                <w:szCs w:val="19"/>
                <w:b w:val="1"/>
                <w:bCs w:val="1"/>
                <w:color w:val="auto"/>
              </w:rPr>
              <w:t>Change</w:t>
            </w:r>
          </w:p>
        </w:tc>
      </w:tr>
      <w:tr>
        <w:trPr>
          <w:trHeight w:val="25"/>
        </w:trPr>
        <w:tc>
          <w:tcPr>
            <w:tcW w:w="34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9"/>
                <w:szCs w:val="19"/>
                <w:b w:val="1"/>
                <w:bCs w:val="1"/>
                <w:color w:val="auto"/>
              </w:rPr>
              <w:t>Fiscal 2015</w:t>
            </w:r>
          </w:p>
        </w:tc>
        <w:tc>
          <w:tcPr>
            <w:tcW w:w="2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9"/>
                <w:szCs w:val="19"/>
                <w:b w:val="1"/>
                <w:bCs w:val="1"/>
                <w:color w:val="auto"/>
              </w:rPr>
              <w:t>Fiscal 2014</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46"/>
        </w:trPr>
        <w:tc>
          <w:tcPr>
            <w:tcW w:w="3460" w:type="dxa"/>
            <w:vAlign w:val="bottom"/>
          </w:tcPr>
          <w:p>
            <w:pPr>
              <w:ind w:left="200"/>
              <w:spacing w:after="0"/>
              <w:rPr>
                <w:sz w:val="20"/>
                <w:szCs w:val="20"/>
                <w:color w:val="auto"/>
              </w:rPr>
            </w:pPr>
            <w:r>
              <w:rPr>
                <w:rFonts w:ascii="Arial" w:cs="Arial" w:eastAsia="Arial" w:hAnsi="Arial"/>
                <w:sz w:val="19"/>
                <w:szCs w:val="19"/>
                <w:b w:val="1"/>
                <w:bCs w:val="1"/>
                <w:color w:val="auto"/>
              </w:rPr>
              <w:t>Net Sales</w:t>
            </w:r>
          </w:p>
        </w:tc>
        <w:tc>
          <w:tcPr>
            <w:tcW w:w="3620" w:type="dxa"/>
            <w:vAlign w:val="bottom"/>
          </w:tcPr>
          <w:p>
            <w:pPr>
              <w:jc w:val="right"/>
              <w:ind w:right="565"/>
              <w:spacing w:after="0"/>
              <w:rPr>
                <w:sz w:val="20"/>
                <w:szCs w:val="20"/>
                <w:color w:val="auto"/>
              </w:rPr>
            </w:pPr>
            <w:r>
              <w:rPr>
                <w:rFonts w:ascii="Arial" w:cs="Arial" w:eastAsia="Arial" w:hAnsi="Arial"/>
                <w:sz w:val="19"/>
                <w:szCs w:val="19"/>
                <w:color w:val="auto"/>
              </w:rPr>
              <w:t>$169,076,000</w:t>
            </w:r>
          </w:p>
        </w:tc>
        <w:tc>
          <w:tcPr>
            <w:tcW w:w="2300" w:type="dxa"/>
            <w:vAlign w:val="bottom"/>
          </w:tcPr>
          <w:p>
            <w:pPr>
              <w:jc w:val="right"/>
              <w:ind w:right="525"/>
              <w:spacing w:after="0"/>
              <w:rPr>
                <w:sz w:val="20"/>
                <w:szCs w:val="20"/>
                <w:color w:val="auto"/>
              </w:rPr>
            </w:pPr>
            <w:r>
              <w:rPr>
                <w:rFonts w:ascii="Arial" w:cs="Arial" w:eastAsia="Arial" w:hAnsi="Arial"/>
                <w:sz w:val="19"/>
                <w:szCs w:val="19"/>
                <w:color w:val="auto"/>
              </w:rPr>
              <w:t>$172,027,000</w:t>
            </w:r>
          </w:p>
        </w:tc>
        <w:tc>
          <w:tcPr>
            <w:tcW w:w="1820" w:type="dxa"/>
            <w:vAlign w:val="bottom"/>
          </w:tcPr>
          <w:p>
            <w:pPr>
              <w:jc w:val="right"/>
              <w:ind w:right="625"/>
              <w:spacing w:after="0"/>
              <w:rPr>
                <w:sz w:val="20"/>
                <w:szCs w:val="20"/>
                <w:color w:val="auto"/>
              </w:rPr>
            </w:pPr>
            <w:r>
              <w:rPr>
                <w:rFonts w:ascii="Arial" w:cs="Arial" w:eastAsia="Arial" w:hAnsi="Arial"/>
                <w:sz w:val="19"/>
                <w:szCs w:val="19"/>
                <w:color w:val="auto"/>
              </w:rPr>
              <w:t>-2%</w:t>
            </w:r>
          </w:p>
        </w:tc>
      </w:tr>
      <w:tr>
        <w:trPr>
          <w:trHeight w:val="24"/>
        </w:trPr>
        <w:tc>
          <w:tcPr>
            <w:tcW w:w="34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20" w:type="dxa"/>
            <w:vAlign w:val="bottom"/>
            <w:tcBorders>
              <w:bottom w:val="single" w:sz="8" w:color="CCEEFF"/>
            </w:tcBorders>
            <w:shd w:val="clear" w:color="auto" w:fill="CCEEFF"/>
          </w:tcPr>
          <w:p>
            <w:pPr>
              <w:jc w:val="right"/>
              <w:ind w:right="665"/>
              <w:spacing w:after="0"/>
              <w:rPr>
                <w:sz w:val="20"/>
                <w:szCs w:val="20"/>
                <w:color w:val="auto"/>
              </w:rPr>
            </w:pPr>
            <w:r>
              <w:rPr>
                <w:rFonts w:ascii="Arial" w:cs="Arial" w:eastAsia="Arial" w:hAnsi="Arial"/>
                <w:sz w:val="19"/>
                <w:szCs w:val="19"/>
                <w:color w:val="auto"/>
              </w:rPr>
              <w:t>$5,206,000</w:t>
            </w:r>
          </w:p>
        </w:tc>
        <w:tc>
          <w:tcPr>
            <w:tcW w:w="2300" w:type="dxa"/>
            <w:vAlign w:val="bottom"/>
            <w:tcBorders>
              <w:bottom w:val="single" w:sz="8" w:color="CCEEFF"/>
            </w:tcBorders>
            <w:shd w:val="clear" w:color="auto" w:fill="CCEEFF"/>
          </w:tcPr>
          <w:p>
            <w:pPr>
              <w:jc w:val="right"/>
              <w:ind w:right="605"/>
              <w:spacing w:after="0"/>
              <w:rPr>
                <w:sz w:val="20"/>
                <w:szCs w:val="20"/>
                <w:color w:val="auto"/>
              </w:rPr>
            </w:pPr>
            <w:r>
              <w:rPr>
                <w:rFonts w:ascii="Arial" w:cs="Arial" w:eastAsia="Arial" w:hAnsi="Arial"/>
                <w:sz w:val="19"/>
                <w:szCs w:val="19"/>
                <w:color w:val="auto"/>
              </w:rPr>
              <w:t>$3,568,000</w:t>
            </w:r>
          </w:p>
        </w:tc>
        <w:tc>
          <w:tcPr>
            <w:tcW w:w="1820" w:type="dxa"/>
            <w:vAlign w:val="bottom"/>
            <w:tcBorders>
              <w:bottom w:val="single" w:sz="8" w:color="CCEEFF"/>
            </w:tcBorders>
            <w:shd w:val="clear" w:color="auto" w:fill="CCEEFF"/>
          </w:tcPr>
          <w:p>
            <w:pPr>
              <w:jc w:val="right"/>
              <w:ind w:right="625"/>
              <w:spacing w:after="0"/>
              <w:rPr>
                <w:sz w:val="20"/>
                <w:szCs w:val="20"/>
                <w:color w:val="auto"/>
              </w:rPr>
            </w:pPr>
            <w:r>
              <w:rPr>
                <w:rFonts w:ascii="Arial" w:cs="Arial" w:eastAsia="Arial" w:hAnsi="Arial"/>
                <w:sz w:val="19"/>
                <w:szCs w:val="19"/>
                <w:color w:val="auto"/>
              </w:rPr>
              <w:t>46%</w:t>
            </w:r>
          </w:p>
        </w:tc>
      </w:tr>
      <w:tr>
        <w:trPr>
          <w:trHeight w:val="20"/>
        </w:trPr>
        <w:tc>
          <w:tcPr>
            <w:tcW w:w="346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20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Results of the Retail and Wholesale Products segment were also driven by similar factors in both the fourth quarter and fiscal year. Net sales of branded and generic floor absorbent increased approximately 7% over fiscal 2014 due primarily to increased volume. Private label cat litter sales increased approximately 10% compared to fiscal 2014, due in part to recently added customers of our new lightweight private label product.</w:t>
      </w:r>
    </w:p>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 reduction of promotional and advertising spending during the fourth quarter contributed to a large increase of Segment Income in both periods.</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Cat litter sales were down primarily due to our competitors’ introduction of new products, which were accompanied by increased advertising and aggressive price discounts.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00"/>
          </w:cols>
          <w:pgMar w:left="240" w:top="1440" w:right="259" w:bottom="1440" w:gutter="0" w:footer="0" w:header="0"/>
        </w:sectPr>
      </w:pPr>
    </w:p>
    <w:bookmarkStart w:id="9" w:name="page10"/>
    <w:bookmarkEnd w:id="9"/>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FINANCIAL REVIEW</w:t>
      </w:r>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Cash, cash equivalents, restricted cash and short-term investments at July 31, 2015, totaled $22,328,000 compared to $18,999,000 a year ago. Significant uses of cash in the current period included capital expenditures and regularly scheduled debt and dividend payments.</w:t>
      </w:r>
    </w:p>
    <w:p>
      <w:pPr>
        <w:spacing w:after="0" w:line="240"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Cash provided by operating activities was $26,976,000 for the fiscal year, which was $10,680,000 higher than the $16,296,000 in fiscal 2014. Cash increased in the year due to income, non-cash items such as depreciation, and the management of working capital.</w:t>
      </w:r>
    </w:p>
    <w:p>
      <w:pPr>
        <w:spacing w:after="0" w:line="280" w:lineRule="exact"/>
        <w:rPr>
          <w:sz w:val="20"/>
          <w:szCs w:val="20"/>
          <w:color w:val="auto"/>
        </w:rPr>
      </w:pPr>
    </w:p>
    <w:p>
      <w:pPr>
        <w:jc w:val="both"/>
        <w:ind w:right="420"/>
        <w:spacing w:after="0" w:line="312" w:lineRule="auto"/>
        <w:rPr>
          <w:sz w:val="20"/>
          <w:szCs w:val="20"/>
          <w:color w:val="auto"/>
        </w:rPr>
      </w:pPr>
      <w:r>
        <w:rPr>
          <w:rFonts w:ascii="Arial" w:cs="Arial" w:eastAsia="Arial" w:hAnsi="Arial"/>
          <w:sz w:val="19"/>
          <w:szCs w:val="19"/>
          <w:color w:val="auto"/>
        </w:rPr>
        <w:t>Capital expenditures for the fiscal year totaled $15,859,000 which was $3,865,000 more than depreciation and amortization of $11,994,000. By comparison, capital expenditures totaled $18,566,000 in fiscal 2014. Capital expenditures were made for new processing and packaging equipment as well as replacements for existing plant and equipment that has exceeded its useful life.</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On June 11, 2015, Oil-Dri’s Board of Directors declared quarterly cash dividends of $0.21 per share of outstanding Common Stock and $0.1575 per share of outstanding Class B Stock. The dividends were paid on September 4, 2015 to stockholders of record at the close of business on August 21, 2015. The Company has paid cash dividends continuously since 1974 and has increased dividends annually for the past twelve years. At the end of the fourth quarter, the annualized dividend yield on the Company’s Common Stock was 3.2%, based on the closing stock price on July 31, 2015 of $26.26 per share and the latest quarterly cash dividend of $0.21 per share.</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LOOKING FORWARD</w:t>
      </w:r>
    </w:p>
    <w:p>
      <w:pPr>
        <w:spacing w:after="0" w:line="266"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color w:val="auto"/>
        </w:rPr>
        <w:t>President and Chief Executive Officer Daniel Jaffee continued, “Looking toward fiscal 2016, each segment of our business has started on a strong note and is contributing to our bottom line.</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On the consumer side, our Fresh &amp; Light lightweight cat litter brand is growing. According to a third party market research company, it is up 13% in the latest period reported. Throughout fiscal 2016, we plan to focus our energies on both our branded and private label lightweight offerings.</w:t>
      </w:r>
    </w:p>
    <w:p>
      <w:pPr>
        <w:spacing w:after="0" w:line="240"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“In our Business to Business segment, our animal health business, Amlan International, will launch two new products that improve the intestinal health of livestock to achieve growth.”</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00"/>
          </w:cols>
          <w:pgMar w:left="240" w:top="1440" w:right="259" w:bottom="1440" w:gutter="0" w:footer="0" w:header="0"/>
        </w:sectPr>
      </w:pPr>
    </w:p>
    <w:bookmarkStart w:id="10" w:name="page11"/>
    <w:bookmarkEnd w:id="10"/>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FIVE-YEAR SUMMARY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Key Metrics as of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Fiscal 2015</w:t>
            </w:r>
          </w:p>
        </w:tc>
        <w:tc>
          <w:tcPr>
            <w:tcW w:w="36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Fiscal 2014</w:t>
            </w:r>
          </w:p>
        </w:tc>
        <w:tc>
          <w:tcPr>
            <w:tcW w:w="34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Fiscal 2013</w:t>
            </w:r>
          </w:p>
        </w:tc>
        <w:tc>
          <w:tcPr>
            <w:tcW w:w="36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Fiscal 2012</w:t>
            </w:r>
          </w:p>
        </w:tc>
        <w:tc>
          <w:tcPr>
            <w:tcW w:w="36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 2011</w:t>
            </w:r>
          </w:p>
        </w:tc>
      </w:tr>
      <w:tr>
        <w:trPr>
          <w:trHeight w:val="33"/>
        </w:trPr>
        <w:tc>
          <w:tcPr>
            <w:tcW w:w="2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restricted cash and short-</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term investments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22,328,000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18,999,000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42,494,000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36,256,000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33,722,000</w:t>
            </w:r>
          </w:p>
        </w:tc>
      </w:tr>
      <w:tr>
        <w:trPr>
          <w:trHeight w:val="216"/>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26,976,000</w:t>
            </w:r>
          </w:p>
        </w:tc>
        <w:tc>
          <w:tcPr>
            <w:tcW w:w="2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16,296,000</w:t>
            </w:r>
          </w:p>
        </w:tc>
        <w:tc>
          <w:tcPr>
            <w:tcW w:w="2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23,366,000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23,339,000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13,108,000</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restricted cash and short-</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term investments less notes</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payable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3,428,000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(3,401,000)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16,594,000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6,556,000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422,000</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11,368,000</w:t>
            </w:r>
          </w:p>
        </w:tc>
        <w:tc>
          <w:tcPr>
            <w:tcW w:w="2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8,356,000</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14,586,000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6,098,000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9,051,000</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per diluted</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1.59</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1.17</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2.07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0.85</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1.26</w:t>
            </w:r>
          </w:p>
        </w:tc>
      </w:tr>
      <w:tr>
        <w:trPr>
          <w:trHeight w:val="216"/>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Return on average</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36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10.6%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9.7%</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15,859,000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18,566,000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9,795,000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6,960,000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13,806,000</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Dividends paid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5,247,000</w:t>
            </w:r>
          </w:p>
        </w:tc>
        <w:tc>
          <w:tcPr>
            <w:tcW w:w="2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4,965,000</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4,630,000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4,486,000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4,218,000</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Dividends paid per</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 share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0.80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0.76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0.72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0.68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0.64</w:t>
            </w:r>
          </w:p>
        </w:tc>
      </w:tr>
      <w:tr>
        <w:trPr>
          <w:trHeight w:val="33"/>
        </w:trPr>
        <w:tc>
          <w:tcPr>
            <w:tcW w:w="2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94"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industrial and automotive markets and is a leading manufacturer of cat litter.</w:t>
      </w:r>
    </w:p>
    <w:p>
      <w:pPr>
        <w:spacing w:after="0" w:line="218"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color w:val="auto"/>
        </w:rPr>
        <w:t xml:space="preserve">The Company will offer a live webcast of the fourth quarter earnings teleconference on </w:t>
      </w:r>
      <w:r>
        <w:rPr>
          <w:rFonts w:ascii="Arial" w:cs="Arial" w:eastAsia="Arial" w:hAnsi="Arial"/>
          <w:sz w:val="18"/>
          <w:szCs w:val="18"/>
          <w:b w:val="1"/>
          <w:bCs w:val="1"/>
          <w:color w:val="auto"/>
        </w:rPr>
        <w:t>Tuesday, October 13, 2015 from 10:00 am to 10:30 am, Central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Time. </w:t>
      </w:r>
      <w:r>
        <w:rPr>
          <w:rFonts w:ascii="Arial" w:cs="Arial" w:eastAsia="Arial" w:hAnsi="Arial"/>
          <w:sz w:val="18"/>
          <w:szCs w:val="18"/>
          <w:color w:val="auto"/>
        </w:rPr>
        <w:t>To listen via the web,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www.streetevents.com</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www.oildri.com</w:t>
      </w:r>
      <w:r>
        <w:rPr>
          <w:rFonts w:ascii="Arial" w:cs="Arial" w:eastAsia="Arial" w:hAnsi="Arial"/>
          <w:sz w:val="18"/>
          <w:szCs w:val="18"/>
          <w:color w:val="auto"/>
        </w:rPr>
        <w:t>. An archived recording of the call and written transcripts of all teleconferences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are posted on the Oil-Dri website.</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i w:val="1"/>
          <w:iCs w:val="1"/>
          <w:color w:val="auto"/>
        </w:rPr>
        <w:t>“Oil-Dri,” “Cat’s Pride,” “Fresh &amp; Light” and “Verge” are a registered trademarks of Oil-Dri Corporation of America. “Snow &amp; Go” is a trademark of Oil-Dri Corporation of America.</w:t>
      </w:r>
    </w:p>
    <w:p>
      <w:pPr>
        <w:spacing w:after="0" w:line="22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11" w:name="page12"/>
    <w:bookmarkEnd w:id="11"/>
    <w:p>
      <w:pPr>
        <w:spacing w:after="0" w:line="269"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40"/>
          </w:cols>
          <w:pgMar w:left="240" w:top="1413" w:right="319" w:bottom="1440" w:gutter="0" w:footer="0" w:header="0"/>
        </w:sectPr>
      </w:pPr>
    </w:p>
    <w:bookmarkStart w:id="12" w:name="page13"/>
    <w:bookmarkEnd w:id="12"/>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INCOME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177800</wp:posOffset>
            </wp:positionV>
            <wp:extent cx="4536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3644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5"/>
          </w:tcPr>
          <w:p>
            <w:pPr>
              <w:ind w:left="600"/>
              <w:spacing w:after="0"/>
              <w:rPr>
                <w:sz w:val="20"/>
                <w:szCs w:val="20"/>
                <w:color w:val="auto"/>
              </w:rPr>
            </w:pPr>
            <w:r>
              <w:rPr>
                <w:rFonts w:ascii="Arial" w:cs="Arial" w:eastAsia="Arial" w:hAnsi="Arial"/>
                <w:sz w:val="18"/>
                <w:szCs w:val="18"/>
                <w:b w:val="1"/>
                <w:bCs w:val="1"/>
                <w:color w:val="auto"/>
              </w:rPr>
              <w:t>Fourth Quarter Ended July 31</w:t>
            </w:r>
          </w:p>
        </w:tc>
        <w:tc>
          <w:tcPr>
            <w:tcW w:w="16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60" w:type="dxa"/>
            <w:vAlign w:val="bottom"/>
            <w:gridSpan w:val="2"/>
          </w:tcPr>
          <w:p>
            <w:pPr>
              <w:ind w:left="660"/>
              <w:spacing w:after="0"/>
              <w:rPr>
                <w:sz w:val="20"/>
                <w:szCs w:val="20"/>
                <w:color w:val="auto"/>
              </w:rPr>
            </w:pPr>
            <w:r>
              <w:rPr>
                <w:rFonts w:ascii="Arial" w:cs="Arial" w:eastAsia="Arial" w:hAnsi="Arial"/>
                <w:sz w:val="18"/>
                <w:szCs w:val="18"/>
                <w:b w:val="1"/>
                <w:bCs w:val="1"/>
                <w:color w:val="auto"/>
              </w:rPr>
              <w:t>% of Sales</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65,519</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66,045</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(48,797)</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(53,672)</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16,722</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12,373</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(10,919)</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(11,021)</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5,803</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5,516</w:t>
            </w:r>
          </w:p>
        </w:tc>
        <w:tc>
          <w:tcPr>
            <w:tcW w:w="2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1,051</w:t>
            </w:r>
          </w:p>
        </w:tc>
        <w:tc>
          <w:tcPr>
            <w:tcW w:w="2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97"/>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5,066</w:t>
            </w:r>
          </w:p>
        </w:tc>
        <w:tc>
          <w:tcPr>
            <w:tcW w:w="22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4,963</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5,002</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7,050</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7,022</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154305</wp:posOffset>
            </wp:positionV>
            <wp:extent cx="4536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3644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5"/>
          </w:tcPr>
          <w:p>
            <w:pPr>
              <w:ind w:left="620"/>
              <w:spacing w:after="0"/>
              <w:rPr>
                <w:sz w:val="20"/>
                <w:szCs w:val="20"/>
                <w:color w:val="auto"/>
              </w:rPr>
            </w:pPr>
            <w:r>
              <w:rPr>
                <w:rFonts w:ascii="Arial" w:cs="Arial" w:eastAsia="Arial" w:hAnsi="Arial"/>
                <w:sz w:val="18"/>
                <w:szCs w:val="18"/>
                <w:b w:val="1"/>
                <w:bCs w:val="1"/>
                <w:color w:val="auto"/>
              </w:rPr>
              <w:t>Twelve Months Ended July 31</w:t>
            </w:r>
          </w:p>
        </w:tc>
        <w:tc>
          <w:tcPr>
            <w:tcW w:w="16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60" w:type="dxa"/>
            <w:vAlign w:val="bottom"/>
            <w:gridSpan w:val="2"/>
          </w:tcPr>
          <w:p>
            <w:pPr>
              <w:ind w:left="660"/>
              <w:spacing w:after="0"/>
              <w:rPr>
                <w:sz w:val="20"/>
                <w:szCs w:val="20"/>
                <w:color w:val="auto"/>
              </w:rPr>
            </w:pPr>
            <w:r>
              <w:rPr>
                <w:rFonts w:ascii="Arial" w:cs="Arial" w:eastAsia="Arial" w:hAnsi="Arial"/>
                <w:sz w:val="18"/>
                <w:szCs w:val="18"/>
                <w:b w:val="1"/>
                <w:bCs w:val="1"/>
                <w:color w:val="auto"/>
              </w:rPr>
              <w:t>% of Sales</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261,402</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266,313</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(201,245)</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(206,663)</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60,157</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59,650</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(45,004)</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(47,232)</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15,153</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12,418</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(1,327)</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(1,569)</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14,169</w:t>
            </w:r>
          </w:p>
        </w:tc>
        <w:tc>
          <w:tcPr>
            <w:tcW w:w="2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11,337</w:t>
            </w:r>
          </w:p>
        </w:tc>
        <w:tc>
          <w:tcPr>
            <w:tcW w:w="2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11,368</w:t>
            </w:r>
          </w:p>
        </w:tc>
        <w:tc>
          <w:tcPr>
            <w:tcW w:w="22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8,356</w:t>
            </w:r>
          </w:p>
        </w:tc>
        <w:tc>
          <w:tcPr>
            <w:tcW w:w="22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4,955</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4,981</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7,037</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7,004</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854" w:gutter="0" w:footer="0" w:header="0"/>
        </w:sectPr>
      </w:pPr>
    </w:p>
    <w:bookmarkStart w:id="13" w:name="page14"/>
    <w:bookmarkEnd w:id="13"/>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As of July 31,</w:t>
            </w:r>
          </w:p>
        </w:tc>
        <w:tc>
          <w:tcPr>
            <w:tcW w:w="128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20,138</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16,230</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Restricted Cash</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2,190</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2,640</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31,466</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21,369</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24,483</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7,480</w:t>
            </w:r>
          </w:p>
        </w:tc>
        <w:tc>
          <w:tcPr>
            <w:tcW w:w="3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9,037</w:t>
            </w:r>
          </w:p>
        </w:tc>
      </w:tr>
      <w:tr>
        <w:trPr>
          <w:trHeight w:val="237"/>
        </w:trPr>
        <w:tc>
          <w:tcPr>
            <w:tcW w:w="4260" w:type="dxa"/>
            <w:vAlign w:val="bottom"/>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82,643</w:t>
            </w: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83,516</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79,655</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74,896</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27,733</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27,792</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190,031</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186,204</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3,483</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7,428</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7,352</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16,601</w:t>
            </w:r>
          </w:p>
        </w:tc>
        <w:tc>
          <w:tcPr>
            <w:tcW w:w="3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17,337</w:t>
            </w:r>
          </w:p>
        </w:tc>
      </w:tr>
      <w:tr>
        <w:trPr>
          <w:trHeight w:val="237"/>
        </w:trPr>
        <w:tc>
          <w:tcPr>
            <w:tcW w:w="4260" w:type="dxa"/>
            <w:vAlign w:val="bottom"/>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28,888</w:t>
            </w: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29,500</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15,417</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18,900</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35,198</w:t>
            </w:r>
          </w:p>
        </w:tc>
        <w:tc>
          <w:tcPr>
            <w:tcW w:w="3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33,496</w:t>
            </w:r>
          </w:p>
        </w:tc>
      </w:tr>
      <w:tr>
        <w:trPr>
          <w:trHeight w:val="237"/>
        </w:trPr>
        <w:tc>
          <w:tcPr>
            <w:tcW w:w="4260" w:type="dxa"/>
            <w:vAlign w:val="bottom"/>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50,615</w:t>
            </w: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52,396</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110,528</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104,308</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190,031</w:t>
            </w:r>
          </w:p>
        </w:tc>
        <w:tc>
          <w:tcPr>
            <w:tcW w:w="34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186,204</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15.85</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14.94</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Fourth Quarter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5,275</w:t>
            </w:r>
          </w:p>
        </w:tc>
      </w:tr>
      <w:tr>
        <w:trPr>
          <w:trHeight w:val="243"/>
        </w:trPr>
        <w:tc>
          <w:tcPr>
            <w:tcW w:w="4260" w:type="dxa"/>
            <w:vAlign w:val="bottom"/>
          </w:tcPr>
          <w:p>
            <w:pPr>
              <w:spacing w:after="0"/>
              <w:rPr>
                <w:sz w:val="21"/>
                <w:szCs w:val="21"/>
                <w:color w:val="auto"/>
              </w:rPr>
            </w:pP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15,859</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18,566</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Fourth Quarter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r>
      <w:tr>
        <w:trPr>
          <w:trHeight w:val="243"/>
        </w:trPr>
        <w:tc>
          <w:tcPr>
            <w:tcW w:w="4260" w:type="dxa"/>
            <w:vAlign w:val="bottom"/>
          </w:tcPr>
          <w:p>
            <w:pPr>
              <w:spacing w:after="0"/>
              <w:rPr>
                <w:sz w:val="21"/>
                <w:szCs w:val="21"/>
                <w:color w:val="auto"/>
              </w:rPr>
            </w:pP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11,994</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10,396</w:t>
            </w:r>
          </w:p>
        </w:tc>
      </w:tr>
      <w:tr>
        <w:trPr>
          <w:trHeight w:val="723"/>
        </w:trPr>
        <w:tc>
          <w:tcPr>
            <w:tcW w:w="4260" w:type="dxa"/>
            <w:vAlign w:val="bottom"/>
          </w:tcPr>
          <w:p>
            <w:pPr>
              <w:spacing w:after="0"/>
              <w:rPr>
                <w:sz w:val="24"/>
                <w:szCs w:val="24"/>
                <w:color w:val="auto"/>
              </w:rPr>
            </w:pPr>
          </w:p>
        </w:tc>
        <w:tc>
          <w:tcPr>
            <w:tcW w:w="3180" w:type="dxa"/>
            <w:vAlign w:val="bottom"/>
          </w:tcPr>
          <w:p>
            <w:pPr>
              <w:ind w:left="1420"/>
              <w:spacing w:after="0"/>
              <w:rPr>
                <w:sz w:val="20"/>
                <w:szCs w:val="20"/>
                <w:color w:val="auto"/>
              </w:rPr>
            </w:pPr>
            <w:r>
              <w:rPr>
                <w:rFonts w:ascii="Arial" w:cs="Arial" w:eastAsia="Arial" w:hAnsi="Arial"/>
                <w:sz w:val="16"/>
                <w:szCs w:val="16"/>
                <w:color w:val="auto"/>
              </w:rPr>
              <w:t>9</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14" w:name="page15"/>
    <w:bookmarkEnd w:id="14"/>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2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For the Twelve Months Ended</w:t>
            </w:r>
          </w:p>
        </w:tc>
        <w:tc>
          <w:tcPr>
            <w:tcW w:w="70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16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July 31</w:t>
            </w:r>
          </w:p>
        </w:tc>
        <w:tc>
          <w:tcPr>
            <w:tcW w:w="70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11,368</w:t>
            </w:r>
          </w:p>
        </w:tc>
        <w:tc>
          <w:tcPr>
            <w:tcW w:w="34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8,356</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10,396</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Decrease in Accounts Receivable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(646)</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(Increase) in Inventories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Accounts Payable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 Accrued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2,887</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15,608</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7,940</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26,976</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16,296</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(15,859)</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(18,566)</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Acquisition of Business</w:t>
            </w:r>
          </w:p>
        </w:tc>
        <w:tc>
          <w:tcPr>
            <w:tcW w:w="1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(12,876)</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Restricted Cash</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Dispositions of Investment Securities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(14,246)</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(15,570)</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(3,500)</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Dividends Paid</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(8,743)</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(8,372)</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3,908</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(7,805)</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16,230</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24,035</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20,138</w:t>
            </w:r>
          </w:p>
        </w:tc>
        <w:tc>
          <w:tcPr>
            <w:tcW w:w="3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16,230</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2020-01-24T22:36:46Z</dcterms:created>
  <dcterms:modified xsi:type="dcterms:W3CDTF">2020-01-24T22:36:46Z</dcterms:modified>
</cp:coreProperties>
</file>