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7, 2024</w:t>
      </w:r>
    </w:p>
    <w:p>
      <w:pPr>
        <w:spacing w:after="0" w:line="2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580"/>
        <w:spacing w:after="0" w:line="218"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218440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25"/>
          <w:szCs w:val="25"/>
          <w:b w:val="1"/>
          <w:bCs w:val="1"/>
          <w:color w:val="auto"/>
        </w:rPr>
        <w:t>FORM S-8</w:t>
      </w:r>
    </w:p>
    <w:p>
      <w:pPr>
        <w:jc w:val="center"/>
        <w:ind w:right="580"/>
        <w:spacing w:after="0" w:line="218" w:lineRule="auto"/>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580"/>
        <w:spacing w:after="0" w:line="205"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58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149860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32"/>
          <w:szCs w:val="32"/>
          <w:b w:val="1"/>
          <w:bCs w:val="1"/>
          <w:color w:val="auto"/>
        </w:rPr>
        <w:t>OIL-DRI CORPORATION OF AMERICA</w:t>
      </w:r>
    </w:p>
    <w:p>
      <w:pPr>
        <w:spacing w:after="0" w:line="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150495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380" w:type="dxa"/>
        <w:tblCellMar>
          <w:top w:w="0" w:type="dxa"/>
          <w:left w:w="0" w:type="dxa"/>
          <w:bottom w:w="0" w:type="dxa"/>
          <w:right w:w="0" w:type="dxa"/>
        </w:tblCellMar>
      </w:tblPr>
      <w:tr>
        <w:trPr>
          <w:trHeight w:val="212"/>
        </w:trPr>
        <w:tc>
          <w:tcPr>
            <w:tcW w:w="4580" w:type="dxa"/>
            <w:vAlign w:val="bottom"/>
          </w:tcPr>
          <w:p>
            <w:pPr>
              <w:jc w:val="center"/>
              <w:ind w:right="1846"/>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980" w:type="dxa"/>
            <w:vAlign w:val="bottom"/>
          </w:tcPr>
          <w:p>
            <w:pPr>
              <w:jc w:val="center"/>
              <w:ind w:left="1847"/>
              <w:spacing w:after="0"/>
              <w:rPr>
                <w:sz w:val="20"/>
                <w:szCs w:val="20"/>
                <w:color w:val="auto"/>
              </w:rPr>
            </w:pPr>
            <w:r>
              <w:rPr>
                <w:rFonts w:ascii="Times New Roman" w:cs="Times New Roman" w:eastAsia="Times New Roman" w:hAnsi="Times New Roman"/>
                <w:sz w:val="16"/>
                <w:szCs w:val="16"/>
                <w:b w:val="1"/>
                <w:bCs w:val="1"/>
                <w:color w:val="auto"/>
              </w:rPr>
              <w:t>36-2048898</w:t>
            </w:r>
          </w:p>
        </w:tc>
        <w:tc>
          <w:tcPr>
            <w:tcW w:w="0" w:type="dxa"/>
            <w:vAlign w:val="bottom"/>
          </w:tcPr>
          <w:p>
            <w:pPr>
              <w:spacing w:after="0"/>
              <w:rPr>
                <w:sz w:val="1"/>
                <w:szCs w:val="1"/>
                <w:color w:val="auto"/>
              </w:rPr>
            </w:pPr>
          </w:p>
        </w:tc>
      </w:tr>
      <w:tr>
        <w:trPr>
          <w:trHeight w:val="141"/>
        </w:trPr>
        <w:tc>
          <w:tcPr>
            <w:tcW w:w="4580" w:type="dxa"/>
            <w:vAlign w:val="bottom"/>
          </w:tcPr>
          <w:p>
            <w:pPr>
              <w:jc w:val="center"/>
              <w:ind w:right="1846"/>
              <w:spacing w:after="0" w:line="141"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980" w:type="dxa"/>
            <w:vAlign w:val="bottom"/>
          </w:tcPr>
          <w:p>
            <w:pPr>
              <w:jc w:val="center"/>
              <w:ind w:left="1847"/>
              <w:spacing w:after="0" w:line="141"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4580" w:type="dxa"/>
            <w:vAlign w:val="bottom"/>
          </w:tcPr>
          <w:p>
            <w:pPr>
              <w:jc w:val="center"/>
              <w:ind w:right="1846"/>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980" w:type="dxa"/>
            <w:vAlign w:val="bottom"/>
          </w:tcPr>
          <w:p>
            <w:pPr>
              <w:jc w:val="center"/>
              <w:ind w:left="1847"/>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94"/>
        </w:trPr>
        <w:tc>
          <w:tcPr>
            <w:tcW w:w="4580" w:type="dxa"/>
            <w:vAlign w:val="bottom"/>
          </w:tcPr>
          <w:p>
            <w:pPr>
              <w:jc w:val="center"/>
              <w:ind w:right="1846"/>
              <w:spacing w:after="0"/>
              <w:rPr>
                <w:sz w:val="20"/>
                <w:szCs w:val="20"/>
                <w:color w:val="auto"/>
              </w:rPr>
            </w:pPr>
            <w:r>
              <w:rPr>
                <w:rFonts w:ascii="Times New Roman" w:cs="Times New Roman" w:eastAsia="Times New Roman" w:hAnsi="Times New Roman"/>
                <w:sz w:val="16"/>
                <w:szCs w:val="16"/>
                <w:b w:val="1"/>
                <w:bCs w:val="1"/>
                <w:color w:val="auto"/>
              </w:rPr>
              <w:t>410 North Michigan Avenue, Suite 400</w:t>
            </w:r>
          </w:p>
        </w:tc>
        <w:tc>
          <w:tcPr>
            <w:tcW w:w="2980" w:type="dxa"/>
            <w:vAlign w:val="bottom"/>
            <w:vMerge w:val="restart"/>
          </w:tcPr>
          <w:p>
            <w:pPr>
              <w:jc w:val="center"/>
              <w:ind w:left="1847"/>
              <w:spacing w:after="0"/>
              <w:rPr>
                <w:sz w:val="20"/>
                <w:szCs w:val="20"/>
                <w:color w:val="auto"/>
              </w:rPr>
            </w:pPr>
            <w:r>
              <w:rPr>
                <w:rFonts w:ascii="Times New Roman" w:cs="Times New Roman" w:eastAsia="Times New Roman" w:hAnsi="Times New Roman"/>
                <w:sz w:val="16"/>
                <w:szCs w:val="16"/>
                <w:b w:val="1"/>
                <w:bCs w:val="1"/>
                <w:color w:val="auto"/>
              </w:rPr>
              <w:t>60611-4213</w:t>
            </w:r>
          </w:p>
        </w:tc>
        <w:tc>
          <w:tcPr>
            <w:tcW w:w="0" w:type="dxa"/>
            <w:vAlign w:val="bottom"/>
          </w:tcPr>
          <w:p>
            <w:pPr>
              <w:spacing w:after="0"/>
              <w:rPr>
                <w:sz w:val="1"/>
                <w:szCs w:val="1"/>
                <w:color w:val="auto"/>
              </w:rPr>
            </w:pPr>
          </w:p>
        </w:tc>
      </w:tr>
      <w:tr>
        <w:trPr>
          <w:trHeight w:val="212"/>
        </w:trPr>
        <w:tc>
          <w:tcPr>
            <w:tcW w:w="4580" w:type="dxa"/>
            <w:vAlign w:val="bottom"/>
          </w:tcPr>
          <w:p>
            <w:pPr>
              <w:jc w:val="center"/>
              <w:ind w:right="1846"/>
              <w:spacing w:after="0"/>
              <w:rPr>
                <w:sz w:val="20"/>
                <w:szCs w:val="20"/>
                <w:color w:val="auto"/>
              </w:rPr>
            </w:pPr>
            <w:r>
              <w:rPr>
                <w:rFonts w:ascii="Times New Roman" w:cs="Times New Roman" w:eastAsia="Times New Roman" w:hAnsi="Times New Roman"/>
                <w:sz w:val="16"/>
                <w:szCs w:val="16"/>
                <w:b w:val="1"/>
                <w:bCs w:val="1"/>
                <w:color w:val="auto"/>
              </w:rPr>
              <w:t>Chicago, IL</w:t>
            </w:r>
          </w:p>
        </w:tc>
        <w:tc>
          <w:tcPr>
            <w:tcW w:w="2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580" w:type="dxa"/>
            <w:vAlign w:val="bottom"/>
          </w:tcPr>
          <w:p>
            <w:pPr>
              <w:jc w:val="center"/>
              <w:ind w:right="1846"/>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80" w:type="dxa"/>
            <w:vAlign w:val="bottom"/>
          </w:tcPr>
          <w:p>
            <w:pPr>
              <w:jc w:val="center"/>
              <w:ind w:left="1847"/>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27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Amended and Restated Oil-Dri Corporation of America</w:t>
      </w:r>
    </w:p>
    <w:p>
      <w:pPr>
        <w:jc w:val="center"/>
        <w:ind w:right="580"/>
        <w:spacing w:after="0" w:line="200" w:lineRule="auto"/>
        <w:rPr>
          <w:sz w:val="20"/>
          <w:szCs w:val="20"/>
          <w:color w:val="auto"/>
        </w:rPr>
      </w:pPr>
      <w:r>
        <w:rPr>
          <w:rFonts w:ascii="Times New Roman" w:cs="Times New Roman" w:eastAsia="Times New Roman" w:hAnsi="Times New Roman"/>
          <w:sz w:val="18"/>
          <w:szCs w:val="18"/>
          <w:b w:val="1"/>
          <w:bCs w:val="1"/>
          <w:color w:val="auto"/>
        </w:rPr>
        <w:t>2006 Long Term Incentive Plan</w:t>
      </w:r>
    </w:p>
    <w:p>
      <w:pPr>
        <w:spacing w:after="0" w:line="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0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Laura G. Scheland, Esq.</w:t>
      </w:r>
    </w:p>
    <w:p>
      <w:pPr>
        <w:ind w:left="3760"/>
        <w:spacing w:after="0" w:line="210" w:lineRule="auto"/>
        <w:rPr>
          <w:sz w:val="20"/>
          <w:szCs w:val="20"/>
          <w:color w:val="auto"/>
        </w:rPr>
      </w:pPr>
      <w:r>
        <w:rPr>
          <w:rFonts w:ascii="Times New Roman" w:cs="Times New Roman" w:eastAsia="Times New Roman" w:hAnsi="Times New Roman"/>
          <w:sz w:val="18"/>
          <w:szCs w:val="18"/>
          <w:b w:val="1"/>
          <w:bCs w:val="1"/>
          <w:color w:val="auto"/>
        </w:rPr>
        <w:t>Chief Legal Officer</w:t>
      </w:r>
    </w:p>
    <w:p>
      <w:pPr>
        <w:jc w:val="center"/>
        <w:ind w:right="580"/>
        <w:spacing w:after="0" w:line="203" w:lineRule="auto"/>
        <w:rPr>
          <w:sz w:val="20"/>
          <w:szCs w:val="20"/>
          <w:color w:val="auto"/>
        </w:rPr>
      </w:pPr>
      <w:r>
        <w:rPr>
          <w:rFonts w:ascii="Times New Roman" w:cs="Times New Roman" w:eastAsia="Times New Roman" w:hAnsi="Times New Roman"/>
          <w:sz w:val="18"/>
          <w:szCs w:val="18"/>
          <w:b w:val="1"/>
          <w:bCs w:val="1"/>
          <w:color w:val="auto"/>
        </w:rPr>
        <w:t>Oil-Dri Corporation of America</w:t>
      </w:r>
    </w:p>
    <w:p>
      <w:pPr>
        <w:jc w:val="center"/>
        <w:ind w:right="580"/>
        <w:spacing w:after="0" w:line="220" w:lineRule="auto"/>
        <w:rPr>
          <w:sz w:val="20"/>
          <w:szCs w:val="20"/>
          <w:color w:val="auto"/>
        </w:rPr>
      </w:pPr>
      <w:r>
        <w:rPr>
          <w:rFonts w:ascii="Times New Roman" w:cs="Times New Roman" w:eastAsia="Times New Roman" w:hAnsi="Times New Roman"/>
          <w:sz w:val="18"/>
          <w:szCs w:val="18"/>
          <w:b w:val="1"/>
          <w:bCs w:val="1"/>
          <w:color w:val="auto"/>
        </w:rPr>
        <w:t>410 North Michigan Ave., Suite 400</w:t>
      </w:r>
    </w:p>
    <w:p>
      <w:pPr>
        <w:jc w:val="center"/>
        <w:ind w:right="580"/>
        <w:spacing w:after="0" w:line="193" w:lineRule="auto"/>
        <w:rPr>
          <w:sz w:val="20"/>
          <w:szCs w:val="20"/>
          <w:color w:val="auto"/>
        </w:rPr>
      </w:pPr>
      <w:r>
        <w:rPr>
          <w:rFonts w:ascii="Times New Roman" w:cs="Times New Roman" w:eastAsia="Times New Roman" w:hAnsi="Times New Roman"/>
          <w:sz w:val="18"/>
          <w:szCs w:val="18"/>
          <w:b w:val="1"/>
          <w:bCs w:val="1"/>
          <w:color w:val="auto"/>
        </w:rPr>
        <w:t>Chicago, IL 60611</w:t>
      </w:r>
    </w:p>
    <w:p>
      <w:pPr>
        <w:spacing w:after="0" w:line="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9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(312) 321-1515</w:t>
      </w:r>
    </w:p>
    <w:p>
      <w:pPr>
        <w:ind w:left="264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167640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jc w:val="center"/>
        <w:ind w:right="580"/>
        <w:spacing w:after="0" w:line="203" w:lineRule="auto"/>
        <w:rPr>
          <w:sz w:val="20"/>
          <w:szCs w:val="20"/>
          <w:color w:val="auto"/>
        </w:rPr>
      </w:pPr>
      <w:r>
        <w:rPr>
          <w:rFonts w:ascii="Times New Roman" w:cs="Times New Roman" w:eastAsia="Times New Roman" w:hAnsi="Times New Roman"/>
          <w:sz w:val="18"/>
          <w:szCs w:val="18"/>
          <w:b w:val="1"/>
          <w:bCs w:val="1"/>
          <w:color w:val="auto"/>
        </w:rPr>
        <w:t>Aslam A. Rawoof, Esq.</w:t>
      </w:r>
    </w:p>
    <w:p>
      <w:pPr>
        <w:jc w:val="center"/>
        <w:ind w:right="580"/>
        <w:spacing w:after="0" w:line="219" w:lineRule="auto"/>
        <w:rPr>
          <w:sz w:val="20"/>
          <w:szCs w:val="20"/>
          <w:color w:val="auto"/>
        </w:rPr>
      </w:pPr>
      <w:r>
        <w:rPr>
          <w:rFonts w:ascii="Times New Roman" w:cs="Times New Roman" w:eastAsia="Times New Roman" w:hAnsi="Times New Roman"/>
          <w:sz w:val="18"/>
          <w:szCs w:val="18"/>
          <w:b w:val="1"/>
          <w:bCs w:val="1"/>
          <w:color w:val="auto"/>
        </w:rPr>
        <w:t>Benesch, Friedlander, Coplan &amp; Aronoff LLP</w:t>
      </w:r>
    </w:p>
    <w:p>
      <w:pPr>
        <w:jc w:val="center"/>
        <w:ind w:right="580"/>
        <w:spacing w:after="0" w:line="204" w:lineRule="auto"/>
        <w:rPr>
          <w:sz w:val="20"/>
          <w:szCs w:val="20"/>
          <w:color w:val="auto"/>
        </w:rPr>
      </w:pPr>
      <w:r>
        <w:rPr>
          <w:rFonts w:ascii="Times New Roman" w:cs="Times New Roman" w:eastAsia="Times New Roman" w:hAnsi="Times New Roman"/>
          <w:sz w:val="18"/>
          <w:szCs w:val="18"/>
          <w:b w:val="1"/>
          <w:bCs w:val="1"/>
          <w:color w:val="auto"/>
        </w:rPr>
        <w:t>1155 Avenue of the Americas, Floor 26</w:t>
      </w:r>
    </w:p>
    <w:p>
      <w:pPr>
        <w:jc w:val="center"/>
        <w:ind w:right="580"/>
        <w:spacing w:after="0" w:line="203" w:lineRule="auto"/>
        <w:rPr>
          <w:sz w:val="20"/>
          <w:szCs w:val="20"/>
          <w:color w:val="auto"/>
        </w:rPr>
      </w:pPr>
      <w:r>
        <w:rPr>
          <w:rFonts w:ascii="Times New Roman" w:cs="Times New Roman" w:eastAsia="Times New Roman" w:hAnsi="Times New Roman"/>
          <w:sz w:val="18"/>
          <w:szCs w:val="18"/>
          <w:b w:val="1"/>
          <w:bCs w:val="1"/>
          <w:color w:val="auto"/>
        </w:rPr>
        <w:t>New York, NY 10036</w:t>
      </w:r>
    </w:p>
    <w:p>
      <w:pPr>
        <w:spacing w:after="0" w:line="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(646) 328-0498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158750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580"/>
          </w:cols>
          <w:pgMar w:left="1440" w:top="1440" w:right="879" w:bottom="1440" w:gutter="0" w:footer="0" w:header="0"/>
        </w:sectPr>
      </w:pPr>
    </w:p>
    <w:bookmarkStart w:id="1" w:name="page2"/>
    <w:bookmarkEnd w:id="1"/>
    <w:p>
      <w:pPr>
        <w:spacing w:after="0" w:line="180" w:lineRule="exact"/>
        <w:rPr>
          <w:sz w:val="20"/>
          <w:szCs w:val="20"/>
          <w:color w:val="auto"/>
        </w:rPr>
      </w:pPr>
    </w:p>
    <w:p>
      <w:pPr>
        <w:ind w:right="260"/>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0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0"/>
          <w:szCs w:val="20"/>
          <w:color w:val="auto"/>
        </w:rPr>
      </w:pPr>
    </w:p>
    <w:p>
      <w:pPr>
        <w:spacing w:after="0" w:line="288" w:lineRule="exact"/>
        <w:rPr>
          <w:sz w:val="20"/>
          <w:szCs w:val="20"/>
          <w:color w:val="auto"/>
        </w:rPr>
      </w:pPr>
    </w:p>
    <w:p>
      <w:pPr>
        <w:ind w:right="8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17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General Instruction E of Form S-8, this Registration Statement on Form S-8 (the “Registration Statement”) is being filed in order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register an additional 500,000 shares of Common Stock, par value $.10 per share, Class A Common Stock, par value $.10 per share, and Class B Stock, par value $.10 per share of Oil-Dri Corporation of America, a Delaware corporation (the “Company” or “Registrant”), that may be awarded under the Amended and Restated Oil-Dri Corporation of America 2006 Long Term Incentive Plan, as amended (the “Plan”), which are securities of the same class</w:t>
      </w:r>
    </w:p>
    <w:p>
      <w:pPr>
        <w:spacing w:after="0" w:line="2" w:lineRule="exact"/>
        <w:rPr>
          <w:sz w:val="20"/>
          <w:szCs w:val="20"/>
          <w:color w:val="auto"/>
        </w:rPr>
      </w:pPr>
    </w:p>
    <w:p>
      <w:pPr>
        <w:jc w:val="both"/>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relate to the same employee benefit plan as those shares registered on the Company’s registration statements on Form S -8 previously filed with the Securities and Exchange Commission (the “Commission”) on December 21, 2006 (</w:t>
      </w:r>
      <w:hyperlink r:id="rId16">
        <w:r>
          <w:rPr>
            <w:rFonts w:ascii="Times New Roman" w:cs="Times New Roman" w:eastAsia="Times New Roman" w:hAnsi="Times New Roman"/>
            <w:sz w:val="18"/>
            <w:szCs w:val="18"/>
            <w:u w:val="single" w:color="auto"/>
            <w:color w:val="0563C1"/>
          </w:rPr>
          <w:t>Registration No. 333-139550</w:t>
        </w:r>
      </w:hyperlink>
      <w:r>
        <w:rPr>
          <w:rFonts w:ascii="Times New Roman" w:cs="Times New Roman" w:eastAsia="Times New Roman" w:hAnsi="Times New Roman"/>
          <w:sz w:val="18"/>
          <w:szCs w:val="18"/>
          <w:color w:val="auto"/>
        </w:rPr>
        <w:t>), which is hereby incorporated by reference.</w:t>
      </w:r>
    </w:p>
    <w:p>
      <w:pPr>
        <w:spacing w:after="0" w:line="1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document(s) containing the information specified in Part I will be sent or given to participants in the Plans as specified by Rule 428(b)(1)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Securities Act of 1933, as amended (the “Securities Act”). The information required by Part I of Form S-8 to be contained in the Section 10(a) prospectus is omitted from this Registration Statement in accordance with Rule 428 under the Securities Act. In accordance with the rules and regulations of the Commission and the instructions to Form S-8, such documents are not being filed with the Commission either as part of this Registration Statement</w:t>
      </w:r>
    </w:p>
    <w:p>
      <w:pPr>
        <w:spacing w:after="0" w:line="222" w:lineRule="auto"/>
        <w:rPr>
          <w:sz w:val="20"/>
          <w:szCs w:val="20"/>
          <w:color w:val="auto"/>
        </w:rPr>
      </w:pPr>
      <w:r>
        <w:rPr>
          <w:rFonts w:ascii="Times New Roman" w:cs="Times New Roman" w:eastAsia="Times New Roman" w:hAnsi="Times New Roman"/>
          <w:sz w:val="18"/>
          <w:szCs w:val="18"/>
          <w:color w:val="auto"/>
        </w:rPr>
        <w:t>or as prospectuses or prospectus supplements pursuant to Rule 424 of the Securities Act. These document(s) and the documents incorporated by reference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the Registration Statement pursuant to Item 3 of Part II of this form, taken together, constitute a prospectus that meets the requirements of Section 10(a) of the Securities Act.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Incorporation of Documents by Reference.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hereby incorporated by reference into this Registration Statement:</w:t>
      </w:r>
    </w:p>
    <w:p>
      <w:pPr>
        <w:spacing w:after="0" w:line="198"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July 31, 2023, filed with the Commission on </w:t>
      </w:r>
      <w:hyperlink r:id="rId17">
        <w:r>
          <w:rPr>
            <w:rFonts w:ascii="Times New Roman" w:cs="Times New Roman" w:eastAsia="Times New Roman" w:hAnsi="Times New Roman"/>
            <w:sz w:val="18"/>
            <w:szCs w:val="18"/>
            <w:u w:val="single" w:color="auto"/>
            <w:color w:val="0563C1"/>
          </w:rPr>
          <w:t>October 12, 2023</w:t>
        </w:r>
      </w:hyperlink>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980" w:hanging="324"/>
        <w:spacing w:after="0" w:line="237" w:lineRule="auto"/>
        <w:tabs>
          <w:tab w:leader="none" w:pos="97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July 31, 2023 from our Definitive Proxy Statement on Schedule 14A, filed with the Commission </w:t>
      </w:r>
      <w:hyperlink r:id="rId18">
        <w:r>
          <w:rPr>
            <w:rFonts w:ascii="Times New Roman" w:cs="Times New Roman" w:eastAsia="Times New Roman" w:hAnsi="Times New Roman"/>
            <w:sz w:val="18"/>
            <w:szCs w:val="18"/>
            <w:u w:val="single" w:color="auto"/>
            <w:color w:val="0563C1"/>
          </w:rPr>
          <w:t>October 30, 2023</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980" w:hanging="324"/>
        <w:spacing w:after="0" w:line="237" w:lineRule="auto"/>
        <w:tabs>
          <w:tab w:leader="none" w:pos="977" w:val="left"/>
        </w:tabs>
        <w:numPr>
          <w:ilvl w:val="0"/>
          <w:numId w:val="1"/>
        </w:numPr>
        <w:rPr>
          <w:rFonts w:ascii="Times New Roman" w:cs="Times New Roman" w:eastAsia="Times New Roman" w:hAnsi="Times New Roman"/>
          <w:sz w:val="18"/>
          <w:szCs w:val="18"/>
          <w:color w:val="0563C1"/>
        </w:rPr>
      </w:pPr>
      <w:hyperlink r:id="rId19">
        <w:r>
          <w:rPr>
            <w:rFonts w:ascii="Times New Roman" w:cs="Times New Roman" w:eastAsia="Times New Roman" w:hAnsi="Times New Roman"/>
            <w:sz w:val="18"/>
            <w:szCs w:val="18"/>
            <w:color w:val="auto"/>
          </w:rPr>
          <w:t xml:space="preserve">our Quarterly Reports on Form 10-Q for the quarters ended October 31, 2023 and January 31, 2024, filed with the Commission on </w:t>
        </w:r>
        <w:r>
          <w:rPr>
            <w:rFonts w:ascii="Times New Roman" w:cs="Times New Roman" w:eastAsia="Times New Roman" w:hAnsi="Times New Roman"/>
            <w:sz w:val="18"/>
            <w:szCs w:val="18"/>
            <w:u w:val="single" w:color="auto"/>
            <w:color w:val="0563C1"/>
          </w:rPr>
          <w:t>December</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563C1"/>
          </w:rPr>
          <w:t>11, 2023</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563C1"/>
          </w:rPr>
          <w:t xml:space="preserve"> </w:t>
        </w:r>
      </w:hyperlink>
      <w:hyperlink r:id="rId20">
        <w:r>
          <w:rPr>
            <w:rFonts w:ascii="Times New Roman" w:cs="Times New Roman" w:eastAsia="Times New Roman" w:hAnsi="Times New Roman"/>
            <w:sz w:val="18"/>
            <w:szCs w:val="18"/>
            <w:u w:val="single" w:color="auto"/>
            <w:color w:val="0000FF"/>
          </w:rPr>
          <w:t>March 7, 2024</w:t>
        </w:r>
      </w:hyperlink>
      <w:hyperlink r:id="rId19">
        <w:r>
          <w:rPr>
            <w:rFonts w:ascii="Times New Roman" w:cs="Times New Roman" w:eastAsia="Times New Roman" w:hAnsi="Times New Roman"/>
            <w:sz w:val="18"/>
            <w:szCs w:val="18"/>
            <w:color w:val="000000"/>
          </w:rPr>
          <w:t>, respectively;</w:t>
        </w:r>
      </w:hyperlink>
    </w:p>
    <w:p>
      <w:pPr>
        <w:spacing w:after="0" w:line="158" w:lineRule="exact"/>
        <w:rPr>
          <w:rFonts w:ascii="Times New Roman" w:cs="Times New Roman" w:eastAsia="Times New Roman" w:hAnsi="Times New Roman"/>
          <w:sz w:val="18"/>
          <w:szCs w:val="18"/>
          <w:color w:val="0563C1"/>
        </w:rPr>
      </w:pPr>
    </w:p>
    <w:p>
      <w:pPr>
        <w:ind w:left="980" w:hanging="324"/>
        <w:spacing w:after="0" w:line="250" w:lineRule="auto"/>
        <w:tabs>
          <w:tab w:leader="none" w:pos="97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(specifically excluding the information furnished under Items 2.02 and 7.01 and any exhibits furnished thereto under Item 9.01), filed with the Commission on </w:t>
      </w:r>
      <w:hyperlink r:id="rId21">
        <w:r>
          <w:rPr>
            <w:rFonts w:ascii="Times New Roman" w:cs="Times New Roman" w:eastAsia="Times New Roman" w:hAnsi="Times New Roman"/>
            <w:sz w:val="18"/>
            <w:szCs w:val="18"/>
            <w:u w:val="single" w:color="auto"/>
            <w:color w:val="0563C1"/>
          </w:rPr>
          <w:t>September 22, 2023</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563C1"/>
          </w:rPr>
          <w:t>October 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3">
        <w:r>
          <w:rPr>
            <w:rFonts w:ascii="Times New Roman" w:cs="Times New Roman" w:eastAsia="Times New Roman" w:hAnsi="Times New Roman"/>
            <w:sz w:val="18"/>
            <w:szCs w:val="18"/>
            <w:u w:val="single" w:color="auto"/>
            <w:color w:val="0563C1"/>
          </w:rPr>
          <w:t>December 14, 2023</w:t>
        </w:r>
      </w:hyperlink>
      <w:r>
        <w:rPr>
          <w:rFonts w:ascii="Times New Roman" w:cs="Times New Roman" w:eastAsia="Times New Roman" w:hAnsi="Times New Roman"/>
          <w:sz w:val="18"/>
          <w:szCs w:val="18"/>
          <w:color w:val="auto"/>
        </w:rPr>
        <w:t>; and</w:t>
      </w:r>
    </w:p>
    <w:p>
      <w:pPr>
        <w:spacing w:after="0" w:line="149" w:lineRule="exact"/>
        <w:rPr>
          <w:rFonts w:ascii="Times New Roman" w:cs="Times New Roman" w:eastAsia="Times New Roman" w:hAnsi="Times New Roman"/>
          <w:sz w:val="18"/>
          <w:szCs w:val="18"/>
          <w:color w:val="auto"/>
        </w:rPr>
      </w:pPr>
    </w:p>
    <w:p>
      <w:pPr>
        <w:jc w:val="both"/>
        <w:ind w:left="980" w:hanging="324"/>
        <w:spacing w:after="0" w:line="231" w:lineRule="auto"/>
        <w:tabs>
          <w:tab w:leader="none" w:pos="97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par value $.10 per share, Class A Common Stock, par value $.10 per share, and Class B Stock, par value $.10 per share set forth in </w:t>
      </w:r>
      <w:hyperlink r:id="rId24">
        <w:r>
          <w:rPr>
            <w:rFonts w:ascii="Times New Roman" w:cs="Times New Roman" w:eastAsia="Times New Roman" w:hAnsi="Times New Roman"/>
            <w:sz w:val="18"/>
            <w:szCs w:val="18"/>
            <w:u w:val="single" w:color="auto"/>
            <w:color w:val="0563C1"/>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(“Description of Capital Stock”) to the Company’s Annual Report on Form 10-K for the year ended July 31, 2023, filed with the Commission on </w:t>
      </w:r>
      <w:hyperlink r:id="rId17">
        <w:r>
          <w:rPr>
            <w:rFonts w:ascii="Times New Roman" w:cs="Times New Roman" w:eastAsia="Times New Roman" w:hAnsi="Times New Roman"/>
            <w:sz w:val="18"/>
            <w:szCs w:val="18"/>
            <w:u w:val="single" w:color="auto"/>
            <w:color w:val="0563C1"/>
          </w:rPr>
          <w:t>October 12, 2023</w:t>
        </w:r>
      </w:hyperlink>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Securities Exchange Act of 1934, as amended, prior to the filing of a post-effective amendment which indicates that all securities offered have been sold or which deregisters all securities then</w:t>
      </w:r>
    </w:p>
    <w:p>
      <w:pPr>
        <w:spacing w:after="0" w:line="2" w:lineRule="exact"/>
        <w:rPr>
          <w:rFonts w:ascii="Times New Roman" w:cs="Times New Roman" w:eastAsia="Times New Roman" w:hAnsi="Times New Roman"/>
          <w:sz w:val="18"/>
          <w:szCs w:val="18"/>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remaining unsold, shall be deemed to be incorporated herein by reference and to be a part hereof from the respective dates of filing of such documents, except that, unless specifically stated to the contrary, none of the information disclosed under Items 2.02 or 7.01 of any Current Report on Form 8-K or any exhibit under Item 9.01 of Form 8-K with respect thereto that the Company may from time to time furnish to the Commission will be incorporated by reference into, or otherwise included, herein.</w:t>
      </w:r>
    </w:p>
    <w:p>
      <w:pPr>
        <w:sectPr>
          <w:pgSz w:w="11900" w:h="16838" w:orient="portrait"/>
          <w:cols w:equalWidth="0" w:num="1">
            <w:col w:w="11240"/>
          </w:cols>
          <w:pgMar w:left="320" w:top="1440" w:right="339" w:bottom="1440" w:gutter="0" w:footer="0" w:header="0"/>
        </w:sectPr>
      </w:pPr>
    </w:p>
    <w:bookmarkStart w:id="3" w:name="page4"/>
    <w:bookmarkEnd w:id="3"/>
    <w:p>
      <w:pPr>
        <w:spacing w:after="0" w:line="180"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5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Exhibits.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500" w:type="dxa"/>
            <w:vAlign w:val="bottom"/>
          </w:tcPr>
          <w:p>
            <w:pPr>
              <w:spacing w:after="0"/>
              <w:rPr>
                <w:sz w:val="19"/>
                <w:szCs w:val="19"/>
                <w:color w:val="auto"/>
              </w:rPr>
            </w:pPr>
          </w:p>
        </w:tc>
        <w:tc>
          <w:tcPr>
            <w:tcW w:w="408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w w:val="99"/>
              </w:rPr>
              <w:t>SEC Document Reference</w:t>
            </w:r>
          </w:p>
        </w:tc>
        <w:tc>
          <w:tcPr>
            <w:tcW w:w="0" w:type="dxa"/>
            <w:vAlign w:val="bottom"/>
          </w:tcPr>
          <w:p>
            <w:pPr>
              <w:spacing w:after="0"/>
              <w:rPr>
                <w:sz w:val="1"/>
                <w:szCs w:val="1"/>
                <w:color w:val="auto"/>
              </w:rPr>
            </w:pPr>
          </w:p>
        </w:tc>
      </w:tr>
      <w:tr>
        <w:trPr>
          <w:trHeight w:val="265"/>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35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0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7"/>
              </w:rPr>
              <w:t>4.1</w:t>
            </w:r>
          </w:p>
        </w:tc>
        <w:tc>
          <w:tcPr>
            <w:tcW w:w="5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Certificate of Incorporation of Oil-Dri, as amended.</w:t>
            </w:r>
          </w:p>
        </w:tc>
      </w:tr>
      <w:tr>
        <w:trPr>
          <w:trHeight w:val="648"/>
        </w:trPr>
        <w:tc>
          <w:tcPr>
            <w:tcW w:w="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7"/>
              </w:rPr>
              <w:t>4.2</w:t>
            </w:r>
          </w:p>
        </w:tc>
        <w:tc>
          <w:tcPr>
            <w:tcW w:w="5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By-Laws of Oil-Dri Corporation of America, as Amended</w:t>
            </w:r>
          </w:p>
        </w:tc>
      </w:tr>
      <w:tr>
        <w:trPr>
          <w:trHeight w:val="234"/>
        </w:trPr>
        <w:tc>
          <w:tcPr>
            <w:tcW w:w="920" w:type="dxa"/>
            <w:vAlign w:val="bottom"/>
          </w:tcPr>
          <w:p>
            <w:pPr>
              <w:spacing w:after="0"/>
              <w:rPr>
                <w:sz w:val="20"/>
                <w:szCs w:val="20"/>
                <w:color w:val="auto"/>
              </w:rPr>
            </w:pPr>
          </w:p>
        </w:tc>
        <w:tc>
          <w:tcPr>
            <w:tcW w:w="5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Restated on December 12, 2017.</w:t>
            </w: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300"/>
        <w:spacing w:after="0" w:line="236" w:lineRule="auto"/>
        <w:rPr>
          <w:rFonts w:ascii="Times New Roman" w:cs="Times New Roman" w:eastAsia="Times New Roman" w:hAnsi="Times New Roman"/>
          <w:sz w:val="17"/>
          <w:szCs w:val="17"/>
          <w:u w:val="single" w:color="auto"/>
          <w:color w:val="0563C1"/>
        </w:rPr>
      </w:pPr>
      <w:hyperlink r:id="rId26">
        <w:r>
          <w:rPr>
            <w:rFonts w:ascii="Times New Roman" w:cs="Times New Roman" w:eastAsia="Times New Roman" w:hAnsi="Times New Roman"/>
            <w:sz w:val="17"/>
            <w:szCs w:val="17"/>
            <w:u w:val="single" w:color="auto"/>
            <w:color w:val="0563C1"/>
          </w:rPr>
          <w:t>Incorporated by reference to Exhibit 4.1 to the Company’s</w:t>
        </w:r>
      </w:hyperlink>
      <w:r>
        <w:rPr>
          <w:rFonts w:ascii="Times New Roman" w:cs="Times New Roman" w:eastAsia="Times New Roman" w:hAnsi="Times New Roman"/>
          <w:sz w:val="17"/>
          <w:szCs w:val="17"/>
          <w:u w:val="single" w:color="auto"/>
          <w:color w:val="0563C1"/>
        </w:rPr>
        <w:t xml:space="preserve"> </w:t>
      </w:r>
      <w:hyperlink r:id="rId26">
        <w:r>
          <w:rPr>
            <w:rFonts w:ascii="Times New Roman" w:cs="Times New Roman" w:eastAsia="Times New Roman" w:hAnsi="Times New Roman"/>
            <w:sz w:val="17"/>
            <w:szCs w:val="17"/>
            <w:u w:val="single" w:color="auto"/>
            <w:color w:val="0563C1"/>
          </w:rPr>
          <w:t>Registration Statement on Form S-8 (Registration No. 333-</w:t>
        </w:r>
      </w:hyperlink>
    </w:p>
    <w:p>
      <w:pPr>
        <w:spacing w:after="0"/>
        <w:rPr>
          <w:rFonts w:ascii="Times New Roman" w:cs="Times New Roman" w:eastAsia="Times New Roman" w:hAnsi="Times New Roman"/>
          <w:sz w:val="18"/>
          <w:szCs w:val="18"/>
          <w:u w:val="single" w:color="auto"/>
          <w:color w:val="0563C1"/>
        </w:rPr>
      </w:pPr>
      <w:hyperlink r:id="rId26">
        <w:r>
          <w:rPr>
            <w:rFonts w:ascii="Times New Roman" w:cs="Times New Roman" w:eastAsia="Times New Roman" w:hAnsi="Times New Roman"/>
            <w:sz w:val="18"/>
            <w:szCs w:val="18"/>
            <w:u w:val="single" w:color="auto"/>
            <w:color w:val="0563C1"/>
          </w:rPr>
          <w:t>57625), filed with the Commission on June 24, 1998.</w:t>
        </w:r>
      </w:hyperlink>
    </w:p>
    <w:p>
      <w:pPr>
        <w:spacing w:after="0" w:line="111" w:lineRule="exact"/>
        <w:rPr>
          <w:sz w:val="20"/>
          <w:szCs w:val="20"/>
          <w:color w:val="auto"/>
        </w:rPr>
      </w:pPr>
    </w:p>
    <w:p>
      <w:pPr>
        <w:ind w:right="100" w:hanging="316"/>
        <w:spacing w:after="0" w:line="222" w:lineRule="auto"/>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 xml:space="preserve">and </w:t>
      </w:r>
      <w:hyperlink r:id="rId27">
        <w:r>
          <w:rPr>
            <w:rFonts w:ascii="Times New Roman" w:cs="Times New Roman" w:eastAsia="Times New Roman" w:hAnsi="Times New Roman"/>
            <w:sz w:val="18"/>
            <w:szCs w:val="18"/>
            <w:u w:val="single" w:color="auto"/>
            <w:color w:val="0563C1"/>
          </w:rPr>
          <w:t>Incorporated by reference to Exhibit 3 to the Company’s</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563C1"/>
          </w:rPr>
          <w:t>Quarterly Report on Form 10-Q for the quarter ended January</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563C1"/>
        </w:rPr>
      </w:pPr>
      <w:hyperlink r:id="rId27">
        <w:r>
          <w:rPr>
            <w:rFonts w:ascii="Times New Roman" w:cs="Times New Roman" w:eastAsia="Times New Roman" w:hAnsi="Times New Roman"/>
            <w:sz w:val="18"/>
            <w:szCs w:val="18"/>
            <w:u w:val="single" w:color="auto"/>
            <w:color w:val="0563C1"/>
          </w:rPr>
          <w:t>31, 2018, filed with the Commission on March 9, 2018.</w:t>
        </w:r>
      </w:hyperlink>
    </w:p>
    <w:p>
      <w:pPr>
        <w:spacing w:after="0" w:line="111" w:lineRule="exact"/>
        <w:rPr>
          <w:sz w:val="20"/>
          <w:szCs w:val="20"/>
          <w:color w:val="auto"/>
        </w:rPr>
      </w:pPr>
    </w:p>
    <w:p>
      <w:pPr>
        <w:sectPr>
          <w:pgSz w:w="11900" w:h="16838" w:orient="portrait"/>
          <w:cols w:equalWidth="0" w:num="2">
            <w:col w:w="6260" w:space="420"/>
            <w:col w:w="456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4320" w:type="dxa"/>
            <w:vAlign w:val="bottom"/>
            <w:gridSpan w:val="8"/>
          </w:tcPr>
          <w:p>
            <w:pPr>
              <w:spacing w:after="0"/>
              <w:rPr>
                <w:rFonts w:ascii="Times New Roman" w:cs="Times New Roman" w:eastAsia="Times New Roman" w:hAnsi="Times New Roman"/>
                <w:sz w:val="18"/>
                <w:szCs w:val="18"/>
                <w:color w:val="0563C1"/>
              </w:rPr>
            </w:pPr>
            <w:hyperlink r:id="rId24">
              <w:r>
                <w:rPr>
                  <w:rFonts w:ascii="Times New Roman" w:cs="Times New Roman" w:eastAsia="Times New Roman" w:hAnsi="Times New Roman"/>
                  <w:sz w:val="18"/>
                  <w:szCs w:val="18"/>
                  <w:color w:val="0563C1"/>
                </w:rPr>
                <w:t>Incorporated by reference to Exhibit 4.1 to the Company’s</w:t>
              </w:r>
            </w:hyperlink>
          </w:p>
        </w:tc>
      </w:tr>
      <w:tr>
        <w:trPr>
          <w:trHeight w:val="156"/>
        </w:trPr>
        <w:tc>
          <w:tcPr>
            <w:tcW w:w="9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4200" w:type="dxa"/>
            <w:vAlign w:val="bottom"/>
            <w:tcBorders>
              <w:top w:val="single" w:sz="8" w:color="0563C1"/>
            </w:tcBorders>
            <w:gridSpan w:val="5"/>
          </w:tcPr>
          <w:p>
            <w:pPr>
              <w:spacing w:after="0" w:line="156" w:lineRule="exact"/>
              <w:rPr>
                <w:rFonts w:ascii="Times New Roman" w:cs="Times New Roman" w:eastAsia="Times New Roman" w:hAnsi="Times New Roman"/>
                <w:sz w:val="18"/>
                <w:szCs w:val="18"/>
                <w:color w:val="0563C1"/>
              </w:rPr>
            </w:pPr>
            <w:hyperlink r:id="rId24">
              <w:r>
                <w:rPr>
                  <w:rFonts w:ascii="Times New Roman" w:cs="Times New Roman" w:eastAsia="Times New Roman" w:hAnsi="Times New Roman"/>
                  <w:sz w:val="18"/>
                  <w:szCs w:val="18"/>
                  <w:color w:val="0563C1"/>
                </w:rPr>
                <w:t>Annual Report on Form 10-K for the year ended July 31,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940" w:type="dxa"/>
            <w:vAlign w:val="bottom"/>
            <w:tcBorders>
              <w:top w:val="single" w:sz="8" w:color="0563C1"/>
              <w:bottom w:val="single" w:sz="8" w:color="0563C1"/>
            </w:tcBorders>
            <w:gridSpan w:val="3"/>
          </w:tcPr>
          <w:p>
            <w:pPr>
              <w:spacing w:after="0" w:line="169" w:lineRule="exact"/>
              <w:rPr>
                <w:rFonts w:ascii="Times New Roman" w:cs="Times New Roman" w:eastAsia="Times New Roman" w:hAnsi="Times New Roman"/>
                <w:sz w:val="18"/>
                <w:szCs w:val="18"/>
                <w:color w:val="0563C1"/>
                <w:w w:val="99"/>
              </w:rPr>
            </w:pPr>
            <w:hyperlink r:id="rId24">
              <w:r>
                <w:rPr>
                  <w:rFonts w:ascii="Times New Roman" w:cs="Times New Roman" w:eastAsia="Times New Roman" w:hAnsi="Times New Roman"/>
                  <w:sz w:val="18"/>
                  <w:szCs w:val="18"/>
                  <w:color w:val="0563C1"/>
                  <w:w w:val="99"/>
                </w:rPr>
                <w:t>2023, filed with the Commission on October 12, 2023.</w:t>
              </w:r>
            </w:hyperlink>
          </w:p>
        </w:tc>
        <w:tc>
          <w:tcPr>
            <w:tcW w:w="160" w:type="dxa"/>
            <w:vAlign w:val="bottom"/>
            <w:tcBorders>
              <w:top w:val="single" w:sz="8" w:color="0563C1"/>
            </w:tcBorders>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Opinion of Benesch Friedlander Coplan &amp; Aronoff LLP.</w:t>
            </w: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Filed herewith.</w:t>
            </w:r>
          </w:p>
        </w:tc>
        <w:tc>
          <w:tcPr>
            <w:tcW w:w="3220" w:type="dxa"/>
            <w:vAlign w:val="bottom"/>
            <w:gridSpan w:val="7"/>
          </w:tcPr>
          <w:p>
            <w:pPr>
              <w:spacing w:after="0"/>
              <w:rPr>
                <w:sz w:val="24"/>
                <w:szCs w:val="24"/>
                <w:color w:val="auto"/>
              </w:rPr>
            </w:pPr>
          </w:p>
        </w:tc>
      </w:tr>
      <w:tr>
        <w:trPr>
          <w:trHeight w:val="33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Consent of Grant Thornton LLP.</w:t>
            </w: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Filed herewith.</w:t>
            </w:r>
          </w:p>
        </w:tc>
        <w:tc>
          <w:tcPr>
            <w:tcW w:w="3220" w:type="dxa"/>
            <w:vAlign w:val="bottom"/>
            <w:gridSpan w:val="7"/>
          </w:tcPr>
          <w:p>
            <w:pPr>
              <w:spacing w:after="0"/>
              <w:rPr>
                <w:sz w:val="24"/>
                <w:szCs w:val="24"/>
                <w:color w:val="auto"/>
              </w:rPr>
            </w:pPr>
          </w:p>
        </w:tc>
      </w:tr>
      <w:tr>
        <w:trPr>
          <w:trHeight w:val="33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Consent of Benesch Friedlander Coplan &amp; Aronoff LLP (included in</w:t>
            </w:r>
          </w:p>
        </w:tc>
        <w:tc>
          <w:tcPr>
            <w:tcW w:w="4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4"/>
        </w:trPr>
        <w:tc>
          <w:tcPr>
            <w:tcW w:w="960" w:type="dxa"/>
            <w:vAlign w:val="bottom"/>
          </w:tcPr>
          <w:p>
            <w:pPr>
              <w:spacing w:after="0"/>
              <w:rPr>
                <w:sz w:val="18"/>
                <w:szCs w:val="18"/>
                <w:color w:val="auto"/>
              </w:rPr>
            </w:pPr>
          </w:p>
        </w:tc>
        <w:tc>
          <w:tcPr>
            <w:tcW w:w="5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Exhibit 5.1).</w:t>
            </w:r>
          </w:p>
        </w:tc>
        <w:tc>
          <w:tcPr>
            <w:tcW w:w="1100" w:type="dxa"/>
            <w:vAlign w:val="bottom"/>
            <w:tcBorders>
              <w:top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0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Powers of attorney (included on the signature pages hereto).</w:t>
            </w: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Filed herewith.</w:t>
            </w:r>
          </w:p>
        </w:tc>
        <w:tc>
          <w:tcPr>
            <w:tcW w:w="3220" w:type="dxa"/>
            <w:vAlign w:val="bottom"/>
            <w:gridSpan w:val="7"/>
          </w:tcPr>
          <w:p>
            <w:pPr>
              <w:spacing w:after="0"/>
              <w:rPr>
                <w:sz w:val="24"/>
                <w:szCs w:val="24"/>
                <w:color w:val="auto"/>
              </w:rPr>
            </w:pPr>
          </w:p>
        </w:tc>
      </w:tr>
      <w:tr>
        <w:trPr>
          <w:trHeight w:val="45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Amended and Restated Oil-Dri Corporation of America 2006 Long</w:t>
            </w:r>
          </w:p>
        </w:tc>
        <w:tc>
          <w:tcPr>
            <w:tcW w:w="4320" w:type="dxa"/>
            <w:vAlign w:val="bottom"/>
            <w:gridSpan w:val="8"/>
          </w:tcPr>
          <w:p>
            <w:pPr>
              <w:spacing w:after="0"/>
              <w:rPr>
                <w:rFonts w:ascii="Times New Roman" w:cs="Times New Roman" w:eastAsia="Times New Roman" w:hAnsi="Times New Roman"/>
                <w:sz w:val="18"/>
                <w:szCs w:val="18"/>
                <w:color w:val="0563C1"/>
              </w:rPr>
            </w:pPr>
            <w:hyperlink r:id="rId28">
              <w:r>
                <w:rPr>
                  <w:rFonts w:ascii="Times New Roman" w:cs="Times New Roman" w:eastAsia="Times New Roman" w:hAnsi="Times New Roman"/>
                  <w:sz w:val="18"/>
                  <w:szCs w:val="18"/>
                  <w:color w:val="0563C1"/>
                </w:rPr>
                <w:t>Incorporated by reference to Appendix A to the Company’s</w:t>
              </w:r>
            </w:hyperlink>
          </w:p>
        </w:tc>
      </w:tr>
      <w:tr>
        <w:trPr>
          <w:trHeight w:val="156"/>
        </w:trPr>
        <w:tc>
          <w:tcPr>
            <w:tcW w:w="960" w:type="dxa"/>
            <w:vAlign w:val="bottom"/>
          </w:tcPr>
          <w:p>
            <w:pPr>
              <w:spacing w:after="0"/>
              <w:rPr>
                <w:sz w:val="13"/>
                <w:szCs w:val="13"/>
                <w:color w:val="auto"/>
              </w:rPr>
            </w:pPr>
          </w:p>
        </w:tc>
        <w:tc>
          <w:tcPr>
            <w:tcW w:w="5700" w:type="dxa"/>
            <w:vAlign w:val="bottom"/>
          </w:tcPr>
          <w:p>
            <w:pPr>
              <w:ind w:left="640"/>
              <w:spacing w:after="0" w:line="156" w:lineRule="exact"/>
              <w:rPr>
                <w:sz w:val="20"/>
                <w:szCs w:val="20"/>
                <w:color w:val="auto"/>
              </w:rPr>
            </w:pPr>
            <w:r>
              <w:rPr>
                <w:rFonts w:ascii="Times New Roman" w:cs="Times New Roman" w:eastAsia="Times New Roman" w:hAnsi="Times New Roman"/>
                <w:sz w:val="18"/>
                <w:szCs w:val="18"/>
                <w:color w:val="auto"/>
              </w:rPr>
              <w:t>Term Incentive Plan (as amended and restated effective December</w:t>
            </w:r>
          </w:p>
        </w:tc>
        <w:tc>
          <w:tcPr>
            <w:tcW w:w="4280" w:type="dxa"/>
            <w:vAlign w:val="bottom"/>
            <w:tcBorders>
              <w:top w:val="single" w:sz="8" w:color="0563C1"/>
              <w:bottom w:val="single" w:sz="8" w:color="0563C1"/>
            </w:tcBorders>
            <w:gridSpan w:val="6"/>
          </w:tcPr>
          <w:p>
            <w:pPr>
              <w:spacing w:after="0" w:line="156" w:lineRule="exact"/>
              <w:rPr>
                <w:rFonts w:ascii="Times New Roman" w:cs="Times New Roman" w:eastAsia="Times New Roman" w:hAnsi="Times New Roman"/>
                <w:sz w:val="18"/>
                <w:szCs w:val="18"/>
                <w:color w:val="0563C1"/>
                <w:w w:val="98"/>
              </w:rPr>
            </w:pPr>
            <w:hyperlink r:id="rId28">
              <w:r>
                <w:rPr>
                  <w:rFonts w:ascii="Times New Roman" w:cs="Times New Roman" w:eastAsia="Times New Roman" w:hAnsi="Times New Roman"/>
                  <w:sz w:val="18"/>
                  <w:szCs w:val="18"/>
                  <w:color w:val="0563C1"/>
                  <w:w w:val="98"/>
                </w:rPr>
                <w:t>Definitive Proxy Statement on Schedule 14A, filed with the</w:t>
              </w:r>
            </w:hyperlink>
          </w:p>
        </w:tc>
        <w:tc>
          <w:tcPr>
            <w:tcW w:w="20" w:type="dxa"/>
            <w:vAlign w:val="bottom"/>
            <w:tcBorders>
              <w:bottom w:val="single" w:sz="8" w:color="0563C1"/>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5700" w:type="dxa"/>
            <w:vAlign w:val="bottom"/>
          </w:tcPr>
          <w:p>
            <w:pPr>
              <w:ind w:left="640"/>
              <w:spacing w:after="0" w:line="169" w:lineRule="exact"/>
              <w:rPr>
                <w:sz w:val="20"/>
                <w:szCs w:val="20"/>
                <w:color w:val="auto"/>
              </w:rPr>
            </w:pPr>
            <w:r>
              <w:rPr>
                <w:rFonts w:ascii="Times New Roman" w:cs="Times New Roman" w:eastAsia="Times New Roman" w:hAnsi="Times New Roman"/>
                <w:sz w:val="18"/>
                <w:szCs w:val="18"/>
                <w:color w:val="auto"/>
              </w:rPr>
              <w:t>13, 2023).</w:t>
            </w:r>
          </w:p>
        </w:tc>
        <w:tc>
          <w:tcPr>
            <w:tcW w:w="4300" w:type="dxa"/>
            <w:vAlign w:val="bottom"/>
            <w:gridSpan w:val="7"/>
          </w:tcPr>
          <w:p>
            <w:pPr>
              <w:spacing w:after="0" w:line="169" w:lineRule="exact"/>
              <w:rPr>
                <w:rFonts w:ascii="Times New Roman" w:cs="Times New Roman" w:eastAsia="Times New Roman" w:hAnsi="Times New Roman"/>
                <w:sz w:val="18"/>
                <w:szCs w:val="18"/>
                <w:color w:val="0563C1"/>
              </w:rPr>
            </w:pPr>
            <w:hyperlink r:id="rId28">
              <w:r>
                <w:rPr>
                  <w:rFonts w:ascii="Times New Roman" w:cs="Times New Roman" w:eastAsia="Times New Roman" w:hAnsi="Times New Roman"/>
                  <w:sz w:val="18"/>
                  <w:szCs w:val="18"/>
                  <w:color w:val="0563C1"/>
                </w:rPr>
                <w:t>Commission on October 30, 2023.</w:t>
              </w:r>
            </w:hyperlink>
          </w:p>
        </w:tc>
        <w:tc>
          <w:tcPr>
            <w:tcW w:w="20" w:type="dxa"/>
            <w:vAlign w:val="bottom"/>
          </w:tcPr>
          <w:p>
            <w:pPr>
              <w:spacing w:after="0"/>
              <w:rPr>
                <w:sz w:val="14"/>
                <w:szCs w:val="14"/>
                <w:color w:val="auto"/>
              </w:rPr>
            </w:pPr>
          </w:p>
        </w:tc>
      </w:tr>
      <w:tr>
        <w:trPr>
          <w:trHeight w:val="45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Filing Fee Table.</w:t>
            </w:r>
          </w:p>
        </w:tc>
        <w:tc>
          <w:tcPr>
            <w:tcW w:w="1100" w:type="dxa"/>
            <w:vAlign w:val="bottom"/>
            <w:tcBorders>
              <w:top w:val="single" w:sz="8" w:color="0563C1"/>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Filed herewith.</w:t>
            </w:r>
          </w:p>
        </w:tc>
        <w:tc>
          <w:tcPr>
            <w:tcW w:w="1380" w:type="dxa"/>
            <w:vAlign w:val="bottom"/>
            <w:tcBorders>
              <w:top w:val="single" w:sz="8" w:color="0563C1"/>
            </w:tcBorders>
          </w:tcPr>
          <w:p>
            <w:pPr>
              <w:spacing w:after="0"/>
              <w:rPr>
                <w:sz w:val="24"/>
                <w:szCs w:val="24"/>
                <w:color w:val="auto"/>
              </w:rPr>
            </w:pPr>
          </w:p>
        </w:tc>
        <w:tc>
          <w:tcPr>
            <w:tcW w:w="1840" w:type="dxa"/>
            <w:vAlign w:val="bottom"/>
            <w:gridSpan w:val="6"/>
          </w:tcPr>
          <w:p>
            <w:pPr>
              <w:spacing w:after="0"/>
              <w:rPr>
                <w:sz w:val="24"/>
                <w:szCs w:val="24"/>
                <w:color w:val="auto"/>
              </w:rPr>
            </w:pPr>
          </w:p>
        </w:tc>
      </w:tr>
    </w:tbl>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all of the requirements for filing on Form S-8 and has duly caused this registration statement to be signed on its behalf by the undersigned, thereunto duly authorized, in the City of Chicago, State of Illinois, on March 7, 2024.</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074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4040"/>
        <w:spacing w:after="0"/>
        <w:tabs>
          <w:tab w:leader="none" w:pos="4540" w:val="left"/>
        </w:tabs>
        <w:rPr>
          <w:sz w:val="20"/>
          <w:szCs w:val="20"/>
          <w:color w:val="auto"/>
        </w:rPr>
      </w:pPr>
      <w:r>
        <w:rPr>
          <w:rFonts w:ascii="Times New Roman" w:cs="Times New Roman" w:eastAsia="Times New Roman" w:hAnsi="Times New Roman"/>
          <w:sz w:val="18"/>
          <w:szCs w:val="18"/>
          <w:color w:val="auto"/>
        </w:rPr>
        <w:t>By:</w:t>
        <w:tab/>
        <w:t>Laura G. Scheland</w:t>
      </w:r>
    </w:p>
    <w:p>
      <w:pPr>
        <w:spacing w:after="0" w:line="27" w:lineRule="exact"/>
        <w:rPr>
          <w:sz w:val="20"/>
          <w:szCs w:val="20"/>
          <w:color w:val="auto"/>
        </w:rPr>
      </w:pPr>
    </w:p>
    <w:p>
      <w:pPr>
        <w:ind w:left="4040"/>
        <w:spacing w:after="0"/>
        <w:tabs>
          <w:tab w:leader="none" w:pos="4540" w:val="left"/>
        </w:tabs>
        <w:rPr>
          <w:sz w:val="20"/>
          <w:szCs w:val="20"/>
          <w:color w:val="auto"/>
        </w:rPr>
      </w:pPr>
      <w:r>
        <w:rPr>
          <w:rFonts w:ascii="Times New Roman" w:cs="Times New Roman" w:eastAsia="Times New Roman" w:hAnsi="Times New Roman"/>
          <w:sz w:val="18"/>
          <w:szCs w:val="18"/>
          <w:color w:val="auto"/>
        </w:rPr>
        <w:t>Its:</w:t>
        <w:tab/>
        <w:t>Chief Legal Officer</w:t>
      </w:r>
    </w:p>
    <w:p>
      <w:pPr>
        <w:spacing w:after="0" w:line="301" w:lineRule="exact"/>
        <w:rPr>
          <w:sz w:val="20"/>
          <w:szCs w:val="20"/>
          <w:color w:val="auto"/>
        </w:rPr>
      </w:pPr>
    </w:p>
    <w:p>
      <w:pPr>
        <w:jc w:val="both"/>
        <w:ind w:firstLine="440"/>
        <w:spacing w:after="0" w:line="22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Daniel S. Jaffee and Laura G. Scheland and each of them (with full power to each of them to act alone), his or her true and lawful attorney-in-fact and agent, with full power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each and every act and thing requisite and necessary to be done in and about the premises, as fully to all intents and purposes as he or she might or could do in person, hereby ratifying and confirming all said attorneys-in-fact and agents, or any of them, or their substitutes, may lawfully do or cause to be done by virtue hereof.</w:t>
      </w:r>
    </w:p>
    <w:p>
      <w:pPr>
        <w:spacing w:after="0" w:line="172" w:lineRule="exact"/>
        <w:rPr>
          <w:sz w:val="20"/>
          <w:szCs w:val="20"/>
          <w:color w:val="auto"/>
        </w:rPr>
      </w:pPr>
    </w:p>
    <w:p>
      <w:pPr>
        <w:jc w:val="both"/>
        <w:ind w:firstLine="44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360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Daniel S. Jaffee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140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360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Susan M. Kreh</w:t>
      </w:r>
    </w:p>
    <w:p>
      <w:pPr>
        <w:spacing w:after="0" w:line="2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Chief Financial Officer &amp; Chief Information Officer</w:t>
      </w:r>
    </w:p>
    <w:p>
      <w:pPr>
        <w:spacing w:after="0" w:line="23"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(Principal Accounting Officer and Principal Financial Officer)</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Ellen-Blair Chube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3604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Ellen-Blair Chube</w:t>
      </w:r>
    </w:p>
    <w:p>
      <w:pPr>
        <w:spacing w:after="0" w:line="2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Director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Paul M. Hindsley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3604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5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Paul M. Hindsley</w:t>
      </w:r>
    </w:p>
    <w:p>
      <w:pPr>
        <w:spacing w:after="0" w:line="2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Director</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A. Nemeroff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3604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5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Michael A. Nemeroff</w:t>
      </w:r>
    </w:p>
    <w:p>
      <w:pPr>
        <w:spacing w:after="0" w:line="2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2024</w:t>
      </w:r>
    </w:p>
    <w:p>
      <w:pPr>
        <w:sectPr>
          <w:pgSz w:w="11900" w:h="16838" w:orient="portrait"/>
          <w:cols w:equalWidth="0" w:num="2">
            <w:col w:w="5040" w:space="720"/>
            <w:col w:w="5480"/>
          </w:cols>
          <w:pgMar w:left="320" w:top="1440" w:right="339" w:bottom="1440" w:gutter="0" w:footer="0" w:header="0"/>
          <w:type w:val="continuous"/>
        </w:sectPr>
      </w:pPr>
    </w:p>
    <w:bookmarkStart w:id="5" w:name="page6"/>
    <w:bookmarkEnd w:id="5"/>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C. Roeth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3360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George C. Roeth</w:t>
      </w:r>
    </w:p>
    <w:p>
      <w:pPr>
        <w:spacing w:after="0" w:line="2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Director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Amy L.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33604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Amy L. Ryan</w:t>
      </w:r>
    </w:p>
    <w:p>
      <w:pPr>
        <w:spacing w:after="0" w:line="2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Director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Patricia J. Schmeda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33604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Patricia J. Schmeda</w:t>
      </w:r>
    </w:p>
    <w:p>
      <w:pPr>
        <w:spacing w:after="0" w:line="2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Director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Allan H. Selig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33604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Allan H. Selig</w:t>
      </w:r>
    </w:p>
    <w:p>
      <w:pPr>
        <w:spacing w:after="0" w:line="2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Director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E. Washow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33604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Lawrence E. Washow</w:t>
      </w:r>
    </w:p>
    <w:p>
      <w:pPr>
        <w:spacing w:after="0" w:line="2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Vice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2024</w:t>
      </w:r>
    </w:p>
    <w:p>
      <w:pPr>
        <w:sectPr>
          <w:pgSz w:w="11900" w:h="16838" w:orient="portrait"/>
          <w:cols w:equalWidth="0" w:num="2">
            <w:col w:w="5020" w:space="720"/>
            <w:col w:w="4379"/>
          </w:cols>
          <w:pgMar w:left="340" w:top="1440" w:right="1440" w:bottom="1440" w:gutter="0" w:footer="0" w:header="0"/>
        </w:sectPr>
      </w:pPr>
    </w:p>
    <w:bookmarkStart w:id="6" w:name="page7"/>
    <w:bookmarkEnd w:id="6"/>
    <w:p>
      <w:pPr>
        <w:spacing w:after="0" w:line="176"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Oil-Dri Corporation of America</w:t>
      </w:r>
    </w:p>
    <w:p>
      <w:pPr>
        <w:jc w:val="center"/>
        <w:ind w:right="20"/>
        <w:spacing w:after="0"/>
        <w:rPr>
          <w:sz w:val="20"/>
          <w:szCs w:val="20"/>
          <w:color w:val="auto"/>
        </w:rPr>
      </w:pPr>
      <w:r>
        <w:rPr>
          <w:rFonts w:ascii="Times New Roman" w:cs="Times New Roman" w:eastAsia="Times New Roman" w:hAnsi="Times New Roman"/>
          <w:sz w:val="18"/>
          <w:szCs w:val="18"/>
          <w:color w:val="auto"/>
          <w:highlight w:val="white"/>
        </w:rPr>
        <w:t>(Exact name of Registrant as Specified in its charter)</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1360" w:type="dxa"/>
            <w:vAlign w:val="bottom"/>
            <w:tcBorders>
              <w:top w:val="single" w:sz="8" w:color="auto"/>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Security Type</w:t>
            </w:r>
          </w:p>
        </w:tc>
        <w:tc>
          <w:tcPr>
            <w:tcW w:w="1320" w:type="dxa"/>
            <w:vAlign w:val="bottom"/>
            <w:tcBorders>
              <w:top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Security Class Title</w:t>
            </w:r>
          </w:p>
        </w:tc>
        <w:tc>
          <w:tcPr>
            <w:tcW w:w="1400" w:type="dxa"/>
            <w:vAlign w:val="bottom"/>
            <w:tcBorders>
              <w:top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Fee Calculation Rule</w:t>
            </w:r>
          </w:p>
        </w:tc>
        <w:tc>
          <w:tcPr>
            <w:tcW w:w="1500" w:type="dxa"/>
            <w:vAlign w:val="bottom"/>
            <w:tcBorders>
              <w:top w:val="single" w:sz="8" w:color="auto"/>
              <w:right w:val="single" w:sz="8" w:color="auto"/>
            </w:tcBorders>
          </w:tcPr>
          <w:p>
            <w:pPr>
              <w:ind w:left="60"/>
              <w:spacing w:after="0" w:line="153" w:lineRule="exact"/>
              <w:rPr>
                <w:sz w:val="20"/>
                <w:szCs w:val="20"/>
                <w:color w:val="auto"/>
              </w:rPr>
            </w:pPr>
            <w:r>
              <w:rPr>
                <w:rFonts w:ascii="Times New Roman" w:cs="Times New Roman" w:eastAsia="Times New Roman" w:hAnsi="Times New Roman"/>
                <w:sz w:val="14"/>
                <w:szCs w:val="14"/>
                <w:color w:val="auto"/>
              </w:rPr>
              <w:t>Amount Registered</w:t>
            </w:r>
            <w:r>
              <w:rPr>
                <w:rFonts w:ascii="Times New Roman" w:cs="Times New Roman" w:eastAsia="Times New Roman" w:hAnsi="Times New Roman"/>
                <w:sz w:val="17"/>
                <w:szCs w:val="17"/>
                <w:color w:val="auto"/>
                <w:vertAlign w:val="superscript"/>
              </w:rPr>
              <w:t>(1) (2)</w:t>
            </w:r>
          </w:p>
        </w:tc>
        <w:tc>
          <w:tcPr>
            <w:tcW w:w="1400" w:type="dxa"/>
            <w:vAlign w:val="bottom"/>
            <w:tcBorders>
              <w:top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Proposed Maximum</w:t>
            </w:r>
          </w:p>
        </w:tc>
        <w:tc>
          <w:tcPr>
            <w:tcW w:w="1400" w:type="dxa"/>
            <w:vAlign w:val="bottom"/>
            <w:tcBorders>
              <w:top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Maximum Aggregate</w:t>
            </w:r>
          </w:p>
        </w:tc>
        <w:tc>
          <w:tcPr>
            <w:tcW w:w="1400" w:type="dxa"/>
            <w:vAlign w:val="bottom"/>
            <w:tcBorders>
              <w:top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Fee Rate</w:t>
            </w:r>
          </w:p>
        </w:tc>
        <w:tc>
          <w:tcPr>
            <w:tcW w:w="1480" w:type="dxa"/>
            <w:vAlign w:val="bottom"/>
            <w:tcBorders>
              <w:top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Amount of Registration</w:t>
            </w:r>
          </w:p>
        </w:tc>
      </w:tr>
      <w:tr>
        <w:trPr>
          <w:trHeight w:val="144"/>
        </w:trPr>
        <w:tc>
          <w:tcPr>
            <w:tcW w:w="1360" w:type="dxa"/>
            <w:vAlign w:val="bottom"/>
            <w:tcBorders>
              <w:left w:val="single" w:sz="8" w:color="auto"/>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Offering Price Per</w:t>
            </w:r>
          </w:p>
        </w:tc>
        <w:tc>
          <w:tcPr>
            <w:tcW w:w="14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Offering Price</w:t>
            </w:r>
          </w:p>
        </w:tc>
        <w:tc>
          <w:tcPr>
            <w:tcW w:w="140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Fee</w:t>
            </w:r>
          </w:p>
        </w:tc>
      </w:tr>
      <w:tr>
        <w:trPr>
          <w:trHeight w:val="196"/>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Unit</w:t>
            </w:r>
            <w:r>
              <w:rPr>
                <w:rFonts w:ascii="Times New Roman" w:cs="Times New Roman" w:eastAsia="Times New Roman" w:hAnsi="Times New Roman"/>
                <w:sz w:val="9"/>
                <w:szCs w:val="9"/>
                <w:color w:val="auto"/>
              </w:rPr>
              <w:t>(3)</w:t>
            </w:r>
          </w:p>
        </w:tc>
        <w:tc>
          <w:tcPr>
            <w:tcW w:w="14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r>
      <w:tr>
        <w:trPr>
          <w:trHeight w:val="139"/>
        </w:trPr>
        <w:tc>
          <w:tcPr>
            <w:tcW w:w="1360" w:type="dxa"/>
            <w:vAlign w:val="bottom"/>
            <w:tcBorders>
              <w:left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3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Common Stock, par</w:t>
            </w:r>
          </w:p>
        </w:tc>
        <w:tc>
          <w:tcPr>
            <w:tcW w:w="14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Rule 457(c) and Rule</w:t>
            </w:r>
          </w:p>
        </w:tc>
        <w:tc>
          <w:tcPr>
            <w:tcW w:w="15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500,000</w:t>
            </w:r>
          </w:p>
        </w:tc>
        <w:tc>
          <w:tcPr>
            <w:tcW w:w="14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$71.31</w:t>
            </w:r>
          </w:p>
        </w:tc>
        <w:tc>
          <w:tcPr>
            <w:tcW w:w="14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$35,655,000</w:t>
            </w:r>
          </w:p>
        </w:tc>
        <w:tc>
          <w:tcPr>
            <w:tcW w:w="14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0.00014760</w:t>
            </w:r>
          </w:p>
        </w:tc>
        <w:tc>
          <w:tcPr>
            <w:tcW w:w="148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$5,262.68</w:t>
            </w:r>
          </w:p>
        </w:tc>
      </w:tr>
      <w:tr>
        <w:trPr>
          <w:trHeight w:val="193"/>
        </w:trPr>
        <w:tc>
          <w:tcPr>
            <w:tcW w:w="1360" w:type="dxa"/>
            <w:vAlign w:val="bottom"/>
            <w:tcBorders>
              <w:left w:val="single" w:sz="8" w:color="auto"/>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value $0.10 per share</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457(h)</w:t>
            </w:r>
          </w:p>
        </w:tc>
        <w:tc>
          <w:tcPr>
            <w:tcW w:w="150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r>
      <w:tr>
        <w:trPr>
          <w:trHeight w:val="138"/>
        </w:trPr>
        <w:tc>
          <w:tcPr>
            <w:tcW w:w="1360" w:type="dxa"/>
            <w:vAlign w:val="bottom"/>
            <w:tcBorders>
              <w:left w:val="single" w:sz="8" w:color="auto"/>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Equity</w:t>
            </w:r>
          </w:p>
        </w:tc>
        <w:tc>
          <w:tcPr>
            <w:tcW w:w="132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Class A Common</w:t>
            </w:r>
          </w:p>
        </w:tc>
        <w:tc>
          <w:tcPr>
            <w:tcW w:w="140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Rule 457(c) and Rule</w:t>
            </w:r>
          </w:p>
        </w:tc>
        <w:tc>
          <w:tcPr>
            <w:tcW w:w="150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0.00014760</w:t>
            </w:r>
          </w:p>
        </w:tc>
        <w:tc>
          <w:tcPr>
            <w:tcW w:w="148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w:t>
            </w:r>
          </w:p>
        </w:tc>
      </w:tr>
      <w:tr>
        <w:trPr>
          <w:trHeight w:val="144"/>
        </w:trPr>
        <w:tc>
          <w:tcPr>
            <w:tcW w:w="1360" w:type="dxa"/>
            <w:vAlign w:val="bottom"/>
            <w:tcBorders>
              <w:left w:val="single" w:sz="8" w:color="auto"/>
              <w:right w:val="single" w:sz="8" w:color="auto"/>
            </w:tcBorders>
          </w:tcPr>
          <w:p>
            <w:pPr>
              <w:spacing w:after="0"/>
              <w:rPr>
                <w:sz w:val="12"/>
                <w:szCs w:val="12"/>
                <w:color w:val="auto"/>
              </w:rPr>
            </w:pPr>
          </w:p>
        </w:tc>
        <w:tc>
          <w:tcPr>
            <w:tcW w:w="13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Stock, par value</w:t>
            </w:r>
          </w:p>
        </w:tc>
        <w:tc>
          <w:tcPr>
            <w:tcW w:w="14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457(h)</w:t>
            </w:r>
          </w:p>
        </w:tc>
        <w:tc>
          <w:tcPr>
            <w:tcW w:w="150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r>
      <w:tr>
        <w:trPr>
          <w:trHeight w:val="196"/>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$0.10 per share</w:t>
            </w:r>
          </w:p>
        </w:tc>
        <w:tc>
          <w:tcPr>
            <w:tcW w:w="14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r>
      <w:tr>
        <w:trPr>
          <w:trHeight w:val="139"/>
        </w:trPr>
        <w:tc>
          <w:tcPr>
            <w:tcW w:w="1360" w:type="dxa"/>
            <w:vAlign w:val="bottom"/>
            <w:tcBorders>
              <w:left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3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Class B Stock, par</w:t>
            </w:r>
          </w:p>
        </w:tc>
        <w:tc>
          <w:tcPr>
            <w:tcW w:w="14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Rule 457(c) and Rule</w:t>
            </w:r>
          </w:p>
        </w:tc>
        <w:tc>
          <w:tcPr>
            <w:tcW w:w="15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0.00014760</w:t>
            </w:r>
          </w:p>
        </w:tc>
        <w:tc>
          <w:tcPr>
            <w:tcW w:w="148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w:t>
            </w:r>
          </w:p>
        </w:tc>
      </w:tr>
      <w:tr>
        <w:trPr>
          <w:trHeight w:val="193"/>
        </w:trPr>
        <w:tc>
          <w:tcPr>
            <w:tcW w:w="1360" w:type="dxa"/>
            <w:vAlign w:val="bottom"/>
            <w:tcBorders>
              <w:left w:val="single" w:sz="8" w:color="auto"/>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value $0.10 per share</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457(h)</w:t>
            </w:r>
          </w:p>
        </w:tc>
        <w:tc>
          <w:tcPr>
            <w:tcW w:w="150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r>
      <w:tr>
        <w:trPr>
          <w:trHeight w:val="194"/>
        </w:trPr>
        <w:tc>
          <w:tcPr>
            <w:tcW w:w="1360" w:type="dxa"/>
            <w:vAlign w:val="bottom"/>
            <w:tcBorders>
              <w:left w:val="single" w:sz="8" w:color="auto"/>
              <w:bottom w:val="single" w:sz="8" w:color="auto"/>
            </w:tcBorders>
          </w:tcPr>
          <w:p>
            <w:pPr>
              <w:spacing w:after="0"/>
              <w:rPr>
                <w:sz w:val="16"/>
                <w:szCs w:val="16"/>
                <w:color w:val="auto"/>
              </w:rPr>
            </w:pPr>
          </w:p>
        </w:tc>
        <w:tc>
          <w:tcPr>
            <w:tcW w:w="2720" w:type="dxa"/>
            <w:vAlign w:val="bottom"/>
            <w:tcBorders>
              <w:bottom w:val="single" w:sz="8" w:color="auto"/>
            </w:tcBorders>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Total Offering Amounts</w:t>
            </w:r>
          </w:p>
        </w:tc>
        <w:tc>
          <w:tcPr>
            <w:tcW w:w="150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$35,655,000</w:t>
            </w:r>
          </w:p>
        </w:tc>
        <w:tc>
          <w:tcPr>
            <w:tcW w:w="140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$5,262.68</w:t>
            </w:r>
          </w:p>
        </w:tc>
      </w:tr>
      <w:tr>
        <w:trPr>
          <w:trHeight w:val="196"/>
        </w:trPr>
        <w:tc>
          <w:tcPr>
            <w:tcW w:w="1360" w:type="dxa"/>
            <w:vAlign w:val="bottom"/>
            <w:tcBorders>
              <w:left w:val="single" w:sz="8" w:color="auto"/>
              <w:bottom w:val="single" w:sz="8" w:color="auto"/>
            </w:tcBorders>
          </w:tcPr>
          <w:p>
            <w:pPr>
              <w:spacing w:after="0"/>
              <w:rPr>
                <w:sz w:val="17"/>
                <w:szCs w:val="17"/>
                <w:color w:val="auto"/>
              </w:rPr>
            </w:pPr>
          </w:p>
        </w:tc>
        <w:tc>
          <w:tcPr>
            <w:tcW w:w="2720" w:type="dxa"/>
            <w:vAlign w:val="bottom"/>
            <w:tcBorders>
              <w:bottom w:val="single" w:sz="8" w:color="auto"/>
            </w:tcBorders>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Total Fee Offsets</w:t>
            </w:r>
          </w:p>
        </w:tc>
        <w:tc>
          <w:tcPr>
            <w:tcW w:w="15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96"/>
        </w:trPr>
        <w:tc>
          <w:tcPr>
            <w:tcW w:w="1360" w:type="dxa"/>
            <w:vAlign w:val="bottom"/>
            <w:tcBorders>
              <w:left w:val="single" w:sz="8" w:color="auto"/>
              <w:bottom w:val="single" w:sz="8" w:color="auto"/>
            </w:tcBorders>
          </w:tcPr>
          <w:p>
            <w:pPr>
              <w:spacing w:after="0"/>
              <w:rPr>
                <w:sz w:val="17"/>
                <w:szCs w:val="17"/>
                <w:color w:val="auto"/>
              </w:rPr>
            </w:pPr>
          </w:p>
        </w:tc>
        <w:tc>
          <w:tcPr>
            <w:tcW w:w="2720" w:type="dxa"/>
            <w:vAlign w:val="bottom"/>
            <w:tcBorders>
              <w:bottom w:val="single" w:sz="8" w:color="auto"/>
            </w:tcBorders>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Net Fee Due</w:t>
            </w:r>
          </w:p>
        </w:tc>
        <w:tc>
          <w:tcPr>
            <w:tcW w:w="15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$5,262.68</w:t>
            </w:r>
          </w:p>
        </w:tc>
      </w:tr>
    </w:tbl>
    <w:p>
      <w:pPr>
        <w:spacing w:after="0" w:line="200" w:lineRule="exact"/>
        <w:rPr>
          <w:sz w:val="20"/>
          <w:szCs w:val="20"/>
          <w:color w:val="auto"/>
        </w:rPr>
      </w:pPr>
    </w:p>
    <w:p>
      <w:pPr>
        <w:spacing w:after="0" w:line="380" w:lineRule="exact"/>
        <w:rPr>
          <w:sz w:val="20"/>
          <w:szCs w:val="20"/>
          <w:color w:val="auto"/>
        </w:rPr>
      </w:pPr>
    </w:p>
    <w:p>
      <w:pPr>
        <w:ind w:left="480" w:right="340" w:hanging="454"/>
        <w:spacing w:after="0" w:line="232" w:lineRule="auto"/>
        <w:tabs>
          <w:tab w:leader="none" w:pos="4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under the Securities Act of 1933, as amended (the “Securities Act”), this Registration Statement shall also cover any additional shares of Common Stock, Class A Common Stock and Class B Stock to be offered or issued as a result of any stock dividend, stock split, recapitalization or other similar transaction under the Amended and Restated Oil-Dri Corporation of America 2006 Long Term Incentive Plan, as amended (the “Plan”).</w:t>
      </w:r>
    </w:p>
    <w:p>
      <w:pPr>
        <w:spacing w:after="0" w:line="6" w:lineRule="exact"/>
        <w:rPr>
          <w:rFonts w:ascii="Times New Roman" w:cs="Times New Roman" w:eastAsia="Times New Roman" w:hAnsi="Times New Roman"/>
          <w:sz w:val="16"/>
          <w:szCs w:val="16"/>
          <w:color w:val="auto"/>
        </w:rPr>
      </w:pPr>
    </w:p>
    <w:p>
      <w:pPr>
        <w:ind w:left="480" w:right="80" w:hanging="454"/>
        <w:spacing w:after="0" w:line="223" w:lineRule="auto"/>
        <w:tabs>
          <w:tab w:leader="none" w:pos="4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Registration Statement covers, in aggregate, up to 500,000 additional shares of either Common Stock, Class A Common Stock or Class B Stock issuable under the Plan. Shares issuable under the Plan will be shares of (i) Common Stock unless Class A Common Stock is issued and publicly traded, in which event shares of Class A Common Stock will be issued unless an award is specifically made with respect to shares of Common Stock; or (ii) Class B Stock, in the case of awards with respect to Class B Stock to Jaffee Family members who are employees or officers of the registrant or one of its subsidiaries that is more than 50% owned by the registrant.</w:t>
      </w:r>
    </w:p>
    <w:p>
      <w:pPr>
        <w:spacing w:after="0" w:line="9" w:lineRule="exact"/>
        <w:rPr>
          <w:rFonts w:ascii="Times New Roman" w:cs="Times New Roman" w:eastAsia="Times New Roman" w:hAnsi="Times New Roman"/>
          <w:sz w:val="16"/>
          <w:szCs w:val="16"/>
          <w:color w:val="auto"/>
        </w:rPr>
      </w:pPr>
    </w:p>
    <w:p>
      <w:pPr>
        <w:ind w:left="480" w:right="100" w:hanging="454"/>
        <w:spacing w:after="0" w:line="232" w:lineRule="auto"/>
        <w:tabs>
          <w:tab w:leader="none" w:pos="4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purposes of calculating the registration fee pursuant to Rule 457(h) and 457(c) under the Securities Act, on the basis of the average high and low sale prices reported for shares of the Registrant’s Common Stock on the New York Stock Exchange on March 1, 2024, which date is within five business days prior to the filing of this Registration Statement.</w:t>
      </w:r>
    </w:p>
    <w:p>
      <w:pPr>
        <w:sectPr>
          <w:pgSz w:w="11900" w:h="16838" w:orient="portrait"/>
          <w:cols w:equalWidth="0" w:num="1">
            <w:col w:w="11260"/>
          </w:cols>
          <w:pgMar w:left="320" w:top="1440" w:right="3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Benesch Friedlander Coplan &amp; Aronoff LLP</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1155 Avenue of the Americas, Floor 26</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646.328.0498</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7,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410 N. Michigan Ave.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60611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36" w:lineRule="exact"/>
        <w:rPr>
          <w:sz w:val="20"/>
          <w:szCs w:val="20"/>
          <w:color w:val="auto"/>
        </w:rPr>
      </w:pPr>
    </w:p>
    <w:p>
      <w:pPr>
        <w:jc w:val="both"/>
        <w:ind w:firstLine="432"/>
        <w:spacing w:after="0" w:line="291" w:lineRule="auto"/>
        <w:rPr>
          <w:sz w:val="20"/>
          <w:szCs w:val="20"/>
          <w:color w:val="auto"/>
        </w:rPr>
      </w:pPr>
      <w:r>
        <w:rPr>
          <w:rFonts w:ascii="Times New Roman" w:cs="Times New Roman" w:eastAsia="Times New Roman" w:hAnsi="Times New Roman"/>
          <w:sz w:val="18"/>
          <w:szCs w:val="18"/>
          <w:color w:val="auto"/>
        </w:rPr>
        <w:t>We have acted as special counsel to Oil-Dri Corporation of America, a Delaware corporation (the “Company”), in connection with the Registration Statement on Form S-8 (the “Registration Statement”) of the Company relating to the registration of the offer and sale of up to 500,000 additional shares of Common Stock, par value $.10 per share, Class A Common Stock, par value $.10 per share, and Class B Stock, par value $.10 per share (collectively, the “Shares”) issuable pursuant to the terms and in the manner set forth in the Amended and Restated Oil-Dri Corporation of America 2006 Long Term Incentive Plan (the “Amended Plan”).</w:t>
      </w:r>
    </w:p>
    <w:p>
      <w:pPr>
        <w:spacing w:after="0" w:line="1" w:lineRule="exact"/>
        <w:rPr>
          <w:sz w:val="20"/>
          <w:szCs w:val="20"/>
          <w:color w:val="auto"/>
        </w:rPr>
      </w:pPr>
    </w:p>
    <w:p>
      <w:pPr>
        <w:jc w:val="both"/>
        <w:ind w:firstLine="432"/>
        <w:spacing w:after="0" w:line="289" w:lineRule="auto"/>
        <w:rPr>
          <w:sz w:val="20"/>
          <w:szCs w:val="20"/>
          <w:color w:val="auto"/>
        </w:rPr>
      </w:pPr>
      <w:r>
        <w:rPr>
          <w:rFonts w:ascii="Times New Roman" w:cs="Times New Roman" w:eastAsia="Times New Roman" w:hAnsi="Times New Roman"/>
          <w:sz w:val="18"/>
          <w:szCs w:val="18"/>
          <w:color w:val="auto"/>
        </w:rPr>
        <w:t>This opinion is delivered in accordance with the requirements of Item 601(b)(5) of Regulation S-K promulgated under the Securities Act of 1933, as amended (the “Act”).</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this opinion, we have examined and are familiar with originals or copies, certified or otherwise identified to our satisfaction, of:</w:t>
      </w:r>
    </w:p>
    <w:p>
      <w:pPr>
        <w:spacing w:after="0" w:line="50" w:lineRule="exact"/>
        <w:rPr>
          <w:sz w:val="20"/>
          <w:szCs w:val="20"/>
          <w:color w:val="auto"/>
        </w:rPr>
      </w:pPr>
    </w:p>
    <w:p>
      <w:pPr>
        <w:jc w:val="both"/>
        <w:ind w:firstLine="8"/>
        <w:spacing w:after="0" w:line="289" w:lineRule="auto"/>
        <w:tabs>
          <w:tab w:leader="none" w:pos="2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to be filed with the Securities and Exchange Commission (the “Commission”) under the Act; (ii) the Certificate of Incorporation of the Company, as amended, as currently in effect; (iii) the By-Laws of the Company, as Amended and Restated on December 12, 2017, as</w:t>
      </w:r>
    </w:p>
    <w:p>
      <w:pPr>
        <w:spacing w:after="0" w:line="1" w:lineRule="exact"/>
        <w:rPr>
          <w:rFonts w:ascii="Times New Roman" w:cs="Times New Roman" w:eastAsia="Times New Roman" w:hAnsi="Times New Roman"/>
          <w:sz w:val="18"/>
          <w:szCs w:val="18"/>
          <w:color w:val="auto"/>
        </w:rPr>
      </w:pPr>
    </w:p>
    <w:p>
      <w:pPr>
        <w:jc w:val="both"/>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in effect; (iv) the Amended Plan; (v) resolutions of the board of directors of the Company relating to, among other things, the approval of the Amended Plan, the reservation for issuance of the Shares issuable thereunder and the filing of the Registration Statement; and (vi) a certificate of the</w:t>
      </w:r>
    </w:p>
    <w:p>
      <w:pPr>
        <w:spacing w:after="0" w:line="1" w:lineRule="exact"/>
        <w:rPr>
          <w:rFonts w:ascii="Times New Roman" w:cs="Times New Roman" w:eastAsia="Times New Roman" w:hAnsi="Times New Roman"/>
          <w:sz w:val="18"/>
          <w:szCs w:val="18"/>
          <w:color w:val="auto"/>
        </w:rPr>
      </w:pPr>
    </w:p>
    <w:p>
      <w:pPr>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inspector of elections certifying as to approval of the Amended Plan by the Company's shareholders at the 2023 annual meeting of shareholders. We have also examined such other documents as we have deemed necessary or appropriate as a basis for the opinion set forth below.</w:t>
      </w:r>
    </w:p>
    <w:p>
      <w:pPr>
        <w:spacing w:after="0" w:line="1" w:lineRule="exact"/>
        <w:rPr>
          <w:rFonts w:ascii="Times New Roman" w:cs="Times New Roman" w:eastAsia="Times New Roman" w:hAnsi="Times New Roman"/>
          <w:sz w:val="18"/>
          <w:szCs w:val="18"/>
          <w:color w:val="auto"/>
        </w:rPr>
      </w:pPr>
    </w:p>
    <w:p>
      <w:pPr>
        <w:jc w:val="both"/>
        <w:ind w:firstLine="432"/>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examination, we have assumed the legal capacity of all natural persons, the genuineness of all signatures, the authenticity of all documents submitted to us as certified or photostatic copies and the authenticity of the originals of such latter documents. We have also assumed that the Company's</w:t>
      </w:r>
    </w:p>
    <w:p>
      <w:pPr>
        <w:spacing w:after="0" w:line="1" w:lineRule="exact"/>
        <w:rPr>
          <w:rFonts w:ascii="Times New Roman" w:cs="Times New Roman" w:eastAsia="Times New Roman" w:hAnsi="Times New Roman"/>
          <w:sz w:val="18"/>
          <w:szCs w:val="18"/>
          <w:color w:val="auto"/>
        </w:rPr>
      </w:pPr>
    </w:p>
    <w:p>
      <w:pPr>
        <w:jc w:val="both"/>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or a duly authorized committee thereof, will have approved the issuance of each award under the Amended Plan prior to the issuance thereof. As to any facts material to this opinion that we did not independently establish or verify, we have relied upon oral or written statements and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of officers and other representatives of the Company and others.</w:t>
      </w:r>
    </w:p>
    <w:p>
      <w:pPr>
        <w:spacing w:after="0" w:line="36"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and subject to the foregoing, we are of the opinion that the Shares have been duly authorized by the requisite corporate action on the part</w:t>
      </w:r>
    </w:p>
    <w:p>
      <w:pPr>
        <w:spacing w:after="0" w:line="49" w:lineRule="exact"/>
        <w:rPr>
          <w:rFonts w:ascii="Times New Roman" w:cs="Times New Roman" w:eastAsia="Times New Roman" w:hAnsi="Times New Roman"/>
          <w:sz w:val="18"/>
          <w:szCs w:val="18"/>
          <w:color w:val="auto"/>
        </w:rPr>
      </w:pPr>
    </w:p>
    <w:p>
      <w:pPr>
        <w:jc w:val="both"/>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 and, when issued, paid for and delivered pursuant to the terms and in the manner set forth in the Amended Plan, and assuming that the Shares remain duly reserved for issuance within the limits of the Shares then remaining authorized but unissued, will be validly issued, fully paid and nonassessable.</w:t>
      </w:r>
    </w:p>
    <w:p>
      <w:pPr>
        <w:jc w:val="both"/>
        <w:ind w:firstLine="432"/>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opinion is based upon and limited to the General Corporation Law of the State of Delaware (including the statutory provisions, the applicable provisions of the Delaware Constitution and reported judicial decisions interpreting the foregoing). We express no opinion herein as to any other laws, statutes, regulations or ordinances. This opinion is given as of the date hereof and we assume no obligation to update or supplement such</w:t>
      </w:r>
    </w:p>
    <w:p>
      <w:pPr>
        <w:sectPr>
          <w:pgSz w:w="11900" w:h="16838" w:orient="portrait"/>
          <w:cols w:equalWidth="0" w:num="1">
            <w:col w:w="11240"/>
          </w:cols>
          <w:pgMar w:left="320" w:top="1427" w:right="339" w:bottom="1440" w:gutter="0" w:footer="0" w:header="0"/>
        </w:sectPr>
      </w:pPr>
    </w:p>
    <w:bookmarkStart w:id="8" w:name="page9"/>
    <w:bookmarkEnd w:id="8"/>
    <w:p>
      <w:pPr>
        <w:jc w:val="both"/>
        <w:spacing w:after="0" w:line="292" w:lineRule="auto"/>
        <w:rPr>
          <w:sz w:val="20"/>
          <w:szCs w:val="20"/>
          <w:color w:val="auto"/>
        </w:rPr>
      </w:pPr>
      <w:r>
        <w:rPr>
          <w:rFonts w:ascii="Times New Roman" w:cs="Times New Roman" w:eastAsia="Times New Roman" w:hAnsi="Times New Roman"/>
          <w:sz w:val="18"/>
          <w:szCs w:val="18"/>
          <w:color w:val="auto"/>
        </w:rPr>
        <w:t>opinion to reflect any facts or circumstances that may hereafter come to our attention or any changes that may hereafter occur. This opinion is being furnished solely for the Company’s benefit in connection with the offer, sale and issuance of the Shares and is not to be used, quoted or otherwise referred to for any other purpose without our prior written consent.</w:t>
      </w:r>
    </w:p>
    <w:p>
      <w:pPr>
        <w:spacing w:after="0" w:line="1" w:lineRule="exact"/>
        <w:rPr>
          <w:sz w:val="20"/>
          <w:szCs w:val="20"/>
          <w:color w:val="auto"/>
        </w:rPr>
      </w:pPr>
    </w:p>
    <w:p>
      <w:pPr>
        <w:jc w:val="both"/>
        <w:ind w:firstLine="432"/>
        <w:spacing w:after="0" w:line="305"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an exhibit to the Registration Statement. In giving such consent, we do not concede that we are experts within the meaning of the Act or the rules and regulations thereunder or that this consent is required by Section 7 of the Act or the rules and regulations of the Commission.</w:t>
      </w:r>
    </w:p>
    <w:p>
      <w:pPr>
        <w:spacing w:after="0" w:line="3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u w:val="single" w:color="auto"/>
          <w:color w:val="auto"/>
        </w:rPr>
        <w:t>/s/ Benesch Friedlander Coplan &amp;</w:t>
      </w:r>
    </w:p>
    <w:p>
      <w:pPr>
        <w:spacing w:after="0" w:line="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u w:val="single" w:color="auto"/>
          <w:color w:val="auto"/>
        </w:rPr>
        <w:t>Aronoff LLP</w:t>
      </w:r>
    </w:p>
    <w:p>
      <w:pPr>
        <w:spacing w:after="0" w:line="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BENESCH FRIEDLANDER</w:t>
      </w:r>
    </w:p>
    <w:p>
      <w:pPr>
        <w:ind w:left="4780"/>
        <w:spacing w:after="0"/>
        <w:rPr>
          <w:sz w:val="20"/>
          <w:szCs w:val="20"/>
          <w:color w:val="auto"/>
        </w:rPr>
      </w:pPr>
      <w:r>
        <w:rPr>
          <w:rFonts w:ascii="Times New Roman" w:cs="Times New Roman" w:eastAsia="Times New Roman" w:hAnsi="Times New Roman"/>
          <w:sz w:val="18"/>
          <w:szCs w:val="18"/>
          <w:color w:val="auto"/>
        </w:rPr>
        <w:t>COPLAN &amp; ARONOFF LLP</w:t>
      </w:r>
    </w:p>
    <w:p>
      <w:pPr>
        <w:sectPr>
          <w:pgSz w:w="11900" w:h="16838" w:orient="portrait"/>
          <w:cols w:equalWidth="0" w:num="1">
            <w:col w:w="11240"/>
          </w:cols>
          <w:pgMar w:left="320" w:top="1431" w:right="339" w:bottom="1440" w:gutter="0" w:footer="0" w:header="0"/>
        </w:sectPr>
      </w:pPr>
    </w:p>
    <w:bookmarkStart w:id="9" w:name="page10"/>
    <w:bookmarkEnd w:id="9"/>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We have issued our report dated October 12, 2023, with respect to the consolidated financial statements and internal control over financial reporting of Oil-Dri Corporation of America included in the Annual Report on Form 10-K for year ended July 31, 2023, which is incorporated</w:t>
      </w:r>
    </w:p>
    <w:p>
      <w:pPr>
        <w:spacing w:after="0" w:line="1"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by reference in this Registration Statement. We consent to this incorporation by reference of the aforementioned report in this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7, 2024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5"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16" Type="http://schemas.openxmlformats.org/officeDocument/2006/relationships/hyperlink" Target="https://www.sec.gov/Archives/edgar/data/74046/000127528706006573/oc8330.htm" TargetMode="External"/><Relationship Id="rId17" Type="http://schemas.openxmlformats.org/officeDocument/2006/relationships/hyperlink" Target="https://www.sec.gov/Archives/edgar/data/74046/000007404623000058/odc-20230731.htm" TargetMode="External"/><Relationship Id="rId18" Type="http://schemas.openxmlformats.org/officeDocument/2006/relationships/hyperlink" Target="https://www.sec.gov/Archives/edgar/data/74046/000007404623000070/odcproxy2023.htm" TargetMode="External"/><Relationship Id="rId19" Type="http://schemas.openxmlformats.org/officeDocument/2006/relationships/hyperlink" Target="https://www.sec.gov/Archives/edgar/data/74046/000007404623000080/odc-20231031.htm" TargetMode="External"/><Relationship Id="rId20" Type="http://schemas.openxmlformats.org/officeDocument/2006/relationships/hyperlink" Target="https://www.sec.gov/Archives/edgar/data/74046/000007404624000021/odc-20240131.htm" TargetMode="External"/><Relationship Id="rId21" Type="http://schemas.openxmlformats.org/officeDocument/2006/relationships/hyperlink" Target="https://www.sec.gov/Archives/edgar/data/74046/000007404623000046/odc-20230921.htm" TargetMode="External"/><Relationship Id="rId22" Type="http://schemas.openxmlformats.org/officeDocument/2006/relationships/hyperlink" Target="https://www.sec.gov/Archives/edgar/data/74046/000007404623000048/odc-20231004.htm" TargetMode="External"/><Relationship Id="rId23" Type="http://schemas.openxmlformats.org/officeDocument/2006/relationships/hyperlink" Target="https://www.sec.gov/Archives/edgar/data/74046/000007404623000086/odc-20231213.htm" TargetMode="External"/><Relationship Id="rId24" Type="http://schemas.openxmlformats.org/officeDocument/2006/relationships/hyperlink" Target="https://www.sec.gov/Archives/edgar/data/74046/000007404623000058/odcex4107312023.htm" TargetMode="External"/><Relationship Id="rId26" Type="http://schemas.openxmlformats.org/officeDocument/2006/relationships/hyperlink" Target="https://www.sec.gov/Archives/edgar/data/74046/0000074046-98-000008.txt" TargetMode="External"/><Relationship Id="rId27" Type="http://schemas.openxmlformats.org/officeDocument/2006/relationships/hyperlink" Target="https://www.sec.gov/Archives/edgar/data/74046/000007404618000007/odcex301312018.htm" TargetMode="External"/><Relationship Id="rId28" Type="http://schemas.openxmlformats.org/officeDocument/2006/relationships/hyperlink" Target="https://www.sec.gov/Archives/edgar/data/74046/000007404623000070/odcproxy2023.htm#ia963965e605543ac8d9872b74a2575bb_14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2024-03-07T15:38:17Z</dcterms:created>
  <dcterms:modified xsi:type="dcterms:W3CDTF">2024-03-07T15:38:17Z</dcterms:modified>
</cp:coreProperties>
</file>