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2017</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2017.</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5,107,796 Shares and Class B Stock – 2,188,771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2016.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 Varium is a trademark of Oil-Dri Corporation of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18,700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$782 and $753 at April 30, 2017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98,077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(138,172)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81,543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$287 and $261 at April 30, 2017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3,469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$4,315 and $3,460 at April 30, 2017 and July 31, 2016,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212,053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8,105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7,638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9,154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$96 and $118 at April 30, 2017 and July 31, 2016, respectively</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32,758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3,560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56,494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89,265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89,264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8,015,166 shares at April 30, 2017</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7,982,243 shares at July 31, 2016</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2,513,512 shares at April 30, 2017</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2,515,735 shares at July 31, 2016</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35,676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154,966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(13,206)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(2,907,370 Common and 324,741 Class B shares at</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April 30, 2017 and 2,912,953 Common and 324,741 Class B shares at July 31, 2016)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122,788</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212,053</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196,531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197,397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(138,900)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(139,114)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57,631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58,283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(45,252)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(46,342)</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12,379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11,941</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11,691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(2,221)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9,470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8,352</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149,945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142,095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154,966</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146,195</w:t>
            </w:r>
          </w:p>
        </w:tc>
      </w:tr>
      <w:tr>
        <w:trPr>
          <w:trHeight w:val="284"/>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1.06</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0.94</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2,081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0.6600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0.4950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0.4725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9,470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8,352</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816</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10,286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8,951</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64,745</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64,235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(46,964)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(45,667)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17,781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(14,035)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(19,803)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3,746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233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341</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0.48</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0.36</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0.44</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5,022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4,986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7,164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7,041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0.2200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0.2100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0.1650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3,211</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289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189</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3,400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ind w:left="362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9,470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9,553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518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11,563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11,057</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21,033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19,409</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24,506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18,680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(18,858)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(7,261)</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(7,343)</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18,629</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13,603</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17,194</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2016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2017 are not necessarily an indication of the results that may be expected for the fiscal year ending July 31,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Pronouncements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In March, April, May and December of 2016, the FASB issued amended guidance that further clarifies the principles for recognizing revenue. We are currently in the process of performing a comprehensive evaluation of these requirements, including the impact on how we record certain incentives and advertising arrangements. The implementation date for this guidance was deferred and will now be effective at the beginning of our first quarter of fiscal year 2019. Transition options to implement this guidance include either a full or modified retrospective approach and early adoption is permitted. We have not yet selected an implementation method.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the fourth quarter of fiscal year 2017. This pronouncement requires additional disclosures only in certain circumstances, and we do not expect a significant impact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which requires presenting the service cost component of net periodic benefit cost in the same income statement line item(s) as other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with early adoption permitted.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first quarter of fiscal 2017, we adopted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related to notes payable to be presented as a direct deduction from the associated debt liability rather than as an asset. Amortization of these costs will continue to be reported as interest expense. We adopted this guidance retrospectively, which resulted in a decrease in Other Assets of $118,000 with a corresponding decrease in Noncurrent Liabilities in our Condensed Consolidated Balance Sheets as of July 31, 2016. The new requirements had no impact on our results of operations or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14,032</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April 30, 2017 and July 31, 2016 were $831,000 and $806,000,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87"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Cash equivalents of $1,256,000 and $7,626,000 as of April 30, 2017 and July 31, 2016,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April 30, 2017 and July 31,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April 30, 2017 and July 31, 2016 due to the short maturity and nature of those balances.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$12,957,000 and $16,651,000 as of April 30, 2017 and July 31, 2016,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amortization expense was $306,000 and $363,000 in the third quarter of fiscal 2017 and 2016, respectively. Intangible amortization expense was $918,000 and $1,090,000 for the first nine months of fiscal 2017 and 2016, respectively. Estimated intangible amortization for the remainder of fiscal 2017 is $306,000. Estimated intangible amortization for the next five fiscal years is as follows (in thousands):</w:t>
      </w:r>
    </w:p>
    <w:p>
      <w:pPr>
        <w:spacing w:after="0" w:line="115"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2016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465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1,396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1,446</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1,371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735</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$686,000 and $1,322,000 to our pension plan during the third quarter and first nine months of fiscal 2017, respectively. We estimate contributions will be $335,000 for the remainder of fiscal 2017.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4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40" w:type="dxa"/>
            <w:vAlign w:val="bottom"/>
            <w:gridSpan w:val="7"/>
          </w:tcPr>
          <w:p>
            <w:pPr>
              <w:ind w:left="104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7.35%. The graded trend rate is expected to decrease to an ultimate rate of 4.5% in fiscal 2036.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2016.</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2017</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2016</w:t>
            </w:r>
          </w:p>
        </w:tc>
      </w:tr>
      <w:tr>
        <w:trPr>
          <w:trHeight w:val="27"/>
        </w:trPr>
        <w:tc>
          <w:tcPr>
            <w:tcW w:w="8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92,261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91,626</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52,182</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212,053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r>
      <w:tr>
        <w:trPr>
          <w:trHeight w:val="20"/>
        </w:trPr>
        <w:tc>
          <w:tcPr>
            <w:tcW w:w="8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74,893</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121,638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5,996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196,531</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(18,650)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12,379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11,941</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9,470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2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0" w:type="dxa"/>
            <w:vAlign w:val="bottom"/>
            <w:gridSpan w:val="9"/>
          </w:tcPr>
          <w:p>
            <w:pPr>
              <w:jc w:val="center"/>
              <w:ind w:right="90"/>
              <w:spacing w:after="0"/>
              <w:rPr>
                <w:sz w:val="20"/>
                <w:szCs w:val="20"/>
                <w:color w:val="auto"/>
              </w:rPr>
            </w:pPr>
            <w:r>
              <w:rPr>
                <w:rFonts w:ascii="Arial" w:cs="Arial" w:eastAsia="Arial" w:hAnsi="Arial"/>
                <w:sz w:val="18"/>
                <w:szCs w:val="18"/>
                <w:b w:val="1"/>
                <w:bCs w:val="1"/>
                <w:color w:val="auto"/>
                <w:w w:val="93"/>
              </w:rPr>
              <w:t>For the Three Months Ended April 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24,159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40,586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64,745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(4,524)</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April 30, 2017</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in the third quarter of either fiscal 2017 or 2016.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received from the exercise of stock options during the first nine months of fiscal years 2017 and 2016 was $170,000 and $281,000, respectively, and the related tax benefit was $80,000 and $68,000,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first nine months of either fiscal year 2017 or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6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of our non-vested restricted stock as of April 30, 2017 was issued under the 2006 Plan with vesting periods between two years and five years. There were no restricted shares of Common Stock granted in the third quarter of fiscal 2017. There were 500 restricted shares of Common Stock granted during the third quarter of fiscal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for the third quarter of fiscal years 2017 and 2016 was $360,000 and $324,000, respectively. Stock-based compensation expense related to non-vested restricted stock for the first nine months of fiscal years 2017 and 2016 was $1,137,000 and $962,000,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31.24</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2017</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as of April 30, 2017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6"/>
              </w:rPr>
              <w:t>Other comprehensive income before reclassifications,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net of</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867</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816</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(13,206)</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$532,000. Amount is included in the components of net periodic benefit cost for the pension and postretirement health plans. See Note 6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member of our Board of Directors is currently the President and Chief Executive Officer of a customer of ours. Total net sales to that customer, including sales to subsidiaries of that customer, were $142,000 and $140,000 for the third quarters of fiscal 2017 and 2016, respectively, and were $320,000 and $341,000 for the first nine months of fiscal 2017 and 2016, respectively. Outstanding accounts receivable from that customer, and its subsidiaries, were $40,000 and $28,000 as of April 30, 2017 and July 31, 2016,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2016.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2017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sales for the nine months ended April 30, 2017 were $196,531,000, compared to net sales of $197,397,000 for the nine months ended April 30, 2016. Net sales were down for our Retail and Wholesale Products Group, but were up for our Business to Business Products Group. Consolidated net income for the first nine months of fiscal 2017 was $9,470,000, a 13% increase from net income of $8,352,000 for the first nine months of fiscal 2016. Both segments reported higher operating income, as described further below. Diluted net income per share was $1.29 for the first nine months of fiscal 2017, compared to $1.15 for the first nine months of fiscal 2016.</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Consolidated gross profit as a percentage of net sales for the first nine months of fiscal 2017 was 29%, compared to 30% for the first nine months of fiscal 2016. Gross profit in fiscal 2017 was negatively impacted by the cost of natural gas used to operate kilns that dry our clay. The cost of natural gas per manufactured ton was approximately 27% higher than the prior year. Other manufacturing costs per ton produced were up approximately 6% compared to the same period in the prior fiscal year, including higher expenses for employee benefits, depreciation, wages, repairs and salaries. Gross profit was positively impacted by approximately 3% lower packaging costs per manufactured ton. A significant amount of our packaging purchases are subject to contractual price adjustments throughout the year based on underlying commodity prices. Prices for commodities may fluctuate considerably, particularly commodities related to our resin and paper-based packaging. The lower packaging costs reflected favorable commodity prices at the time of the most recent price adjustment.</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Total selling, general and administrative expenses were 2% lower for the first nine months of fiscal 2017 compared to the first nine months of fiscal 2016. The decrease was driven by lower advertising expense in the Retail and Wholesale Products Group. The discussion of the segments' operating incomes below describe the changes in the selling, general and administrative expenses that were allocated to the operating segments. The remaining unallocated corporate expenses in the first nine months of fiscal 2017 included increased pension expense and additional costs related to the implementation of our new </w:t>
      </w:r>
      <w:r>
        <w:rPr>
          <w:rFonts w:ascii="Arial" w:cs="Arial" w:eastAsia="Arial" w:hAnsi="Arial"/>
          <w:sz w:val="17"/>
          <w:szCs w:val="17"/>
          <w:color w:val="222222"/>
        </w:rPr>
        <w:t>enterprise</w:t>
      </w:r>
      <w:r>
        <w:rPr>
          <w:rFonts w:ascii="Arial" w:cs="Arial" w:eastAsia="Arial" w:hAnsi="Arial"/>
          <w:sz w:val="17"/>
          <w:szCs w:val="17"/>
          <w:color w:val="auto"/>
        </w:rPr>
        <w:t xml:space="preserve"> </w:t>
      </w:r>
      <w:r>
        <w:rPr>
          <w:rFonts w:ascii="Arial" w:cs="Arial" w:eastAsia="Arial" w:hAnsi="Arial"/>
          <w:sz w:val="17"/>
          <w:szCs w:val="17"/>
          <w:color w:val="222222"/>
        </w:rPr>
        <w:t xml:space="preserve">resource planning software. These higher corporate expenses were partially offset by </w:t>
      </w:r>
      <w:r>
        <w:rPr>
          <w:rFonts w:ascii="Arial" w:cs="Arial" w:eastAsia="Arial" w:hAnsi="Arial"/>
          <w:sz w:val="17"/>
          <w:szCs w:val="17"/>
          <w:color w:val="000000"/>
        </w:rPr>
        <w:t>a lower estimated annual incentive bonus accrual compared to the prior</w:t>
      </w:r>
      <w:r>
        <w:rPr>
          <w:rFonts w:ascii="Arial" w:cs="Arial" w:eastAsia="Arial" w:hAnsi="Arial"/>
          <w:sz w:val="17"/>
          <w:szCs w:val="17"/>
          <w:color w:val="222222"/>
        </w:rPr>
        <w:t xml:space="preserve"> </w:t>
      </w:r>
      <w:r>
        <w:rPr>
          <w:rFonts w:ascii="Arial" w:cs="Arial" w:eastAsia="Arial" w:hAnsi="Arial"/>
          <w:sz w:val="17"/>
          <w:szCs w:val="17"/>
          <w:color w:val="000000"/>
        </w:rPr>
        <w:t>year. The incentive bonus accruals were based on performance targets established for each fiscal year.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expense was 19% of pre-tax income for the first nine months of fiscal 2017, compared to 27% for the first nine months of fiscal 2016. Our effective tax rate was based on the estimated level of our taxable income for the year and the assessment of various deductions, including depletion. The lower fiscal 2017 effective tax rate resulted from an estimated depletion deduction which was a greater percentage of pre-tax income compared to fiscal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nine months of fiscal 2017 were $74,893,000, an increase of $3,974,000, or 6%, from net sales of $70,919,000 for the first nine months of fiscal 2016. Net sales of our animal health and nutrition products increased approximately 19%. Sales were higher in domestic and most foreign markets, particularly in Asia. In Latin America, the transition to a new distributor negatively impacted sales. Sales for the first nine months of fiscal 2017 also included customer trials of our new Varium poultry growth promoter. See “Foreign Operations” below for further discussion of increased animal health and nutrition sales by our subsidiary in China. Net sales of our fluids purification products were up approximately 9%. Sales to edible oil producers accounted for much of the sales improvement, which included sales to a new customer in Europe added in the fourth quarter of fiscal 2016. Lower sales from normal ordering fluctuations of customers in the petroleum oil processing industry partially offset this increase. Net sales of our agricultural chemical carrier products were essentially flat compared to the first nine months of the prior year. Sales of our co-packaged coarse cat litter were approximately 8% lower due to fewer tons sold and a price adjustment under our co-packaging agreement.</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approximately 2% lower due primarily to lower costs to promote our animal health and nutrition products.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Business to Business Products Group’s operating income for the first nine months of fiscal 2017 was $25,033,000, an increase of $984,000, or 4%, from operating income of $24,049,000 for the first nine months of fiscal 2016. The benefits of higher sales and lower packaging costs more than offset higher natural gas and other manufacturing costs. See “Consolidated Results” above for further discussion of packaging, natural gas and manufacturing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nine months of fiscal 2017 were $121,638,000, a decrease of $4,840,000, or 4%, from net sales of $126,478,000 for the first nine months of fiscal 2016. Total cat litter net sales declined approximately 5% compared to the first nine months of the prior year. Lower sales of both our branded and private label cat litters was largely attributed to the decision to exit low margin business with two major customers. Through the first nine months we continued our integrated marketing campaign to generate awareness and trial of lightweight cat litter products, although we spent significantly less for advertising in the third quarter of fiscal 2017 compared to the third quarter of fiscal 2016. Our promotional efforts delivered higher sales of both our Cat's Pride Fresh &amp; Light Ultimate Care and our private label lightweight scoopable litters for the first nine months of fiscal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industrial and automotive absorbent products were essentially flat compared to the first nine months of fiscal 2016. Nine month sales for our subsidiary in Canada were higher than the prior year, while sales for our subsidiary in the United Kingdom were lower. See “Foreign Operations” below for further discussion about the sales and types of products sold by these foreign subsidiaries.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Retail and Wholesale Products Group were 9% lower compared to the first nine months of fiscal 2016. Advertising expense decreased approximately $1,400,000 due to lower expenditures for the integrated marketing campaign to promote our Fresh &amp; Light Ultimate Care lightweight cat litter, which began in the second quarter of fiscal 2016. We expect to continue promoting lightweight litter through the remainder of fiscal 2017. However, we plan to reallocate some of our anticipated spending between advertising, which is included in selling, general and administrative expenses, and trade promotions, which are included as a reduction of net sales. Although we expect advertising expense will be significant for the full year of fiscal 2017, the total is anticipated to be down from the corresponding expense in fiscal 2016.</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Retail and Wholesale Products Group's operating income for the first nine months of fiscal 2017 was $5,996,000, an increase of $314,000, or 6%, from operating income of $5,682,000 for the first nine months of fiscal 2016. The reduction in advertising costs, as discussed above, more than offset higher natural gas and other manufacturing costs. See “Consolidated Results” above for further discussion of packaging, natural gas and manufacturing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nine months of fiscal 2017 were $9,344,000, a 13% increase compared to net sales of $8,270,000 during the first nine months of fiscal 2016. Our subsidiary in China reported higher sales for animal health and nutrition products with approximately 29% more tons sold, including sales to new customers. Sales by our subsidiary in Canada increased for branded and private label lightweight cat litter. In addition, a new Canadian distributor provided increased sales of industrial absorbent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products. These increases were partially offset by lower export sales of fluids purification products sold by our subsidiary in the United Kingdom. Net sales by our foreign subsidiaries represented 5% and 4% of our consolidated net sales during the first nine months of fiscal years 2017 and 2016, respectively.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foreign subsidiaries reported a net loss of $41,000 for the first nine months of fiscal 2017 compared to a net loss of $750,000 for the first nine months of fiscal 2016. The improved profitability was driven primarily by the higher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April 30, 2017 were $7,719,000, compared to $8,017,000 as of April 30, 2016. The decrease was due primarily to lower net fixed assets, deferred income taxes and accounts receivable, which were partially offset by higher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2017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three months ended April 30, 2017 were $64,745,000, compared to net sales of $64,235,000 for the three months ended April 30, 2016. Net sales were up for our Business to Business Products Group, but were down for our Retail and Wholesale Products Group. Consolidated net income was $3,211,000 for the third quarter of fiscal 2017, compared to a net loss of $892,000 for the third quarter of fiscal 2016. Third quarter operating income increased for both our Business to Business Products and Retail and Wholesale Products Groups compared to the prior year. Significantly lower advertising expense in the quarter, as described below, drove improvements in both consolidated net income and the Retail and Wholesale Products Group's operating income. Diluted net income per share was $0.44 for the third quarter of fiscal 2017, compared to a diluted net loss per share of $0.13 for the third quarter of fiscal 2016.</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gross profit as a percentage of net sales for the third quarter of fiscal 2017 was 27%, compared to 29% for the third quarter of fiscal 2016. Higher natural gas and other manufacturing costs more than offset lower freight costs in the third quarter of fiscal 2017. The cost per manufactured ton for natural gas used to operate kilns that dry our clay increased approximately 54%. Other manufacturing costs per ton produced were up approximately 7%, including higher expenses for wages, benefits, repairs and depreciation. Packaging costs were essentially flat compared to the third quarter of the prior fiscal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Total selling, general and administrative expenses were 29% lower for the third quarter of fiscal 2017 compared to the third quarter of fiscal 2016. The discussion of the segments' operating incomes below describe the selling, general and administrative expenses allocated to the operating segments, particularly lower advertising expense in the Retail and Wholesale Products Group. The remaining unallocated corporate expenses in the third quarter of fiscal 2017 included increased pension expense and a higher estimated annual incentive bonus accrual, as well as additional costs related to the implementation of our new </w:t>
      </w:r>
      <w:r>
        <w:rPr>
          <w:rFonts w:ascii="Arial" w:cs="Arial" w:eastAsia="Arial" w:hAnsi="Arial"/>
          <w:sz w:val="18"/>
          <w:szCs w:val="18"/>
          <w:color w:val="222222"/>
        </w:rPr>
        <w:t>enterprise resource planning software</w:t>
      </w:r>
      <w:r>
        <w:rPr>
          <w:rFonts w:ascii="Arial" w:cs="Arial" w:eastAsia="Arial" w:hAnsi="Arial"/>
          <w:sz w:val="18"/>
          <w:szCs w:val="18"/>
          <w:color w:val="auto"/>
        </w:rPr>
        <w:t>. The incentive bonus accruals were based on performance targets established for each fiscal year.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expense was 15% of pre-tax income for the third quarter of fiscal 2017, compared to 28% for the third quarter of fiscal 2016. Our effective tax rate was based on the estimated level of our taxable income for the year and the assessment of various tax deductions, including depletion. The lower fiscal 2017 effective tax rate resulted from an estimated depletion deduction which was a greater percentage of pre-tax income compared to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Business to Business Products Group for the third quarter of fiscal 2017 were $24,159,000, an increase of $1,686,000, or 8%, from net sales of $22,473,000 for the third quarter of fiscal 2016. Net sales of our fluids purification products were up approximately 13%. Sales to edible oil producers accounted for much of the sales improvement, which included sales to a new customer in Europe added in the fourth quarter of fiscal 2016. Sales of our animal health and nutrition products increased approximately 11% across domestic and foreign markets. Third quarter sales included customer trials of our new Varium poultry growth promoter. See “Foreign Operations” below for further discussion of increased animal health and nutrition sales by our subsidiary in China. Net sales of our agricultural chemical carriers to manufacturers of crop protection products were up slightly compared to the third quarter of the prior year. Sales of co-packaged coarse cat litter were approximately 4% lower than in the third quarter of fiscal 2016 due to fewer tons sold and a price adjustment under our co-packaging agreement.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3% lower due primarily to lower costs to promote our animal health and nutrition products and collection of a previously reserved account receivable.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third quarter of fiscal 2017 was $7,810,000, an increase of $506,000, or 7%, from operating income of $7,304,000 in the third quarter of fiscal 2016. The benefits of higher sales and lower selling, general and administrative expenses more than offset increased natural gas and other manufacturing costs. See “Consolidated Results” above for further discussion of manufacturing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of the Retail and Wholesale Products Group for the third quarter of fiscal 2017 were $40,586,000, a decrease of $1,176,000, or 3%, from net sales of $41,762,000 for the third quarter of fiscal 2016. Total cat litter net sales declined approximately 4% compared to the third quarter of the prior year. Significantly less spending for advertising compared to the third quarter of fiscal 2016 contributed to lower branded scoopable litter sales; however, higher sales of our private label lightweight litters partially offset the decline. Lower sales of both our private label and branded coarse litters for the third quarter of fiscal 2017 compared to the prior year reflected the decline of this segment of the market.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sports products were up approximately 5% compared to the third quarter of fiscal 2016 due to higher volume. Sales of industrial and automotive absorbent products for the quarter were essentially the same as the prior year. Third quarter sales for our subsidiaries in both Canada and the United Kingdom were higher than the prior year. See “Foreign Operations” below for further discussion about the sales and types of products sold by these foreign subsidiaries.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Retail and Wholesale Products Group were 52% lower compared to the third quarter of fiscal 2016. The decrease was driven by approximately $6,400,000 lower advertising expense for our integrated marketing campaign to promote our Fresh &amp; Light Ultimate Care lightweight cat litter, which began in the second quarter of fiscal 2016. We expect to continue promoting lightweight litter through the remainder of fiscal 2017. However, we plan to reallocate some of our anticipated spending between advertising, which is included in selling, general and administrative expenses, and trade promotions, which are included as a reduction of net sales. Although we expect advertising expense will be significant for the full year of fiscal 2017, the total is anticipated to be down from the corresponding expense in fiscal 2016.</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Retail and Wholesale Products Group's operating income for the third quarter of fiscal 2017 was $1,516,000, compared to an operating loss of $4,015,000 for the third quarter of fiscal 2016. The increase in operating income was driven by the lower advertising costs discussed above. The reduction in advertising costs more than offset higher natural gas and other manufacturing costs. See “Consolidated Results” above for further discussion of these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third quarter of fiscal 2017 were $2,869,000, a 5% increase compared to net sales of $2,738,000 in the third quarter of fiscal 2016. Our subsidiary in China reported higher sales for animal health and nutrition products with approximately 4% more tons sold, including sales to new customers. Sales also increased for industrial absorbent products sold by our subsidiary in Canada, due primarily to a new distributor, and for export and domestic sales of fluids purification products by our subsidiary in the United Kingdom. Net sales by our foreign subsidiaries represented approximately 4% of our consolidated net sales during the third quarters of both fiscal 2017 and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$339,000 for the third quarter of fiscal 2017 compared to a net loss of $214,000 for the third quarter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Common Stock; paying dividends; and business acquisitions. During the first nine months of fiscal 2017, we principally used cash generated from operations to fund these requirements. We also have the ability to borrow under our revolving credit agreement with BMO Harris Bank N.A. (“BMO Harris”), as described further below, however we have not borrowed under the credit agreement in recent years. Cash and cash equivalents decreased $5,026,000 during the first nine months of fiscal 2017 to $13,603,000; however, short term investments increased $8,516,000 during the same period to $18,700,000 as of April 30,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19,409</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(15,093)</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2017 and 2016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$1,633,000 in the first nine months of fiscal 2017 compared to a decrease of $2,289,000 in the first nine months of fiscal 2016. The change in accounts receivable balances reflected differences in the level and timing of sales and collections, as well as the payment terms provided to various customers.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increased $617,000 in the first nine months of fiscal 2017 compared to an increase of $3,653,000 in the first nine months of fiscal 2016. The substantial increase in fiscal 2016 was due to anticipated sales following the launch of our integrated marketing campaign to promote our Fresh &amp; Light Ultimate Care lightweight cat litter.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$1,171,000 in the first nine months of fiscal 2017 compared to an increase of $593,000 in the first nine months of fiscal 2016. The increase in the first nine months of fiscal 2017 was due primarily to higher prepaid advertising expenses. Prepaid income taxes drove of the increase in the first nine months of fiscal 2016. Prepayments of annual insurance premiums in both fiscal years contributed to the increase in both fiscal years to a lesser extent.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increased $669,000 in the first nine months of fiscal 2017 compared to an increase of $270,000 in the first nine months of fiscal 2016. The increase in fiscal 2017 included prepayments for long-term computer software licenses. The cash surrender value of life insurance on former key employees increased in the first nine months of both fiscal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payable increased $1,848,000 in the first nine months of fiscal 2017 compared to a decrease of $1,383,000 in the first nine months of fiscal 2016. Trade and freight payable varied in both periods due to timing of payments, fluctuations in the cost of goods and services we purchased, production volume levels and vendor payment terms. In addition, we performed a review of our vendor payment terms in fiscal 2017 and adjusted the timing of our payments accordingly. Current accrued estimated income taxes are also included in accounts payable balances.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Accrued expenses increased $627,000 in the first nine months of fiscal 2017 compared to an increase of $3,365,000 in the first nine months of fiscal 2016. The payout of the prior fiscal year's discretionary incentive bonus drove lower accrued salaries in the first nine months of fiscal 2017, while the increase in the first nine months of fiscal 2016 was driven by a higher incentive bonus accrual. Accrued plant expenses fluctuated in the first nine months of both fiscal years due to timing of payments, changes in the cost of goods and services we purchased, production volume levels and vendor payment terms. In addition, accrued trade promotions and advertising varied due to the timing of marketing programs.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Accrued pension and postretirement benefits increased $1,133,000 in the first nine months of fiscal 2017 compared to an increase of $757,000 in the first nine months of fiscal 2016. The trend of a lower discount rate used to estimate the value of these accrued benefits resulted in higher liabilities. See Note 6 of the notes to the unaudited Condensed Consolidated Financial Statements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was $18,858,000 in the first nine months of fiscal 2017 compared to cash used in investing activities of $15,093,000 in the first nine months of fiscal 2016. Cash used for capital expenditures was $10,418,000 and $7,052,000 in the first nine months of fiscal 2017 and 2016, respectively. Capital expenditures in the first nine months of fiscal 2017 included additional spending for the enterprise resource planning system implementation project and related infrastructure improvements. Net purchases of short-term investments used cash of $8,500,000 and $8,297,000 in the first nine months of fiscal 2017 and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respectively. Purchases and dispositions of investment securities in both periods are impacted by variations in the timing of investment maturities, the operating cash needs of the Company and the availability of investment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$7,261,000 in the first nine months of fiscal 2017 compared to cash used in financing activities of $7,343,000 in the first nine months of fiscal 2016. Scheduled payments on long-term debt were $3,083,000 and $3,484,000 in the first nine months of fiscal 2017 and 2016, respectively. Dividend payments in the first nine months of fiscal 2017 were $4,441,000 compared to $4,190,000 paid during the same period of fiscal 2016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$1,454,000 as of April 30, 2017 were lower than the April 30, 2016 balances of $1,460,000.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April 30, 2017, the variable rates would have been 4.00% for the BMO Harris prime-based rate or 2.16%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nine months ended April 30, 2017 and 2016,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2017, we had remaining authority to repurchase 301,444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plan to continue promoting our Cat's Pride Fresh &amp; Light Ultimate Care </w:t>
      </w:r>
      <w:r>
        <w:rPr>
          <w:rFonts w:ascii="Arial" w:cs="Arial" w:eastAsia="Arial" w:hAnsi="Arial"/>
          <w:sz w:val="17"/>
          <w:szCs w:val="17"/>
          <w:color w:val="222222"/>
        </w:rPr>
        <w:t>lightweight</w:t>
      </w:r>
      <w:r>
        <w:rPr>
          <w:rFonts w:ascii="Arial" w:cs="Arial" w:eastAsia="Arial" w:hAnsi="Arial"/>
          <w:sz w:val="17"/>
          <w:szCs w:val="17"/>
          <w:color w:val="auto"/>
        </w:rPr>
        <w:t xml:space="preserve"> </w:t>
      </w:r>
      <w:r>
        <w:rPr>
          <w:rFonts w:ascii="Arial" w:cs="Arial" w:eastAsia="Arial" w:hAnsi="Arial"/>
          <w:sz w:val="17"/>
          <w:szCs w:val="17"/>
          <w:color w:val="222222"/>
        </w:rPr>
        <w:t xml:space="preserve">scoopable litter in the fourth quarter of fiscal 2017; </w:t>
      </w:r>
      <w:r>
        <w:rPr>
          <w:rFonts w:ascii="Arial" w:cs="Arial" w:eastAsia="Arial" w:hAnsi="Arial"/>
          <w:sz w:val="17"/>
          <w:szCs w:val="17"/>
          <w:color w:val="000000"/>
        </w:rPr>
        <w:t>however, we plan to reallocate some of our anticipated spending between advertising, which is included in</w:t>
      </w:r>
      <w:r>
        <w:rPr>
          <w:rFonts w:ascii="Arial" w:cs="Arial" w:eastAsia="Arial" w:hAnsi="Arial"/>
          <w:sz w:val="17"/>
          <w:szCs w:val="17"/>
          <w:color w:val="222222"/>
        </w:rPr>
        <w:t xml:space="preserve"> </w:t>
      </w:r>
      <w:r>
        <w:rPr>
          <w:rFonts w:ascii="Arial" w:cs="Arial" w:eastAsia="Arial" w:hAnsi="Arial"/>
          <w:sz w:val="17"/>
          <w:szCs w:val="17"/>
          <w:color w:val="000000"/>
        </w:rPr>
        <w:t xml:space="preserve">selling, general and administrative expenses, and trade promotions, which are included as a reduction of net sales. </w:t>
      </w:r>
      <w:r>
        <w:rPr>
          <w:rFonts w:ascii="Arial" w:cs="Arial" w:eastAsia="Arial" w:hAnsi="Arial"/>
          <w:sz w:val="17"/>
          <w:szCs w:val="17"/>
          <w:color w:val="222222"/>
        </w:rPr>
        <w:t>We expect total spending for advertising</w:t>
      </w:r>
      <w:r>
        <w:rPr>
          <w:rFonts w:ascii="Arial" w:cs="Arial" w:eastAsia="Arial" w:hAnsi="Arial"/>
          <w:sz w:val="17"/>
          <w:szCs w:val="17"/>
          <w:color w:val="000000"/>
        </w:rPr>
        <w:t xml:space="preserve"> </w:t>
      </w:r>
      <w:r>
        <w:rPr>
          <w:rFonts w:ascii="Arial" w:cs="Arial" w:eastAsia="Arial" w:hAnsi="Arial"/>
          <w:sz w:val="17"/>
          <w:szCs w:val="17"/>
          <w:color w:val="222222"/>
        </w:rPr>
        <w:t xml:space="preserve">and trade spending to be significant, </w:t>
      </w:r>
      <w:r>
        <w:rPr>
          <w:rFonts w:ascii="Arial" w:cs="Arial" w:eastAsia="Arial" w:hAnsi="Arial"/>
          <w:sz w:val="17"/>
          <w:szCs w:val="17"/>
          <w:color w:val="000000"/>
        </w:rPr>
        <w:t>but less than the total spent in fiscal 2016</w:t>
      </w:r>
      <w:r>
        <w:rPr>
          <w:rFonts w:ascii="Arial" w:cs="Arial" w:eastAsia="Arial" w:hAnsi="Arial"/>
          <w:sz w:val="17"/>
          <w:szCs w:val="17"/>
          <w:color w:val="222222"/>
        </w:rPr>
        <w:t xml:space="preserve">. We anticipate that our capital expenditures will increase in fiscal 2017, including spending for implementation of an enterprise resource planning software. We do not believe that these increased expenditures will dramatically impact our cash position; however our cash requirements are subject to change as business conditions warrant and opportunities arise. </w:t>
      </w:r>
      <w:r>
        <w:rPr>
          <w:rFonts w:ascii="Arial" w:cs="Arial" w:eastAsia="Arial" w:hAnsi="Arial"/>
          <w:sz w:val="17"/>
          <w:szCs w:val="17"/>
          <w:color w:val="000000"/>
        </w:rPr>
        <w:t>We continually</w:t>
      </w:r>
      <w:r>
        <w:rPr>
          <w:rFonts w:ascii="Arial" w:cs="Arial" w:eastAsia="Arial" w:hAnsi="Arial"/>
          <w:sz w:val="17"/>
          <w:szCs w:val="17"/>
          <w:color w:val="222222"/>
        </w:rPr>
        <w:t xml:space="preserve"> </w:t>
      </w:r>
      <w:r>
        <w:rPr>
          <w:rFonts w:ascii="Arial" w:cs="Arial" w:eastAsia="Arial" w:hAnsi="Arial"/>
          <w:sz w:val="17"/>
          <w:szCs w:val="17"/>
          <w:color w:val="000000"/>
        </w:rPr>
        <w:t>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contractual obligations and commercial commitments (in thousands) as of April 30, 2017 for the time-frames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14,976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28,291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8,610</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$1,322,000 during the first nine months of fiscal 2017. We estimate contributions of approximately $335,000 will be made during the remainder of fiscal 2017.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nine months of fiscal 2017; however, historically the overall foreign currency fluctuation risk has not been material to our Consolidated Financial Statements and in the first nine months of fiscal 2017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purchase fuel at spot rates on a month to month basis and we may contract for a portion of our anticipated fuel needs using forward purchase contracts to mitigate the volatility of our kiln fuel prices. As of April 30, 2017, we have not purchased any natural gas contracts for our planned kiln fuel needs for the remainder of fiscal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2017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supplement to the description of the litigation under Item 3, “Legal Proceedings,” in the Annual Report on Form 10-K for the fiscal year ended July 31,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In response, Nestlé filed a petition for Inter Partes Review (“IPR”) with the Patent Trial and Appeal Board (“PTAB”) of the United States Patent and Trademark Office to challenge certain of the claims in our patent. Nestlé obtained a stay of the lawsuit in district court until the PTAB agreed to consider Nestlé’s petition and issued its substantive decision on the IPR’s patent challenges.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PTAB agreed to consider Nestlé’s petition, and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and has since been appealed by Nestlé. The stay of our lawsuit in district court was lifted, but Nestlé sought another stay until the pending appeal is decided. Nestlé’s request for a stay was denied on March 24, 2017.</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on September 23, 2016, we brought another suit in the United States District Court for the Northern District of Illinois, Eastern Division, against Nestlé seeking monetary damages and injunctive relief based on Nestlé’s alleged infringement of a patent issued to us in 2016.</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April 30, 2017,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Ended April 30, 2017</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2017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28, 2017</w:t>
            </w: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301,837</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March 1, 2017 to March</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31, 2017</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393</w:t>
            </w: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34.26</w:t>
            </w: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301,444</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2017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301,444</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the notes to the Consolidated Financial Statements included in our Annual Report on Form 10-K for the fiscal year ended July 31, 2016 filed with the SEC.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8"/>
        <w:spacing w:after="0" w:line="232" w:lineRule="auto"/>
        <w:tabs>
          <w:tab w:leader="none" w:pos="1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2017</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580" w:top="584" w:right="9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For the Nine Months Ended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(222)</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3,135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5,022</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2,088</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2,081</w:t>
            </w: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7,164</w:t>
            </w: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7,096</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7,151</w:t>
            </w: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0.48</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0.36</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June 7, 2017</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7, 2017</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7,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7,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2017.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2,433</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684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2017.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decimal"/>
      <w:start w:val="31"/>
    </w:lvl>
  </w:abstractNum>
  <w:abstractNum w:abstractNumId="6">
    <w:nsid w:val="79E2A9E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
    <w:nsid w:val="7545E146"/>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2020-01-17T13:45:34Z</dcterms:created>
  <dcterms:modified xsi:type="dcterms:W3CDTF">2020-01-17T13:45:34Z</dcterms:modified>
</cp:coreProperties>
</file>