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360"/>
              <w:spacing w:after="0"/>
              <w:rPr>
                <w:sz w:val="20"/>
                <w:szCs w:val="20"/>
                <w:color w:val="auto"/>
              </w:rPr>
            </w:pPr>
            <w:r>
              <w:rPr>
                <w:rFonts w:ascii="Arial" w:cs="Arial" w:eastAsia="Arial" w:hAnsi="Arial"/>
                <w:sz w:val="18"/>
                <w:szCs w:val="18"/>
                <w:color w:val="auto"/>
                <w:w w:val="86"/>
              </w:rPr>
              <w:t>June 8, 2021</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2021, Oil-Dri Corporation of America (the “Registrant”) issued a press release announcing its results of operations for its third quarter ended April 30, 2021.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the Registrant dated June 8, 2021</w:t>
              </w:r>
            </w:hyperlink>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top w:val="single" w:sz="8" w:color="0000FF"/>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Third Quarter and First Nine-Months of Fiscal 2021</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CHICAGO-(June 8, 2021) - Oil-Dri Corporation of America (NYSE: ODC), producer and marketer of sorbent mineral products, today announced results for its third quarter and first nine-months of fiscal year 2021.</w:t>
      </w:r>
    </w:p>
    <w:p>
      <w:pPr>
        <w:spacing w:after="0" w:line="83" w:lineRule="exact"/>
        <w:rPr>
          <w:sz w:val="20"/>
          <w:szCs w:val="20"/>
          <w:color w:val="auto"/>
        </w:rPr>
      </w:pPr>
    </w:p>
    <w:tbl>
      <w:tblPr>
        <w:tblLayout w:type="fixed"/>
        <w:tblInd w:w="13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2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Third Quarter</w:t>
            </w:r>
          </w:p>
        </w:tc>
        <w:tc>
          <w:tcPr>
            <w:tcW w:w="860" w:type="dxa"/>
            <w:vAlign w:val="bottom"/>
          </w:tcPr>
          <w:p>
            <w:pPr>
              <w:spacing w:after="0"/>
              <w:rPr>
                <w:sz w:val="19"/>
                <w:szCs w:val="19"/>
                <w:color w:val="auto"/>
              </w:rPr>
            </w:pPr>
          </w:p>
        </w:tc>
        <w:tc>
          <w:tcPr>
            <w:tcW w:w="3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Year to Date</w:t>
            </w:r>
          </w:p>
        </w:tc>
        <w:tc>
          <w:tcPr>
            <w:tcW w:w="860" w:type="dxa"/>
            <w:vAlign w:val="bottom"/>
          </w:tcPr>
          <w:p>
            <w:pPr>
              <w:spacing w:after="0"/>
              <w:rPr>
                <w:sz w:val="19"/>
                <w:szCs w:val="19"/>
                <w:color w:val="auto"/>
              </w:rPr>
            </w:pPr>
          </w:p>
        </w:tc>
      </w:tr>
      <w:tr>
        <w:trPr>
          <w:trHeight w:val="18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i w:val="1"/>
                <w:iCs w:val="1"/>
                <w:color w:val="auto"/>
                <w:w w:val="95"/>
              </w:rPr>
              <w:t>Ended April 30</w:t>
            </w: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i w:val="1"/>
                <w:iCs w:val="1"/>
                <w:color w:val="auto"/>
                <w:w w:val="95"/>
              </w:rPr>
              <w:t>Ended April 30</w:t>
            </w:r>
          </w:p>
        </w:tc>
        <w:tc>
          <w:tcPr>
            <w:tcW w:w="860" w:type="dxa"/>
            <w:vAlign w:val="bottom"/>
            <w:tcBorders>
              <w:bottom w:val="single" w:sz="8" w:color="auto"/>
            </w:tcBorders>
          </w:tcPr>
          <w:p>
            <w:pPr>
              <w:spacing w:after="0"/>
              <w:rPr>
                <w:sz w:val="16"/>
                <w:szCs w:val="16"/>
                <w:color w:val="auto"/>
              </w:rPr>
            </w:pPr>
          </w:p>
        </w:tc>
      </w:tr>
      <w:tr>
        <w:trPr>
          <w:trHeight w:val="213"/>
        </w:trPr>
        <w:tc>
          <w:tcPr>
            <w:tcW w:w="3580" w:type="dxa"/>
            <w:vAlign w:val="bottom"/>
            <w:tcBorders>
              <w:left w:val="single" w:sz="8" w:color="auto"/>
              <w:right w:val="single" w:sz="8" w:color="auto"/>
            </w:tcBorders>
          </w:tcPr>
          <w:p>
            <w:pPr>
              <w:spacing w:after="0"/>
              <w:rPr>
                <w:sz w:val="18"/>
                <w:szCs w:val="18"/>
                <w:color w:val="auto"/>
              </w:rPr>
            </w:pPr>
          </w:p>
        </w:tc>
        <w:tc>
          <w:tcPr>
            <w:tcW w:w="1320" w:type="dxa"/>
            <w:vAlign w:val="bottom"/>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420" w:type="dxa"/>
            <w:vAlign w:val="bottom"/>
          </w:tcPr>
          <w:p>
            <w:pPr>
              <w:jc w:val="right"/>
              <w:ind w:right="5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478"/>
              <w:spacing w:after="0"/>
              <w:rPr>
                <w:sz w:val="20"/>
                <w:szCs w:val="20"/>
                <w:color w:val="auto"/>
              </w:rPr>
            </w:pPr>
            <w:r>
              <w:rPr>
                <w:rFonts w:ascii="Arial" w:cs="Arial" w:eastAsia="Arial" w:hAnsi="Arial"/>
                <w:sz w:val="16"/>
                <w:szCs w:val="16"/>
                <w:b w:val="1"/>
                <w:bCs w:val="1"/>
                <w:color w:val="auto"/>
              </w:rPr>
              <w:t>2021</w:t>
            </w:r>
          </w:p>
        </w:tc>
        <w:tc>
          <w:tcPr>
            <w:tcW w:w="1560" w:type="dxa"/>
            <w:vAlign w:val="bottom"/>
          </w:tcPr>
          <w:p>
            <w:pPr>
              <w:jc w:val="right"/>
              <w:ind w:right="58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r>
      <w:tr>
        <w:trPr>
          <w:trHeight w:val="232"/>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1320" w:type="dxa"/>
            <w:vAlign w:val="bottom"/>
            <w:shd w:val="clear" w:color="auto" w:fill="000000"/>
          </w:tcPr>
          <w:p>
            <w:pPr>
              <w:spacing w:after="0"/>
              <w:rPr>
                <w:sz w:val="20"/>
                <w:szCs w:val="20"/>
                <w:color w:val="auto"/>
              </w:rPr>
            </w:pPr>
          </w:p>
        </w:tc>
        <w:tc>
          <w:tcPr>
            <w:tcW w:w="142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156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20" w:type="dxa"/>
            <w:vAlign w:val="bottom"/>
          </w:tcPr>
          <w:p>
            <w:pPr>
              <w:jc w:val="right"/>
              <w:spacing w:after="0"/>
              <w:rPr>
                <w:sz w:val="20"/>
                <w:szCs w:val="20"/>
                <w:color w:val="auto"/>
              </w:rPr>
            </w:pPr>
            <w:r>
              <w:rPr>
                <w:rFonts w:ascii="Arial" w:cs="Arial" w:eastAsia="Arial" w:hAnsi="Arial"/>
                <w:sz w:val="16"/>
                <w:szCs w:val="16"/>
                <w:color w:val="auto"/>
              </w:rPr>
              <w:t>$76,255</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$76,256</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$226,852</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$218,383</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4%</w:t>
            </w:r>
          </w:p>
        </w:tc>
      </w:tr>
      <w:tr>
        <w:trPr>
          <w:trHeight w:val="216"/>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1320" w:type="dxa"/>
            <w:vAlign w:val="bottom"/>
          </w:tcPr>
          <w:p>
            <w:pPr>
              <w:jc w:val="right"/>
              <w:spacing w:after="0"/>
              <w:rPr>
                <w:sz w:val="20"/>
                <w:szCs w:val="20"/>
                <w:color w:val="auto"/>
              </w:rPr>
            </w:pPr>
            <w:r>
              <w:rPr>
                <w:rFonts w:ascii="Arial" w:cs="Arial" w:eastAsia="Arial" w:hAnsi="Arial"/>
                <w:sz w:val="16"/>
                <w:szCs w:val="16"/>
                <w:color w:val="auto"/>
              </w:rPr>
              <w:t>$2,227</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$4,648</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(52)%</w:t>
            </w:r>
          </w:p>
        </w:tc>
        <w:tc>
          <w:tcPr>
            <w:tcW w:w="1440" w:type="dxa"/>
            <w:vAlign w:val="bottom"/>
          </w:tcPr>
          <w:p>
            <w:pPr>
              <w:jc w:val="right"/>
              <w:spacing w:after="0"/>
              <w:rPr>
                <w:sz w:val="20"/>
                <w:szCs w:val="20"/>
                <w:color w:val="auto"/>
              </w:rPr>
            </w:pPr>
            <w:r>
              <w:rPr>
                <w:rFonts w:ascii="Arial" w:cs="Arial" w:eastAsia="Arial" w:hAnsi="Arial"/>
                <w:sz w:val="16"/>
                <w:szCs w:val="16"/>
                <w:color w:val="auto"/>
              </w:rPr>
              <w:t>$10,510</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$13,014</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(19)%</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Diluted Share</w:t>
            </w:r>
          </w:p>
        </w:tc>
        <w:tc>
          <w:tcPr>
            <w:tcW w:w="1320" w:type="dxa"/>
            <w:vAlign w:val="bottom"/>
          </w:tcPr>
          <w:p>
            <w:pPr>
              <w:jc w:val="right"/>
              <w:spacing w:after="0"/>
              <w:rPr>
                <w:sz w:val="20"/>
                <w:szCs w:val="20"/>
                <w:color w:val="auto"/>
              </w:rPr>
            </w:pPr>
            <w:r>
              <w:rPr>
                <w:rFonts w:ascii="Arial" w:cs="Arial" w:eastAsia="Arial" w:hAnsi="Arial"/>
                <w:sz w:val="16"/>
                <w:szCs w:val="16"/>
                <w:color w:val="auto"/>
              </w:rPr>
              <w:t>$0.32</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$0.65</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(51)%</w:t>
            </w:r>
          </w:p>
        </w:tc>
        <w:tc>
          <w:tcPr>
            <w:tcW w:w="1440" w:type="dxa"/>
            <w:vAlign w:val="bottom"/>
          </w:tcPr>
          <w:p>
            <w:pPr>
              <w:jc w:val="right"/>
              <w:spacing w:after="0"/>
              <w:rPr>
                <w:sz w:val="20"/>
                <w:szCs w:val="20"/>
                <w:color w:val="auto"/>
              </w:rPr>
            </w:pPr>
            <w:r>
              <w:rPr>
                <w:rFonts w:ascii="Arial" w:cs="Arial" w:eastAsia="Arial" w:hAnsi="Arial"/>
                <w:sz w:val="16"/>
                <w:szCs w:val="16"/>
                <w:color w:val="auto"/>
              </w:rPr>
              <w:t>$1.49</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(18)%</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1320" w:type="dxa"/>
            <w:vAlign w:val="bottom"/>
            <w:shd w:val="clear" w:color="auto" w:fill="000000"/>
          </w:tcPr>
          <w:p>
            <w:pPr>
              <w:spacing w:after="0"/>
              <w:rPr>
                <w:sz w:val="20"/>
                <w:szCs w:val="20"/>
                <w:color w:val="auto"/>
              </w:rPr>
            </w:pPr>
          </w:p>
        </w:tc>
        <w:tc>
          <w:tcPr>
            <w:tcW w:w="142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156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20" w:type="dxa"/>
            <w:vAlign w:val="bottom"/>
          </w:tcPr>
          <w:p>
            <w:pPr>
              <w:jc w:val="right"/>
              <w:spacing w:after="0"/>
              <w:rPr>
                <w:sz w:val="20"/>
                <w:szCs w:val="20"/>
                <w:color w:val="auto"/>
              </w:rPr>
            </w:pPr>
            <w:r>
              <w:rPr>
                <w:rFonts w:ascii="Arial" w:cs="Arial" w:eastAsia="Arial" w:hAnsi="Arial"/>
                <w:sz w:val="16"/>
                <w:szCs w:val="16"/>
                <w:color w:val="auto"/>
              </w:rPr>
              <w:t>$26,293</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$26,683</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(1)%</w:t>
            </w:r>
          </w:p>
        </w:tc>
        <w:tc>
          <w:tcPr>
            <w:tcW w:w="1440" w:type="dxa"/>
            <w:vAlign w:val="bottom"/>
          </w:tcPr>
          <w:p>
            <w:pPr>
              <w:jc w:val="right"/>
              <w:spacing w:after="0"/>
              <w:rPr>
                <w:sz w:val="20"/>
                <w:szCs w:val="20"/>
                <w:color w:val="auto"/>
              </w:rPr>
            </w:pPr>
            <w:r>
              <w:rPr>
                <w:rFonts w:ascii="Arial" w:cs="Arial" w:eastAsia="Arial" w:hAnsi="Arial"/>
                <w:sz w:val="16"/>
                <w:szCs w:val="16"/>
                <w:color w:val="auto"/>
              </w:rPr>
              <w:t>$80,098</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$77,632</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3%</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320" w:type="dxa"/>
            <w:vAlign w:val="bottom"/>
          </w:tcPr>
          <w:p>
            <w:pPr>
              <w:jc w:val="right"/>
              <w:spacing w:after="0"/>
              <w:rPr>
                <w:sz w:val="20"/>
                <w:szCs w:val="20"/>
                <w:color w:val="auto"/>
              </w:rPr>
            </w:pPr>
            <w:r>
              <w:rPr>
                <w:rFonts w:ascii="Arial" w:cs="Arial" w:eastAsia="Arial" w:hAnsi="Arial"/>
                <w:sz w:val="16"/>
                <w:szCs w:val="16"/>
                <w:color w:val="auto"/>
              </w:rPr>
              <w:t>$7,146</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$8,198</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(13)%</w:t>
            </w:r>
          </w:p>
        </w:tc>
        <w:tc>
          <w:tcPr>
            <w:tcW w:w="1440" w:type="dxa"/>
            <w:vAlign w:val="bottom"/>
          </w:tcPr>
          <w:p>
            <w:pPr>
              <w:jc w:val="right"/>
              <w:spacing w:after="0"/>
              <w:rPr>
                <w:sz w:val="20"/>
                <w:szCs w:val="20"/>
                <w:color w:val="auto"/>
              </w:rPr>
            </w:pPr>
            <w:r>
              <w:rPr>
                <w:rFonts w:ascii="Arial" w:cs="Arial" w:eastAsia="Arial" w:hAnsi="Arial"/>
                <w:sz w:val="16"/>
                <w:szCs w:val="16"/>
                <w:color w:val="auto"/>
              </w:rPr>
              <w:t>$23,005</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$24,046</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(4)%</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1320" w:type="dxa"/>
            <w:vAlign w:val="bottom"/>
            <w:shd w:val="clear" w:color="auto" w:fill="000000"/>
          </w:tcPr>
          <w:p>
            <w:pPr>
              <w:spacing w:after="0"/>
              <w:rPr>
                <w:sz w:val="20"/>
                <w:szCs w:val="20"/>
                <w:color w:val="auto"/>
              </w:rPr>
            </w:pPr>
          </w:p>
        </w:tc>
        <w:tc>
          <w:tcPr>
            <w:tcW w:w="142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156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20" w:type="dxa"/>
            <w:vAlign w:val="bottom"/>
          </w:tcPr>
          <w:p>
            <w:pPr>
              <w:jc w:val="right"/>
              <w:spacing w:after="0"/>
              <w:rPr>
                <w:sz w:val="20"/>
                <w:szCs w:val="20"/>
                <w:color w:val="auto"/>
              </w:rPr>
            </w:pPr>
            <w:r>
              <w:rPr>
                <w:rFonts w:ascii="Arial" w:cs="Arial" w:eastAsia="Arial" w:hAnsi="Arial"/>
                <w:sz w:val="16"/>
                <w:szCs w:val="16"/>
                <w:color w:val="auto"/>
              </w:rPr>
              <w:t>$49,962</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$49,573</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1%</w:t>
            </w:r>
          </w:p>
        </w:tc>
        <w:tc>
          <w:tcPr>
            <w:tcW w:w="1440" w:type="dxa"/>
            <w:vAlign w:val="bottom"/>
          </w:tcPr>
          <w:p>
            <w:pPr>
              <w:jc w:val="right"/>
              <w:spacing w:after="0"/>
              <w:rPr>
                <w:sz w:val="20"/>
                <w:szCs w:val="20"/>
                <w:color w:val="auto"/>
              </w:rPr>
            </w:pPr>
            <w:r>
              <w:rPr>
                <w:rFonts w:ascii="Arial" w:cs="Arial" w:eastAsia="Arial" w:hAnsi="Arial"/>
                <w:sz w:val="16"/>
                <w:szCs w:val="16"/>
                <w:color w:val="auto"/>
              </w:rPr>
              <w:t>$146,754</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$140,751</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4%</w:t>
            </w:r>
          </w:p>
        </w:tc>
      </w:tr>
      <w:tr>
        <w:trPr>
          <w:trHeight w:val="219"/>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$6,412</w:t>
            </w:r>
          </w:p>
        </w:tc>
        <w:tc>
          <w:tcPr>
            <w:tcW w:w="86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w:t>
            </w:r>
          </w:p>
        </w:tc>
        <w:tc>
          <w:tcPr>
            <w:tcW w:w="1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$15,380</w:t>
            </w:r>
          </w:p>
        </w:tc>
        <w:tc>
          <w:tcPr>
            <w:tcW w:w="86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(25)%</w:t>
            </w:r>
          </w:p>
        </w:tc>
      </w:tr>
    </w:tbl>
    <w:p>
      <w:pPr>
        <w:spacing w:after="0" w:line="3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Daniel S. Jaffee, President and Chief Executive Officer, stated, “The third quarter posed a few challenges for Oil-Dri, as we were up against last year’s record quarter of consolidated net sales and experienced significant cost increases while continuing to spend on strategic initiatives. Consolidated net sales for the third quarter of fiscal 2021 were flat, as revenues in the same period last year included substantial pantry loading of our cat litter products due to COVID-19. However, our industrial and sports businesses began to rebound from the pandemic, and we experienced steady growth of our agricultural and animal health products. Unfortunately, these gains were outweighed by significantly higher commodity, freight and other manufacturing costs which reduced our gross margins. We implemented price increases to offset these costs, but many of our customers require 60 to 90 days’ notice for price adjustments. So while the cost increases hit the third quarter, most of the price increases will not take effect until the fourth quarter of fiscal 2021. Since costs continue to rise, we anticipate implementing additional price increases in the coming months. We continued to invest in sales and marketing programs in order to promote the benefits of our mineral based products. Although we faced a few headwinds in the third quarter, we remain dedicated to profitability enhancement and are focused on driving future growth.”</w:t>
      </w:r>
    </w:p>
    <w:p>
      <w:pPr>
        <w:sectPr>
          <w:pgSz w:w="11900" w:h="16838" w:orient="portrait"/>
          <w:cols w:equalWidth="0" w:num="1">
            <w:col w:w="11240"/>
          </w:cols>
          <w:pgMar w:left="320" w:top="126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Consolidated net sales for the third quarter of fiscal 2021 reached $76.3 million, essentially flat compared to the prior year. Although demand for cat litter remained high, we did not surpass third quarter fiscal 2020 revenues resulting from a surge in pantry loading across both e-commerce and traditional channels. Sales from industrial, sports, agricultural and animal health products increased in the third quarter over the prior year, while demand for bleaching clay and co-packaged coarse cat litter was down. Consolidated gross profit decreased by approximately $4.9 million, as margins were reduced to 22% in the third quarter of fiscal 2021 from 28% in the same period last year. This decline can be attributed to a 14% increase in cost of goods sold per manufactured ton, driven by higher freight, packaging, materials, natural gas, and non-fuel manufacturing costs. Domestic trucking supply constraints and elevated fuel costs resulted in a 28% increase in freight costs per manufactured ton compared to the same period last year. A 19% increase in packaging costs per manufactured ton due to higher resin prices also contributed to the reduction in margin. Natural gas and material costs per manufactured ton increased by 11% and 9%, respectively, in the third quarter over the prior year. Total selling, general and administrative (“SG&amp;A”) expenses for the third quarter were approximately $1.1 million lower than the prior year, or a 7% decrease. Increased advertising and marketing expenditures were offset by reduced travel, bad debt expense and lower estimated annual incentive bonus accrual for fiscal year 2021 compared to fiscal year 2020. Our Effective Tax Rate (“ETR”) in the third quarter was (1)% compared to 17% in the same period of the prior year. This reduction reflects a decrease in our expected annual taxable income as well as certain employment related credits of which we were able to take advantage. In addition, we were able to claim a tax deduction for foreign-derived income which further reduced the ETR. Net income attributed to Oil-Dri was $2.2 million in the third quarter which represents a 52% decrease from the prior year.</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Our balance sheet remains strong with cash and cash equivalents of $30 million and approximately $10 million of debt. During the third quarter of fiscal year 2021, we repurchased 21,159 shares of common stock, with a total value of $736,000.</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 Group Review</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Business to Business (“B2B”) Products Group’s third quarter revenues decreased 1% from the prior year to $26.3 million. Higher demand of agricultural and animal health products was offset by decreases in co-packaging coarse cat litter and bleaching clay sales. Agricultural product revenues rose 7% in the third quarter compared to last year, primarily resulting from increased sales to existing customers. Sales of animal feed additives increased 3% in the third quarter versus the prior year. These gains were due to higher demand within Asia and Latin America but were offset by lower revenues within China. Decreased demand within China was due to the shift in timing of the Chinese New Year from the second quarter in fiscal 2020 to the third quarter in fiscal 2021 when many businesses temporarily shut down in observance of the holiday. Third quarter sales</w:t>
      </w:r>
    </w:p>
    <w:p>
      <w:pPr>
        <w:sectPr>
          <w:pgSz w:w="11900" w:h="16838" w:orient="portrait"/>
          <w:cols w:equalWidth="0" w:num="1">
            <w:col w:w="11240"/>
          </w:cols>
          <w:pgMar w:left="320" w:top="1440" w:right="339" w:bottom="1440" w:gutter="0" w:footer="0" w:header="0"/>
        </w:sectPr>
      </w:pPr>
    </w:p>
    <w:bookmarkStart w:id="5" w:name="page6"/>
    <w:bookmarkEnd w:id="5"/>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22"/>
          <w:szCs w:val="22"/>
          <w:color w:val="auto"/>
        </w:rPr>
        <w:t>of our bleaching clay and fluids purification products declined by 3% from the prior year. Although revenue decreases were concentrated within Europe, North America and Asia, we experienced sales growth within Latin America. Timing of orders, improved crop conditions and negative impacts due to the pandemic have contributed to the overall decrease in demand of these specialty products. COVID-19 continues to impact this business as many edible oil manufacturing plants have delayed plant tests or have unused product on hand due to lower production. The pandemic has also negatively affected sales of our Ultra-Clear products used for jet fuel processing, as fewer people are traveling by air. Sales from our co-packaged coarse cat litter business decreased 15% in the third quarter as revenues in the same period last year included substantial pantry loading due to the pandemic.</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Operating income in the B2B Products Group was $7.1 million in the third quarter, a 13% decrease from the prior year. This decline was a result of lower sales and significant increases in freight, packaging, materials, natural gas, non-fuel manufacturing costs. Third quarter SG&amp;A expenses were flat compared to the prior year. We continued to invest in our animal health business which resulted in higher costs due to increased sales personnel, leadership, and marketing of our animal feed additives. However, these investments were offset by lower travel and bad debt expenses.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Retail and Wholesale (“R&amp;W”) Products Group’s third quarter revenues reached a record $50 million, a 1% increase over the prior year. A 20% increase in sales from our industrial and sports products drove much of this growth, as commercial businesses are recovering from the pandemic and many sports fields have reopened. Although we continued to experience the positive impact of increased pet adoption resulting from COVID-19 and the overall macro trend of higher spending on pets, net sales of our cat litter decreased in the third quarter compared to the prior year. Last year’s third quarter sales included unprecedented pantry loading in response to state mandated shelter-in-place orders due to COVID-19. However, Oil-Dri’s total cat litter revenues for the third quarter of fiscal year 2021 exceeded all pre-pandemic quarterly net sales results, exemplifying our continued growth despite the normalization of market conditions. Part of the overall R&amp;W Products Group’s revenue improvement in the third quarter of fiscal 2021 can be attributed to strong top line growth from our Canadian subsidiary where we experienced higher demand of industrial absorbent products and cat litter.</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Operating income for the R&amp;W Products Group was $2.9 million in the third quarter, a 55% decrease from the prior year. Lower sales and significant increases in freight, packaging, materials, natural gas, and non-fuel manufacturing costs were partially offset by a 5% reduction in SG&amp;A costs. Reduced spending on travel and bad debt expense contributed to the SG&amp;A decrease while advertising spending increased 4%, as we continued to pursue additional share gains with our digital marketing plan. We expect total advertising expenses in fiscal year 2021 to be lower than fiscal year 2020 spending levels.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Company will host its third quarter of fiscal 2021 earnings teleconference on Wednesday, June 9, 2021 at 9:00 a.m. Central Time. Participation details are available 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company’s website’s </w:t>
      </w:r>
      <w:r>
        <w:rPr>
          <w:rFonts w:ascii="Arial" w:cs="Arial" w:eastAsia="Arial" w:hAnsi="Arial"/>
          <w:sz w:val="22"/>
          <w:szCs w:val="22"/>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and “Ultra-Clear” are registered trademarks of Oil-Dri Corporation of America.</w:t>
      </w:r>
    </w:p>
    <w:p>
      <w:pPr>
        <w:spacing w:after="0" w:line="26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w w:val="96"/>
              </w:rPr>
              <w:t>Third Quarter Ended April 30</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76,255</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76,256</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16,523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21,385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Benefit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(Loss) Income Attributable to Noncontrolling Interest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(1):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5,126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180" w:firstLine="6"/>
        <w:spacing w:after="0" w:line="224" w:lineRule="auto"/>
        <w:tabs>
          <w:tab w:leader="none" w:pos="204"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Form 10-Q for the three months ended April 30,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ectPr>
          <w:pgSz w:w="11900" w:h="16838" w:orient="portrait"/>
          <w:cols w:equalWidth="0" w:num="1">
            <w:col w:w="11180"/>
          </w:cols>
          <w:pgMar w:left="34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w w:val="96"/>
              </w:rPr>
              <w:t>Nine Months Ended April 30,</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226,852</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218,383</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(171,853)</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(158,105)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54,999</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60,278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27.6 %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(44,584)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15,694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12,074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15,432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13,014</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(1):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5,256</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8" w:firstLine="8"/>
        <w:spacing w:after="0" w:line="257" w:lineRule="auto"/>
        <w:tabs>
          <w:tab w:leader="none" w:pos="202"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Our Form 10-Q for the </w:t>
      </w:r>
      <w:r>
        <w:rPr>
          <w:rFonts w:ascii="Arial" w:cs="Arial" w:eastAsia="Arial" w:hAnsi="Arial"/>
          <w:sz w:val="14"/>
          <w:szCs w:val="14"/>
          <w:color w:val="auto"/>
        </w:rPr>
        <w:t>nine</w:t>
      </w:r>
      <w:r>
        <w:rPr>
          <w:rFonts w:ascii="Arial" w:cs="Arial" w:eastAsia="Arial" w:hAnsi="Arial"/>
          <w:sz w:val="14"/>
          <w:szCs w:val="14"/>
          <w:i w:val="1"/>
          <w:iCs w:val="1"/>
          <w:color w:val="auto"/>
        </w:rPr>
        <w:t xml:space="preserve"> months ended April 30,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ectPr>
          <w:pgSz w:w="11900" w:h="16838" w:orient="portrait"/>
          <w:cols w:equalWidth="0" w:num="1">
            <w:col w:w="11232"/>
          </w:cols>
          <w:pgMar w:left="328"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 of April 30</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30,318</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20,548</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39,088</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23,584</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103,870</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94,113</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91,198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90,133</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34,566</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229,634</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215,981</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6,912</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1,795</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26,202</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35,909</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8,871</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31,915</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28,379</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40,786</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28,379</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152,939</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146,655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229,634</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215,981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21.63</w:t>
            </w:r>
          </w:p>
        </w:tc>
        <w:tc>
          <w:tcPr>
            <w:tcW w:w="4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Third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3,159</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10,757</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Third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3,588</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10,653</w:t>
            </w:r>
          </w:p>
        </w:tc>
        <w:tc>
          <w:tcPr>
            <w:tcW w:w="4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40" w:type="dxa"/>
            <w:vAlign w:val="bottom"/>
            <w:gridSpan w:val="4"/>
            <w:vMerge w:val="restart"/>
          </w:tcPr>
          <w:p>
            <w:pPr>
              <w:jc w:val="right"/>
              <w:ind w:right="170"/>
              <w:spacing w:after="0"/>
              <w:rPr>
                <w:sz w:val="20"/>
                <w:szCs w:val="20"/>
                <w:color w:val="auto"/>
              </w:rPr>
            </w:pPr>
            <w:r>
              <w:rPr>
                <w:rFonts w:ascii="Arial" w:cs="Arial" w:eastAsia="Arial" w:hAnsi="Arial"/>
                <w:sz w:val="18"/>
                <w:szCs w:val="18"/>
                <w:b w:val="1"/>
                <w:bCs w:val="1"/>
                <w:color w:val="auto"/>
              </w:rPr>
              <w:t>For the Nine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April 30</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10,423</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(10,757)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(10,870)</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(10,753)</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(10,758)</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Principal Payments on Notes Payable</w:t>
            </w:r>
          </w:p>
        </w:tc>
        <w:tc>
          <w:tcPr>
            <w:tcW w:w="1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(5,399)</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 of Treasury Stock</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(2,925)</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Financing Activities</w:t>
            </w: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w:t>
            </w: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(12,852)</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75"/>
        </w:trPr>
        <w:tc>
          <w:tcPr>
            <w:tcW w:w="7160" w:type="dxa"/>
            <w:vAlign w:val="bottom"/>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(10,572)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30,318</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2021-06-08T15:22:25Z</dcterms:created>
  <dcterms:modified xsi:type="dcterms:W3CDTF">2021-06-08T15:22:25Z</dcterms:modified>
</cp:coreProperties>
</file>