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220"/>
              <w:spacing w:after="0"/>
              <w:rPr>
                <w:sz w:val="20"/>
                <w:szCs w:val="20"/>
                <w:color w:val="auto"/>
              </w:rPr>
            </w:pPr>
            <w:r>
              <w:rPr>
                <w:rFonts w:ascii="Arial" w:cs="Arial" w:eastAsia="Arial" w:hAnsi="Arial"/>
                <w:sz w:val="18"/>
                <w:szCs w:val="18"/>
                <w:color w:val="auto"/>
                <w:w w:val="90"/>
              </w:rPr>
              <w:t>March 9, 2023</w:t>
            </w:r>
          </w:p>
        </w:tc>
      </w:tr>
      <w:tr>
        <w:trPr>
          <w:trHeight w:val="52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tcPr>
          <w:p>
            <w:pPr>
              <w:ind w:left="28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9" w:right="339" w:bottom="1440" w:gutter="0" w:footer="0" w:header="0"/>
          <w:type w:val="continuous"/>
        </w:sectPr>
      </w:pPr>
    </w:p>
    <w:p>
      <w:pPr>
        <w:spacing w:after="0" w:line="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9, 2023, Oil-Dri Corporation of America (the “Registrant”) issued a press release announcing its results of operations for its second quarter ended January 31, 2023.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34"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0000FF"/>
              </w:rPr>
              <w:t>Press Release of the Registrant dated March 9, 2023</w:t>
            </w:r>
          </w:p>
        </w:tc>
      </w:tr>
      <w:tr>
        <w:trPr>
          <w:trHeight w:val="1243"/>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760" w:type="dxa"/>
            <w:vAlign w:val="bottom"/>
            <w:tcBorders>
              <w:top w:val="single" w:sz="8" w:color="0000FF"/>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G. Scheland</w:t>
            </w:r>
          </w:p>
        </w:tc>
      </w:tr>
      <w:tr>
        <w:trPr>
          <w:trHeight w:val="222"/>
        </w:trPr>
        <w:tc>
          <w:tcPr>
            <w:tcW w:w="6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Laura G. Scheland</w:t>
            </w:r>
          </w:p>
        </w:tc>
      </w:tr>
      <w:tr>
        <w:trPr>
          <w:trHeight w:val="176"/>
        </w:trPr>
        <w:tc>
          <w:tcPr>
            <w:tcW w:w="640" w:type="dxa"/>
            <w:vAlign w:val="bottom"/>
          </w:tcPr>
          <w:p>
            <w:pPr>
              <w:spacing w:after="0"/>
              <w:rPr>
                <w:sz w:val="15"/>
                <w:szCs w:val="15"/>
                <w:color w:val="auto"/>
              </w:rPr>
            </w:pPr>
          </w:p>
        </w:tc>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Vice President, Strategic Partnerships and General Counsel &amp;</w:t>
            </w:r>
          </w:p>
        </w:tc>
      </w:tr>
      <w:tr>
        <w:trPr>
          <w:trHeight w:val="230"/>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Secretary</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2023</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Record Sales for the Second Quarter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First Six-Months of Fiscal Year 2023</w:t>
      </w:r>
    </w:p>
    <w:p>
      <w:pPr>
        <w:spacing w:after="0" w:line="229" w:lineRule="exact"/>
        <w:rPr>
          <w:sz w:val="20"/>
          <w:szCs w:val="20"/>
          <w:color w:val="auto"/>
        </w:rPr>
      </w:pPr>
    </w:p>
    <w:p>
      <w:pPr>
        <w:ind w:right="780"/>
        <w:spacing w:after="0" w:line="287" w:lineRule="auto"/>
        <w:rPr>
          <w:sz w:val="20"/>
          <w:szCs w:val="20"/>
          <w:color w:val="auto"/>
        </w:rPr>
      </w:pPr>
      <w:r>
        <w:rPr>
          <w:rFonts w:ascii="Arial" w:cs="Arial" w:eastAsia="Arial" w:hAnsi="Arial"/>
          <w:sz w:val="21"/>
          <w:szCs w:val="21"/>
          <w:color w:val="auto"/>
        </w:rPr>
        <w:t>CHICAGO-(March 9, 2023) - Oil-Dri Corporation of America (NYSE: ODC), producer and marketer of sorbent mineral products, today announced results for its second quarter and first six-months of fiscal year 2023.</w:t>
      </w:r>
    </w:p>
    <w:p>
      <w:pPr>
        <w:spacing w:after="0" w:line="60" w:lineRule="exact"/>
        <w:rPr>
          <w:sz w:val="20"/>
          <w:szCs w:val="20"/>
          <w:color w:val="auto"/>
        </w:rPr>
      </w:pPr>
    </w:p>
    <w:tbl>
      <w:tblPr>
        <w:tblLayout w:type="fixed"/>
        <w:tblInd w:w="9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2240" w:type="dxa"/>
            <w:vAlign w:val="bottom"/>
            <w:gridSpan w:val="2"/>
          </w:tcPr>
          <w:p>
            <w:pPr>
              <w:jc w:val="center"/>
              <w:ind w:left="759"/>
              <w:spacing w:after="0"/>
              <w:rPr>
                <w:sz w:val="20"/>
                <w:szCs w:val="20"/>
                <w:color w:val="auto"/>
              </w:rPr>
            </w:pPr>
            <w:r>
              <w:rPr>
                <w:rFonts w:ascii="Arial" w:cs="Arial" w:eastAsia="Arial" w:hAnsi="Arial"/>
                <w:sz w:val="18"/>
                <w:szCs w:val="18"/>
                <w:b w:val="1"/>
                <w:bCs w:val="1"/>
                <w:color w:val="auto"/>
                <w:w w:val="91"/>
              </w:rPr>
              <w:t>Second Quarter</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jc w:val="center"/>
              <w:ind w:right="78"/>
              <w:spacing w:after="0"/>
              <w:rPr>
                <w:sz w:val="20"/>
                <w:szCs w:val="20"/>
                <w:color w:val="auto"/>
              </w:rPr>
            </w:pPr>
            <w:r>
              <w:rPr>
                <w:rFonts w:ascii="Arial" w:cs="Arial" w:eastAsia="Arial" w:hAnsi="Arial"/>
                <w:sz w:val="18"/>
                <w:szCs w:val="18"/>
                <w:b w:val="1"/>
                <w:bCs w:val="1"/>
                <w:color w:val="auto"/>
                <w:w w:val="91"/>
              </w:rPr>
              <w:t>Year to Date</w:t>
            </w:r>
          </w:p>
        </w:tc>
        <w:tc>
          <w:tcPr>
            <w:tcW w:w="920" w:type="dxa"/>
            <w:vAlign w:val="bottom"/>
          </w:tcPr>
          <w:p>
            <w:pPr>
              <w:spacing w:after="0"/>
              <w:rPr>
                <w:sz w:val="19"/>
                <w:szCs w:val="19"/>
                <w:color w:val="auto"/>
              </w:rPr>
            </w:pPr>
          </w:p>
        </w:tc>
      </w:tr>
      <w:tr>
        <w:trPr>
          <w:trHeight w:val="182"/>
        </w:trPr>
        <w:tc>
          <w:tcPr>
            <w:tcW w:w="488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2240" w:type="dxa"/>
            <w:vAlign w:val="bottom"/>
            <w:gridSpan w:val="2"/>
          </w:tcPr>
          <w:p>
            <w:pPr>
              <w:jc w:val="center"/>
              <w:ind w:left="759"/>
              <w:spacing w:after="0"/>
              <w:rPr>
                <w:sz w:val="20"/>
                <w:szCs w:val="20"/>
                <w:color w:val="auto"/>
              </w:rPr>
            </w:pPr>
            <w:r>
              <w:rPr>
                <w:rFonts w:ascii="Arial" w:cs="Arial" w:eastAsia="Arial" w:hAnsi="Arial"/>
                <w:sz w:val="14"/>
                <w:szCs w:val="14"/>
                <w:i w:val="1"/>
                <w:iCs w:val="1"/>
                <w:color w:val="auto"/>
                <w:w w:val="91"/>
              </w:rPr>
              <w:t>Ended January 31,</w:t>
            </w:r>
          </w:p>
        </w:tc>
        <w:tc>
          <w:tcPr>
            <w:tcW w:w="880" w:type="dxa"/>
            <w:vAlign w:val="bottom"/>
          </w:tcPr>
          <w:p>
            <w:pPr>
              <w:spacing w:after="0"/>
              <w:rPr>
                <w:sz w:val="15"/>
                <w:szCs w:val="15"/>
                <w:color w:val="auto"/>
              </w:rPr>
            </w:pPr>
          </w:p>
        </w:tc>
        <w:tc>
          <w:tcPr>
            <w:tcW w:w="2200" w:type="dxa"/>
            <w:vAlign w:val="bottom"/>
            <w:gridSpan w:val="2"/>
          </w:tcPr>
          <w:p>
            <w:pPr>
              <w:jc w:val="center"/>
              <w:ind w:left="800"/>
              <w:spacing w:after="0"/>
              <w:rPr>
                <w:sz w:val="20"/>
                <w:szCs w:val="20"/>
                <w:color w:val="auto"/>
              </w:rPr>
            </w:pPr>
            <w:r>
              <w:rPr>
                <w:rFonts w:ascii="Arial" w:cs="Arial" w:eastAsia="Arial" w:hAnsi="Arial"/>
                <w:sz w:val="14"/>
                <w:szCs w:val="14"/>
                <w:i w:val="1"/>
                <w:iCs w:val="1"/>
                <w:color w:val="auto"/>
                <w:w w:val="91"/>
              </w:rPr>
              <w:t>Ended January 31,</w:t>
            </w:r>
          </w:p>
        </w:tc>
        <w:tc>
          <w:tcPr>
            <w:tcW w:w="920" w:type="dxa"/>
            <w:vAlign w:val="bottom"/>
          </w:tcPr>
          <w:p>
            <w:pPr>
              <w:spacing w:after="0"/>
              <w:rPr>
                <w:sz w:val="15"/>
                <w:szCs w:val="15"/>
                <w:color w:val="auto"/>
              </w:rPr>
            </w:pPr>
          </w:p>
        </w:tc>
      </w:tr>
      <w:tr>
        <w:trPr>
          <w:trHeight w:val="26"/>
        </w:trPr>
        <w:tc>
          <w:tcPr>
            <w:tcW w:w="4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7"/>
        </w:trPr>
        <w:tc>
          <w:tcPr>
            <w:tcW w:w="4880" w:type="dxa"/>
            <w:vAlign w:val="bottom"/>
            <w:tcBorders>
              <w:left w:val="single" w:sz="8" w:color="auto"/>
              <w:right w:val="single" w:sz="8" w:color="auto"/>
            </w:tcBorders>
          </w:tcPr>
          <w:p>
            <w:pPr>
              <w:spacing w:after="0"/>
              <w:rPr>
                <w:sz w:val="17"/>
                <w:szCs w:val="17"/>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40" w:type="dxa"/>
            <w:vAlign w:val="bottom"/>
          </w:tcPr>
          <w:p>
            <w:pPr>
              <w:jc w:val="center"/>
              <w:ind w:right="279"/>
              <w:spacing w:after="0"/>
              <w:rPr>
                <w:sz w:val="20"/>
                <w:szCs w:val="20"/>
                <w:color w:val="auto"/>
              </w:rPr>
            </w:pPr>
            <w:r>
              <w:rPr>
                <w:rFonts w:ascii="Arial" w:cs="Arial" w:eastAsia="Arial" w:hAnsi="Arial"/>
                <w:sz w:val="16"/>
                <w:szCs w:val="16"/>
                <w:b w:val="1"/>
                <w:bCs w:val="1"/>
                <w:color w:val="auto"/>
                <w:w w:val="89"/>
              </w:rPr>
              <w:t>2022</w:t>
            </w:r>
          </w:p>
        </w:tc>
        <w:tc>
          <w:tcPr>
            <w:tcW w:w="8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rPr>
              <w:t>2023</w:t>
            </w:r>
          </w:p>
        </w:tc>
        <w:tc>
          <w:tcPr>
            <w:tcW w:w="1160" w:type="dxa"/>
            <w:vAlign w:val="bottom"/>
          </w:tcPr>
          <w:p>
            <w:pPr>
              <w:jc w:val="center"/>
              <w:ind w:right="78"/>
              <w:spacing w:after="0"/>
              <w:rPr>
                <w:sz w:val="20"/>
                <w:szCs w:val="20"/>
                <w:color w:val="auto"/>
              </w:rPr>
            </w:pPr>
            <w:r>
              <w:rPr>
                <w:rFonts w:ascii="Arial" w:cs="Arial" w:eastAsia="Arial" w:hAnsi="Arial"/>
                <w:sz w:val="16"/>
                <w:szCs w:val="16"/>
                <w:b w:val="1"/>
                <w:bCs w:val="1"/>
                <w:color w:val="auto"/>
                <w:w w:val="89"/>
              </w:rPr>
              <w:t>2022</w:t>
            </w:r>
          </w:p>
        </w:tc>
        <w:tc>
          <w:tcPr>
            <w:tcW w:w="92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Change</w:t>
            </w:r>
          </w:p>
        </w:tc>
      </w:tr>
      <w:tr>
        <w:trPr>
          <w:trHeight w:val="232"/>
        </w:trPr>
        <w:tc>
          <w:tcPr>
            <w:tcW w:w="48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Consolidated Results</w:t>
            </w:r>
          </w:p>
        </w:tc>
        <w:tc>
          <w:tcPr>
            <w:tcW w:w="1200" w:type="dxa"/>
            <w:vAlign w:val="bottom"/>
            <w:shd w:val="clear" w:color="auto" w:fill="000000"/>
          </w:tcPr>
          <w:p>
            <w:pPr>
              <w:spacing w:after="0"/>
              <w:rPr>
                <w:sz w:val="20"/>
                <w:szCs w:val="20"/>
                <w:color w:val="auto"/>
              </w:rPr>
            </w:pPr>
          </w:p>
        </w:tc>
        <w:tc>
          <w:tcPr>
            <w:tcW w:w="104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000000"/>
          </w:tcPr>
          <w:p>
            <w:pPr>
              <w:spacing w:after="0"/>
              <w:rPr>
                <w:sz w:val="20"/>
                <w:szCs w:val="20"/>
                <w:color w:val="auto"/>
              </w:rPr>
            </w:pPr>
          </w:p>
        </w:tc>
        <w:tc>
          <w:tcPr>
            <w:tcW w:w="1160" w:type="dxa"/>
            <w:vAlign w:val="bottom"/>
            <w:shd w:val="clear" w:color="auto" w:fill="000000"/>
          </w:tcPr>
          <w:p>
            <w:pPr>
              <w:spacing w:after="0"/>
              <w:rPr>
                <w:sz w:val="20"/>
                <w:szCs w:val="20"/>
                <w:color w:val="auto"/>
              </w:rPr>
            </w:pPr>
          </w:p>
        </w:tc>
        <w:tc>
          <w:tcPr>
            <w:tcW w:w="920" w:type="dxa"/>
            <w:vAlign w:val="bottom"/>
            <w:tcBorders>
              <w:right w:val="single" w:sz="8" w:color="auto"/>
            </w:tcBorders>
            <w:shd w:val="clear" w:color="auto" w:fill="000000"/>
          </w:tcPr>
          <w:p>
            <w:pPr>
              <w:spacing w:after="0"/>
              <w:rPr>
                <w:sz w:val="20"/>
                <w:szCs w:val="20"/>
                <w:color w:val="auto"/>
              </w:rPr>
            </w:pPr>
          </w:p>
        </w:tc>
      </w:tr>
      <w:tr>
        <w:trPr>
          <w:trHeight w:val="210"/>
        </w:trPr>
        <w:tc>
          <w:tcPr>
            <w:tcW w:w="4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$101,669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$87,210</w:t>
            </w:r>
          </w:p>
        </w:tc>
        <w:tc>
          <w:tcPr>
            <w:tcW w:w="88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87"/>
              </w:rPr>
              <w:t>17%</w:t>
            </w:r>
          </w:p>
        </w:tc>
        <w:tc>
          <w:tcPr>
            <w:tcW w:w="1040" w:type="dxa"/>
            <w:vAlign w:val="bottom"/>
          </w:tcPr>
          <w:p>
            <w:pPr>
              <w:jc w:val="right"/>
              <w:spacing w:after="0"/>
              <w:rPr>
                <w:sz w:val="20"/>
                <w:szCs w:val="20"/>
                <w:color w:val="auto"/>
              </w:rPr>
            </w:pPr>
            <w:r>
              <w:rPr>
                <w:rFonts w:ascii="Arial" w:cs="Arial" w:eastAsia="Arial" w:hAnsi="Arial"/>
                <w:sz w:val="16"/>
                <w:szCs w:val="16"/>
                <w:color w:val="auto"/>
              </w:rPr>
              <w:t>$200,208</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$169,670</w:t>
            </w:r>
          </w:p>
        </w:tc>
        <w:tc>
          <w:tcPr>
            <w:tcW w:w="92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color w:val="auto"/>
                <w:w w:val="87"/>
              </w:rPr>
              <w:t>18%</w:t>
            </w:r>
          </w:p>
        </w:tc>
      </w:tr>
      <w:tr>
        <w:trPr>
          <w:trHeight w:val="216"/>
        </w:trPr>
        <w:tc>
          <w:tcPr>
            <w:tcW w:w="4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 Attributable to Oil-Dri</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$3,856</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$2,002</w:t>
            </w:r>
          </w:p>
        </w:tc>
        <w:tc>
          <w:tcPr>
            <w:tcW w:w="88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87"/>
              </w:rPr>
              <w:t>93%</w:t>
            </w:r>
          </w:p>
        </w:tc>
        <w:tc>
          <w:tcPr>
            <w:tcW w:w="1040" w:type="dxa"/>
            <w:vAlign w:val="bottom"/>
          </w:tcPr>
          <w:p>
            <w:pPr>
              <w:jc w:val="right"/>
              <w:spacing w:after="0"/>
              <w:rPr>
                <w:sz w:val="20"/>
                <w:szCs w:val="20"/>
                <w:color w:val="auto"/>
              </w:rPr>
            </w:pPr>
            <w:r>
              <w:rPr>
                <w:rFonts w:ascii="Arial" w:cs="Arial" w:eastAsia="Arial" w:hAnsi="Arial"/>
                <w:sz w:val="16"/>
                <w:szCs w:val="16"/>
                <w:color w:val="auto"/>
              </w:rPr>
              <w:t>$9,097</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$2,587</w:t>
            </w:r>
          </w:p>
        </w:tc>
        <w:tc>
          <w:tcPr>
            <w:tcW w:w="92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color w:val="auto"/>
                <w:w w:val="87"/>
              </w:rPr>
              <w:t>252%</w:t>
            </w:r>
          </w:p>
        </w:tc>
      </w:tr>
      <w:tr>
        <w:trPr>
          <w:trHeight w:val="216"/>
        </w:trPr>
        <w:tc>
          <w:tcPr>
            <w:tcW w:w="4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 Attributable to Oil-Dri Excluding Landfill Modification</w:t>
            </w:r>
            <w:r>
              <w:rPr>
                <w:rFonts w:ascii="Arial" w:cs="Arial" w:eastAsia="Arial" w:hAnsi="Arial"/>
                <w:sz w:val="16"/>
                <w:szCs w:val="16"/>
                <w:i w:val="1"/>
                <w:iCs w:val="1"/>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$5,833</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$2,002</w:t>
            </w:r>
          </w:p>
        </w:tc>
        <w:tc>
          <w:tcPr>
            <w:tcW w:w="88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2"/>
              </w:rPr>
              <w:t>191%</w:t>
            </w:r>
          </w:p>
        </w:tc>
        <w:tc>
          <w:tcPr>
            <w:tcW w:w="1040" w:type="dxa"/>
            <w:vAlign w:val="bottom"/>
          </w:tcPr>
          <w:p>
            <w:pPr>
              <w:jc w:val="right"/>
              <w:spacing w:after="0"/>
              <w:rPr>
                <w:sz w:val="20"/>
                <w:szCs w:val="20"/>
                <w:color w:val="auto"/>
              </w:rPr>
            </w:pPr>
            <w:r>
              <w:rPr>
                <w:rFonts w:ascii="Arial" w:cs="Arial" w:eastAsia="Arial" w:hAnsi="Arial"/>
                <w:sz w:val="16"/>
                <w:szCs w:val="16"/>
                <w:color w:val="auto"/>
              </w:rPr>
              <w:t>$11,074</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$2,587</w:t>
            </w:r>
          </w:p>
        </w:tc>
        <w:tc>
          <w:tcPr>
            <w:tcW w:w="92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color w:val="auto"/>
                <w:w w:val="87"/>
              </w:rPr>
              <w:t>328%</w:t>
            </w:r>
          </w:p>
        </w:tc>
      </w:tr>
      <w:tr>
        <w:trPr>
          <w:trHeight w:val="216"/>
        </w:trPr>
        <w:tc>
          <w:tcPr>
            <w:tcW w:w="4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Earnings per Common Diluted Share</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$0.56</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$0.28</w:t>
            </w:r>
          </w:p>
        </w:tc>
        <w:tc>
          <w:tcPr>
            <w:tcW w:w="88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2"/>
              </w:rPr>
              <w:t>100%</w:t>
            </w:r>
          </w:p>
        </w:tc>
        <w:tc>
          <w:tcPr>
            <w:tcW w:w="1040" w:type="dxa"/>
            <w:vAlign w:val="bottom"/>
          </w:tcPr>
          <w:p>
            <w:pPr>
              <w:jc w:val="right"/>
              <w:spacing w:after="0"/>
              <w:rPr>
                <w:sz w:val="20"/>
                <w:szCs w:val="20"/>
                <w:color w:val="auto"/>
              </w:rPr>
            </w:pPr>
            <w:r>
              <w:rPr>
                <w:rFonts w:ascii="Arial" w:cs="Arial" w:eastAsia="Arial" w:hAnsi="Arial"/>
                <w:sz w:val="16"/>
                <w:szCs w:val="16"/>
                <w:color w:val="auto"/>
              </w:rPr>
              <w:t>$1.34</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$0.37</w:t>
            </w:r>
          </w:p>
        </w:tc>
        <w:tc>
          <w:tcPr>
            <w:tcW w:w="92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color w:val="auto"/>
                <w:w w:val="87"/>
              </w:rPr>
              <w:t>262%</w:t>
            </w:r>
          </w:p>
        </w:tc>
      </w:tr>
      <w:tr>
        <w:trPr>
          <w:trHeight w:val="219"/>
        </w:trPr>
        <w:tc>
          <w:tcPr>
            <w:tcW w:w="4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8"/>
              </w:rPr>
              <w:t>Earnings per Common Diluted Share Excluding Landfill Modification</w:t>
            </w:r>
            <w:r>
              <w:rPr>
                <w:rFonts w:ascii="Arial" w:cs="Arial" w:eastAsia="Arial" w:hAnsi="Arial"/>
                <w:sz w:val="16"/>
                <w:szCs w:val="16"/>
                <w:i w:val="1"/>
                <w:iCs w:val="1"/>
                <w:color w:val="auto"/>
                <w:w w:val="98"/>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$0.85</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$0.28</w:t>
            </w:r>
          </w:p>
        </w:tc>
        <w:tc>
          <w:tcPr>
            <w:tcW w:w="88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2"/>
              </w:rPr>
              <w:t>204%</w:t>
            </w:r>
          </w:p>
        </w:tc>
        <w:tc>
          <w:tcPr>
            <w:tcW w:w="1040" w:type="dxa"/>
            <w:vAlign w:val="bottom"/>
          </w:tcPr>
          <w:p>
            <w:pPr>
              <w:jc w:val="right"/>
              <w:spacing w:after="0"/>
              <w:rPr>
                <w:sz w:val="20"/>
                <w:szCs w:val="20"/>
                <w:color w:val="auto"/>
              </w:rPr>
            </w:pPr>
            <w:r>
              <w:rPr>
                <w:rFonts w:ascii="Arial" w:cs="Arial" w:eastAsia="Arial" w:hAnsi="Arial"/>
                <w:sz w:val="16"/>
                <w:szCs w:val="16"/>
                <w:color w:val="auto"/>
              </w:rPr>
              <w:t>$1.63</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$0.37</w:t>
            </w:r>
          </w:p>
        </w:tc>
        <w:tc>
          <w:tcPr>
            <w:tcW w:w="92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color w:val="auto"/>
                <w:w w:val="87"/>
              </w:rPr>
              <w:t>341%</w:t>
            </w:r>
          </w:p>
        </w:tc>
      </w:tr>
      <w:tr>
        <w:trPr>
          <w:trHeight w:val="233"/>
        </w:trPr>
        <w:tc>
          <w:tcPr>
            <w:tcW w:w="48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Business to Business</w:t>
            </w:r>
          </w:p>
        </w:tc>
        <w:tc>
          <w:tcPr>
            <w:tcW w:w="1200" w:type="dxa"/>
            <w:vAlign w:val="bottom"/>
            <w:shd w:val="clear" w:color="auto" w:fill="000000"/>
          </w:tcPr>
          <w:p>
            <w:pPr>
              <w:spacing w:after="0"/>
              <w:rPr>
                <w:sz w:val="20"/>
                <w:szCs w:val="20"/>
                <w:color w:val="auto"/>
              </w:rPr>
            </w:pPr>
          </w:p>
        </w:tc>
        <w:tc>
          <w:tcPr>
            <w:tcW w:w="104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000000"/>
          </w:tcPr>
          <w:p>
            <w:pPr>
              <w:spacing w:after="0"/>
              <w:rPr>
                <w:sz w:val="20"/>
                <w:szCs w:val="20"/>
                <w:color w:val="auto"/>
              </w:rPr>
            </w:pPr>
          </w:p>
        </w:tc>
        <w:tc>
          <w:tcPr>
            <w:tcW w:w="1160" w:type="dxa"/>
            <w:vAlign w:val="bottom"/>
            <w:shd w:val="clear" w:color="auto" w:fill="000000"/>
          </w:tcPr>
          <w:p>
            <w:pPr>
              <w:spacing w:after="0"/>
              <w:rPr>
                <w:sz w:val="20"/>
                <w:szCs w:val="20"/>
                <w:color w:val="auto"/>
              </w:rPr>
            </w:pPr>
          </w:p>
        </w:tc>
        <w:tc>
          <w:tcPr>
            <w:tcW w:w="920" w:type="dxa"/>
            <w:vAlign w:val="bottom"/>
            <w:tcBorders>
              <w:right w:val="single" w:sz="8" w:color="auto"/>
            </w:tcBorders>
            <w:shd w:val="clear" w:color="auto" w:fill="000000"/>
          </w:tcPr>
          <w:p>
            <w:pPr>
              <w:spacing w:after="0"/>
              <w:rPr>
                <w:sz w:val="20"/>
                <w:szCs w:val="20"/>
                <w:color w:val="auto"/>
              </w:rPr>
            </w:pPr>
          </w:p>
        </w:tc>
      </w:tr>
      <w:tr>
        <w:trPr>
          <w:trHeight w:val="210"/>
        </w:trPr>
        <w:tc>
          <w:tcPr>
            <w:tcW w:w="4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$35,154</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$28,453</w:t>
            </w:r>
          </w:p>
        </w:tc>
        <w:tc>
          <w:tcPr>
            <w:tcW w:w="88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87"/>
              </w:rPr>
              <w:t>24%</w:t>
            </w:r>
          </w:p>
        </w:tc>
        <w:tc>
          <w:tcPr>
            <w:tcW w:w="1040" w:type="dxa"/>
            <w:vAlign w:val="bottom"/>
          </w:tcPr>
          <w:p>
            <w:pPr>
              <w:jc w:val="right"/>
              <w:spacing w:after="0"/>
              <w:rPr>
                <w:sz w:val="20"/>
                <w:szCs w:val="20"/>
                <w:color w:val="auto"/>
              </w:rPr>
            </w:pPr>
            <w:r>
              <w:rPr>
                <w:rFonts w:ascii="Arial" w:cs="Arial" w:eastAsia="Arial" w:hAnsi="Arial"/>
                <w:sz w:val="16"/>
                <w:szCs w:val="16"/>
                <w:color w:val="auto"/>
              </w:rPr>
              <w:t>$68,841</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$53,262</w:t>
            </w:r>
          </w:p>
        </w:tc>
        <w:tc>
          <w:tcPr>
            <w:tcW w:w="92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color w:val="auto"/>
                <w:w w:val="87"/>
              </w:rPr>
              <w:t>29%</w:t>
            </w:r>
          </w:p>
        </w:tc>
      </w:tr>
      <w:tr>
        <w:trPr>
          <w:trHeight w:val="219"/>
        </w:trPr>
        <w:tc>
          <w:tcPr>
            <w:tcW w:w="4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$7,734</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$6,424</w:t>
            </w:r>
          </w:p>
        </w:tc>
        <w:tc>
          <w:tcPr>
            <w:tcW w:w="88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87"/>
              </w:rPr>
              <w:t>20%</w:t>
            </w:r>
          </w:p>
        </w:tc>
        <w:tc>
          <w:tcPr>
            <w:tcW w:w="1040" w:type="dxa"/>
            <w:vAlign w:val="bottom"/>
          </w:tcPr>
          <w:p>
            <w:pPr>
              <w:jc w:val="right"/>
              <w:spacing w:after="0"/>
              <w:rPr>
                <w:sz w:val="20"/>
                <w:szCs w:val="20"/>
                <w:color w:val="auto"/>
              </w:rPr>
            </w:pPr>
            <w:r>
              <w:rPr>
                <w:rFonts w:ascii="Arial" w:cs="Arial" w:eastAsia="Arial" w:hAnsi="Arial"/>
                <w:sz w:val="16"/>
                <w:szCs w:val="16"/>
                <w:color w:val="auto"/>
              </w:rPr>
              <w:t>$14,991</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$11,962</w:t>
            </w:r>
          </w:p>
        </w:tc>
        <w:tc>
          <w:tcPr>
            <w:tcW w:w="92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color w:val="auto"/>
                <w:w w:val="87"/>
              </w:rPr>
              <w:t>25%</w:t>
            </w:r>
          </w:p>
        </w:tc>
      </w:tr>
      <w:tr>
        <w:trPr>
          <w:trHeight w:val="233"/>
        </w:trPr>
        <w:tc>
          <w:tcPr>
            <w:tcW w:w="48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Retail and Wholesale</w:t>
            </w:r>
          </w:p>
        </w:tc>
        <w:tc>
          <w:tcPr>
            <w:tcW w:w="1200" w:type="dxa"/>
            <w:vAlign w:val="bottom"/>
            <w:shd w:val="clear" w:color="auto" w:fill="000000"/>
          </w:tcPr>
          <w:p>
            <w:pPr>
              <w:spacing w:after="0"/>
              <w:rPr>
                <w:sz w:val="20"/>
                <w:szCs w:val="20"/>
                <w:color w:val="auto"/>
              </w:rPr>
            </w:pPr>
          </w:p>
        </w:tc>
        <w:tc>
          <w:tcPr>
            <w:tcW w:w="104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000000"/>
          </w:tcPr>
          <w:p>
            <w:pPr>
              <w:spacing w:after="0"/>
              <w:rPr>
                <w:sz w:val="20"/>
                <w:szCs w:val="20"/>
                <w:color w:val="auto"/>
              </w:rPr>
            </w:pPr>
          </w:p>
        </w:tc>
        <w:tc>
          <w:tcPr>
            <w:tcW w:w="1160" w:type="dxa"/>
            <w:vAlign w:val="bottom"/>
            <w:shd w:val="clear" w:color="auto" w:fill="000000"/>
          </w:tcPr>
          <w:p>
            <w:pPr>
              <w:spacing w:after="0"/>
              <w:rPr>
                <w:sz w:val="20"/>
                <w:szCs w:val="20"/>
                <w:color w:val="auto"/>
              </w:rPr>
            </w:pPr>
          </w:p>
        </w:tc>
        <w:tc>
          <w:tcPr>
            <w:tcW w:w="920" w:type="dxa"/>
            <w:vAlign w:val="bottom"/>
            <w:tcBorders>
              <w:right w:val="single" w:sz="8" w:color="auto"/>
            </w:tcBorders>
            <w:shd w:val="clear" w:color="auto" w:fill="000000"/>
          </w:tcPr>
          <w:p>
            <w:pPr>
              <w:spacing w:after="0"/>
              <w:rPr>
                <w:sz w:val="20"/>
                <w:szCs w:val="20"/>
                <w:color w:val="auto"/>
              </w:rPr>
            </w:pPr>
          </w:p>
        </w:tc>
      </w:tr>
      <w:tr>
        <w:trPr>
          <w:trHeight w:val="210"/>
        </w:trPr>
        <w:tc>
          <w:tcPr>
            <w:tcW w:w="4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$66,515</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$58,757</w:t>
            </w:r>
          </w:p>
        </w:tc>
        <w:tc>
          <w:tcPr>
            <w:tcW w:w="88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87"/>
              </w:rPr>
              <w:t>13%</w:t>
            </w:r>
          </w:p>
        </w:tc>
        <w:tc>
          <w:tcPr>
            <w:tcW w:w="1040" w:type="dxa"/>
            <w:vAlign w:val="bottom"/>
          </w:tcPr>
          <w:p>
            <w:pPr>
              <w:jc w:val="right"/>
              <w:spacing w:after="0"/>
              <w:rPr>
                <w:sz w:val="20"/>
                <w:szCs w:val="20"/>
                <w:color w:val="auto"/>
              </w:rPr>
            </w:pPr>
            <w:r>
              <w:rPr>
                <w:rFonts w:ascii="Arial" w:cs="Arial" w:eastAsia="Arial" w:hAnsi="Arial"/>
                <w:sz w:val="16"/>
                <w:szCs w:val="16"/>
                <w:color w:val="auto"/>
              </w:rPr>
              <w:t>$131,367</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$116,408</w:t>
            </w:r>
          </w:p>
        </w:tc>
        <w:tc>
          <w:tcPr>
            <w:tcW w:w="92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color w:val="auto"/>
                <w:w w:val="87"/>
              </w:rPr>
              <w:t>13%</w:t>
            </w:r>
          </w:p>
        </w:tc>
      </w:tr>
      <w:tr>
        <w:trPr>
          <w:trHeight w:val="219"/>
        </w:trPr>
        <w:tc>
          <w:tcPr>
            <w:tcW w:w="4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$8,682</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$2,092</w:t>
            </w:r>
          </w:p>
        </w:tc>
        <w:tc>
          <w:tcPr>
            <w:tcW w:w="88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color w:val="auto"/>
                <w:w w:val="92"/>
              </w:rPr>
              <w:t>315%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$16,256</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$3,374</w:t>
            </w:r>
          </w:p>
        </w:tc>
        <w:tc>
          <w:tcPr>
            <w:tcW w:w="92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w w:val="87"/>
              </w:rPr>
              <w:t>382%</w:t>
            </w:r>
          </w:p>
        </w:tc>
      </w:tr>
    </w:tbl>
    <w:p>
      <w:pPr>
        <w:spacing w:after="0" w:line="305" w:lineRule="exact"/>
        <w:rPr>
          <w:sz w:val="20"/>
          <w:szCs w:val="20"/>
          <w:color w:val="auto"/>
        </w:rPr>
      </w:pPr>
    </w:p>
    <w:p>
      <w:pPr>
        <w:ind w:firstLine="8"/>
        <w:spacing w:after="0" w:line="266" w:lineRule="auto"/>
        <w:tabs>
          <w:tab w:leader="none" w:pos="124"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Segment net sales and operating income for six months ended January 31, 2022 have been adjusted for a realignment of segments. See Note 11 of the unaudited Notes to the Condensed Consolidated Financial Statements in our Quarterly Report on Form 10-Q for the year ended January 31, 2023.</w:t>
      </w: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 Please refer to Reconciliation of Non-GAAP Financial Measures below for a reconciliation of Non-GAAP items to the comparable GAAP measures.</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Daniel S. Jaffee, President and Chief Executive Officer, stated, “We delivered another strong quarter and continued on our trajectory of record high consolidated net sales, as we surpassed $100 million for the recent three month period. Revenues grew across our product portfolio within both the Retail and Wholesale and Business to Business Products Groups. While we are pleased with the year-over-year gross margin improvement, we are mindful that we did not show gross margin expansion over the first quarter of fiscal 2023. The team and I will continue to work diligently to return our margins to their historic levels. Further pricing actions, efficiency enhancements, and cost saving measures will occur as we move forward in this inflationary environment. Our net income in the second quarter of fiscal 2023 demonstrated significant growth over the prior year, even with a $2.5 million reserve for anticipated costs relating to proactive</w:t>
      </w:r>
    </w:p>
    <w:p>
      <w:pPr>
        <w:sectPr>
          <w:pgSz w:w="11900" w:h="16838" w:orient="portrait"/>
          <w:cols w:equalWidth="0" w:num="1">
            <w:col w:w="11240"/>
          </w:cols>
          <w:pgMar w:left="320" w:top="1268" w:right="339" w:bottom="1440" w:gutter="0" w:footer="0" w:header="0"/>
        </w:sectPr>
      </w:pPr>
    </w:p>
    <w:bookmarkStart w:id="4" w:name="page5"/>
    <w:bookmarkEnd w:id="4"/>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40"/>
        <w:spacing w:after="0" w:line="312" w:lineRule="auto"/>
        <w:rPr>
          <w:sz w:val="20"/>
          <w:szCs w:val="20"/>
          <w:color w:val="auto"/>
        </w:rPr>
      </w:pPr>
      <w:r>
        <w:rPr>
          <w:rFonts w:ascii="Arial" w:cs="Arial" w:eastAsia="Arial" w:hAnsi="Arial"/>
          <w:sz w:val="19"/>
          <w:szCs w:val="19"/>
          <w:color w:val="auto"/>
        </w:rPr>
        <w:t>capacity modification of Oil-Dri’s sole landfill. I would also like to highlight that the recent showcase of our animal health products at the International Production and Processing Expo in January sparked increased interest within the industry. This is an exciting time for Oil-Dri as we move forward to expand our unique mineral businesses both domestically and around the world.”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7" w:lineRule="exact"/>
        <w:rPr>
          <w:sz w:val="20"/>
          <w:szCs w:val="20"/>
          <w:color w:val="auto"/>
        </w:rPr>
      </w:pPr>
    </w:p>
    <w:p>
      <w:pPr>
        <w:ind w:right="140"/>
        <w:spacing w:after="0" w:line="247" w:lineRule="auto"/>
        <w:rPr>
          <w:sz w:val="20"/>
          <w:szCs w:val="20"/>
          <w:color w:val="auto"/>
        </w:rPr>
      </w:pPr>
      <w:r>
        <w:rPr>
          <w:rFonts w:ascii="Arial" w:cs="Arial" w:eastAsia="Arial" w:hAnsi="Arial"/>
          <w:sz w:val="22"/>
          <w:szCs w:val="22"/>
          <w:color w:val="auto"/>
        </w:rPr>
        <w:t>Consolidated net sales in the second quarter reached an all-time high of $101.7 million, a 17% increase over the prior year. This increase was driven by pricing actions taken across multiple principal products in order to improve profitability. Significant revenue gains from cat litter, fluids purification, and agricultural products contributed to this growth. Oil-Dri also experienced higher sales of its industrial &amp; sports and animal health products, while revenues from co-packaging coarse cat litter items decreased.</w:t>
      </w:r>
    </w:p>
    <w:p>
      <w:pPr>
        <w:spacing w:after="0" w:line="219"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Second quarter consolidated gross profit was $23 million, an increase of $7.4 million, or 48%, over the second quarter of the prior year, as margins expanded to 23% in fiscal 2023 from 18% in fiscal 2022. Domestic cost of goods sold per ton increased 18% compared to the second quarter of the prior year as a result of inflation on key cost inputs such as non-fuel manufacturing costs, freight, and natural gas.</w:t>
      </w: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22"/>
          <w:szCs w:val="22"/>
          <w:color w:val="auto"/>
        </w:rPr>
        <w:t>In the second quarter of fiscal 2023, consolidated operating income was approximately $7.3 million compared to $1.9 million in fiscal 2022. Higher selling prices offset inflationary impacts on cost of goods and a $2.0 million, or 15%, increase in Selling, General and Administrative (“SG&amp;A”) expenses. These elevated SG&amp;A costs were primarily driven by a higher bonus accrual due to improved quarterly results compared to the Company’s performance target under the annual incentive plan and an increase in expenses to support strategic initiatives.</w:t>
      </w:r>
    </w:p>
    <w:p>
      <w:pPr>
        <w:spacing w:after="0" w:line="214"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Total other (expense) income, net was $(2.3) million for the three months ended January 31, 2023 compared to total other (expense) income, net of $0.5 million in the same period of fiscal year 2022. In the second quarter of fiscal 2023, the Company recorded a reserve of $2.5 million for anticipated modification costs that it expects to incur to address capacity issues at its sole landfill located in Ochlocknee, Georgia. This is not in response to a notice of violation or order from the state. Oil-Dri has always taken its land stewardship responsibilities seriously and is being proactive here as well.</w:t>
      </w:r>
    </w:p>
    <w:p>
      <w:pPr>
        <w:spacing w:after="0" w:line="160"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Income tax expense increased to $1.2 million in the second quarter of fiscal year 2023 compared to $0.4 million in the same period last year due to the Company’s higher taxable income.</w:t>
      </w:r>
    </w:p>
    <w:p>
      <w:pPr>
        <w:spacing w:after="0" w:line="215"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Second quarter consolidated net income attributed to Oil-Dri reached $3.9 million in fiscal 2023 from $2.0 million in fiscal 2022, reflecting a very strong improvement over the prior year. Excluding the aforementioned landfill modification reserve of $2.5</w:t>
      </w:r>
    </w:p>
    <w:p>
      <w:pPr>
        <w:sectPr>
          <w:pgSz w:w="11900" w:h="16838" w:orient="portrait"/>
          <w:cols w:equalWidth="0" w:num="1">
            <w:col w:w="11200"/>
          </w:cols>
          <w:pgMar w:left="320" w:top="1440" w:right="379" w:bottom="1440" w:gutter="0" w:footer="0" w:header="0"/>
        </w:sectPr>
      </w:pPr>
    </w:p>
    <w:bookmarkStart w:id="5" w:name="page6"/>
    <w:bookmarkEnd w:id="5"/>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320"/>
        <w:spacing w:after="0" w:line="250" w:lineRule="auto"/>
        <w:rPr>
          <w:sz w:val="20"/>
          <w:szCs w:val="20"/>
          <w:color w:val="auto"/>
        </w:rPr>
      </w:pPr>
      <w:r>
        <w:rPr>
          <w:rFonts w:ascii="Arial" w:cs="Arial" w:eastAsia="Arial" w:hAnsi="Arial"/>
          <w:sz w:val="22"/>
          <w:szCs w:val="22"/>
          <w:color w:val="auto"/>
        </w:rPr>
        <w:t>million, net income attributed to Oil-Dri for the second quarter of fiscal 2023 was approximately $5.8 million or 191% greater than the same period last year.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Group Review</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The Business to Business (“B2B”) Products Group’s second quarter revenues reached a record $35.2 million, a 24% gain over the prior year. All principal products within the B2B Products Group demonstrated very strong topline growth with double digit increases. Sales of fluids purification products were an all-time high of $19.0 million, or a 22% increase over the prior year as a result of price increases. All regions showed solid revenue growth, with the majority of sales gains concentrated in North America, and the region including Europe, Middle East and Africa. The agricultural products business achieved quarterly net sales of $9.8 million, or a 34% increase over last year. Higher prices of Agsorb and Verge products were responsible for the revenue improvement. Amlan, the Company’s animal health business, generated $6.4 million in sales, or a 14% increase over the prior year. Pricing actions were the primary driver of the sales gains, but an increase in demand in several regions also contributed to the growth. Revenues increased within Latin America where a large portion of antibiotic free meat is exported to the European Union. The Company’s strategies are proving successful within North America as sales increased due to a new product line and expanded distribution to new key customers. While revenues from Asia (excluding China) and Mexico also rose during the second quarter compared to last year, sales of Amlan’s products in China decreased.</w:t>
      </w:r>
    </w:p>
    <w:p>
      <w:pPr>
        <w:spacing w:after="0" w:line="184" w:lineRule="exact"/>
        <w:rPr>
          <w:sz w:val="20"/>
          <w:szCs w:val="20"/>
          <w:color w:val="auto"/>
        </w:rPr>
      </w:pPr>
    </w:p>
    <w:p>
      <w:pPr>
        <w:jc w:val="both"/>
        <w:ind w:right="100"/>
        <w:spacing w:after="0" w:line="278" w:lineRule="auto"/>
        <w:rPr>
          <w:sz w:val="20"/>
          <w:szCs w:val="20"/>
          <w:color w:val="auto"/>
        </w:rPr>
      </w:pPr>
      <w:r>
        <w:rPr>
          <w:rFonts w:ascii="Arial" w:cs="Arial" w:eastAsia="Arial" w:hAnsi="Arial"/>
          <w:sz w:val="21"/>
          <w:szCs w:val="21"/>
          <w:color w:val="auto"/>
        </w:rPr>
        <w:t>Operating income for the B2B Products Group was $7.7 million in the second quarter of fiscal 2023 compared to $6.4 million in fiscal 2022, reflecting a 20% increase. Higher sales were partially offset by inflationary headwinds on cost of goods sold. SG&amp;A expenses were relatively flat in the second quarter compared to the same period of fiscal year 2022.</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color w:val="auto"/>
        </w:rPr>
        <w:t>The Retail and Wholesale Products Group’s second quarter revenues reached an all-time high of $66.5 million, a 13% increase over the prior year. This was primarily driven by a $6.1 million or 14% increase in domestic cat litter sales, excluding the Company’s co-packaged coarse-cat litter business. Scoopable and coarse cat litter products experienced topline growth during the second quarter as a result of pricing actions to mitigate ongoing inflationary headwinds. In addition, demand for lightweight and coarse litter products increased due to organic growth and new distribution. Overall domestic cat litter demand was relatively flat as the category experienced modest elasticity impacts, and the Company made an intentional decision to reduce some non-strategic business. Revenues from combined domestic branded and private label lightweight litter items rose 29% in the second quarter of fiscal 2023 versus the prior year, once again exceeding the lightweight litter segment sales growth of 11% for the 13-week period ended January 28, 2023, according to third-party research data for retail sales</w:t>
      </w:r>
      <w:r>
        <w:rPr>
          <w:rFonts w:ascii="Arial" w:cs="Arial" w:eastAsia="Arial" w:hAnsi="Arial"/>
          <w:sz w:val="11"/>
          <w:szCs w:val="11"/>
          <w:color w:val="auto"/>
        </w:rPr>
        <w:t>1</w:t>
      </w:r>
      <w:r>
        <w:rPr>
          <w:rFonts w:ascii="Arial" w:cs="Arial" w:eastAsia="Arial" w:hAnsi="Arial"/>
          <w:sz w:val="20"/>
          <w:szCs w:val="20"/>
          <w:color w:val="auto"/>
        </w:rPr>
        <w:t>. Oil-Dri’s subsidiary in Canada also demonstrated strong sales growth from its cat litter products in the second quarter of fiscal 2023 compared to the prior year. Domestic industrial and sports</w:t>
      </w:r>
    </w:p>
    <w:p>
      <w:pPr>
        <w:sectPr>
          <w:pgSz w:w="11900" w:h="16838" w:orient="portrait"/>
          <w:cols w:equalWidth="0" w:num="1">
            <w:col w:w="11240"/>
          </w:cols>
          <w:pgMar w:left="320" w:top="1440" w:right="339" w:bottom="1440" w:gutter="0" w:footer="0" w:header="0"/>
        </w:sectPr>
      </w:pPr>
    </w:p>
    <w:bookmarkStart w:id="6" w:name="page7"/>
    <w:bookmarkEnd w:id="6"/>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580"/>
        <w:spacing w:after="0" w:line="263" w:lineRule="auto"/>
        <w:rPr>
          <w:sz w:val="20"/>
          <w:szCs w:val="20"/>
          <w:color w:val="auto"/>
        </w:rPr>
      </w:pPr>
      <w:r>
        <w:rPr>
          <w:rFonts w:ascii="Arial" w:cs="Arial" w:eastAsia="Arial" w:hAnsi="Arial"/>
          <w:sz w:val="22"/>
          <w:szCs w:val="22"/>
          <w:color w:val="auto"/>
        </w:rPr>
        <w:t>products showed a $1.4 million or 17% revenue improvement in the second quarter of fiscal 2023 driven by price increases implemented to rebuild margins, and to a lesser extent from higher volumes.</w:t>
      </w:r>
    </w:p>
    <w:p>
      <w:pPr>
        <w:spacing w:after="0" w:line="202"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color w:val="auto"/>
        </w:rPr>
        <w:t>Operating income for the R&amp;W Products Group was $8.7 million in the second quarter of fiscal year 2023 compared to $2.1 million in the prior year. Higher sales coupled with a reduction in SG&amp;A expenses offset elevated costs of goods sold. While advertising costs remained relatively flat, total SG&amp;A expenses for the R&amp;W Group decreased by $0.6 million, or 16%, during the second quarter of fiscal 2023 versus the same period last year. Oil-Dri expects advertising expenses for the full fiscal year 2023 to be higher than fiscal year 2022 and more in line with historical levels. The majority of the spending will be concentrated in the second half of the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The Company will host its second quarter of fiscal 2023 earnings discussion via webcast on Friday, March 10, 2023 at 10:00 a.m.</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Central Time. Participation details are available on the company’s website’s </w:t>
      </w:r>
      <w:r>
        <w:rPr>
          <w:rFonts w:ascii="Arial" w:cs="Arial" w:eastAsia="Arial" w:hAnsi="Arial"/>
          <w:sz w:val="22"/>
          <w:szCs w:val="22"/>
          <w:color w:val="0000FF"/>
        </w:rPr>
        <w:t>Events</w:t>
      </w:r>
      <w:r>
        <w:rPr>
          <w:rFonts w:ascii="Arial" w:cs="Arial" w:eastAsia="Arial" w:hAnsi="Arial"/>
          <w:sz w:val="22"/>
          <w:szCs w:val="22"/>
          <w:color w:val="auto"/>
        </w:rPr>
        <w:t xml:space="preserve"> page.</w:t>
      </w:r>
    </w:p>
    <w:p>
      <w:pPr>
        <w:jc w:val="center"/>
        <w:spacing w:after="0"/>
        <w:rPr>
          <w:sz w:val="20"/>
          <w:szCs w:val="20"/>
          <w:color w:val="auto"/>
        </w:rPr>
      </w:pPr>
      <w:r>
        <w:rPr>
          <w:rFonts w:ascii="Arial" w:cs="Arial" w:eastAsia="Arial" w:hAnsi="Arial"/>
          <w:sz w:val="16"/>
          <w:szCs w:val="16"/>
          <w:color w:val="auto"/>
        </w:rPr>
        <w:t>###</w:t>
      </w:r>
    </w:p>
    <w:p>
      <w:pPr>
        <w:spacing w:after="0" w:line="230" w:lineRule="exact"/>
        <w:rPr>
          <w:sz w:val="20"/>
          <w:szCs w:val="20"/>
          <w:color w:val="auto"/>
        </w:rPr>
      </w:pPr>
    </w:p>
    <w:p>
      <w:pPr>
        <w:jc w:val="both"/>
        <w:spacing w:after="0" w:line="227" w:lineRule="auto"/>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Based in part on data reported by NielsenIQ through its Scantrack Service for the Cat Litter Category in the 13-week period ended January 28, 2023, for the U.S. xAOC+Pet Supers market. Copyright © 2023 NielsenIQ.</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“Oil-Dri”, “Agsorb”, “Verge”, and “Amlan” are registered trademarks of Oil-Dri Corporation of America.</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price fluctuations and pressures, increases in costs, disruptions to our and our counterparties’ businesses and operations and other uncertainties and</w:t>
      </w:r>
    </w:p>
    <w:p>
      <w:pPr>
        <w:sectPr>
          <w:pgSz w:w="11900" w:h="16838" w:orient="portrait"/>
          <w:cols w:equalWidth="0" w:num="1">
            <w:col w:w="11240"/>
          </w:cols>
          <w:pgMar w:left="320" w:top="1440" w:right="339" w:bottom="1440" w:gutter="0" w:footer="0" w:header="0"/>
        </w:sectPr>
      </w:pPr>
    </w:p>
    <w:bookmarkStart w:id="7" w:name="page8"/>
    <w:bookmarkEnd w:id="7"/>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54" w:lineRule="auto"/>
        <w:rPr>
          <w:sz w:val="20"/>
          <w:szCs w:val="20"/>
          <w:color w:val="auto"/>
        </w:rPr>
      </w:pPr>
      <w:r>
        <w:rPr>
          <w:rFonts w:ascii="Arial" w:cs="Arial" w:eastAsia="Arial" w:hAnsi="Arial"/>
          <w:sz w:val="18"/>
          <w:szCs w:val="18"/>
          <w:i w:val="1"/>
          <w:iCs w:val="1"/>
          <w:color w:val="auto"/>
        </w:rPr>
        <w:t>assumptions that are described in Item 1A (Risk Factors) of our Quarterly Report on Form 10-Q for the quarter ended January 31, 2023 and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planned or otherwise expressed in any forward-looking statements.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Category: Earnings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Leslie A. Garber</w:t>
      </w:r>
    </w:p>
    <w:p>
      <w:pPr>
        <w:spacing w:after="0" w:line="230" w:lineRule="auto"/>
        <w:rPr>
          <w:sz w:val="20"/>
          <w:szCs w:val="20"/>
          <w:color w:val="auto"/>
        </w:rPr>
      </w:pPr>
      <w:r>
        <w:rPr>
          <w:rFonts w:ascii="Arial" w:cs="Arial" w:eastAsia="Arial" w:hAnsi="Arial"/>
          <w:sz w:val="22"/>
          <w:szCs w:val="22"/>
          <w:color w:val="auto"/>
        </w:rPr>
        <w:t>Manager of Investor Relations</w:t>
      </w:r>
    </w:p>
    <w:p>
      <w:pPr>
        <w:spacing w:after="0" w:line="231" w:lineRule="auto"/>
        <w:rPr>
          <w:sz w:val="20"/>
          <w:szCs w:val="20"/>
          <w:color w:val="auto"/>
        </w:rPr>
      </w:pPr>
      <w:r>
        <w:rPr>
          <w:rFonts w:ascii="Arial" w:cs="Arial" w:eastAsia="Arial" w:hAnsi="Arial"/>
          <w:sz w:val="22"/>
          <w:szCs w:val="22"/>
          <w:color w:val="auto"/>
        </w:rPr>
        <w:t>Oil-Dri Corporation of America</w:t>
      </w:r>
    </w:p>
    <w:p>
      <w:pPr>
        <w:spacing w:after="0" w:line="230" w:lineRule="auto"/>
        <w:rPr>
          <w:sz w:val="20"/>
          <w:szCs w:val="20"/>
          <w:color w:val="auto"/>
        </w:rPr>
      </w:pPr>
      <w:r>
        <w:rPr>
          <w:rFonts w:ascii="Arial" w:cs="Arial" w:eastAsia="Arial" w:hAnsi="Arial"/>
          <w:sz w:val="22"/>
          <w:szCs w:val="22"/>
          <w:color w:val="0000FF"/>
        </w:rPr>
        <w:t>InvestorRelations@oildri.com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6"/>
            <w:vMerge w:val="restart"/>
          </w:tcPr>
          <w:p>
            <w:pPr>
              <w:ind w:left="180"/>
              <w:spacing w:after="0"/>
              <w:rPr>
                <w:sz w:val="20"/>
                <w:szCs w:val="20"/>
                <w:color w:val="auto"/>
              </w:rPr>
            </w:pPr>
            <w:r>
              <w:rPr>
                <w:rFonts w:ascii="Arial" w:cs="Arial" w:eastAsia="Arial" w:hAnsi="Arial"/>
                <w:sz w:val="18"/>
                <w:szCs w:val="18"/>
                <w:b w:val="1"/>
                <w:bCs w:val="1"/>
                <w:color w:val="auto"/>
                <w:w w:val="93"/>
              </w:rPr>
              <w:t>Second Quarter Ended January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vMerge w:val="continue"/>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 of Sales</w:t>
            </w: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8"/>
              <w:spacing w:after="0"/>
              <w:rPr>
                <w:sz w:val="20"/>
                <w:szCs w:val="20"/>
                <w:color w:val="auto"/>
              </w:rPr>
            </w:pPr>
            <w:r>
              <w:rPr>
                <w:rFonts w:ascii="Arial" w:cs="Arial" w:eastAsia="Arial" w:hAnsi="Arial"/>
                <w:sz w:val="18"/>
                <w:szCs w:val="18"/>
                <w:b w:val="1"/>
                <w:bCs w:val="1"/>
                <w:color w:val="auto"/>
                <w:w w:val="99"/>
              </w:rPr>
              <w:t>% of Sales</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101,669</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87,210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(78,653)</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7,306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6"/>
                <w:szCs w:val="16"/>
                <w:b w:val="1"/>
                <w:bCs w:val="1"/>
                <w:color w:val="auto"/>
              </w:rPr>
              <w:t>Total Other (Expense) Income, Net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5,039</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6"/>
                <w:szCs w:val="16"/>
                <w:b w:val="1"/>
                <w:bCs w:val="1"/>
                <w:color w:val="auto"/>
              </w:rPr>
              <w:t>Income Taxes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9"/>
        </w:trPr>
        <w:tc>
          <w:tcPr>
            <w:tcW w:w="574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574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3,856</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
        </w:trPr>
        <w:tc>
          <w:tcPr>
            <w:tcW w:w="574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4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0"/>
              <w:spacing w:after="0"/>
              <w:rPr>
                <w:sz w:val="20"/>
                <w:szCs w:val="20"/>
                <w:color w:val="auto"/>
              </w:rPr>
            </w:pPr>
            <w:r>
              <w:rPr>
                <w:rFonts w:ascii="Arial" w:cs="Arial" w:eastAsia="Arial" w:hAnsi="Arial"/>
                <w:sz w:val="16"/>
                <w:szCs w:val="16"/>
                <w:b w:val="1"/>
                <w:bCs w:val="1"/>
                <w:color w:val="auto"/>
              </w:rPr>
              <w:t>Diluted Common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4,829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0"/>
              <w:spacing w:after="0"/>
              <w:rPr>
                <w:sz w:val="20"/>
                <w:szCs w:val="20"/>
                <w:color w:val="auto"/>
              </w:rPr>
            </w:pPr>
            <w:r>
              <w:rPr>
                <w:rFonts w:ascii="Arial" w:cs="Arial" w:eastAsia="Arial" w:hAnsi="Arial"/>
                <w:sz w:val="16"/>
                <w:szCs w:val="16"/>
                <w:b w:val="1"/>
                <w:bCs w:val="1"/>
                <w:color w:val="auto"/>
              </w:rPr>
              <w:t>Diluted Common (1)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4,965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left="252" w:hanging="252"/>
        <w:spacing w:after="0" w:line="293" w:lineRule="auto"/>
        <w:tabs>
          <w:tab w:leader="none" w:pos="22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effect of Basic Common potential common stock equivalents related to non-vested restricted stock of 1 thousand shares was excluded from the computation of average diluted shares outstanding for the three months ended January 31, 2023 as inclusion would have been anti-dilutive.</w:t>
      </w:r>
    </w:p>
    <w:p>
      <w:pPr>
        <w:sectPr>
          <w:pgSz w:w="11900" w:h="16838" w:orient="portrait"/>
          <w:cols w:equalWidth="0" w:num="1">
            <w:col w:w="11212"/>
          </w:cols>
          <w:pgMar w:left="328" w:top="1440" w:right="359" w:bottom="1440" w:gutter="0" w:footer="0" w:header="0"/>
        </w:sectPr>
      </w:pPr>
    </w:p>
    <w:bookmarkStart w:id="9" w:name="page10"/>
    <w:bookmarkEnd w:id="9"/>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12"/>
        <w:spacing w:after="0"/>
        <w:rPr>
          <w:sz w:val="20"/>
          <w:szCs w:val="20"/>
          <w:color w:val="auto"/>
        </w:rPr>
      </w:pPr>
      <w:r>
        <w:rPr>
          <w:rFonts w:ascii="Arial" w:cs="Arial" w:eastAsia="Arial" w:hAnsi="Arial"/>
          <w:sz w:val="18"/>
          <w:szCs w:val="18"/>
          <w:color w:val="auto"/>
        </w:rPr>
        <w:t>(in thousands, except per share amounts)</w:t>
      </w:r>
    </w:p>
    <w:p>
      <w:pPr>
        <w:spacing w:after="0" w:line="274"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w w:val="93"/>
              </w:rPr>
              <w:t>Six Months Ended January 31,</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 of Sales</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72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200,208</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169,670</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(154,882)</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(140,266)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45,326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29,404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17.3 %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(31,451)</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(27,041)</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13,875</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2,363</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Total Other (Expense) Income,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11,476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Taxes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9,076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9,097</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2,587</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20" w:type="dxa"/>
            <w:vAlign w:val="bottom"/>
            <w:vMerge w:val="continue"/>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Common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4,817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5,095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Common (1)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4,937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5,211</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1,975</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52" w:hanging="252"/>
        <w:spacing w:after="0" w:line="293" w:lineRule="auto"/>
        <w:tabs>
          <w:tab w:leader="none" w:pos="22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The effect of Basic Common potential common stock equivalents related to non-vested restricted stock of 7 thousand shares was excluded from the computation of average diluted shares outstanding for the six months ended January 31, 2023 as inclusion would have been anti-dilutive.</w:t>
      </w:r>
    </w:p>
    <w:p>
      <w:pPr>
        <w:sectPr>
          <w:pgSz w:w="11900" w:h="16838" w:orient="portrait"/>
          <w:cols w:equalWidth="0" w:num="1">
            <w:col w:w="11212"/>
          </w:cols>
          <w:pgMar w:left="328" w:top="1440" w:right="3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1120" w:type="dxa"/>
            <w:vAlign w:val="bottom"/>
          </w:tcPr>
          <w:p>
            <w:pPr>
              <w:spacing w:after="0"/>
              <w:rPr>
                <w:sz w:val="20"/>
                <w:szCs w:val="20"/>
                <w:color w:val="auto"/>
              </w:rPr>
            </w:pPr>
          </w:p>
        </w:tc>
        <w:tc>
          <w:tcPr>
            <w:tcW w:w="170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rPr>
              <w:t>As of January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vMerge w:val="continue"/>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5"/>
        </w:trPr>
        <w:tc>
          <w:tcPr>
            <w:tcW w:w="71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13,951</w:t>
            </w:r>
          </w:p>
        </w:tc>
        <w:tc>
          <w:tcPr>
            <w:tcW w:w="4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29,009</w:t>
            </w:r>
          </w:p>
        </w:tc>
        <w:tc>
          <w:tcPr>
            <w:tcW w:w="0" w:type="dxa"/>
            <w:vAlign w:val="bottom"/>
          </w:tcPr>
          <w:p>
            <w:pPr>
              <w:spacing w:after="0"/>
              <w:rPr>
                <w:sz w:val="1"/>
                <w:szCs w:val="1"/>
                <w:color w:val="auto"/>
              </w:rPr>
            </w:pPr>
          </w:p>
        </w:tc>
      </w:tr>
      <w:tr>
        <w:trPr>
          <w:trHeight w:val="229"/>
        </w:trPr>
        <w:tc>
          <w:tcPr>
            <w:tcW w:w="71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57,179</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45,970</w:t>
            </w:r>
          </w:p>
        </w:tc>
        <w:tc>
          <w:tcPr>
            <w:tcW w:w="0" w:type="dxa"/>
            <w:vAlign w:val="bottom"/>
          </w:tcPr>
          <w:p>
            <w:pPr>
              <w:spacing w:after="0"/>
              <w:rPr>
                <w:sz w:val="1"/>
                <w:szCs w:val="1"/>
                <w:color w:val="auto"/>
              </w:rPr>
            </w:pPr>
          </w:p>
        </w:tc>
      </w:tr>
      <w:tr>
        <w:trPr>
          <w:trHeight w:val="229"/>
        </w:trPr>
        <w:tc>
          <w:tcPr>
            <w:tcW w:w="716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37,938</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29,797</w:t>
            </w:r>
          </w:p>
        </w:tc>
        <w:tc>
          <w:tcPr>
            <w:tcW w:w="0" w:type="dxa"/>
            <w:vAlign w:val="bottom"/>
          </w:tcPr>
          <w:p>
            <w:pPr>
              <w:spacing w:after="0"/>
              <w:rPr>
                <w:sz w:val="1"/>
                <w:szCs w:val="1"/>
                <w:color w:val="auto"/>
              </w:rPr>
            </w:pPr>
          </w:p>
        </w:tc>
      </w:tr>
      <w:tr>
        <w:trPr>
          <w:trHeight w:val="234"/>
        </w:trPr>
        <w:tc>
          <w:tcPr>
            <w:tcW w:w="7160" w:type="dxa"/>
            <w:vAlign w:val="bottom"/>
          </w:tcPr>
          <w:p>
            <w:pPr>
              <w:ind w:left="380"/>
              <w:spacing w:after="0"/>
              <w:rPr>
                <w:sz w:val="20"/>
                <w:szCs w:val="20"/>
                <w:color w:val="auto"/>
              </w:rPr>
            </w:pPr>
            <w:r>
              <w:rPr>
                <w:rFonts w:ascii="Arial" w:cs="Arial" w:eastAsia="Arial" w:hAnsi="Arial"/>
                <w:sz w:val="18"/>
                <w:szCs w:val="18"/>
                <w:b w:val="1"/>
                <w:bCs w:val="1"/>
                <w:color w:val="auto"/>
              </w:rPr>
              <w:t>Prepaid Expenses and Other Assets</w:t>
            </w: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10,520</w:t>
            </w: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11,978</w:t>
            </w:r>
          </w:p>
        </w:tc>
        <w:tc>
          <w:tcPr>
            <w:tcW w:w="0" w:type="dxa"/>
            <w:vAlign w:val="bottom"/>
          </w:tcPr>
          <w:p>
            <w:pPr>
              <w:spacing w:after="0"/>
              <w:rPr>
                <w:sz w:val="1"/>
                <w:szCs w:val="1"/>
                <w:color w:val="auto"/>
              </w:rPr>
            </w:pPr>
          </w:p>
        </w:tc>
      </w:tr>
      <w:tr>
        <w:trPr>
          <w:trHeight w:val="223"/>
        </w:trPr>
        <w:tc>
          <w:tcPr>
            <w:tcW w:w="7160" w:type="dxa"/>
            <w:vAlign w:val="bottom"/>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119,588</w:t>
            </w: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116,754</w:t>
            </w:r>
          </w:p>
        </w:tc>
        <w:tc>
          <w:tcPr>
            <w:tcW w:w="0" w:type="dxa"/>
            <w:vAlign w:val="bottom"/>
          </w:tcPr>
          <w:p>
            <w:pPr>
              <w:spacing w:after="0"/>
              <w:rPr>
                <w:sz w:val="1"/>
                <w:szCs w:val="1"/>
                <w:color w:val="auto"/>
              </w:rPr>
            </w:pPr>
          </w:p>
        </w:tc>
      </w:tr>
      <w:tr>
        <w:trPr>
          <w:trHeight w:val="218"/>
        </w:trPr>
        <w:tc>
          <w:tcPr>
            <w:tcW w:w="71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111,679</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99,861</w:t>
            </w: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24,777</w:t>
            </w: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30,599</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256,044</w:t>
            </w: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247,214</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71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1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11,048</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r>
        <w:trPr>
          <w:trHeight w:val="230"/>
        </w:trPr>
        <w:tc>
          <w:tcPr>
            <w:tcW w:w="716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1,858</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4"/>
        </w:trPr>
        <w:tc>
          <w:tcPr>
            <w:tcW w:w="7160" w:type="dxa"/>
            <w:vAlign w:val="bottom"/>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35,635</w:t>
            </w: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0" w:type="dxa"/>
            <w:vAlign w:val="bottom"/>
          </w:tcPr>
          <w:p>
            <w:pPr>
              <w:spacing w:after="0"/>
              <w:rPr>
                <w:sz w:val="1"/>
                <w:szCs w:val="1"/>
                <w:color w:val="auto"/>
              </w:rPr>
            </w:pPr>
          </w:p>
        </w:tc>
      </w:tr>
      <w:tr>
        <w:trPr>
          <w:trHeight w:val="223"/>
        </w:trPr>
        <w:tc>
          <w:tcPr>
            <w:tcW w:w="7160" w:type="dxa"/>
            <w:vAlign w:val="bottom"/>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49,541</w:t>
            </w: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38,872</w:t>
            </w:r>
          </w:p>
        </w:tc>
        <w:tc>
          <w:tcPr>
            <w:tcW w:w="0" w:type="dxa"/>
            <w:vAlign w:val="bottom"/>
          </w:tcPr>
          <w:p>
            <w:pPr>
              <w:spacing w:after="0"/>
              <w:rPr>
                <w:sz w:val="1"/>
                <w:szCs w:val="1"/>
                <w:color w:val="auto"/>
              </w:rPr>
            </w:pPr>
          </w:p>
        </w:tc>
      </w:tr>
      <w:tr>
        <w:trPr>
          <w:trHeight w:val="205"/>
        </w:trPr>
        <w:tc>
          <w:tcPr>
            <w:tcW w:w="7160" w:type="dxa"/>
            <w:vAlign w:val="bottom"/>
          </w:tcPr>
          <w:p>
            <w:pPr>
              <w:spacing w:after="0" w:line="205" w:lineRule="exact"/>
              <w:rPr>
                <w:sz w:val="20"/>
                <w:szCs w:val="20"/>
                <w:color w:val="auto"/>
              </w:rPr>
            </w:pPr>
            <w:r>
              <w:rPr>
                <w:rFonts w:ascii="Arial" w:cs="Arial" w:eastAsia="Arial" w:hAnsi="Arial"/>
                <w:sz w:val="18"/>
                <w:szCs w:val="18"/>
                <w:b w:val="1"/>
                <w:bCs w:val="1"/>
                <w:color w:val="auto"/>
              </w:rPr>
              <w:t>Noncurrent Liabilities</w:t>
            </w: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31,809</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32,778</w:t>
            </w:r>
          </w:p>
        </w:tc>
        <w:tc>
          <w:tcPr>
            <w:tcW w:w="0" w:type="dxa"/>
            <w:vAlign w:val="bottom"/>
          </w:tcPr>
          <w:p>
            <w:pPr>
              <w:spacing w:after="0"/>
              <w:rPr>
                <w:sz w:val="1"/>
                <w:szCs w:val="1"/>
                <w:color w:val="auto"/>
              </w:rPr>
            </w:pPr>
          </w:p>
        </w:tc>
      </w:tr>
      <w:tr>
        <w:trPr>
          <w:trHeight w:val="234"/>
        </w:trPr>
        <w:tc>
          <w:tcPr>
            <w:tcW w:w="71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17,720</w:t>
            </w: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22,273</w:t>
            </w:r>
          </w:p>
        </w:tc>
        <w:tc>
          <w:tcPr>
            <w:tcW w:w="0" w:type="dxa"/>
            <w:vAlign w:val="bottom"/>
          </w:tcPr>
          <w:p>
            <w:pPr>
              <w:spacing w:after="0"/>
              <w:rPr>
                <w:sz w:val="1"/>
                <w:szCs w:val="1"/>
                <w:color w:val="auto"/>
              </w:rPr>
            </w:pPr>
          </w:p>
        </w:tc>
      </w:tr>
      <w:tr>
        <w:trPr>
          <w:trHeight w:val="223"/>
        </w:trPr>
        <w:tc>
          <w:tcPr>
            <w:tcW w:w="7160" w:type="dxa"/>
            <w:vAlign w:val="bottom"/>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49,529</w:t>
            </w: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55,051</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156,974</w:t>
            </w: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153,291</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256,044</w:t>
            </w: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247,214</w:t>
            </w:r>
          </w:p>
        </w:tc>
        <w:tc>
          <w:tcPr>
            <w:tcW w:w="0" w:type="dxa"/>
            <w:vAlign w:val="bottom"/>
          </w:tcPr>
          <w:p>
            <w:pPr>
              <w:spacing w:after="0"/>
              <w:rPr>
                <w:sz w:val="1"/>
                <w:szCs w:val="1"/>
                <w:color w:val="auto"/>
              </w:rPr>
            </w:pPr>
          </w:p>
        </w:tc>
      </w:tr>
      <w:tr>
        <w:trPr>
          <w:trHeight w:val="21"/>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160" w:type="dxa"/>
            <w:vAlign w:val="bottom"/>
            <w:vMerge w:val="continue"/>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23.19</w:t>
            </w:r>
          </w:p>
        </w:tc>
        <w:tc>
          <w:tcPr>
            <w:tcW w:w="40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481"/>
        </w:trPr>
        <w:tc>
          <w:tcPr>
            <w:tcW w:w="716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40"/>
              <w:spacing w:after="0"/>
              <w:rPr>
                <w:sz w:val="20"/>
                <w:szCs w:val="20"/>
                <w:color w:val="auto"/>
              </w:rPr>
            </w:pPr>
            <w:r>
              <w:rPr>
                <w:rFonts w:ascii="Arial" w:cs="Arial" w:eastAsia="Arial" w:hAnsi="Arial"/>
                <w:sz w:val="18"/>
                <w:szCs w:val="18"/>
                <w:b w:val="1"/>
                <w:bCs w:val="1"/>
                <w:color w:val="auto"/>
              </w:rPr>
              <w:t>Second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5,764</w:t>
            </w:r>
          </w:p>
        </w:tc>
        <w:tc>
          <w:tcPr>
            <w:tcW w:w="4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29"/>
        </w:trPr>
        <w:tc>
          <w:tcPr>
            <w:tcW w:w="7160" w:type="dxa"/>
            <w:vAlign w:val="bottom"/>
          </w:tcPr>
          <w:p>
            <w:pPr>
              <w:ind w:left="34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13,285</w:t>
            </w:r>
          </w:p>
        </w:tc>
        <w:tc>
          <w:tcPr>
            <w:tcW w:w="4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40"/>
              <w:spacing w:after="0"/>
              <w:rPr>
                <w:sz w:val="20"/>
                <w:szCs w:val="20"/>
                <w:color w:val="auto"/>
              </w:rPr>
            </w:pPr>
            <w:r>
              <w:rPr>
                <w:rFonts w:ascii="Arial" w:cs="Arial" w:eastAsia="Arial" w:hAnsi="Arial"/>
                <w:sz w:val="18"/>
                <w:szCs w:val="18"/>
                <w:b w:val="1"/>
                <w:bCs w:val="1"/>
                <w:color w:val="auto"/>
              </w:rPr>
              <w:t>Second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3,751</w:t>
            </w:r>
          </w:p>
        </w:tc>
        <w:tc>
          <w:tcPr>
            <w:tcW w:w="4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34"/>
        </w:trPr>
        <w:tc>
          <w:tcPr>
            <w:tcW w:w="7160" w:type="dxa"/>
            <w:vAlign w:val="bottom"/>
          </w:tcPr>
          <w:p>
            <w:pPr>
              <w:ind w:left="34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7,274</w:t>
            </w:r>
          </w:p>
        </w:tc>
        <w:tc>
          <w:tcPr>
            <w:tcW w:w="4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(in thousands)</w:t>
            </w:r>
          </w:p>
        </w:tc>
        <w:tc>
          <w:tcPr>
            <w:tcW w:w="3340" w:type="dxa"/>
            <w:vAlign w:val="bottom"/>
            <w:gridSpan w:val="4"/>
            <w:vMerge w:val="restart"/>
          </w:tcPr>
          <w:p>
            <w:pPr>
              <w:jc w:val="right"/>
              <w:ind w:right="230"/>
              <w:spacing w:after="0"/>
              <w:rPr>
                <w:sz w:val="20"/>
                <w:szCs w:val="20"/>
                <w:color w:val="auto"/>
              </w:rPr>
            </w:pPr>
            <w:r>
              <w:rPr>
                <w:rFonts w:ascii="Arial" w:cs="Arial" w:eastAsia="Arial" w:hAnsi="Arial"/>
                <w:sz w:val="18"/>
                <w:szCs w:val="18"/>
                <w:b w:val="1"/>
                <w:bCs w:val="1"/>
                <w:color w:val="auto"/>
              </w:rPr>
              <w:t>For the Six Months Ended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60" w:type="dxa"/>
            <w:vAlign w:val="bottom"/>
          </w:tcPr>
          <w:p>
            <w:pPr>
              <w:spacing w:after="0"/>
              <w:rPr>
                <w:sz w:val="19"/>
                <w:szCs w:val="19"/>
                <w:color w:val="auto"/>
              </w:rPr>
            </w:pPr>
          </w:p>
        </w:tc>
        <w:tc>
          <w:tcPr>
            <w:tcW w:w="3340" w:type="dxa"/>
            <w:vAlign w:val="bottom"/>
            <w:gridSpan w:val="4"/>
            <w:vMerge w:val="continue"/>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January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9,076</w:t>
            </w:r>
          </w:p>
        </w:tc>
        <w:tc>
          <w:tcPr>
            <w:tcW w:w="40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7,274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Receivable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(5,738)</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in Inventories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(2,432)</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(Decrease) in 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3,889</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Pension and Postretirement Benefits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23"/>
        </w:trPr>
        <w:tc>
          <w:tcPr>
            <w:tcW w:w="7160" w:type="dxa"/>
            <w:vAlign w:val="bottom"/>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Arial" w:cs="Arial" w:eastAsia="Arial" w:hAnsi="Arial"/>
                <w:sz w:val="20"/>
                <w:szCs w:val="20"/>
                <w:b w:val="1"/>
                <w:bCs w:val="1"/>
                <w:color w:val="auto"/>
              </w:rPr>
              <w:t>Net Cash Provided by Operating Activities</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14,898</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Capital Expenditures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(13,285)</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(10,574)</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Arial" w:cs="Arial" w:eastAsia="Arial" w:hAnsi="Arial"/>
                <w:sz w:val="20"/>
                <w:szCs w:val="20"/>
                <w:b w:val="1"/>
                <w:bCs w:val="1"/>
                <w:color w:val="auto"/>
              </w:rPr>
              <w:t>Net Cash Used in Investing Activities</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(13,280)</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(10,574)</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Proceeds from Issuance of Notes Payable</w:t>
            </w:r>
          </w:p>
        </w:tc>
        <w:tc>
          <w:tcPr>
            <w:tcW w:w="1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Payment of Debt Issuance costs</w:t>
            </w:r>
          </w:p>
        </w:tc>
        <w:tc>
          <w:tcPr>
            <w:tcW w:w="1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Dividends Paid</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(3,711)</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Purchases of Treasury Stock</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Arial" w:cs="Arial" w:eastAsia="Arial" w:hAnsi="Arial"/>
                <w:sz w:val="20"/>
                <w:szCs w:val="20"/>
                <w:b w:val="1"/>
                <w:bCs w:val="1"/>
                <w:color w:val="auto"/>
              </w:rPr>
              <w:t>Net Cash (Used In) Provided By Financing Activities</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14,957</w:t>
            </w:r>
          </w:p>
        </w:tc>
        <w:tc>
          <w:tcPr>
            <w:tcW w:w="0" w:type="dxa"/>
            <w:vAlign w:val="bottom"/>
          </w:tcPr>
          <w:p>
            <w:pPr>
              <w:spacing w:after="0"/>
              <w:rPr>
                <w:sz w:val="1"/>
                <w:szCs w:val="1"/>
                <w:color w:val="auto"/>
              </w:rPr>
            </w:pPr>
          </w:p>
        </w:tc>
      </w:tr>
      <w:tr>
        <w:trPr>
          <w:trHeight w:val="466"/>
        </w:trPr>
        <w:tc>
          <w:tcPr>
            <w:tcW w:w="71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88"/>
        </w:trPr>
        <w:tc>
          <w:tcPr>
            <w:tcW w:w="7160" w:type="dxa"/>
            <w:vAlign w:val="bottom"/>
          </w:tcPr>
          <w:p>
            <w:pPr>
              <w:spacing w:after="0"/>
              <w:rPr>
                <w:sz w:val="20"/>
                <w:szCs w:val="20"/>
                <w:color w:val="auto"/>
              </w:rPr>
            </w:pPr>
            <w:r>
              <w:rPr>
                <w:rFonts w:ascii="Arial" w:cs="Arial" w:eastAsia="Arial" w:hAnsi="Arial"/>
                <w:sz w:val="20"/>
                <w:szCs w:val="20"/>
                <w:b w:val="1"/>
                <w:bCs w:val="1"/>
                <w:color w:val="auto"/>
              </w:rPr>
              <w:t>Net (Decrease) Increase in Cash and Cash Equivalents</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(2,347)</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16,298</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29,009</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RECONCILIATION OF NON-GAAP FINANCIAL MEASURES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(in thousands)</w:t>
            </w:r>
          </w:p>
        </w:tc>
        <w:tc>
          <w:tcPr>
            <w:tcW w:w="2140" w:type="dxa"/>
            <w:vAlign w:val="bottom"/>
            <w:gridSpan w:val="4"/>
            <w:vMerge w:val="restart"/>
          </w:tcPr>
          <w:p>
            <w:pPr>
              <w:jc w:val="right"/>
              <w:ind w:right="90"/>
              <w:spacing w:after="0"/>
              <w:rPr>
                <w:sz w:val="20"/>
                <w:szCs w:val="20"/>
                <w:color w:val="auto"/>
              </w:rPr>
            </w:pPr>
            <w:r>
              <w:rPr>
                <w:rFonts w:ascii="Arial" w:cs="Arial" w:eastAsia="Arial" w:hAnsi="Arial"/>
                <w:sz w:val="18"/>
                <w:szCs w:val="18"/>
                <w:b w:val="1"/>
                <w:bCs w:val="1"/>
                <w:color w:val="auto"/>
              </w:rPr>
              <w:t>Second Quarter</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Year to Date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600" w:type="dxa"/>
            <w:vAlign w:val="bottom"/>
          </w:tcPr>
          <w:p>
            <w:pPr>
              <w:spacing w:after="0"/>
              <w:rPr>
                <w:sz w:val="19"/>
                <w:szCs w:val="19"/>
                <w:color w:val="auto"/>
              </w:rPr>
            </w:pPr>
          </w:p>
        </w:tc>
        <w:tc>
          <w:tcPr>
            <w:tcW w:w="2140" w:type="dxa"/>
            <w:vAlign w:val="bottom"/>
            <w:gridSpan w:val="4"/>
            <w:vMerge w:val="continue"/>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Ended January 31,</w:t>
            </w:r>
          </w:p>
        </w:tc>
        <w:tc>
          <w:tcPr>
            <w:tcW w:w="5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Ended January 31,</w:t>
            </w:r>
          </w:p>
        </w:tc>
        <w:tc>
          <w:tcPr>
            <w:tcW w:w="0" w:type="dxa"/>
            <w:vAlign w:val="bottom"/>
          </w:tcPr>
          <w:p>
            <w:pPr>
              <w:spacing w:after="0"/>
              <w:rPr>
                <w:sz w:val="1"/>
                <w:szCs w:val="1"/>
                <w:color w:val="auto"/>
              </w:rPr>
            </w:pPr>
          </w:p>
        </w:tc>
      </w:tr>
      <w:tr>
        <w:trPr>
          <w:trHeight w:val="223"/>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RESULTS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b w:val="1"/>
                <w:bCs w:val="1"/>
                <w:color w:val="auto"/>
              </w:rPr>
              <w:t>GAAP: Net Income Attributable to Oil-Dri</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3,856</w:t>
            </w:r>
          </w:p>
        </w:tc>
        <w:tc>
          <w:tcPr>
            <w:tcW w:w="16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2,002</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9,097</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Landfill Modification Loss, Net of Tax</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1,977</w:t>
            </w:r>
          </w:p>
        </w:tc>
        <w:tc>
          <w:tcPr>
            <w:tcW w:w="16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1,977</w:t>
            </w: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600" w:type="dxa"/>
            <w:vAlign w:val="bottom"/>
          </w:tcPr>
          <w:p>
            <w:pPr>
              <w:spacing w:after="0" w:line="156" w:lineRule="exact"/>
              <w:rPr>
                <w:sz w:val="20"/>
                <w:szCs w:val="20"/>
                <w:color w:val="auto"/>
              </w:rPr>
            </w:pPr>
            <w:r>
              <w:rPr>
                <w:rFonts w:ascii="Arial" w:cs="Arial" w:eastAsia="Arial" w:hAnsi="Arial"/>
                <w:sz w:val="18"/>
                <w:szCs w:val="18"/>
                <w:b w:val="1"/>
                <w:bCs w:val="1"/>
                <w:color w:val="auto"/>
              </w:rPr>
              <w:t>Non-GAAP: Net Income Attributable to Oil-Dri excluding Landfill</w:t>
            </w:r>
          </w:p>
        </w:tc>
        <w:tc>
          <w:tcPr>
            <w:tcW w:w="840" w:type="dxa"/>
            <w:vAlign w:val="bottom"/>
            <w:tcBorders>
              <w:top w:val="single" w:sz="8" w:color="auto"/>
            </w:tcBorders>
            <w:vMerge w:val="restart"/>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8"/>
              </w:rPr>
              <w:t>5,833</w:t>
            </w:r>
          </w:p>
        </w:tc>
        <w:tc>
          <w:tcPr>
            <w:tcW w:w="160" w:type="dxa"/>
            <w:vAlign w:val="bottom"/>
          </w:tcPr>
          <w:p>
            <w:pPr>
              <w:spacing w:after="0"/>
              <w:rPr>
                <w:sz w:val="13"/>
                <w:szCs w:val="13"/>
                <w:color w:val="auto"/>
              </w:rPr>
            </w:pPr>
          </w:p>
        </w:tc>
        <w:tc>
          <w:tcPr>
            <w:tcW w:w="66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2,002</w:t>
            </w:r>
          </w:p>
        </w:tc>
        <w:tc>
          <w:tcPr>
            <w:tcW w:w="26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11,074</w:t>
            </w:r>
          </w:p>
        </w:tc>
        <w:tc>
          <w:tcPr>
            <w:tcW w:w="18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Arial" w:cs="Arial" w:eastAsia="Arial" w:hAnsi="Arial"/>
                <w:sz w:val="18"/>
                <w:szCs w:val="18"/>
                <w:b w:val="1"/>
                <w:bCs w:val="1"/>
                <w:color w:val="auto"/>
              </w:rPr>
              <w:t>Modification</w:t>
            </w:r>
          </w:p>
        </w:tc>
        <w:tc>
          <w:tcPr>
            <w:tcW w:w="8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GAAP: Earnings per Common Diluted Share</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6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Landfill Modification Loss, Net of Tax</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600" w:type="dxa"/>
            <w:vAlign w:val="bottom"/>
          </w:tcPr>
          <w:p>
            <w:pPr>
              <w:spacing w:after="0" w:line="156" w:lineRule="exact"/>
              <w:rPr>
                <w:sz w:val="20"/>
                <w:szCs w:val="20"/>
                <w:color w:val="auto"/>
              </w:rPr>
            </w:pPr>
            <w:r>
              <w:rPr>
                <w:rFonts w:ascii="Arial" w:cs="Arial" w:eastAsia="Arial" w:hAnsi="Arial"/>
                <w:sz w:val="18"/>
                <w:szCs w:val="18"/>
                <w:b w:val="1"/>
                <w:bCs w:val="1"/>
                <w:color w:val="auto"/>
                <w:w w:val="96"/>
              </w:rPr>
              <w:t>Non-GAAP: Earnings per Common Diluted Share excluding Landfill</w:t>
            </w:r>
          </w:p>
        </w:tc>
        <w:tc>
          <w:tcPr>
            <w:tcW w:w="840" w:type="dxa"/>
            <w:vAlign w:val="bottom"/>
            <w:tcBorders>
              <w:top w:val="single" w:sz="8" w:color="auto"/>
            </w:tcBorders>
            <w:vMerge w:val="restart"/>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13"/>
                <w:szCs w:val="13"/>
                <w:color w:val="auto"/>
              </w:rPr>
            </w:pPr>
          </w:p>
        </w:tc>
        <w:tc>
          <w:tcPr>
            <w:tcW w:w="66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Arial" w:cs="Arial" w:eastAsia="Arial" w:hAnsi="Arial"/>
                <w:sz w:val="18"/>
                <w:szCs w:val="18"/>
                <w:b w:val="1"/>
                <w:bCs w:val="1"/>
                <w:color w:val="auto"/>
              </w:rPr>
              <w:t>Modification</w:t>
            </w:r>
          </w:p>
        </w:tc>
        <w:tc>
          <w:tcPr>
            <w:tcW w:w="8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2023-03-09T15:34:09Z</dcterms:created>
  <dcterms:modified xsi:type="dcterms:W3CDTF">2023-03-09T15:34:09Z</dcterms:modified>
</cp:coreProperties>
</file>