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AND EXCHANGE COMMISSION</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FORM 10-Q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One)</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Quarterly Report Pursuant to Section 13 or 15(d) of the Securities Exchange Act of 1934</w:t>
      </w:r>
    </w:p>
    <w:p>
      <w:pPr>
        <w:pStyle w:val="TextBody"/>
        <w:bidi w:val="0"/>
        <w:spacing w:lineRule="auto" w:line="288" w:before="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Quarterly Period Ended April 30, 2023</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8033" w:type="dxa"/>
        <w:jc w:val="center"/>
        <w:tblInd w:w="0" w:type="dxa"/>
        <w:tblLayout w:type="fixed"/>
        <w:tblCellMar>
          <w:top w:w="28" w:type="dxa"/>
          <w:left w:w="28" w:type="dxa"/>
          <w:bottom w:w="28" w:type="dxa"/>
          <w:right w:w="28" w:type="dxa"/>
        </w:tblCellMar>
      </w:tblPr>
      <w:tblGrid>
        <w:gridCol w:w="124"/>
        <w:gridCol w:w="109"/>
        <w:gridCol w:w="109"/>
        <w:gridCol w:w="2438"/>
        <w:gridCol w:w="2438"/>
        <w:gridCol w:w="244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19" w:type="dxa"/>
            <w:gridSpan w:val="3"/>
            <w:tcBorders/>
            <w:tcMar>
              <w:top w:w="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Transition Report Pursuant to Section 13 or 15(d) of the Securities Exchange Act of 1934</w:t>
            </w:r>
          </w:p>
          <w:p>
            <w:pPr>
              <w:pStyle w:val="TableContents"/>
              <w:bidi w:val="0"/>
              <w:spacing w:lineRule="auto" w:line="240" w:before="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_____________ to ______________</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Commission File Number 001-12622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OIL-DRI CORPORATION OF AMERICA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the registrant as specified in its charter)</w: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20"/>
          <w:u w:val="single"/>
        </w:rPr>
        <w:t>Delaware</w:t>
      </w:r>
      <w:r>
        <w:rPr>
          <w:color w:val="000000"/>
        </w:rPr>
        <w:t xml:space="preserve"> </w:t>
      </w:r>
      <w:r>
        <w:rPr>
          <w:rFonts w:ascii="Times New Roman;sans-serif" w:hAnsi="Times New Roman;sans-serif"/>
          <w:b w:val="false"/>
          <w:color w:val="000000"/>
          <w:sz w:val="20"/>
          <w:u w:val="single"/>
        </w:rPr>
        <w:t>36-2048898</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 (I.R.S. Employer Identification No.)</w:t>
      </w:r>
    </w:p>
    <w:p>
      <w:pPr>
        <w:pStyle w:val="TextBody"/>
        <w:bidi w:val="0"/>
        <w:spacing w:lineRule="auto" w:line="288" w:before="0" w:after="0"/>
        <w:jc w:val="left"/>
        <w:rPr/>
      </w:pPr>
      <w:r>
        <w:rPr>
          <w:rFonts w:ascii="Times New Roman;sans-serif" w:hAnsi="Times New Roman;sans-serif"/>
          <w:b w:val="false"/>
          <w:color w:val="000000"/>
          <w:sz w:val="20"/>
        </w:rPr>
        <w:t xml:space="preserve">410 North Michigan Avenue, Suite 400 </w:t>
      </w:r>
      <w:r>
        <w:rPr>
          <w:rFonts w:ascii="Times New Roman;sans-serif" w:hAnsi="Times New Roman;sans-serif"/>
          <w:b w:val="false"/>
          <w:color w:val="000000"/>
          <w:sz w:val="20"/>
          <w:u w:val="single"/>
        </w:rPr>
        <w:t>60611-4213</w:t>
      </w:r>
      <w:r>
        <w:rPr>
          <w:color w:val="000000"/>
        </w:rPr>
        <w:t xml:space="preserve"> </w:t>
      </w:r>
    </w:p>
    <w:p>
      <w:pPr>
        <w:pStyle w:val="TextBody"/>
        <w:bidi w:val="0"/>
        <w:spacing w:lineRule="auto" w:line="288" w:before="0" w:after="0"/>
        <w:jc w:val="left"/>
        <w:rPr/>
      </w:pPr>
      <w:r>
        <w:rPr>
          <w:rFonts w:ascii="Times New Roman;sans-serif" w:hAnsi="Times New Roman;sans-serif"/>
          <w:b w:val="false"/>
          <w:color w:val="000000"/>
          <w:sz w:val="20"/>
          <w:u w:val="single"/>
        </w:rPr>
        <w:t>Chicago, Illinois</w:t>
      </w:r>
      <w:r>
        <w:rPr>
          <w:color w:val="000000"/>
        </w:rPr>
        <w:t xml:space="preserve"> </w:t>
      </w:r>
      <w:r>
        <w:rPr>
          <w:rFonts w:ascii="Times New Roman;sans-serif" w:hAnsi="Times New Roman;sans-serif"/>
          <w:b w:val="false"/>
          <w:color w:val="000000"/>
          <w:sz w:val="20"/>
        </w:rPr>
        <w:t>(Zip Code)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registrant's telephone number, including area code: (312) 321-1515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 Yes </w:t>
      </w:r>
      <w:r>
        <w:rPr>
          <w:color w:val="000000"/>
        </w:rPr>
        <w:t>☒ </w:t>
      </w:r>
      <w:r>
        <w:rPr>
          <w:rFonts w:ascii="Times New Roman;sans-serif" w:hAnsi="Times New Roman;sans-serif"/>
          <w:b w:val="false"/>
          <w:color w:val="000000"/>
          <w:sz w:val="20"/>
        </w:rPr>
        <w:t xml:space="preserve">No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color w:val="000000"/>
        </w:rPr>
        <w:t>☒ </w:t>
      </w:r>
      <w:r>
        <w:rPr>
          <w:rFonts w:ascii="Times New Roman;sans-serif" w:hAnsi="Times New Roman;sans-serif"/>
          <w:b w:val="false"/>
          <w:color w:val="000000"/>
          <w:sz w:val="20"/>
        </w:rPr>
        <w:t xml:space="preserve">No </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center"/>
        <w:tblInd w:w="0" w:type="dxa"/>
        <w:tblLayout w:type="fixed"/>
        <w:tblCellMar>
          <w:top w:w="28" w:type="dxa"/>
          <w:left w:w="28" w:type="dxa"/>
          <w:bottom w:w="28" w:type="dxa"/>
          <w:right w:w="28" w:type="dxa"/>
        </w:tblCellMar>
      </w:tblPr>
      <w:tblGrid>
        <w:gridCol w:w="725"/>
        <w:gridCol w:w="638"/>
        <w:gridCol w:w="641"/>
        <w:gridCol w:w="518"/>
        <w:gridCol w:w="518"/>
        <w:gridCol w:w="520"/>
        <w:gridCol w:w="638"/>
        <w:gridCol w:w="638"/>
        <w:gridCol w:w="640"/>
        <w:gridCol w:w="785"/>
        <w:gridCol w:w="785"/>
        <w:gridCol w:w="786"/>
        <w:gridCol w:w="691"/>
        <w:gridCol w:w="691"/>
        <w:gridCol w:w="991"/>
      </w:tblGrid>
      <w:tr>
        <w:trPr/>
        <w:tc>
          <w:tcPr>
            <w:tcW w:w="72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20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Large Accelerated Filer </w:t>
            </w:r>
            <w:r>
              <w:rPr>
                <w:rFonts w:ascii="Wingdings;sans-serif" w:hAnsi="Wingdings;sans-serif"/>
                <w:b w:val="false"/>
                <w:color w:val="000000"/>
                <w:sz w:val="20"/>
              </w:rPr>
              <w:t>o</w:t>
            </w:r>
          </w:p>
        </w:tc>
        <w:tc>
          <w:tcPr>
            <w:tcW w:w="15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Accelerated Filer </w:t>
            </w:r>
            <w:r>
              <w:rPr>
                <w:rFonts w:ascii="Wingdings;sans-serif" w:hAnsi="Wingdings;sans-serif"/>
                <w:b w:val="false"/>
                <w:color w:val="000000"/>
                <w:sz w:val="20"/>
              </w:rPr>
              <w:t>x</w:t>
            </w:r>
          </w:p>
        </w:tc>
        <w:tc>
          <w:tcPr>
            <w:tcW w:w="191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Non-accelerated Filer </w:t>
            </w:r>
            <w:r>
              <w:rPr>
                <w:rFonts w:ascii="Wingdings;sans-serif" w:hAnsi="Wingdings;sans-serif"/>
                <w:b w:val="false"/>
                <w:color w:val="000000"/>
                <w:sz w:val="20"/>
              </w:rPr>
              <w:t>o</w:t>
            </w:r>
          </w:p>
        </w:tc>
        <w:tc>
          <w:tcPr>
            <w:tcW w:w="23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Smaller Reporting Company </w:t>
            </w:r>
            <w:r>
              <w:rPr>
                <w:rFonts w:ascii="Wingdings;sans-serif" w:hAnsi="Wingdings;sans-serif"/>
                <w:b w:val="false"/>
                <w:color w:val="000000"/>
                <w:sz w:val="20"/>
              </w:rPr>
              <w:t>x</w:t>
            </w:r>
          </w:p>
        </w:tc>
        <w:tc>
          <w:tcPr>
            <w:tcW w:w="237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Emerging Growth Company </w:t>
            </w:r>
            <w:r>
              <w:rPr>
                <w:rFonts w:ascii="Wingdings;sans-serif" w:hAnsi="Wingdings;sans-serif"/>
                <w:b w:val="false"/>
                <w:color w:val="000000"/>
                <w:sz w:val="20"/>
              </w:rPr>
              <w:t>o</w:t>
            </w:r>
          </w:p>
        </w:tc>
      </w:tr>
    </w:tbl>
    <w:p>
      <w:pPr>
        <w:pStyle w:val="TextBody"/>
        <w:bidi w:val="0"/>
        <w:spacing w:lineRule="auto" w:line="288" w:before="0" w:after="0"/>
        <w:jc w:val="left"/>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 xml:space="preserve">No </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013" w:type="dxa"/>
        <w:jc w:val="center"/>
        <w:tblInd w:w="0" w:type="dxa"/>
        <w:tblLayout w:type="fixed"/>
        <w:tblCellMar>
          <w:top w:w="28" w:type="dxa"/>
          <w:left w:w="28" w:type="dxa"/>
          <w:bottom w:w="28" w:type="dxa"/>
          <w:right w:w="28" w:type="dxa"/>
        </w:tblCellMar>
      </w:tblPr>
      <w:tblGrid>
        <w:gridCol w:w="1263"/>
        <w:gridCol w:w="1109"/>
        <w:gridCol w:w="1122"/>
        <w:gridCol w:w="564"/>
        <w:gridCol w:w="564"/>
        <w:gridCol w:w="56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$0.10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ODC</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the number of shares outstanding of each of the issuer’s classes of common stock as of April 30, 2023.</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 5,104,096 Shares and Class B Stock – 2,045,415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CONTENTS</w:t>
      </w:r>
    </w:p>
    <w:p>
      <w:pPr>
        <w:pStyle w:val="TextBody"/>
        <w:bidi w:val="0"/>
        <w:spacing w:lineRule="auto" w:line="288" w:before="0" w:after="0"/>
        <w:jc w:val="center"/>
        <w:rPr>
          <w:color w:val="000000"/>
        </w:rPr>
      </w:pPr>
      <w:r>
        <w:rPr>
          <w:color w:val="000000"/>
        </w:rPr>
        <w:t> </w:t>
      </w:r>
    </w:p>
    <w:tbl>
      <w:tblPr>
        <w:tblW w:w="8820" w:type="dxa"/>
        <w:jc w:val="left"/>
        <w:tblInd w:w="0" w:type="dxa"/>
        <w:tblLayout w:type="fixed"/>
        <w:tblCellMar>
          <w:top w:w="28" w:type="dxa"/>
          <w:left w:w="28" w:type="dxa"/>
          <w:bottom w:w="28" w:type="dxa"/>
          <w:right w:w="28" w:type="dxa"/>
        </w:tblCellMar>
      </w:tblPr>
      <w:tblGrid>
        <w:gridCol w:w="310"/>
        <w:gridCol w:w="271"/>
        <w:gridCol w:w="274"/>
        <w:gridCol w:w="2463"/>
        <w:gridCol w:w="2463"/>
        <w:gridCol w:w="2468"/>
        <w:gridCol w:w="167"/>
        <w:gridCol w:w="167"/>
        <w:gridCol w:w="237"/>
      </w:tblGrid>
      <w:tr>
        <w:trPr/>
        <w:tc>
          <w:tcPr>
            <w:tcW w:w="3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463" w:type="dxa"/>
            <w:tcBorders/>
            <w:vAlign w:val="center"/>
          </w:tcPr>
          <w:p>
            <w:pPr>
              <w:pStyle w:val="TableContents"/>
              <w:bidi w:val="0"/>
              <w:spacing w:before="0" w:after="283"/>
              <w:jc w:val="left"/>
              <w:rPr>
                <w:sz w:val="4"/>
                <w:szCs w:val="4"/>
              </w:rPr>
            </w:pPr>
            <w:r>
              <w:rPr>
                <w:sz w:val="4"/>
                <w:szCs w:val="4"/>
              </w:rPr>
            </w:r>
          </w:p>
        </w:tc>
        <w:tc>
          <w:tcPr>
            <w:tcW w:w="2463" w:type="dxa"/>
            <w:tcBorders/>
            <w:vAlign w:val="center"/>
          </w:tcPr>
          <w:p>
            <w:pPr>
              <w:pStyle w:val="TableContents"/>
              <w:bidi w:val="0"/>
              <w:spacing w:before="0" w:after="283"/>
              <w:jc w:val="left"/>
              <w:rPr>
                <w:sz w:val="4"/>
                <w:szCs w:val="4"/>
              </w:rPr>
            </w:pPr>
            <w:r>
              <w:rPr>
                <w:sz w:val="4"/>
                <w:szCs w:val="4"/>
              </w:rPr>
            </w:r>
          </w:p>
        </w:tc>
        <w:tc>
          <w:tcPr>
            <w:tcW w:w="246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Page</w:t>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w:t>
            </w:r>
          </w:p>
        </w:tc>
        <w:tc>
          <w:tcPr>
            <w:tcW w:w="7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9bf731d4f3940508a3aa08a50d339f9_13">
              <w:r>
                <w:rPr>
                  <w:rStyle w:val="InternetLink"/>
                  <w:rFonts w:ascii="Times New Roman;sans-serif" w:hAnsi="Times New Roman;sans-serif"/>
                  <w:b w:val="false"/>
                  <w:strike w:val="false"/>
                  <w:dstrike w:val="false"/>
                  <w:color w:val="0000FF"/>
                  <w:sz w:val="20"/>
                  <w:u w:val="none"/>
                  <w:effect w:val="none"/>
                </w:rPr>
                <w:t>Financial Statements </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9bf731d4f3940508a3aa08a50d339f9_13">
              <w:r>
                <w:rPr>
                  <w:rStyle w:val="InternetLink"/>
                  <w:rFonts w:ascii="Times New Roman;sans-serif" w:hAnsi="Times New Roman;sans-serif"/>
                  <w:b w:val="false"/>
                  <w:color w:val="0000FF"/>
                  <w:sz w:val="20"/>
                  <w:u w:val="single"/>
                </w:rPr>
                <w:t>3</w:t>
              </w:r>
            </w:hyperlink>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2:</w:t>
            </w:r>
          </w:p>
        </w:tc>
        <w:tc>
          <w:tcPr>
            <w:tcW w:w="7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9bf731d4f3940508a3aa08a50d339f9_85">
              <w:r>
                <w:rPr>
                  <w:rStyle w:val="InternetLink"/>
                  <w:rFonts w:ascii="Times New Roman;sans-serif" w:hAnsi="Times New Roman;sans-serif"/>
                  <w:b w:val="false"/>
                  <w:strike w:val="false"/>
                  <w:dstrike w:val="false"/>
                  <w:color w:val="0000FF"/>
                  <w:sz w:val="20"/>
                  <w:u w:val="none"/>
                  <w:effect w:val="none"/>
                </w:rPr>
                <w:t>Management’s Discussion and Analysis of Financial Condition and Results Of Operations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9bf731d4f3940508a3aa08a50d339f9_85">
              <w:r>
                <w:rPr>
                  <w:rStyle w:val="InternetLink"/>
                  <w:rFonts w:ascii="Times New Roman;sans-serif" w:hAnsi="Times New Roman;sans-serif"/>
                  <w:b w:val="false"/>
                  <w:color w:val="0000FF"/>
                  <w:sz w:val="20"/>
                  <w:u w:val="single"/>
                </w:rPr>
                <w:t>23</w:t>
              </w:r>
            </w:hyperlink>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55" w:type="dxa"/>
            <w:gridSpan w:val="3"/>
            <w:tcBorders/>
            <w:vAlign w:val="center"/>
          </w:tcPr>
          <w:p>
            <w:pPr>
              <w:pStyle w:val="TableContents"/>
              <w:bidi w:val="0"/>
              <w:spacing w:before="0" w:after="283"/>
              <w:jc w:val="left"/>
              <w:rPr>
                <w:sz w:val="4"/>
                <w:szCs w:val="4"/>
              </w:rPr>
            </w:pPr>
            <w:r>
              <w:rPr>
                <w:sz w:val="4"/>
                <w:szCs w:val="4"/>
              </w:rPr>
            </w:r>
          </w:p>
        </w:tc>
        <w:tc>
          <w:tcPr>
            <w:tcW w:w="7394"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855" w:type="dxa"/>
            <w:gridSpan w:val="3"/>
            <w:tcBorders/>
            <w:vAlign w:val="center"/>
          </w:tcPr>
          <w:p>
            <w:pPr>
              <w:pStyle w:val="TableContents"/>
              <w:bidi w:val="0"/>
              <w:spacing w:before="0" w:after="283"/>
              <w:jc w:val="left"/>
              <w:rPr>
                <w:sz w:val="4"/>
                <w:szCs w:val="4"/>
              </w:rPr>
            </w:pPr>
            <w:r>
              <w:rPr>
                <w:sz w:val="4"/>
                <w:szCs w:val="4"/>
              </w:rPr>
            </w:r>
          </w:p>
        </w:tc>
        <w:tc>
          <w:tcPr>
            <w:tcW w:w="7394"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4:</w:t>
            </w:r>
          </w:p>
        </w:tc>
        <w:tc>
          <w:tcPr>
            <w:tcW w:w="7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9bf731d4f3940508a3aa08a50d339f9_115">
              <w:r>
                <w:rPr>
                  <w:rStyle w:val="InternetLink"/>
                  <w:rFonts w:ascii="Times New Roman;sans-serif" w:hAnsi="Times New Roman;sans-serif"/>
                  <w:b w:val="false"/>
                  <w:strike w:val="false"/>
                  <w:dstrike w:val="false"/>
                  <w:color w:val="0000FF"/>
                  <w:sz w:val="20"/>
                  <w:u w:val="none"/>
                  <w:effect w:val="none"/>
                </w:rPr>
                <w:t>Controls and Procedures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9bf731d4f3940508a3aa08a50d339f9_115">
              <w:r>
                <w:rPr>
                  <w:rStyle w:val="InternetLink"/>
                  <w:rFonts w:ascii="Times New Roman;sans-serif" w:hAnsi="Times New Roman;sans-serif"/>
                  <w:b w:val="false"/>
                  <w:color w:val="0000FF"/>
                  <w:sz w:val="20"/>
                  <w:u w:val="single"/>
                </w:rPr>
                <w:t>31</w:t>
              </w:r>
            </w:hyperlink>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1A:</w:t>
            </w:r>
          </w:p>
        </w:tc>
        <w:tc>
          <w:tcPr>
            <w:tcW w:w="7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Factors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9bf731d4f3940508a3aa08a50d339f9_121">
              <w:r>
                <w:rPr>
                  <w:rStyle w:val="InternetLink"/>
                  <w:rFonts w:ascii="Times New Roman;sans-serif" w:hAnsi="Times New Roman;sans-serif"/>
                  <w:b w:val="false"/>
                  <w:color w:val="0000FF"/>
                  <w:sz w:val="20"/>
                  <w:u w:val="single"/>
                </w:rPr>
                <w:t>31</w:t>
              </w:r>
            </w:hyperlink>
          </w:p>
        </w:tc>
      </w:tr>
      <w:tr>
        <w:trPr/>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2:</w:t>
            </w:r>
          </w:p>
        </w:tc>
        <w:tc>
          <w:tcPr>
            <w:tcW w:w="7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9bf731d4f3940508a3aa08a50d339f9_124">
              <w:r>
                <w:rPr>
                  <w:rStyle w:val="InternetLink"/>
                  <w:rFonts w:ascii="Times New Roman;sans-serif" w:hAnsi="Times New Roman;sans-serif"/>
                  <w:b w:val="false"/>
                  <w:strike w:val="false"/>
                  <w:dstrike w:val="false"/>
                  <w:color w:val="0000FF"/>
                  <w:sz w:val="20"/>
                  <w:u w:val="none"/>
                  <w:effect w:val="none"/>
                </w:rPr>
                <w:t>Unregistered Sales of Equity Securities and Use of Proceeds</w:t>
              </w:r>
            </w:hyperlink>
            <w:r>
              <w:rPr>
                <w:rFonts w:ascii="Times New Roman;sans-serif" w:hAnsi="Times New Roman;sans-serif"/>
                <w:b w:val="false"/>
                <w:color w:val="0000FF"/>
                <w:sz w:val="20"/>
              </w:rPr>
              <w:t> </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9bf731d4f3940508a3aa08a50d339f9_124">
              <w:r>
                <w:rPr>
                  <w:rStyle w:val="InternetLink"/>
                  <w:rFonts w:ascii="Times New Roman;sans-serif" w:hAnsi="Times New Roman;sans-serif"/>
                  <w:b w:val="false"/>
                  <w:color w:val="0000FF"/>
                  <w:sz w:val="20"/>
                  <w:u w:val="single"/>
                </w:rPr>
                <w:t>32</w:t>
              </w:r>
            </w:hyperlink>
          </w:p>
        </w:tc>
      </w:tr>
      <w:tr>
        <w:trPr/>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4:</w:t>
            </w:r>
          </w:p>
        </w:tc>
        <w:tc>
          <w:tcPr>
            <w:tcW w:w="7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9bf731d4f3940508a3aa08a50d339f9_127">
              <w:r>
                <w:rPr>
                  <w:rStyle w:val="InternetLink"/>
                  <w:rFonts w:ascii="Times New Roman;sans-serif" w:hAnsi="Times New Roman;sans-serif"/>
                  <w:b w:val="false"/>
                  <w:strike w:val="false"/>
                  <w:dstrike w:val="false"/>
                  <w:color w:val="0000FF"/>
                  <w:sz w:val="20"/>
                  <w:u w:val="none"/>
                  <w:effect w:val="none"/>
                </w:rPr>
                <w:t>Mine Safety Disclosures</w:t>
              </w:r>
            </w:hyperlink>
            <w:r>
              <w:rPr>
                <w:color w:val="000000"/>
              </w:rPr>
              <w:t> </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9bf731d4f3940508a3aa08a50d339f9_127">
              <w:r>
                <w:rPr>
                  <w:rStyle w:val="InternetLink"/>
                  <w:rFonts w:ascii="Times New Roman;sans-serif" w:hAnsi="Times New Roman;sans-serif"/>
                  <w:b w:val="false"/>
                  <w:color w:val="0000FF"/>
                  <w:sz w:val="20"/>
                  <w:u w:val="single"/>
                </w:rPr>
                <w:t>32</w:t>
              </w:r>
            </w:hyperlink>
          </w:p>
        </w:tc>
      </w:tr>
      <w:tr>
        <w:trPr/>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vAlign w:val="center"/>
          </w:tcPr>
          <w:p>
            <w:pPr>
              <w:pStyle w:val="TableContents"/>
              <w:bidi w:val="0"/>
              <w:spacing w:before="0" w:after="283"/>
              <w:jc w:val="left"/>
              <w:rPr>
                <w:sz w:val="4"/>
                <w:szCs w:val="4"/>
              </w:rPr>
            </w:pPr>
            <w:r>
              <w:rPr>
                <w:sz w:val="4"/>
                <w:szCs w:val="4"/>
              </w:rPr>
            </w:r>
          </w:p>
        </w:tc>
        <w:tc>
          <w:tcPr>
            <w:tcW w:w="7394"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855" w:type="dxa"/>
            <w:gridSpan w:val="3"/>
            <w:tcBorders/>
            <w:vAlign w:val="center"/>
          </w:tcPr>
          <w:p>
            <w:pPr>
              <w:pStyle w:val="TableContents"/>
              <w:bidi w:val="0"/>
              <w:spacing w:before="0" w:after="283"/>
              <w:jc w:val="left"/>
              <w:rPr>
                <w:sz w:val="4"/>
                <w:szCs w:val="4"/>
              </w:rPr>
            </w:pPr>
            <w:r>
              <w:rPr>
                <w:sz w:val="4"/>
                <w:szCs w:val="4"/>
              </w:rPr>
            </w:r>
          </w:p>
        </w:tc>
        <w:tc>
          <w:tcPr>
            <w:tcW w:w="7394"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6:</w:t>
            </w:r>
          </w:p>
        </w:tc>
        <w:tc>
          <w:tcPr>
            <w:tcW w:w="7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9bf731d4f3940508a3aa08a50d339f9_133">
              <w:r>
                <w:rPr>
                  <w:rStyle w:val="InternetLink"/>
                  <w:rFonts w:ascii="Times New Roman;sans-serif" w:hAnsi="Times New Roman;sans-serif"/>
                  <w:b w:val="false"/>
                  <w:strike w:val="false"/>
                  <w:dstrike w:val="false"/>
                  <w:color w:val="0000FF"/>
                  <w:sz w:val="20"/>
                  <w:u w:val="none"/>
                  <w:effect w:val="none"/>
                </w:rPr>
                <w:t>Exhibits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9bf731d4f3940508a3aa08a50d339f9_133">
              <w:r>
                <w:rPr>
                  <w:rStyle w:val="InternetLink"/>
                  <w:rFonts w:ascii="Times New Roman;sans-serif" w:hAnsi="Times New Roman;sans-serif"/>
                  <w:b w:val="false"/>
                  <w:color w:val="0000FF"/>
                  <w:sz w:val="20"/>
                  <w:u w:val="single"/>
                </w:rPr>
                <w:t>33</w:t>
              </w:r>
            </w:hyperlink>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9bf731d4f3940508a3aa08a50d339f9_136">
              <w:r>
                <w:rPr>
                  <w:rStyle w:val="InternetLink"/>
                  <w:rFonts w:ascii="Times New Roman;sans-serif" w:hAnsi="Times New Roman;sans-serif"/>
                  <w:b w:val="false"/>
                  <w:strike w:val="false"/>
                  <w:dstrike w:val="false"/>
                  <w:color w:val="0000FF"/>
                  <w:sz w:val="20"/>
                  <w:u w:val="none"/>
                  <w:effect w:val="none"/>
                </w:rPr>
                <w:t>Signatures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9bf731d4f3940508a3aa08a50d339f9_136">
              <w:r>
                <w:rPr>
                  <w:rStyle w:val="InternetLink"/>
                  <w:rFonts w:ascii="Times New Roman;sans-serif" w:hAnsi="Times New Roman;sans-serif"/>
                  <w:b w:val="false"/>
                  <w:color w:val="0000FF"/>
                  <w:sz w:val="20"/>
                  <w:u w:val="single"/>
                </w:rPr>
                <w:t>34</w:t>
              </w:r>
            </w:hyperlink>
          </w:p>
        </w:tc>
      </w:tr>
    </w:tbl>
    <w:p>
      <w:pPr>
        <w:pStyle w:val="TextBody"/>
        <w:bidi w:val="0"/>
        <w:spacing w:before="0" w:after="0"/>
        <w:jc w:val="left"/>
        <w:rPr/>
      </w:pPr>
      <w:r>
        <w:rPr/>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statements in this report, including, but not limited to, those under the heading "Management’s Discussion and Analysis of Financial Condition and Results of Operations," and those statements elsewhere in this report and other documents that we file with the Securities and Exchange Commission ("SEC"),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"potential," "strive," and variations of such words and similar expressions are intended to identify such forward-looking statements, which are made pursuant to the safe harbor provisions of the Private Securities Litigation Reform Act of 1995.</w:t>
      </w:r>
    </w:p>
    <w:p>
      <w:pPr>
        <w:pStyle w:val="TextBody"/>
        <w:bidi w:val="0"/>
        <w:spacing w:before="0" w:after="0"/>
        <w:ind w:left="0" w:right="0" w:firstLine="45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Such statements are subject to certain risks, uncertainties and assumptions that could cause actual results to differ materially, including, but not limited to, those described herein and in Item 1A, "Risk Factors", in our Annual Report on Form 10-K for the fiscal year ended July 31, 2022, and from time to time in our filings with the SEC. Should one or more of these or other risks or uncertainties materialize, or should underlying assumptions prove incorrect, actual results may vary materially from those anticipated, intended, expected, believed, estimated, projected or planned.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pStyle w:val="TextBody"/>
        <w:bidi w:val="0"/>
        <w:spacing w:lineRule="auto" w:line="288" w:before="0" w:after="0"/>
        <w:ind w:left="0" w:right="0" w:firstLine="450"/>
        <w:jc w:val="both"/>
        <w:rPr>
          <w:color w:val="000000"/>
        </w:rPr>
      </w:pPr>
      <w:r>
        <w:rPr>
          <w:color w:val="000000"/>
        </w:rPr>
        <w:t> </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TRADEMARK NOTICE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"Oil-Dri" is a registered trademark of Oil-Dri Corporation of America.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OIL-DRI CORPORATION OF AMERICA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for share and per share amounts)</w:t>
      </w:r>
    </w:p>
    <w:tbl>
      <w:tblPr>
        <w:tblW w:w="8663" w:type="dxa"/>
        <w:jc w:val="center"/>
        <w:tblInd w:w="0" w:type="dxa"/>
        <w:tblLayout w:type="fixed"/>
        <w:tblCellMar>
          <w:top w:w="28" w:type="dxa"/>
          <w:left w:w="28" w:type="dxa"/>
          <w:bottom w:w="28" w:type="dxa"/>
          <w:right w:w="28" w:type="dxa"/>
        </w:tblCellMar>
      </w:tblPr>
      <w:tblGrid>
        <w:gridCol w:w="2164"/>
        <w:gridCol w:w="1905"/>
        <w:gridCol w:w="1915"/>
        <w:gridCol w:w="211"/>
        <w:gridCol w:w="841"/>
        <w:gridCol w:w="109"/>
        <w:gridCol w:w="109"/>
        <w:gridCol w:w="109"/>
        <w:gridCol w:w="109"/>
        <w:gridCol w:w="211"/>
        <w:gridCol w:w="826"/>
        <w:gridCol w:w="154"/>
      </w:tblGrid>
      <w:tr>
        <w:trPr/>
        <w:tc>
          <w:tcPr>
            <w:tcW w:w="2164"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31,</w:t>
              <w:br/>
              <w:t>2022</w:t>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Current Assets</w:t>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29,746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allowances of</w:t>
            </w:r>
          </w:p>
          <w:p>
            <w:pPr>
              <w:pStyle w:val="TableContents"/>
              <w:bidi w:val="0"/>
              <w:spacing w:lineRule="auto" w:line="240" w:before="0" w:after="0"/>
              <w:jc w:val="left"/>
              <w:rPr>
                <w:color w:val="000000"/>
              </w:rPr>
            </w:pPr>
            <w:r>
              <w:rPr>
                <w:color w:val="000000"/>
              </w:rPr>
              <w:t xml:space="preserve">  </w:t>
            </w:r>
            <w:r>
              <w:rPr>
                <w:rFonts w:ascii="Times New Roman;sans-serif" w:hAnsi="Times New Roman;sans-serif"/>
                <w:b w:val="false"/>
                <w:color w:val="000000"/>
                <w:sz w:val="20"/>
              </w:rPr>
              <w:t>$1,071 and $922 at April 30, 2023 and July 31, 2022, respectively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56,983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36,664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repairs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134,065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Property, Plant and Equipment</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291,199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(180,071)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Property, Plant and Equipment, Net</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111,128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Other Assets</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Trademarks and patents, net of accumulated amortization</w:t>
            </w:r>
          </w:p>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of $570 and $524 at April 30, 2023 and July 31, 2022, respectively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Customer list, net of accumulated amortization </w:t>
            </w:r>
          </w:p>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of $7,724 and $7,608 at April 30, 2023 and July 31, 2022, respectively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Other Assets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25,103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270,296</w:t>
            </w: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249,611 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 Condensed Consolidated Financial Statements.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OIL-DRI CORPORATION OF AMERICA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for share and per share amounts)</w:t>
      </w:r>
    </w:p>
    <w:tbl>
      <w:tblPr>
        <w:tblW w:w="9669" w:type="dxa"/>
        <w:jc w:val="left"/>
        <w:tblInd w:w="0" w:type="dxa"/>
        <w:tblLayout w:type="fixed"/>
        <w:tblCellMar>
          <w:top w:w="28" w:type="dxa"/>
          <w:left w:w="28" w:type="dxa"/>
          <w:bottom w:w="28" w:type="dxa"/>
          <w:right w:w="28" w:type="dxa"/>
        </w:tblCellMar>
      </w:tblPr>
      <w:tblGrid>
        <w:gridCol w:w="2534"/>
        <w:gridCol w:w="2225"/>
        <w:gridCol w:w="2231"/>
        <w:gridCol w:w="211"/>
        <w:gridCol w:w="841"/>
        <w:gridCol w:w="109"/>
        <w:gridCol w:w="109"/>
        <w:gridCol w:w="109"/>
        <w:gridCol w:w="109"/>
        <w:gridCol w:w="211"/>
        <w:gridCol w:w="826"/>
        <w:gridCol w:w="154"/>
      </w:tblGrid>
      <w:tr>
        <w:trPr/>
        <w:tc>
          <w:tcPr>
            <w:tcW w:w="2534"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&amp; STOCKHOLDERS’ EQUITY</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31,</w:t>
              <w:br/>
              <w:t>2022</w:t>
            </w:r>
          </w:p>
        </w:tc>
      </w:tr>
      <w:tr>
        <w:trPr/>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Current Liabilities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notes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11,919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payable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35,312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Liabilities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51,904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Noncurrent Liabilities</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Notes payable, net of unamortized debt issuance costs </w:t>
            </w:r>
          </w:p>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of $182 and $202 at April 30, 2023 and July 31, 2022, respectively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31,818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postretirement benefits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8,920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Noncurrent Liabilities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51,297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103,201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Stockholders’ Equity</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$.10 per share, issued 8,745,523 shares at April 30, 2023</w:t>
            </w:r>
          </w:p>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 xml:space="preserve">and 8,686,768 shares at July 31, 2022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B Stock, par value $.10 per share, issued 2,397,056 shares at April 30, 2023</w:t>
            </w:r>
          </w:p>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and 2,397,056 shares at July 31, 2022</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55,488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190,800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9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postretirement obligation (benefit)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translation adjustment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Accumulated Other Comprehensive Income (Loss)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Less Treasury Stock, at cost (3,641,427 Common and 351,641 Class B shares at </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April 30, 2023 and 3,609,938 Common and 351,641 Class B shares at July 31, 2022)</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(80,354)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(79,428)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Stockholders’ Equity</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167,095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&amp; Stockholders’ Equity</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270,296</w:t>
            </w: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249,611 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OIL-DRI CORPORATION OF AMERICA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for per share amounts)</w:t>
      </w:r>
    </w:p>
    <w:tbl>
      <w:tblPr>
        <w:tblW w:w="7407" w:type="dxa"/>
        <w:jc w:val="left"/>
        <w:tblInd w:w="0" w:type="dxa"/>
        <w:tblLayout w:type="fixed"/>
        <w:tblCellMar>
          <w:top w:w="28" w:type="dxa"/>
          <w:left w:w="28" w:type="dxa"/>
          <w:bottom w:w="28" w:type="dxa"/>
          <w:right w:w="28" w:type="dxa"/>
        </w:tblCellMar>
      </w:tblPr>
      <w:tblGrid>
        <w:gridCol w:w="1502"/>
        <w:gridCol w:w="1324"/>
        <w:gridCol w:w="1329"/>
        <w:gridCol w:w="256"/>
        <w:gridCol w:w="1022"/>
        <w:gridCol w:w="132"/>
        <w:gridCol w:w="132"/>
        <w:gridCol w:w="132"/>
        <w:gridCol w:w="132"/>
        <w:gridCol w:w="256"/>
        <w:gridCol w:w="1003"/>
        <w:gridCol w:w="187"/>
      </w:tblGrid>
      <w:tr>
        <w:trPr/>
        <w:tc>
          <w:tcPr>
            <w:tcW w:w="1502"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Nine Months Ended April 30,</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305,633</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255,431 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 of Goods Sold</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(232,840)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(210,397)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72,793</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45,034 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Selling, General and Administrative Expenses</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(44,462)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(41,054)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on Impairment of Goodwill</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(5,644)</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from Operations</w:t>
            </w:r>
          </w:p>
        </w:tc>
        <w:tc>
          <w:tcPr>
            <w:tcW w:w="12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28,331</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Other (Expense) Income </w:t>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(1,094)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212</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pension termination</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(4,858)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(1,134)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Other (Expense) Income, Net</w:t>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(6,874)</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Taxes</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21,457</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Tax (Expense) Benefit</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(3,893)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17,564</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Noncontrolling Interest</w:t>
            </w:r>
          </w:p>
        </w:tc>
        <w:tc>
          <w:tcPr>
            <w:tcW w:w="12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(68)</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Oil-Dri</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17,632</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Income Per Share </w:t>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Common</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2.66</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Class B Common</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1.99</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Diluted Common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2.58</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Diluted Class B Common</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1.97</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Average Shares Outstanding </w:t>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Common</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4,824</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Class B Common</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1,957</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Common</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4,964</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Diluted Class B Common</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1,984</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Dividends Declared Per Share</w:t>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Common</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0.8400</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0.8100 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Class B Common</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0.6300</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0.6075 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hanging="36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OIL-DRI CORPORATION OF AMERICA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7197" w:type="dxa"/>
        <w:jc w:val="left"/>
        <w:tblInd w:w="0" w:type="dxa"/>
        <w:tblLayout w:type="fixed"/>
        <w:tblCellMar>
          <w:top w:w="28" w:type="dxa"/>
          <w:left w:w="28" w:type="dxa"/>
          <w:bottom w:w="28" w:type="dxa"/>
          <w:right w:w="28" w:type="dxa"/>
        </w:tblCellMar>
      </w:tblPr>
      <w:tblGrid>
        <w:gridCol w:w="1429"/>
        <w:gridCol w:w="1256"/>
        <w:gridCol w:w="1259"/>
        <w:gridCol w:w="310"/>
        <w:gridCol w:w="1082"/>
        <w:gridCol w:w="160"/>
        <w:gridCol w:w="160"/>
        <w:gridCol w:w="160"/>
        <w:gridCol w:w="160"/>
        <w:gridCol w:w="310"/>
        <w:gridCol w:w="685"/>
        <w:gridCol w:w="226"/>
      </w:tblGrid>
      <w:tr>
        <w:trPr/>
        <w:tc>
          <w:tcPr>
            <w:tcW w:w="142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Nine Months Ended April 30,</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Oil-Dri</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17,632</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postretirement benefits (net of tax)</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2,947</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translation adjustment</w:t>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(280)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 (Loss)</w:t>
            </w:r>
          </w:p>
        </w:tc>
        <w:tc>
          <w:tcPr>
            <w:tcW w:w="13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2,667</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Income</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20,299</w:t>
            </w:r>
            <w:r>
              <w:rPr>
                <w:color w:val="000000"/>
              </w:rPr>
              <w:t>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OIL-DRI CORPORATION OF AMERICA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for per share amounts)</w:t>
      </w:r>
    </w:p>
    <w:tbl>
      <w:tblPr>
        <w:tblW w:w="7524" w:type="dxa"/>
        <w:jc w:val="left"/>
        <w:tblInd w:w="0" w:type="dxa"/>
        <w:tblLayout w:type="fixed"/>
        <w:tblCellMar>
          <w:top w:w="28" w:type="dxa"/>
          <w:left w:w="28" w:type="dxa"/>
          <w:bottom w:w="28" w:type="dxa"/>
          <w:right w:w="28" w:type="dxa"/>
        </w:tblCellMar>
      </w:tblPr>
      <w:tblGrid>
        <w:gridCol w:w="1502"/>
        <w:gridCol w:w="1324"/>
        <w:gridCol w:w="1329"/>
        <w:gridCol w:w="276"/>
        <w:gridCol w:w="1103"/>
        <w:gridCol w:w="142"/>
        <w:gridCol w:w="142"/>
        <w:gridCol w:w="142"/>
        <w:gridCol w:w="142"/>
        <w:gridCol w:w="276"/>
        <w:gridCol w:w="945"/>
        <w:gridCol w:w="201"/>
      </w:tblGrid>
      <w:tr>
        <w:trPr/>
        <w:tc>
          <w:tcPr>
            <w:tcW w:w="1502"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April 30,</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105,425</w:t>
            </w: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85,761 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 of Goods Sold</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(77,958)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(70,131)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13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27,467</w:t>
            </w: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Selling, General and Administrative Expenses</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(13,011)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on Impairment of Goodwill</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(5,644)</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from Operations</w:t>
            </w:r>
          </w:p>
        </w:tc>
        <w:tc>
          <w:tcPr>
            <w:tcW w:w="13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14,456</w:t>
            </w: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(4,027)</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Other (Expense) Income </w:t>
            </w:r>
          </w:p>
        </w:tc>
        <w:tc>
          <w:tcPr>
            <w:tcW w:w="1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(363)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97</w:t>
            </w: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pension termination</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(4,858)</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649</w:t>
            </w: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Other (Expense) Income, Net</w:t>
            </w:r>
          </w:p>
        </w:tc>
        <w:tc>
          <w:tcPr>
            <w:tcW w:w="13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(4,475)</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Taxes</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9,981</w:t>
            </w: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(3,852)</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Tax (Expense) Benefit</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(1,493)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13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8,488</w:t>
            </w: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Noncontrolling Interest</w:t>
            </w:r>
          </w:p>
        </w:tc>
        <w:tc>
          <w:tcPr>
            <w:tcW w:w="13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(47)</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Oil-Dri</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8,535</w:t>
            </w: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Income (Loss) Per Share </w:t>
            </w:r>
          </w:p>
        </w:tc>
        <w:tc>
          <w:tcPr>
            <w:tcW w:w="1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Common</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1.28</w:t>
            </w: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Class B Common</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0.96</w:t>
            </w: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Common</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1.24</w:t>
            </w: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Diluted Class B Common</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0.95</w:t>
            </w: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Average Shares Outstanding</w:t>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Common</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4,838</w:t>
            </w: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Class B Common</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1,964</w:t>
            </w: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Diluted Common </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5,003</w:t>
            </w: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Diluted Class B Common</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1,999</w:t>
            </w: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Dividends Declared Per Share</w:t>
            </w:r>
          </w:p>
        </w:tc>
        <w:tc>
          <w:tcPr>
            <w:tcW w:w="1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Common</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0.2800</w:t>
            </w: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0.2700 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Class B Common</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0.2100</w:t>
            </w: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0.2025 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ind w:left="0" w:right="0" w:hanging="270"/>
        <w:jc w:val="both"/>
        <w:rPr/>
      </w:pPr>
      <w:r>
        <w:rPr/>
      </w:r>
    </w:p>
    <w:p>
      <w:pPr>
        <w:pStyle w:val="TextBody"/>
        <w:bidi w:val="0"/>
        <w:spacing w:lineRule="auto" w:line="256"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OIL-DRI CORPORATION OF AMERICA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(Loss)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dollars)</w:t>
      </w:r>
    </w:p>
    <w:tbl>
      <w:tblPr>
        <w:tblW w:w="7316" w:type="dxa"/>
        <w:jc w:val="left"/>
        <w:tblInd w:w="0" w:type="dxa"/>
        <w:tblLayout w:type="fixed"/>
        <w:tblCellMar>
          <w:top w:w="28" w:type="dxa"/>
          <w:left w:w="28" w:type="dxa"/>
          <w:bottom w:w="28" w:type="dxa"/>
          <w:right w:w="28" w:type="dxa"/>
        </w:tblCellMar>
      </w:tblPr>
      <w:tblGrid>
        <w:gridCol w:w="1429"/>
        <w:gridCol w:w="1256"/>
        <w:gridCol w:w="1260"/>
        <w:gridCol w:w="292"/>
        <w:gridCol w:w="1018"/>
        <w:gridCol w:w="150"/>
        <w:gridCol w:w="150"/>
        <w:gridCol w:w="150"/>
        <w:gridCol w:w="150"/>
        <w:gridCol w:w="292"/>
        <w:gridCol w:w="956"/>
        <w:gridCol w:w="213"/>
      </w:tblGrid>
      <w:tr>
        <w:trPr/>
        <w:tc>
          <w:tcPr>
            <w:tcW w:w="142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April 30,</w:t>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Oil-Dri</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8,535</w:t>
            </w: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postretirement benefits (net of tax)</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2,960</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translation adjustment</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 (Loss)</w:t>
            </w:r>
          </w:p>
        </w:tc>
        <w:tc>
          <w:tcPr>
            <w:tcW w:w="13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2,809</w:t>
            </w:r>
            <w:r>
              <w:rPr>
                <w:color w:val="000000"/>
              </w:rPr>
              <w:t>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Income (Loss)</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11,344</w:t>
            </w:r>
            <w:r>
              <w:rPr>
                <w:color w:val="000000"/>
              </w:rPr>
              <w:t>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OIL-DRI CORPORATION OF AMERICA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amounts)</w:t>
      </w:r>
    </w:p>
    <w:tbl>
      <w:tblPr>
        <w:tblW w:w="12376" w:type="dxa"/>
        <w:jc w:val="center"/>
        <w:tblInd w:w="0" w:type="dxa"/>
        <w:tblLayout w:type="fixed"/>
        <w:tblCellMar>
          <w:top w:w="28" w:type="dxa"/>
          <w:left w:w="28" w:type="dxa"/>
          <w:bottom w:w="28" w:type="dxa"/>
          <w:right w:w="28" w:type="dxa"/>
        </w:tblCellMar>
      </w:tblPr>
      <w:tblGrid>
        <w:gridCol w:w="618"/>
        <w:gridCol w:w="201"/>
        <w:gridCol w:w="202"/>
        <w:gridCol w:w="413"/>
        <w:gridCol w:w="413"/>
        <w:gridCol w:w="211"/>
        <w:gridCol w:w="109"/>
        <w:gridCol w:w="109"/>
        <w:gridCol w:w="109"/>
        <w:gridCol w:w="368"/>
        <w:gridCol w:w="368"/>
        <w:gridCol w:w="221"/>
        <w:gridCol w:w="109"/>
        <w:gridCol w:w="109"/>
        <w:gridCol w:w="109"/>
        <w:gridCol w:w="181"/>
        <w:gridCol w:w="496"/>
        <w:gridCol w:w="109"/>
        <w:gridCol w:w="109"/>
        <w:gridCol w:w="109"/>
        <w:gridCol w:w="109"/>
        <w:gridCol w:w="181"/>
        <w:gridCol w:w="571"/>
        <w:gridCol w:w="109"/>
        <w:gridCol w:w="109"/>
        <w:gridCol w:w="109"/>
        <w:gridCol w:w="109"/>
        <w:gridCol w:w="181"/>
        <w:gridCol w:w="646"/>
        <w:gridCol w:w="109"/>
        <w:gridCol w:w="109"/>
        <w:gridCol w:w="109"/>
        <w:gridCol w:w="109"/>
        <w:gridCol w:w="109"/>
        <w:gridCol w:w="109"/>
        <w:gridCol w:w="181"/>
        <w:gridCol w:w="556"/>
        <w:gridCol w:w="109"/>
        <w:gridCol w:w="109"/>
        <w:gridCol w:w="109"/>
        <w:gridCol w:w="109"/>
        <w:gridCol w:w="239"/>
        <w:gridCol w:w="636"/>
        <w:gridCol w:w="146"/>
        <w:gridCol w:w="109"/>
        <w:gridCol w:w="109"/>
        <w:gridCol w:w="109"/>
        <w:gridCol w:w="297"/>
        <w:gridCol w:w="618"/>
        <w:gridCol w:w="181"/>
        <w:gridCol w:w="109"/>
        <w:gridCol w:w="109"/>
        <w:gridCol w:w="109"/>
        <w:gridCol w:w="181"/>
        <w:gridCol w:w="646"/>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7" w:type="dxa"/>
            <w:gridSpan w:val="4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For the Three Months Ended April 30</w:t>
            </w:r>
          </w:p>
        </w:tc>
        <w:tc>
          <w:tcPr>
            <w:tcW w:w="1308" w:type="dxa"/>
            <w:gridSpan w:val="6"/>
            <w:tcBorders/>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7" w:type="dxa"/>
            <w:gridSpan w:val="4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(unaudited)</w:t>
            </w:r>
          </w:p>
        </w:tc>
        <w:tc>
          <w:tcPr>
            <w:tcW w:w="1308" w:type="dxa"/>
            <w:gridSpan w:val="6"/>
            <w:tcBorders/>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9" w:type="dxa"/>
            <w:gridSpan w:val="35"/>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6"/>
            <w:tcBorders/>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w:t>
              <w:br/>
              <w:t>&amp; Class B</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w:t>
              <w:br/>
              <w:t>&amp; Class B</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Equity</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 January 31, 2022</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11,065,024</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(3,732,596)</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1,107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50,220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179,322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(72,862)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(4,158)</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(338)</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153,291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Loss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4"/>
              </w:rPr>
            </w:pPr>
            <w:r>
              <w:rPr>
                <w:rFonts w:ascii="Times New Roman;sans-serif" w:hAnsi="Times New Roman;sans-serif"/>
                <w:b w:val="false"/>
                <w:color w:val="000000"/>
                <w:sz w:val="14"/>
              </w:rPr>
              <w:t>Dividends Declared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Purchases of Treasury Stock</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(151,913)</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issuance of stock under long-term incentive plans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(2,700)</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Amortization of Restricted Stock</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 April 30, 2022</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11,080,024</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(3,887,209)</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1,108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51,117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175,368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(77,251)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(4,225)</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(362)</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145,755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 January 31, 2023</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11,141,279</w:t>
            </w: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(3,976,318)</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1,114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54,328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184,133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(79,886)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(2,325)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(390)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156,974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 (Loss)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Income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2,809 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Dividends Declared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Purchases of Treasury Stock</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issuance of stock under long-term incentive plans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(16,750)</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Amortization of Restricted Stock</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 April 30, 2023</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11,142,579</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(3,993,068)</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1,114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55,488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190,800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(80,354)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484</w:t>
            </w: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(437)</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167,095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2296" w:type="dxa"/>
        <w:jc w:val="left"/>
        <w:tblInd w:w="0" w:type="dxa"/>
        <w:tblLayout w:type="fixed"/>
        <w:tblCellMar>
          <w:top w:w="28" w:type="dxa"/>
          <w:left w:w="28" w:type="dxa"/>
          <w:bottom w:w="28" w:type="dxa"/>
          <w:right w:w="28" w:type="dxa"/>
        </w:tblCellMar>
      </w:tblPr>
      <w:tblGrid>
        <w:gridCol w:w="531"/>
        <w:gridCol w:w="288"/>
        <w:gridCol w:w="202"/>
        <w:gridCol w:w="529"/>
        <w:gridCol w:w="297"/>
        <w:gridCol w:w="211"/>
        <w:gridCol w:w="109"/>
        <w:gridCol w:w="109"/>
        <w:gridCol w:w="109"/>
        <w:gridCol w:w="368"/>
        <w:gridCol w:w="368"/>
        <w:gridCol w:w="201"/>
        <w:gridCol w:w="109"/>
        <w:gridCol w:w="109"/>
        <w:gridCol w:w="109"/>
        <w:gridCol w:w="181"/>
        <w:gridCol w:w="496"/>
        <w:gridCol w:w="109"/>
        <w:gridCol w:w="109"/>
        <w:gridCol w:w="109"/>
        <w:gridCol w:w="109"/>
        <w:gridCol w:w="181"/>
        <w:gridCol w:w="571"/>
        <w:gridCol w:w="109"/>
        <w:gridCol w:w="109"/>
        <w:gridCol w:w="109"/>
        <w:gridCol w:w="109"/>
        <w:gridCol w:w="181"/>
        <w:gridCol w:w="646"/>
        <w:gridCol w:w="109"/>
        <w:gridCol w:w="109"/>
        <w:gridCol w:w="109"/>
        <w:gridCol w:w="109"/>
        <w:gridCol w:w="109"/>
        <w:gridCol w:w="109"/>
        <w:gridCol w:w="181"/>
        <w:gridCol w:w="556"/>
        <w:gridCol w:w="109"/>
        <w:gridCol w:w="109"/>
        <w:gridCol w:w="109"/>
        <w:gridCol w:w="109"/>
        <w:gridCol w:w="236"/>
        <w:gridCol w:w="627"/>
        <w:gridCol w:w="143"/>
        <w:gridCol w:w="109"/>
        <w:gridCol w:w="109"/>
        <w:gridCol w:w="109"/>
        <w:gridCol w:w="285"/>
        <w:gridCol w:w="593"/>
        <w:gridCol w:w="173"/>
        <w:gridCol w:w="109"/>
        <w:gridCol w:w="109"/>
        <w:gridCol w:w="109"/>
        <w:gridCol w:w="181"/>
        <w:gridCol w:w="646"/>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7" w:type="dxa"/>
            <w:gridSpan w:val="4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For the Nine Months Ended April 30</w:t>
            </w:r>
          </w:p>
        </w:tc>
        <w:tc>
          <w:tcPr>
            <w:tcW w:w="1308" w:type="dxa"/>
            <w:gridSpan w:val="6"/>
            <w:tcBorders/>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7" w:type="dxa"/>
            <w:gridSpan w:val="4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(unaudited)</w:t>
            </w:r>
          </w:p>
        </w:tc>
        <w:tc>
          <w:tcPr>
            <w:tcW w:w="1308" w:type="dxa"/>
            <w:gridSpan w:val="6"/>
            <w:tcBorders/>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Common &amp; Class B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Common &amp; Class B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Total Stockholders' Equity</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 July 31, 2021</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10,958,367</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(3,539,193)</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1,096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48,271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180,443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(66,154)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(4,117)</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(307)</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159,232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 (Loss)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Loss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(108)</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Dividends Declared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Purchases of Treasury Stock</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(330,916)</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issuance of stock under long-term incentive plans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121,657 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(17,100)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Amortization of Restricted Stock</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 April 30, 2022</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11,080,024</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(3,887,209)</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1,108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51,117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175,368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(77,251)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(4,225)</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(362)</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145,755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 July 31, 2022</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11,083,824</w:t>
            </w: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(3,961,579)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1,108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52,467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178,754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(79,428)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(2,183)</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(369)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150,349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 (Loss)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Loss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2,667 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Dividends Declared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Purchases of Treasury Stock</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(7,493)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issuance of stock under long-term incentive plans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58,755 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(23,996)</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Amortization of Restricted Stock</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 April 30, 2023</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11,142,579</w:t>
            </w: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(3,993,068)</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1,114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55,488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190,800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(80,354)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484</w:t>
            </w:r>
            <w:r>
              <w:rPr>
                <w:color w:val="000000"/>
              </w:rPr>
              <w:t>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(437)</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167,095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OIL-DRI CORPORATION OF AMERICA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9971" w:type="dxa"/>
        <w:jc w:val="center"/>
        <w:tblInd w:w="0" w:type="dxa"/>
        <w:tblLayout w:type="fixed"/>
        <w:tblCellMar>
          <w:top w:w="28" w:type="dxa"/>
          <w:left w:w="28" w:type="dxa"/>
          <w:bottom w:w="28" w:type="dxa"/>
          <w:right w:w="28" w:type="dxa"/>
        </w:tblCellMar>
      </w:tblPr>
      <w:tblGrid>
        <w:gridCol w:w="2436"/>
        <w:gridCol w:w="2140"/>
        <w:gridCol w:w="2144"/>
        <w:gridCol w:w="278"/>
        <w:gridCol w:w="970"/>
        <w:gridCol w:w="143"/>
        <w:gridCol w:w="143"/>
        <w:gridCol w:w="143"/>
        <w:gridCol w:w="143"/>
        <w:gridCol w:w="278"/>
        <w:gridCol w:w="950"/>
        <w:gridCol w:w="203"/>
      </w:tblGrid>
      <w:tr>
        <w:trPr/>
        <w:tc>
          <w:tcPr>
            <w:tcW w:w="2436"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Nine Months Ended April 30,</w:t>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CASH FLOWS FROM OPERATING ACTIVITIES</w:t>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17,564</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11,348</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stock-based compensation</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2,326</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pension termination</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4,858</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(742)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bad debts and cash discounts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240</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patents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61</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Goodwill</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Impairment of Fixed Assets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810</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the disposals of property, plant and equipment</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assets:</w:t>
            </w:r>
          </w:p>
        </w:tc>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(5,604)</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(1,209)</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(11,456)</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1,300</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2,648</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liabilities:</w:t>
            </w:r>
          </w:p>
        </w:tc>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255</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5,653</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(123)</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postretirement benefits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(981)</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(1,659)</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Adjustments</w:t>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19,227</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5,037 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Operating Activities</w:t>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36,791</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5,460 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CASH FLOWS FROM INVESTING ACTIVITIES</w:t>
            </w:r>
          </w:p>
        </w:tc>
        <w:tc>
          <w:tcPr>
            <w:tcW w:w="1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(17,444)</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(16,012)</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property, plant and equipment</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Investing Activities</w:t>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(17,434)</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(16,012)</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CASH FLOWS FROM FINANCING ACTIVITIES</w:t>
            </w:r>
          </w:p>
        </w:tc>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notes payable</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debt issuance costs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(5,574)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(5,573)</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treasury stock</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(225)</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(10,506)</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Provided by Financing Activities</w:t>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(5,806)</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8,807 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(103)</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Increase (Decrease) in Cash and Cash Equivalents</w:t>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13,448</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Beginning of Period</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16,298</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End of Period</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29,746</w:t>
            </w:r>
            <w:r>
              <w:rPr>
                <w:color w:val="000000"/>
              </w:rPr>
              <w:t>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22,825 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OIL-DRI CORPORATION OF AMERICA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7467" w:type="dxa"/>
        <w:jc w:val="left"/>
        <w:tblInd w:w="0" w:type="dxa"/>
        <w:tblLayout w:type="fixed"/>
        <w:tblCellMar>
          <w:top w:w="28" w:type="dxa"/>
          <w:left w:w="28" w:type="dxa"/>
          <w:bottom w:w="28" w:type="dxa"/>
          <w:right w:w="28" w:type="dxa"/>
        </w:tblCellMar>
      </w:tblPr>
      <w:tblGrid>
        <w:gridCol w:w="1526"/>
        <w:gridCol w:w="1341"/>
        <w:gridCol w:w="1347"/>
        <w:gridCol w:w="304"/>
        <w:gridCol w:w="909"/>
        <w:gridCol w:w="157"/>
        <w:gridCol w:w="157"/>
        <w:gridCol w:w="157"/>
        <w:gridCol w:w="157"/>
        <w:gridCol w:w="304"/>
        <w:gridCol w:w="887"/>
        <w:gridCol w:w="221"/>
      </w:tblGrid>
      <w:tr>
        <w:trPr/>
        <w:tc>
          <w:tcPr>
            <w:tcW w:w="1526"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Nine Months Ended April 30,</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w:t>
            </w:r>
          </w:p>
        </w:tc>
        <w:tc>
          <w:tcPr>
            <w:tcW w:w="13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Interest payments, net of amounts capitalized</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569</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Income tax payments</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2,284</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 investing and financing activities:</w:t>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accrued, but not paid</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1,441</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declared and accrued, but not paid</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1,863</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 Condensed Consolidated Financial Statements.</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OIL-DRI CORPORATION OF AMERICA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1.</w:t>
      </w:r>
      <w:r>
        <w:rPr>
          <w:color w:val="000000"/>
        </w:rPr>
        <w:t> </w:t>
      </w:r>
      <w:r>
        <w:rPr>
          <w:rFonts w:ascii="Times New Roman;sans-serif" w:hAnsi="Times New Roman;sans-serif"/>
          <w:b/>
          <w:color w:val="000000"/>
          <w:sz w:val="20"/>
        </w:rPr>
        <w:t>BASIS OF PRESENTATION AND SIGNIFICANT ACCOUNTING POLICIES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have been prepared in accordance with accounting principles generally accepted in the United States of America ("U.S. GAAP") for interim financial information and in compliance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for the fiscal year ended July 31, 2022 included in our Annual Report on Form 10-K filed with the SEC.</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Condensed Consolidated Financial Statements include the accounts of Oil-Dri Corporation of America and its subsidiaries. All significant intercompany transactions are eliminated. Except as otherwise indicated herein or as the context otherwise requires, references to "Oil-Dri," the "Company," "we," "us" or "our" refer to Oil-Dri Corporation of America and its subsidiaries.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Condensed Consolidated Financial Statements reflect all adjustments, consisting of normal recurring accruals and reclassifications which are, in the opinion of management, necessary for a fair presentation of the statements contained herein. Operating results for the three and nine months ended April 30, 2023 are not necessarily an indication of the results that may be expected for the fiscal year ending July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Management Use of Estimates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the unaudited Condensed Consolidated Financial Statements in conformity with U.S. GAAP requires management to make estimates and assumptions that affect the reported amounts of assets, liabilities, revenues and expenses during the reporting period, as well as the related disclosures. Estimates and assumptions about future events cannot be made with certainty. All of our estimates and assumptions are revised periodically. Actual results could differ from these estimates. For more information see "Critical Accounting Policies and Estimates" in Item 2 "Management's Discussion and Analysis of Financial Condition and Results of Operations."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Summary of 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significant accounting policies, which are summarized in detail in our Annual Report on Form 10-K for the fiscal year ended July 31, 2022, have not materially changed. The following is a description of certain of our significant accounting policies: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Trade Receivables.</w:t>
      </w:r>
      <w:r>
        <w:rPr>
          <w:color w:val="000000"/>
        </w:rPr>
        <w:t xml:space="preserve"> </w:t>
      </w:r>
      <w:r>
        <w:rPr>
          <w:rFonts w:ascii="Times New Roman;sans-serif" w:hAnsi="Times New Roman;sans-serif"/>
          <w:b w:val="false"/>
          <w:color w:val="000000"/>
          <w:sz w:val="20"/>
        </w:rPr>
        <w:t>We recognize trade receivables when control of finished products are transferred to our customers. We record an allowance for credit losses based on our expectations and a periodic review of our accounts receivable, including a review of the overall aging of accounts, consideration of customer credit risk and analysis of facts and circumstances about specific accounts. A customer account is determined to be uncollectible when it is probable that a loss will be incurred after we have completed our internal collection procedures, including termination of shipments, direct customer contact and formal demand of payment. We retain outside collection agencies to facilitate our collection efforts. Past due status is determined based on contractual terms and customer payment history.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Overburden Removal and Mining Costs.</w:t>
      </w:r>
      <w:r>
        <w:rPr>
          <w:color w:val="000000"/>
        </w:rPr>
        <w:t xml:space="preserve"> </w:t>
      </w:r>
      <w:r>
        <w:rPr>
          <w:rFonts w:ascii="Times New Roman;sans-serif" w:hAnsi="Times New Roman;sans-serif"/>
          <w:b w:val="false"/>
          <w:color w:val="000000"/>
          <w:sz w:val="20"/>
        </w:rPr>
        <w:t>We mine sorbent materials on property that we either own or lease as part of our overall operations. A significant part of our overall mining cost is incurred during the process of removing the overburden (non-usable material) from the mine site, thus exposing the sorbent material used in a majority of our production processes. These stripping costs are treated as a variable inventory production cost and are included in cost of goods sold in the period they are incurred. We defer and amortize the pre-production overburden removal costs during the development phase associated with opening a new mine.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it is our policy to capitalize the purchase cost of land and mineral rights, including associated legal fees, survey fees and real estate fees. The costs of obtaining mineral patents, including legal fees and drilling expenses, are also capitalized. Pre-production development costs on new mines and any prepaid royalties that may be offset against future royalties due upon extraction of the minerals are also capitalized. All exploration related costs are expensed as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Reclamation. </w:t>
      </w:r>
      <w:r>
        <w:rPr>
          <w:rFonts w:ascii="Times New Roman;sans-serif" w:hAnsi="Times New Roman;sans-serif"/>
          <w:b w:val="false"/>
          <w:color w:val="000000"/>
          <w:sz w:val="20"/>
        </w:rPr>
        <w:t>We perform ongoing reclamation activities during the normal course of our overburden removal. As overburden is removed from a mine site, it is hauled to previously mined sites and is used to refill older sites. This process allows us to continuously reclaim older mine sites and dispose of overburden simultaneously, therefore minimizing the costs associated with the reclamation process.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On an annual basis we evaluate our potential reclamation liability in accordance with ASC 410, </w:t>
      </w:r>
      <w:r>
        <w:rPr>
          <w:rFonts w:ascii="Times New Roman;sans-serif" w:hAnsi="Times New Roman;sans-serif"/>
          <w:b w:val="false"/>
          <w:i/>
          <w:color w:val="000000"/>
          <w:sz w:val="20"/>
        </w:rPr>
        <w:t>Asset Retirement and Environmental Obligations.</w:t>
      </w:r>
      <w:r>
        <w:rPr>
          <w:color w:val="000000"/>
        </w:rPr>
        <w:t xml:space="preserve"> </w:t>
      </w:r>
      <w:r>
        <w:rPr>
          <w:rFonts w:ascii="Times New Roman;sans-serif" w:hAnsi="Times New Roman;sans-serif"/>
          <w:b w:val="false"/>
          <w:color w:val="000000"/>
          <w:sz w:val="20"/>
        </w:rPr>
        <w:t>The reclamation assets are depreciated over the estimated useful lives of the various mines. The reclamation liabilities are increased based on a yearly accretion charge over the estimated useful lives of the mines.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Leases. </w:t>
      </w:r>
      <w:r>
        <w:rPr>
          <w:rFonts w:ascii="Times New Roman;sans-serif" w:hAnsi="Times New Roman;sans-serif"/>
          <w:b w:val="false"/>
          <w:color w:val="000000"/>
          <w:sz w:val="20"/>
        </w:rPr>
        <w:t xml:space="preserve">ASC 842, </w:t>
      </w:r>
      <w:r>
        <w:rPr>
          <w:rFonts w:ascii="Times New Roman;sans-serif" w:hAnsi="Times New Roman;sans-serif"/>
          <w:b w:val="false"/>
          <w:i/>
          <w:color w:val="000000"/>
          <w:sz w:val="20"/>
        </w:rPr>
        <w:t>Leases</w:t>
      </w:r>
      <w:r>
        <w:rPr>
          <w:rFonts w:ascii="Times New Roman;sans-serif" w:hAnsi="Times New Roman;sans-serif"/>
          <w:b w:val="false"/>
          <w:color w:val="000000"/>
          <w:sz w:val="20"/>
        </w:rPr>
        <w:t xml:space="preserve">, provides that a contract is, or contains, a lease if it conveys the right to control the use of an identified asset and, accordingly, a lease liability and a related right-of-use ("ROU") asset is recognized at the commencement date on our consolidated balance sheet. As provided in ASC 842, we have elected not to apply these measurement and recognition requirements to short-term leases (i.e., leases with a term of 12 months or less). Short-term leases will not be recorded as ROU assets or lease liabilities on our consolidated balance sheet, and the related lease payments will be recognized in net earnings on a straight-line basis over the lease term. For leases other than short-term leases, the lease liability is equal to the present value of unpaid lease payments over the remaining lease term. The lease term may reflect options to extend or terminate the lease when it is reasonably certain that such options will be exercised. To determine the present value of the lease liability, we used an incremental borrowing rate, which is defined as the rate of interest we would have to pay to borrow (on a collateralized basis over a similar term) an amount equal to the lease payments in similar economic environments. The ROU asset is based on the corresponding lease liability adjusted for certain costs such as initial direct costs, prepaid lease payments and lease incentives received. Both operating and finance lease ROU assets are reviewed for impairment, consistent with other long-lived assets, whenever events or changes in circumstances indicate that the carrying amount may not be recoverable. After a ROU asset is impaired, any remaining balance of the ROU asset is amortized on a straight-line basis over the shorter of the remaining lease term or the estimated useful life. After the lease commencement date, we evaluate lease modifications, if any, that could result in a change in the accounting for leases.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leases provide for variable lease payments that vary due to changes in facts and circumstances occurring after the commencement date, other than the passage of time. Variable lease payments that are dependent on an index or rate (e.g., Consumer Price Index) are included in the initial measurement of the lease liability and the ROU asset. Variable lease payments that are not known at the commencement date and are determinable based on the performance or use of the underlying asset, are expensed as incurred. Our variable lease payments primarily include common area maintenance charges based on the percentage of the total square footage leased and the usage of assets, such as photocopiers.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our contracts may contain lease components as well as non-lease components, such as an agreement to purchase services. As allowed under ASC 842, we have elected not to separate the lease components from non-lease components for all asset classes and we will not allocate the contract consideration to these components. This policy was applied to all existing leases upon adoption of ASC 842 and will be applied to new leases on an ongoing basis.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Revenue Recognition.</w:t>
      </w:r>
      <w:r>
        <w:rPr>
          <w:color w:val="000000"/>
        </w:rPr>
        <w:t xml:space="preserve"> </w:t>
      </w:r>
      <w:r>
        <w:rPr>
          <w:rFonts w:ascii="Times New Roman;sans-serif" w:hAnsi="Times New Roman;sans-serif"/>
          <w:b w:val="false"/>
          <w:color w:val="000000"/>
          <w:sz w:val="20"/>
        </w:rPr>
        <w:t>We recognize revenue when performance obligations under the terms of the contracts with customers are satisfied. Our performance obligation generally consists of the promise to sell finished products to wholesalers, distributors and retailers or consumers and our obligations have an original duration of one year or less. Control of the finished products are transferred upon shipment to, or receipt at, customers' locations, as determined by the specific terms of the contract. We have completed our performance obligation when control is transferred and we recognize revenue accordingly. Taxes collected from customers and remitted to governmental authorities are excluded from net sales. Sales returns are not material nor are warranties and any related obligations.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an unconditional right to consideration under the payment terms specified in the contract upon completion of the performance obligation. We may require certain customers to provide payment in advance of product shipment. We recorded a liability for these advance payments of $0.3 million and $0.5 million as of April 30, 2023 and July 31, 2022, respectively. This liability is reported in Other within Accrued Expenses on the unaudited Condensed Consolidated Balance Sheet. Revenue recognized during the nine months ended April 30, 2023 that was included in the liability for advance payments at the beginning of the period was $0.1 million.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We routinely commit to one-time or ongoing trade promotion programs directly with consumers, such as coupon programs, and with customers, such as volume discounts, cooperative marketing and other arrangements. We estimate and accrue the expected costs of these programs. These costs are considered variable consideration under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and are netted against sales when revenue is recorded. The accruals are based on our best estimate of the amounts necessary to settle future and existing obligations on products sold as of the balance sheet date. To estimate these accruals, we rely on our historical experience of trade spending patterns and that of the industry, current trends and forecasted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Selling, General and Administrative Expenses.</w:t>
      </w:r>
      <w:r>
        <w:rPr>
          <w:color w:val="000000"/>
        </w:rPr>
        <w:t xml:space="preserve"> </w:t>
      </w:r>
      <w:r>
        <w:rPr>
          <w:rFonts w:ascii="Times New Roman;sans-serif" w:hAnsi="Times New Roman;sans-serif"/>
          <w:b w:val="false"/>
          <w:color w:val="000000"/>
          <w:sz w:val="20"/>
        </w:rPr>
        <w:t>Selling, general and administrative expenses ("SG&amp;A") include salaries, wages and benefits associated with staff outside the manufacturing and distribution functions, all marketing 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Other Current and Noncurrent Liabilities. </w:t>
      </w:r>
      <w:r>
        <w:rPr>
          <w:rFonts w:ascii="Times New Roman;sans-serif" w:hAnsi="Times New Roman;sans-serif"/>
          <w:b w:val="false"/>
          <w:color w:val="000000"/>
          <w:sz w:val="20"/>
        </w:rPr>
        <w:t xml:space="preserve">Other liabilities include the accruals for general expenses not yet paid, cash collected not yet vouchered, legal reserves, and reclamation liability accrual. Current liabilities are due to be paid within the next 12 months. Included in current liabilities within Accrued Expenses on the unaudited Condensed Consolidated Balance Sheet is $2.5 million for the Georgia landfill modification reserve which began in the third quarter of fiscal year 2023. Refer to Note 7 for further details.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2.</w:t>
      </w:r>
      <w:r>
        <w:rPr>
          <w:color w:val="000000"/>
        </w:rPr>
        <w:t> </w:t>
      </w:r>
      <w:r>
        <w:rPr>
          <w:rFonts w:ascii="Times New Roman;sans-serif" w:hAnsi="Times New Roman;sans-serif"/>
          <w:b/>
          <w:color w:val="000000"/>
          <w:sz w:val="20"/>
        </w:rPr>
        <w:t>NEW ACCOUNTING PRONOUNCEMENTS AND REGULATIONS</w:t>
      </w:r>
    </w:p>
    <w:p>
      <w:pPr>
        <w:pStyle w:val="TextBody"/>
        <w:bidi w:val="0"/>
        <w:spacing w:lineRule="auto" w:line="288" w:before="225" w:after="283"/>
        <w:jc w:val="left"/>
        <w:rPr>
          <w:rFonts w:ascii="Times New Roman;sans-serif" w:hAnsi="Times New Roman;sans-serif"/>
          <w:b/>
          <w:color w:val="000000"/>
          <w:sz w:val="20"/>
        </w:rPr>
      </w:pPr>
      <w:r>
        <w:rPr>
          <w:rFonts w:ascii="Times New Roman;sans-serif" w:hAnsi="Times New Roman;sans-serif"/>
          <w:b/>
          <w:color w:val="000000"/>
          <w:sz w:val="20"/>
        </w:rPr>
        <w:t>Recently Adopted Accounting Pronouncements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 March 2020, the FASB issued guidance under ASC 848, </w:t>
      </w:r>
      <w:r>
        <w:rPr>
          <w:rFonts w:ascii="Times New Roman;sans-serif" w:hAnsi="Times New Roman;sans-serif"/>
          <w:b w:val="false"/>
          <w:i/>
          <w:color w:val="000000"/>
          <w:sz w:val="20"/>
        </w:rPr>
        <w:t>Reference Rate Reform.</w:t>
      </w:r>
      <w:r>
        <w:rPr>
          <w:color w:val="000000"/>
        </w:rPr>
        <w:t xml:space="preserve"> </w:t>
      </w:r>
      <w:r>
        <w:rPr>
          <w:rFonts w:ascii="Times New Roman;sans-serif" w:hAnsi="Times New Roman;sans-serif"/>
          <w:b w:val="false"/>
          <w:color w:val="000000"/>
          <w:sz w:val="20"/>
        </w:rPr>
        <w:t xml:space="preserve">This guidance provides optional expedients and exceptions to account for debt, leases, contracts, hedging relationships and other transactions that reference LIBOR or another reference rate if certain criteria are met. The guidance is effective immediately and may be applied prospectively to contract modifications made and hedging relationships entered into or evaluated on or before December 31, 2022. On August 30, 2022 we amended our debt agreements to replace the LIBOR-based reference rate with an adjusted term Secured Overnight Financing Rate (SOFR), ASC 848 will allow us to account for the modification as a continuation of the existing contract without additional analysis.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other accounting pronouncements issued but not yet adopted by us which are expected to have a material impact on our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3.</w:t>
      </w:r>
      <w:r>
        <w:rPr>
          <w:color w:val="000000"/>
        </w:rPr>
        <w:t> </w:t>
      </w:r>
      <w:r>
        <w:rPr>
          <w:rFonts w:ascii="Times New Roman;sans-serif" w:hAnsi="Times New Roman;sans-serif"/>
          <w:b/>
          <w:color w:val="000000"/>
          <w:sz w:val="20"/>
        </w:rPr>
        <w:t>INVENTORIES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composition of inventories is as follows (in thousands):</w:t>
      </w:r>
    </w:p>
    <w:tbl>
      <w:tblPr>
        <w:tblW w:w="3984" w:type="dxa"/>
        <w:jc w:val="center"/>
        <w:tblInd w:w="0" w:type="dxa"/>
        <w:tblLayout w:type="fixed"/>
        <w:tblCellMar>
          <w:top w:w="28" w:type="dxa"/>
          <w:left w:w="28" w:type="dxa"/>
          <w:bottom w:w="28" w:type="dxa"/>
          <w:right w:w="28" w:type="dxa"/>
        </w:tblCellMar>
      </w:tblPr>
      <w:tblGrid>
        <w:gridCol w:w="549"/>
        <w:gridCol w:w="482"/>
        <w:gridCol w:w="484"/>
        <w:gridCol w:w="211"/>
        <w:gridCol w:w="736"/>
        <w:gridCol w:w="109"/>
        <w:gridCol w:w="109"/>
        <w:gridCol w:w="109"/>
        <w:gridCol w:w="109"/>
        <w:gridCol w:w="211"/>
        <w:gridCol w:w="721"/>
        <w:gridCol w:w="154"/>
      </w:tblGrid>
      <w:tr>
        <w:trPr/>
        <w:tc>
          <w:tcPr>
            <w:tcW w:w="54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31,</w:t>
              <w:br/>
              <w:t>2022</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20,372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Packaging</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8,994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7,298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36,664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Inventories are valued at the lower of cost (first-in, first-out) or net realizable value. Inventory costs include the cost of raw materials, packaging supplies, labor and other overhead costs. The inventory obsolescence reserve was $0.8 million at both April 30, 2023 and July 31, 2022, respectively. Inventories have increased due to a combination of rising costs and building inventory levels for anticipated demand.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4.</w:t>
      </w:r>
      <w:r>
        <w:rPr>
          <w:color w:val="000000"/>
        </w:rPr>
        <w:t> </w:t>
      </w:r>
      <w:r>
        <w:rPr>
          <w:rFonts w:ascii="Times New Roman;sans-serif" w:hAnsi="Times New Roman;sans-serif"/>
          <w:b/>
          <w:color w:val="000000"/>
          <w:sz w:val="20"/>
        </w:rPr>
        <w:t>FAIR VALUE MEASUREMENTS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to sell an asset or paid to transfer a liability in an orderly transaction between market participants at the measurement date. The inputs used to measure fair value are prioritized into categories based on the lowest level of input that is significant to the fair value measurement. The categories in the fair value hierarchy are as follows: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Level 1: Quoted market prices in active markets for identical assets or liabilities.</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Level 2: Observable market-based inputs for similar assets or liabilities or valuation models whose inputs are observable, directly or indirectly.</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Level 3: Unobservable inputs.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equivalents are primarily money market mutual funds classified as Level 1. We had no cash equivalents as of April 30, 2023 and July 31, 2022.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Balances of accounts receivable and accounts payable approximated their fair values at April 30, 2023 and July 31, 2022 due to the short maturity and nature of those balances.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Notes payable are reported at the face amount of future maturities. The estimated fair value of notes payable, including current maturities, was $31.5 million and $31.8 million as of April 30, 2023 and July 31, 2022, respectively, and are classified as Level 2. The fair value was estimated using the exit price notion of fair value.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apply fair value techniques on at least an annual basis associated with: (1) valuing potential impairment loss related to goodwill, trademarks and other indefinite-lived intangible assets and (2) valuing potential impairment loss related to long-lived assets. See Note 5 of the Notes to the unaudited Condensed Consolidated Financial Statements for further information about goodwill and other intangible assets.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5. GOODWILL AND OTHER INTANGIBLE ASSETS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other than goodwill, include trademarks, patents, customer lists and product registrations. Intangible amortization expense was $66 thousand and $116 thousand in the third quarter of fiscal years 2023 and 2022, respectively. Intangible amortization expense was $200 thousand and $369 thousand in the first nine months of fiscal years 2023 and 2022, respectively. Estimated intangible amortization for the remainder of fiscal year 2023 is $65 thousand. Estimated intangible amortization for the next five fiscal years is as follows (in thousands):</w:t>
      </w:r>
    </w:p>
    <w:tbl>
      <w:tblPr>
        <w:tblW w:w="1372" w:type="dxa"/>
        <w:jc w:val="center"/>
        <w:tblInd w:w="0" w:type="dxa"/>
        <w:tblLayout w:type="fixed"/>
        <w:tblCellMar>
          <w:top w:w="28" w:type="dxa"/>
          <w:left w:w="28" w:type="dxa"/>
          <w:bottom w:w="28" w:type="dxa"/>
          <w:right w:w="28" w:type="dxa"/>
        </w:tblCellMar>
      </w:tblPr>
      <w:tblGrid>
        <w:gridCol w:w="196"/>
        <w:gridCol w:w="172"/>
        <w:gridCol w:w="173"/>
        <w:gridCol w:w="211"/>
        <w:gridCol w:w="466"/>
        <w:gridCol w:w="154"/>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one acquired trademark recorded at a cost of $0.4 million that was determined to have an indefinite life and is not amortized.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We performed our goodwill impairment analysis on our Retail and Wholesale Products Group and Business to Business Products Group reporting units in the third quarter of fiscal year 2022. As a result, we identified</w:t>
      </w:r>
      <w:r>
        <w:rPr>
          <w:color w:val="000000"/>
          <w:shd w:fill="FFFFFF" w:val="clear"/>
        </w:rPr>
        <w:t xml:space="preserve"> </w:t>
      </w:r>
      <w:r>
        <w:rPr>
          <w:rFonts w:ascii="Times New Roman;sans-serif" w:hAnsi="Times New Roman;sans-serif"/>
          <w:b w:val="false"/>
          <w:color w:val="000000"/>
          <w:sz w:val="20"/>
          <w:shd w:fill="FFFFFF" w:val="clear"/>
        </w:rPr>
        <w:t xml:space="preserve">goodwill impairment of $5.6 million which left </w:t>
      </w:r>
      <w:r>
        <w:rPr>
          <w:rFonts w:ascii="Times New Roman;sans-serif" w:hAnsi="Times New Roman;sans-serif"/>
          <w:b w:val="false"/>
          <w:color w:val="000000"/>
          <w:sz w:val="20"/>
        </w:rPr>
        <w:t>no</w:t>
      </w:r>
      <w:r>
        <w:rPr>
          <w:color w:val="000000"/>
          <w:shd w:fill="FFFFFF" w:val="clear"/>
        </w:rPr>
        <w:t xml:space="preserve"> </w:t>
      </w:r>
      <w:r>
        <w:rPr>
          <w:rFonts w:ascii="Times New Roman;sans-serif" w:hAnsi="Times New Roman;sans-serif"/>
          <w:b w:val="false"/>
          <w:color w:val="000000"/>
          <w:sz w:val="20"/>
          <w:shd w:fill="FFFFFF" w:val="clear"/>
        </w:rPr>
        <w:t xml:space="preserve">remaining goodwill in the Retail and Wholesale Products Group reporting unit and no impairment was identified for the Business to Business Products Group.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triggering events in fiscal year 2023 that would indicate a new impairment analysis is needed.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6. ACCRUED EXPENSES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is as follows (in thousands):</w:t>
      </w:r>
    </w:p>
    <w:p>
      <w:pPr>
        <w:pStyle w:val="TextBody"/>
        <w:bidi w:val="0"/>
        <w:spacing w:before="0" w:after="0"/>
        <w:jc w:val="left"/>
        <w:rPr/>
      </w:pPr>
      <w:r>
        <w:rPr/>
      </w:r>
    </w:p>
    <w:tbl>
      <w:tblPr>
        <w:tblW w:w="7296" w:type="dxa"/>
        <w:jc w:val="center"/>
        <w:tblInd w:w="0" w:type="dxa"/>
        <w:tblLayout w:type="fixed"/>
        <w:tblCellMar>
          <w:top w:w="28" w:type="dxa"/>
          <w:left w:w="28" w:type="dxa"/>
          <w:bottom w:w="28" w:type="dxa"/>
          <w:right w:w="28" w:type="dxa"/>
        </w:tblCellMar>
      </w:tblPr>
      <w:tblGrid>
        <w:gridCol w:w="1627"/>
        <w:gridCol w:w="1432"/>
        <w:gridCol w:w="1441"/>
        <w:gridCol w:w="109"/>
        <w:gridCol w:w="109"/>
        <w:gridCol w:w="109"/>
        <w:gridCol w:w="211"/>
        <w:gridCol w:w="736"/>
        <w:gridCol w:w="109"/>
        <w:gridCol w:w="109"/>
        <w:gridCol w:w="109"/>
        <w:gridCol w:w="109"/>
        <w:gridCol w:w="211"/>
        <w:gridCol w:w="721"/>
        <w:gridCol w:w="154"/>
      </w:tblGrid>
      <w:tr>
        <w:trPr/>
        <w:tc>
          <w:tcPr>
            <w:tcW w:w="1627"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31,</w:t>
              <w:br/>
              <w:t>2022</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Wages, Commissions and Employee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16,965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Freight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 Landfill Modification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Promotions and Advertising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10,796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35,312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increase in salaries, wages, commissions and employee benefits relates primarily to higher compensation expenses and annual bonus accrual for the first nine months of fiscal year 2023. The decrease in freight cost is primarily due to decreased fuel prices and the timing of charges for international ocean freight. Refer to Note 7 for details of the Georgia landfill modification reserve recorded in the second quarter of fiscal year 2023. Trade promotions and advertising accruals have increased with marketing spend due to timing. Real estate tax decreased due to the timing of payments which typically occur in the second quarter of the fiscal year. Other is higher at April 30, 2023 compared to July 31, 2022 due to an increase in accruals for income taxes, interest expense,</w:t>
      </w:r>
      <w:r>
        <w:rPr>
          <w:color w:val="000000"/>
          <w:shd w:fill="FFFFFF" w:val="clear"/>
        </w:rPr>
        <w:t xml:space="preserve"> </w:t>
      </w:r>
      <w:r>
        <w:rPr>
          <w:rFonts w:ascii="Times New Roman;sans-serif" w:hAnsi="Times New Roman;sans-serif"/>
          <w:b w:val="false"/>
          <w:color w:val="000000"/>
          <w:sz w:val="20"/>
          <w:shd w:fill="FFFFFF" w:val="clear"/>
        </w:rPr>
        <w:t xml:space="preserve">and other contingencies offset by a reduction in other accrued expenses due to timing of purchases.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7.</w:t>
      </w:r>
      <w:r>
        <w:rPr>
          <w:color w:val="000000"/>
        </w:rPr>
        <w:t xml:space="preserve"> </w:t>
      </w:r>
      <w:r>
        <w:rPr>
          <w:rFonts w:ascii="Times New Roman;sans-serif" w:hAnsi="Times New Roman;sans-serif"/>
          <w:b/>
          <w:color w:val="000000"/>
          <w:sz w:val="20"/>
        </w:rPr>
        <w:t>OTHER CONTINGENCIES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party to various legal actions from time to time that are ordinary in nature and incidental to the operation of our business, including ongoing litigation. While it is not possible at this time to determine with certainty the ultimate outcome of these or other lawsuits, we believe that none of the pending proceedings will have a material adverse effect on our business, financial condition, results of operations or cash flows. In June 2020, the Company received notice from a former service provider alleging a breach of contract regarding the payment of a contingency fee. Such party subsequently, in July 2020, filed a lawsuit seeking to require the Company to participate in binding mediation regarding this matter. Although we believe this claim to be without merit, as of July 31, 2020, we determined a reasonable estimate of this liability within a range, with no amount within that range being a better estimate than any other amount, and therefore recorded that estimate in Other within Accrued expenses. There have been no changes during fiscal 2022 or the nine months ended April 30, 2023, that would have changed this estimate. We believe that any loss related to this matter is unlikely to be material. However, the outcome of this legal matter is subject to significant uncertainties. The ability to predict the ultimate outcome of this legal matter involves judgments, estimates and inherent uncertainties. The actual outcome could differ materially from management’s estimates.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second quarter of fiscal year 2023, we recorded a reserve of $2.5 million for anticipated modification costs that we expect to incur to address capacity issues at our sole landfill located in Ochlocknee, Georgia. Reserves are recorded when it is probable that a liability has been incurred and the amount of the liability can be reasonably estimated. The amount of the reserve represents management’s best estimate of the costs for the modification with respect to this matter. There have been no changes to the reserve estimate in the third quarter of fiscal year 2023. Inherent uncertainties exist in these estimates primarily due to unknown conditions, changing governmental regulations and legal standards, and emerging technologies for handling site modification. Consequently, it is reasonably possible that modification costs in excess of amounts accrued could have a material impact on the Company’s results of operations, financial condition and cash flows.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8. DEBT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August 30, 2022, we entered into (i) the Sixth Amendment to Credit Agreement (the "Sixth Amendment"), which amends the Credit Agreement, dated as of January 27, 2006 (as previously amended, the "Credit Agreement"), among us, BMO Harris Bank N.A (“BMO”), and certain of our domestic subsidiaries; and (ii) Amendment No. 3 (the "Third Amendment") to our Amended and Restated Note Purchase and Private Shelf Agreement, dated as of May 15, 2020 (as previously amended, the "Note Agreement"), with PGIM, Inc. ("Prudential") and certain existing noteholders affiliated with Prudential named therein.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Sixth Amendment amended the Credit Agreement to, among other things: extend the facility termination date to August 30, 2027; replace the LIBOR-based reference rate with an adjusted term Secured Overnight Financing Rate ("SOFR"); revise the method for calculating consolidated EBITDA and consolidated debt for purposes of the Credit Agreement; modify certain restrictive covenants, including increasing the unsecured indebtedness basket from $50 million to $75 million; and revise the existing financial covenants by replacing the consolidated debt covenant with a covenant to maintain a maximum debt to earnings ratio, lowering the minimum fixed charge coverage ratio level and revising the method for calculating the fixed charge coverage ratio.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Third Amendment amended the Note Agreement to, among other things, modify the existing fixed charge coverage financial covenant and replace the existing consolidated debt financial covenant with a maximum debt to earnings ratio and effect certain changes consistent with the Sixth Amendment, including modifying the method for calculating consolidated EBITDA and the excess leverage fee.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9. LEASES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operating leases primarily for real estate properties, including corporate headquarters, customer service and sales offices, manufacturing and packaging facilities, warehouses, and research and development facilities, as well as for rail tracks, railcars and office equipment. Certain of our leases for a shared warehouse and office facility, rail track and railcars have options to extend which we are reasonably certain we will exercise and, accordingly, have been considered in the lease term used to recognize our ROU assets and lease liabilities. To determine the present value of the lease liability, we use an incremental borrowing rate, which is defined as the rate of interest that the Company would have to pay to borrow (on a collateralized basis over a similar term) an amount equal to the lease payments in similar economic environments. Further information about our accounting policy for leases is included in Note 1 of the Notes to the unaudited Condensed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no material finance leases, and variable costs for operating leases are immaterial for the three and nine months ended April 30, 2023. Operating lease costs are included in Cost of Goods Sold or SG&amp;A expenses based on the nature of the lease. The following table summarizes total lease costs for our operating leases (in thousands):</w:t>
      </w:r>
    </w:p>
    <w:tbl>
      <w:tblPr>
        <w:tblW w:w="9641" w:type="dxa"/>
        <w:jc w:val="center"/>
        <w:tblInd w:w="0" w:type="dxa"/>
        <w:tblLayout w:type="fixed"/>
        <w:tblCellMar>
          <w:top w:w="28" w:type="dxa"/>
          <w:left w:w="28" w:type="dxa"/>
          <w:bottom w:w="28" w:type="dxa"/>
          <w:right w:w="28" w:type="dxa"/>
        </w:tblCellMar>
      </w:tblPr>
      <w:tblGrid>
        <w:gridCol w:w="950"/>
        <w:gridCol w:w="834"/>
        <w:gridCol w:w="840"/>
        <w:gridCol w:w="367"/>
        <w:gridCol w:w="837"/>
        <w:gridCol w:w="189"/>
        <w:gridCol w:w="189"/>
        <w:gridCol w:w="189"/>
        <w:gridCol w:w="189"/>
        <w:gridCol w:w="367"/>
        <w:gridCol w:w="810"/>
        <w:gridCol w:w="189"/>
        <w:gridCol w:w="109"/>
        <w:gridCol w:w="109"/>
        <w:gridCol w:w="109"/>
        <w:gridCol w:w="306"/>
        <w:gridCol w:w="915"/>
        <w:gridCol w:w="158"/>
        <w:gridCol w:w="158"/>
        <w:gridCol w:w="158"/>
        <w:gridCol w:w="158"/>
        <w:gridCol w:w="306"/>
        <w:gridCol w:w="893"/>
        <w:gridCol w:w="158"/>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Nine Months Ended April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9"/>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 Cost</w:t>
            </w:r>
          </w:p>
        </w:tc>
        <w:tc>
          <w:tcPr>
            <w:tcW w:w="1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689</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2,072</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operating lease cost</w:t>
            </w:r>
          </w:p>
        </w:tc>
        <w:tc>
          <w:tcPr>
            <w:tcW w:w="12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leases was as follows (in thousands):</w:t>
      </w:r>
    </w:p>
    <w:tbl>
      <w:tblPr>
        <w:tblW w:w="10205" w:type="dxa"/>
        <w:jc w:val="center"/>
        <w:tblInd w:w="0" w:type="dxa"/>
        <w:tblLayout w:type="fixed"/>
        <w:tblCellMar>
          <w:top w:w="28" w:type="dxa"/>
          <w:left w:w="28" w:type="dxa"/>
          <w:bottom w:w="28" w:type="dxa"/>
          <w:right w:w="28" w:type="dxa"/>
        </w:tblCellMar>
      </w:tblPr>
      <w:tblGrid>
        <w:gridCol w:w="1578"/>
        <w:gridCol w:w="1373"/>
        <w:gridCol w:w="1378"/>
        <w:gridCol w:w="300"/>
        <w:gridCol w:w="684"/>
        <w:gridCol w:w="154"/>
        <w:gridCol w:w="154"/>
        <w:gridCol w:w="154"/>
        <w:gridCol w:w="154"/>
        <w:gridCol w:w="300"/>
        <w:gridCol w:w="662"/>
        <w:gridCol w:w="154"/>
        <w:gridCol w:w="109"/>
        <w:gridCol w:w="109"/>
        <w:gridCol w:w="109"/>
        <w:gridCol w:w="264"/>
        <w:gridCol w:w="789"/>
        <w:gridCol w:w="136"/>
        <w:gridCol w:w="136"/>
        <w:gridCol w:w="136"/>
        <w:gridCol w:w="136"/>
        <w:gridCol w:w="264"/>
        <w:gridCol w:w="770"/>
        <w:gridCol w:w="202"/>
      </w:tblGrid>
      <w:tr>
        <w:trPr/>
        <w:tc>
          <w:tcPr>
            <w:tcW w:w="1578"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4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Nine Months Ended April 30,</w:t>
            </w:r>
          </w:p>
        </w:tc>
      </w:tr>
      <w:tr>
        <w:trPr/>
        <w:tc>
          <w:tcPr>
            <w:tcW w:w="4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4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Information</w:t>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operating lease liabilities:</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592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1,772</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operating lease liabilities</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575</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ROU assets and operating lease liabilities are separately presented on the unaudited Condensed Consolidated Balance Sheet, excluding leases with an initial term of twelve months or less. Other supplemental balance sheet information related to leases was as follows:</w:t>
      </w:r>
    </w:p>
    <w:tbl>
      <w:tblPr>
        <w:tblW w:w="7975" w:type="dxa"/>
        <w:jc w:val="center"/>
        <w:tblInd w:w="0" w:type="dxa"/>
        <w:tblLayout w:type="fixed"/>
        <w:tblCellMar>
          <w:top w:w="28" w:type="dxa"/>
          <w:left w:w="28" w:type="dxa"/>
          <w:bottom w:w="28" w:type="dxa"/>
          <w:right w:w="28" w:type="dxa"/>
        </w:tblCellMar>
      </w:tblPr>
      <w:tblGrid>
        <w:gridCol w:w="1826"/>
        <w:gridCol w:w="1604"/>
        <w:gridCol w:w="1610"/>
        <w:gridCol w:w="439"/>
        <w:gridCol w:w="439"/>
        <w:gridCol w:w="441"/>
        <w:gridCol w:w="109"/>
        <w:gridCol w:w="109"/>
        <w:gridCol w:w="109"/>
        <w:gridCol w:w="377"/>
        <w:gridCol w:w="377"/>
        <w:gridCol w:w="535"/>
      </w:tblGrid>
      <w:tr>
        <w:trPr/>
        <w:tc>
          <w:tcPr>
            <w:tcW w:w="1826"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31, 2022</w:t>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remaining lease term - operating leases</w:t>
            </w:r>
          </w:p>
        </w:tc>
        <w:tc>
          <w:tcPr>
            <w:tcW w:w="13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 years</w:t>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discount rate - operating leases</w:t>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3.91%</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scheduled minimum future lease payments due within twelve months for operating leases with terms longer than one year for which cash flows are fixed and determinable as of April 30, 2023, (in thousands):</w:t>
      </w:r>
    </w:p>
    <w:tbl>
      <w:tblPr>
        <w:tblW w:w="3115" w:type="dxa"/>
        <w:jc w:val="center"/>
        <w:tblInd w:w="0" w:type="dxa"/>
        <w:tblLayout w:type="fixed"/>
        <w:tblCellMar>
          <w:top w:w="28" w:type="dxa"/>
          <w:left w:w="28" w:type="dxa"/>
          <w:bottom w:w="28" w:type="dxa"/>
          <w:right w:w="28" w:type="dxa"/>
        </w:tblCellMar>
      </w:tblPr>
      <w:tblGrid>
        <w:gridCol w:w="689"/>
        <w:gridCol w:w="604"/>
        <w:gridCol w:w="612"/>
        <w:gridCol w:w="211"/>
        <w:gridCol w:w="736"/>
        <w:gridCol w:w="109"/>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12,515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lease obligation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10,730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10.</w:t>
      </w:r>
      <w:r>
        <w:rPr>
          <w:color w:val="000000"/>
        </w:rPr>
        <w:t> </w:t>
      </w:r>
      <w:r>
        <w:rPr>
          <w:rFonts w:ascii="Times New Roman;sans-serif" w:hAnsi="Times New Roman;sans-serif"/>
          <w:b/>
          <w:color w:val="000000"/>
          <w:sz w:val="20"/>
        </w:rPr>
        <w:t>PENSION AND OTHER POSTRETIREMENT BENEFITS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Pension and Postretirement Health Benefits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Oil-Dri Corporation of America Pension Plan ("Pension Plan") was a defined benefit pension plan for eligible salaried and hourly employees. Pension benefits were based on a formula of years of credited service and levels of compensation or stated amounts for each year of credited service. On January 9, 2020, Oil-Dri amended the Pension Plan to freeze participation, all future benefit accruals and accrual of benefit service, including consideration of compensation increases, effective March 1, 2020. Consequently, the Pension Plan was closed to new participants and existing participants no longer earned additional benefits on or after March 1, 2020. On September 20, 2022, the Company's Board of Directors approved a resolution to terminate the Company's defined benefit pension plan. </w:t>
      </w:r>
    </w:p>
    <w:p>
      <w:pPr>
        <w:pStyle w:val="TextBody"/>
        <w:bidi w:val="0"/>
        <w:spacing w:lineRule="auto" w:line="288" w:before="0" w:after="0"/>
        <w:jc w:val="both"/>
        <w:rPr/>
      </w:pPr>
      <w:r>
        <w:rPr>
          <w:rFonts w:ascii="Times New Roman;sans-serif" w:hAnsi="Times New Roman;sans-serif"/>
          <w:b w:val="false"/>
          <w:color w:val="000000"/>
          <w:sz w:val="20"/>
          <w:shd w:fill="FFFF00" w:val="clear"/>
        </w:rPr>
        <w:br/>
      </w:r>
      <w:r>
        <w:rPr>
          <w:rFonts w:ascii="Times New Roman;sans-serif" w:hAnsi="Times New Roman;sans-serif"/>
          <w:b w:val="false"/>
          <w:color w:val="000000"/>
          <w:sz w:val="20"/>
        </w:rPr>
        <w:t>On April 20, 2023, Oil-Dri settled $14 million of the pension obligation through the purchase of an annuity. The remaining $16 million of the pension obligation was settled on April 28, 2023, via lump-sum payments. All pension assets were remeasured immediately before settlement resulting in a net surplus amount of $3.6 million and net unrealized loss of $2.0 million included in accumulated other comprehensive income. Upon settlement of the pension obligations Oil-Dri recognized through net income all unrealized losses resulting in a $2.0 million reduction to net income included in "Loss on pension termination" within "Other Income (Expense), Net".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27, 2023, the Executive Committee of the Company's Board of Directors approved the distribution of the surplus to a qualified defined contribution retirement fund. A portion of the surplus to be distributed to pension participants was irrevocably distributed to the 401(k) plan on April 28, 2023, which resulted in an additional $2.8 million charge to net income included in "Loss on pension termination" within "Other Income (Expense), Net". The remaining $0.8 million to be held by the 401(k) plan to cover qualified future plan expenses was recognized as a prepaid asset.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postretirement health benefits plan is also provided to domestic salaried employees who meet specific age, participation and length of service requirements at the time of retirement. Eligible employees may elect to continue their health care coverage under the Oil-Dri Corporation of America Employee Benefits Plan until the date certain criteria are met, including attaining the age of Medicare eligibility. We have the right to modify or terminate the postretirement health benefit plan at any time. The postretirement health plan is an unfunded plan. We pay insurance premiums and claims from our assets.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net periodic pension and postretirement health benefit costs were as follows:</w:t>
      </w:r>
    </w:p>
    <w:p>
      <w:pPr>
        <w:pStyle w:val="TextBody"/>
        <w:bidi w:val="0"/>
        <w:spacing w:before="0" w:after="0"/>
        <w:jc w:val="left"/>
        <w:rPr/>
      </w:pPr>
      <w:r>
        <w:rPr/>
      </w:r>
    </w:p>
    <w:tbl>
      <w:tblPr>
        <w:tblW w:w="9487" w:type="dxa"/>
        <w:jc w:val="left"/>
        <w:tblInd w:w="0" w:type="dxa"/>
        <w:tblLayout w:type="fixed"/>
        <w:tblCellMar>
          <w:top w:w="28" w:type="dxa"/>
          <w:left w:w="28" w:type="dxa"/>
          <w:bottom w:w="28" w:type="dxa"/>
          <w:right w:w="28" w:type="dxa"/>
        </w:tblCellMar>
      </w:tblPr>
      <w:tblGrid>
        <w:gridCol w:w="933"/>
        <w:gridCol w:w="820"/>
        <w:gridCol w:w="827"/>
        <w:gridCol w:w="328"/>
        <w:gridCol w:w="983"/>
        <w:gridCol w:w="169"/>
        <w:gridCol w:w="169"/>
        <w:gridCol w:w="169"/>
        <w:gridCol w:w="169"/>
        <w:gridCol w:w="328"/>
        <w:gridCol w:w="843"/>
        <w:gridCol w:w="169"/>
        <w:gridCol w:w="109"/>
        <w:gridCol w:w="109"/>
        <w:gridCol w:w="109"/>
        <w:gridCol w:w="294"/>
        <w:gridCol w:w="880"/>
        <w:gridCol w:w="152"/>
        <w:gridCol w:w="152"/>
        <w:gridCol w:w="152"/>
        <w:gridCol w:w="152"/>
        <w:gridCol w:w="294"/>
        <w:gridCol w:w="963"/>
        <w:gridCol w:w="214"/>
      </w:tblGrid>
      <w:tr>
        <w:trPr/>
        <w:tc>
          <w:tcPr>
            <w:tcW w:w="9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Pension Benefits</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0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April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Nine Months Ended April 30,</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336</w:t>
            </w: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1,009</w:t>
            </w: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(557)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(1,673)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w:t>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Other actuarial loss</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w:t>
            </w: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w:t>
            </w: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pension termination</w:t>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4,858</w:t>
            </w: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4,858</w:t>
            </w: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periodic benefit cost</w:t>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4,651</w:t>
            </w:r>
            <w:r>
              <w:rPr>
                <w:color w:val="000000"/>
              </w:rPr>
              <w:t>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4,236</w:t>
            </w: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Postretirement Health Benefits</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0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April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Nine Months Ended April 30,</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w:t>
            </w: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63</w:t>
            </w: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w:t>
            </w: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w:t>
            </w: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w:t>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Other actuarial loss</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Prior service costs</w:t>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periodic benefit cost</w:t>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w:t>
            </w:r>
            <w:r>
              <w:rPr>
                <w:color w:val="000000"/>
              </w:rPr>
              <w:t>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w:t>
            </w:r>
            <w:r>
              <w:rPr>
                <w:color w:val="000000"/>
              </w:rPr>
              <w:t>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non-service cost components of net periodic benefit cost are included in Other Income (Expense) in the line item Other, net on the unaudited Condensed Consolidated Statements of Income.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Assumptions used in the previous calculations were as follows:</w:t>
      </w:r>
    </w:p>
    <w:p>
      <w:pPr>
        <w:pStyle w:val="TextBody"/>
        <w:bidi w:val="0"/>
        <w:spacing w:lineRule="auto" w:line="288" w:before="0" w:after="0"/>
        <w:jc w:val="left"/>
        <w:rPr>
          <w:color w:val="000000"/>
        </w:rPr>
      </w:pPr>
      <w:r>
        <w:rPr>
          <w:color w:val="000000"/>
        </w:rPr>
        <w:t>    </w:t>
      </w:r>
    </w:p>
    <w:tbl>
      <w:tblPr>
        <w:tblW w:w="8880" w:type="dxa"/>
        <w:jc w:val="left"/>
        <w:tblInd w:w="0" w:type="dxa"/>
        <w:tblLayout w:type="fixed"/>
        <w:tblCellMar>
          <w:top w:w="28" w:type="dxa"/>
          <w:left w:w="28" w:type="dxa"/>
          <w:bottom w:w="28" w:type="dxa"/>
          <w:right w:w="28" w:type="dxa"/>
        </w:tblCellMar>
      </w:tblPr>
      <w:tblGrid>
        <w:gridCol w:w="1303"/>
        <w:gridCol w:w="1144"/>
        <w:gridCol w:w="1152"/>
        <w:gridCol w:w="271"/>
        <w:gridCol w:w="255"/>
        <w:gridCol w:w="335"/>
        <w:gridCol w:w="121"/>
        <w:gridCol w:w="121"/>
        <w:gridCol w:w="121"/>
        <w:gridCol w:w="255"/>
        <w:gridCol w:w="256"/>
        <w:gridCol w:w="301"/>
        <w:gridCol w:w="109"/>
        <w:gridCol w:w="109"/>
        <w:gridCol w:w="109"/>
        <w:gridCol w:w="263"/>
        <w:gridCol w:w="263"/>
        <w:gridCol w:w="597"/>
        <w:gridCol w:w="216"/>
        <w:gridCol w:w="216"/>
        <w:gridCol w:w="216"/>
        <w:gridCol w:w="278"/>
        <w:gridCol w:w="233"/>
        <w:gridCol w:w="636"/>
      </w:tblGrid>
      <w:tr>
        <w:trPr/>
        <w:tc>
          <w:tcPr>
            <w:tcW w:w="1303"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3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Postretirement Health Benefits</w:t>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8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and Nine Months Ended April 30,</w:t>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 for net periodic benefit cost</w:t>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4.05</w:t>
            </w:r>
            <w:r>
              <w:rPr>
                <w:color w:val="000000"/>
              </w:rPr>
              <w:t>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3.82</w:t>
            </w:r>
            <w:r>
              <w:rPr>
                <w:color w:val="000000"/>
              </w:rPr>
              <w:t> </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Rate of increase in compensation levels</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expected rate of return on assets</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6.50</w:t>
            </w: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medical cost trend assumption for postretirement health benefits was 8.50%. The graded trend rate is expected to decrease to an ultimate rate of 4.90% in fiscal year 2044.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11. OPERATING SEGMENTS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As a result of a change in management organization during fiscal year 2022 and as part of our routine assessments of our segments, our wholly owned subsidiary located in the United Kingdom (UK) is now included in our Business to Business Products Group and our co-packaged coarse cat litter is now included in the Retail and Wholesale Products Group. Prior year net sales and operating income have also been reclassified to reflect these changes.</w:t>
      </w:r>
      <w:r>
        <w:rPr>
          <w:color w:val="000000"/>
        </w:rPr>
        <w:t xml:space="preserve"> </w:t>
      </w:r>
      <w:r>
        <w:rPr>
          <w:rFonts w:ascii="Times New Roman;sans-serif" w:hAnsi="Times New Roman;sans-serif"/>
          <w:b w:val="false"/>
          <w:color w:val="000000"/>
          <w:sz w:val="20"/>
        </w:rPr>
        <w:t>The organization change was intended to better serve our customers and the segment information presented reflects the information regularly reviewed by our chief operating decision maker.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two operating segments: (1) Business to Business Products Group and (2) Retail and Wholesale Products Group. These operating segments are managed separately and each segment's major customers have different characteristics. The Retail and Wholesale Products Group customers include: mass merchandisers; wholesale clubs; drugstore chains; pet specialty retail outlets; dollar stores; retail grocery stores; e-commerce retailers; distributors of industrial cleanup and automotive products; environmental service companies; and sports field product users; and marketers of consumer products. The Business to Business Products Group customers include: processors and refiners of edible oils, petroleum-based oils and biodiesel fuel; manufacturers of animal feed and agricultural chemicals; and distributors of animal health and nutrition products. Our operating segments are also our reportable segments. The accounting policies of the segments are the same as those described in Note 1 of the Notes to the Consolidated Financial Statements included in our Annual Report on Form 10-K for the fiscal year ended July 31, 2022.</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sales for our principal products by segment are as follows (in thousands):</w:t>
      </w:r>
    </w:p>
    <w:tbl>
      <w:tblPr>
        <w:tblW w:w="10159" w:type="dxa"/>
        <w:jc w:val="left"/>
        <w:tblInd w:w="0" w:type="dxa"/>
        <w:tblLayout w:type="fixed"/>
        <w:tblCellMar>
          <w:top w:w="28" w:type="dxa"/>
          <w:left w:w="28" w:type="dxa"/>
          <w:bottom w:w="28" w:type="dxa"/>
          <w:right w:w="28" w:type="dxa"/>
        </w:tblCellMar>
      </w:tblPr>
      <w:tblGrid>
        <w:gridCol w:w="1190"/>
        <w:gridCol w:w="1047"/>
        <w:gridCol w:w="1062"/>
        <w:gridCol w:w="266"/>
        <w:gridCol w:w="1062"/>
        <w:gridCol w:w="137"/>
        <w:gridCol w:w="137"/>
        <w:gridCol w:w="137"/>
        <w:gridCol w:w="137"/>
        <w:gridCol w:w="266"/>
        <w:gridCol w:w="911"/>
        <w:gridCol w:w="137"/>
        <w:gridCol w:w="109"/>
        <w:gridCol w:w="109"/>
        <w:gridCol w:w="109"/>
        <w:gridCol w:w="263"/>
        <w:gridCol w:w="1050"/>
        <w:gridCol w:w="136"/>
        <w:gridCol w:w="136"/>
        <w:gridCol w:w="136"/>
        <w:gridCol w:w="136"/>
        <w:gridCol w:w="263"/>
        <w:gridCol w:w="1031"/>
        <w:gridCol w:w="192"/>
      </w:tblGrid>
      <w:tr>
        <w:trPr/>
        <w:tc>
          <w:tcPr>
            <w:tcW w:w="119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Business to Business Products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Retail and Wholesale Products Group</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Nine Months Ended April 30,</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Product</w:t>
            </w:r>
          </w:p>
        </w:tc>
        <w:tc>
          <w:tcPr>
            <w:tcW w:w="1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Cat Litter</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167,841</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145,753 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 and Sports</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33,539</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Agricultural and Horticultural</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30,507</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21,469 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Bleaching Clay and Fluids Purification</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55,012</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45,260 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Animal Health and Nutrition</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18,734</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104,253</w:t>
            </w:r>
            <w:r>
              <w:rPr>
                <w:color w:val="000000"/>
              </w:rPr>
              <w:t>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81,150 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201,380</w:t>
            </w:r>
            <w:r>
              <w:rPr>
                <w:color w:val="000000"/>
              </w:rPr>
              <w:t>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174,281 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157" w:type="dxa"/>
        <w:jc w:val="left"/>
        <w:tblInd w:w="0" w:type="dxa"/>
        <w:tblLayout w:type="fixed"/>
        <w:tblCellMar>
          <w:top w:w="28" w:type="dxa"/>
          <w:left w:w="28" w:type="dxa"/>
          <w:bottom w:w="28" w:type="dxa"/>
          <w:right w:w="28" w:type="dxa"/>
        </w:tblCellMar>
      </w:tblPr>
      <w:tblGrid>
        <w:gridCol w:w="1190"/>
        <w:gridCol w:w="1047"/>
        <w:gridCol w:w="1062"/>
        <w:gridCol w:w="278"/>
        <w:gridCol w:w="970"/>
        <w:gridCol w:w="143"/>
        <w:gridCol w:w="143"/>
        <w:gridCol w:w="143"/>
        <w:gridCol w:w="143"/>
        <w:gridCol w:w="278"/>
        <w:gridCol w:w="950"/>
        <w:gridCol w:w="143"/>
        <w:gridCol w:w="109"/>
        <w:gridCol w:w="109"/>
        <w:gridCol w:w="109"/>
        <w:gridCol w:w="285"/>
        <w:gridCol w:w="997"/>
        <w:gridCol w:w="147"/>
        <w:gridCol w:w="147"/>
        <w:gridCol w:w="147"/>
        <w:gridCol w:w="147"/>
        <w:gridCol w:w="285"/>
        <w:gridCol w:w="977"/>
        <w:gridCol w:w="208"/>
      </w:tblGrid>
      <w:tr>
        <w:trPr/>
        <w:tc>
          <w:tcPr>
            <w:tcW w:w="119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Business to Business Products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Retail and Wholesale Products Group</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April 30,</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Product</w:t>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Cat Litter</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57,262</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47,286 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 and Sports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12,751</w:t>
            </w: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Agricultural and Horticultural</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10,719</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Bleaching Clay and Fluids Purification</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17,771</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Animal Health and Nutrition</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6,922</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35,412</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27,888 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70,013</w:t>
            </w:r>
            <w:r>
              <w:rPr>
                <w:color w:val="000000"/>
              </w:rPr>
              <w:t>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57,873 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do not rely on any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We have refined the basis of allocation for certain of our assets as of April 30, 2023 and we have restated the allocation of assets as of July 31, 2022 presented below to enhance comparability. The asset allocation is estimated and is not a measure used by our chief operating decision maker about allocating resources to the operating segments or in assessing their performance. </w:t>
      </w:r>
    </w:p>
    <w:tbl>
      <w:tblPr>
        <w:tblW w:w="6419" w:type="dxa"/>
        <w:jc w:val="center"/>
        <w:tblInd w:w="0" w:type="dxa"/>
        <w:tblLayout w:type="fixed"/>
        <w:tblCellMar>
          <w:top w:w="28" w:type="dxa"/>
          <w:left w:w="28" w:type="dxa"/>
          <w:bottom w:w="28" w:type="dxa"/>
          <w:right w:w="28" w:type="dxa"/>
        </w:tblCellMar>
      </w:tblPr>
      <w:tblGrid>
        <w:gridCol w:w="296"/>
        <w:gridCol w:w="260"/>
        <w:gridCol w:w="260"/>
        <w:gridCol w:w="260"/>
        <w:gridCol w:w="260"/>
        <w:gridCol w:w="260"/>
        <w:gridCol w:w="260"/>
        <w:gridCol w:w="260"/>
        <w:gridCol w:w="260"/>
        <w:gridCol w:w="260"/>
        <w:gridCol w:w="260"/>
        <w:gridCol w:w="260"/>
        <w:gridCol w:w="109"/>
        <w:gridCol w:w="109"/>
        <w:gridCol w:w="109"/>
        <w:gridCol w:w="240"/>
        <w:gridCol w:w="956"/>
        <w:gridCol w:w="124"/>
        <w:gridCol w:w="109"/>
        <w:gridCol w:w="109"/>
        <w:gridCol w:w="109"/>
        <w:gridCol w:w="228"/>
        <w:gridCol w:w="895"/>
        <w:gridCol w:w="166"/>
      </w:tblGrid>
      <w:tr>
        <w:trPr/>
        <w:tc>
          <w:tcPr>
            <w:tcW w:w="29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r>
      <w:tr>
        <w:trPr/>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31, 2022</w:t>
            </w:r>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3156"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to Business Products Group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85,065</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77,840 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6"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and Wholesale Products Group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129,485</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125,293 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6"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55,746</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46,478 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6"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270,296</w:t>
            </w:r>
            <w:r>
              <w:rPr>
                <w:color w:val="000000"/>
              </w:rPr>
              <w:t>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249,611 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sales and operating income for each segment are provided below. The corporate expenses line includes certain unallocated expenses, including primarily salaries, wages and benefits, purchased services, rent, utilities and depreciation and amortization associated with corporate functions such as information systems, finance, legal, human resources and customer service. </w:t>
      </w:r>
    </w:p>
    <w:p>
      <w:pPr>
        <w:pStyle w:val="TextBody"/>
        <w:bidi w:val="0"/>
        <w:spacing w:before="0" w:after="0"/>
        <w:jc w:val="both"/>
        <w:rPr/>
      </w:pPr>
      <w:r>
        <w:rPr/>
      </w:r>
    </w:p>
    <w:tbl>
      <w:tblPr>
        <w:tblW w:w="8594" w:type="dxa"/>
        <w:jc w:val="left"/>
        <w:tblInd w:w="0" w:type="dxa"/>
        <w:tblLayout w:type="fixed"/>
        <w:tblCellMar>
          <w:top w:w="28" w:type="dxa"/>
          <w:left w:w="28" w:type="dxa"/>
          <w:bottom w:w="28" w:type="dxa"/>
          <w:right w:w="28" w:type="dxa"/>
        </w:tblCellMar>
      </w:tblPr>
      <w:tblGrid>
        <w:gridCol w:w="1144"/>
        <w:gridCol w:w="1008"/>
        <w:gridCol w:w="1012"/>
        <w:gridCol w:w="211"/>
        <w:gridCol w:w="841"/>
        <w:gridCol w:w="109"/>
        <w:gridCol w:w="109"/>
        <w:gridCol w:w="109"/>
        <w:gridCol w:w="109"/>
        <w:gridCol w:w="211"/>
        <w:gridCol w:w="826"/>
        <w:gridCol w:w="109"/>
        <w:gridCol w:w="109"/>
        <w:gridCol w:w="109"/>
        <w:gridCol w:w="109"/>
        <w:gridCol w:w="211"/>
        <w:gridCol w:w="736"/>
        <w:gridCol w:w="109"/>
        <w:gridCol w:w="109"/>
        <w:gridCol w:w="109"/>
        <w:gridCol w:w="109"/>
        <w:gridCol w:w="211"/>
        <w:gridCol w:w="721"/>
        <w:gridCol w:w="154"/>
      </w:tblGrid>
      <w:tr>
        <w:trPr/>
        <w:tc>
          <w:tcPr>
            <w:tcW w:w="114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3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Nine Months Ended April 30,</w:t>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Income</w:t>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3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(in thousands)</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to Business Products Group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104,253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24,794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and Wholesale Products Group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201,380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305,633</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255,431 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8"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8"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28,331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8"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(6,874)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8"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21,457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8"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(3,893)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8"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17,564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8"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8"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Oil-Dri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17,632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354" w:type="dxa"/>
        <w:jc w:val="left"/>
        <w:tblInd w:w="0" w:type="dxa"/>
        <w:tblLayout w:type="fixed"/>
        <w:tblCellMar>
          <w:top w:w="28" w:type="dxa"/>
          <w:left w:w="28" w:type="dxa"/>
          <w:bottom w:w="28" w:type="dxa"/>
          <w:right w:w="28" w:type="dxa"/>
        </w:tblCellMar>
      </w:tblPr>
      <w:tblGrid>
        <w:gridCol w:w="1144"/>
        <w:gridCol w:w="1008"/>
        <w:gridCol w:w="1012"/>
        <w:gridCol w:w="211"/>
        <w:gridCol w:w="841"/>
        <w:gridCol w:w="109"/>
        <w:gridCol w:w="109"/>
        <w:gridCol w:w="109"/>
        <w:gridCol w:w="109"/>
        <w:gridCol w:w="211"/>
        <w:gridCol w:w="721"/>
        <w:gridCol w:w="109"/>
        <w:gridCol w:w="109"/>
        <w:gridCol w:w="109"/>
        <w:gridCol w:w="109"/>
        <w:gridCol w:w="211"/>
        <w:gridCol w:w="631"/>
        <w:gridCol w:w="109"/>
        <w:gridCol w:w="109"/>
        <w:gridCol w:w="109"/>
        <w:gridCol w:w="109"/>
        <w:gridCol w:w="211"/>
        <w:gridCol w:w="691"/>
        <w:gridCol w:w="154"/>
      </w:tblGrid>
      <w:tr>
        <w:trPr/>
        <w:tc>
          <w:tcPr>
            <w:tcW w:w="114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April 30,</w:t>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Income</w:t>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9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(in thousands)</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to Business Products Group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35,412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9,803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and Wholesale Products Group</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70,013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10,744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105,425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85,761 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(6,091)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14,456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9,981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Oil-Dri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8,535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12.</w:t>
      </w:r>
      <w:r>
        <w:rPr>
          <w:color w:val="000000"/>
        </w:rPr>
        <w:t> </w:t>
      </w:r>
      <w:r>
        <w:rPr>
          <w:rFonts w:ascii="Times New Roman;sans-serif" w:hAnsi="Times New Roman;sans-serif"/>
          <w:b/>
          <w:color w:val="000000"/>
          <w:sz w:val="20"/>
        </w:rPr>
        <w:t>STOCK-BASED COMPENSATION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Oil-Dri Corporation of America 2006 Long Term Incentive Plan, as amended (the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1,219,500. As of April 30, 2023, there were 245,209 shares available for future grants under this plan.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Restricted Stock</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of our non-vested restricted stock as of April 30, 2023 was issued under the 2006 Plan with vesting periods generally between one and five years. We determined the fair value of restricted stock as of the grant date. We recognize the related compensation expense over the period from the date of grant to the date the shares vest.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59 thousand and 122 thousand restricted shares of Common Stock granted during the third quarter of fiscal years 2023 and 2022, respectively. Stock-based compensation was $0.7 million and $0.8 million for the third quarter of fiscal years 2023 and 2022, respectively. Stock-based compensation expense was $2.3 million for the first nine months of both fiscal years 2023 and 2022, respectively.</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restricted stock transactions is shown below:</w:t>
      </w:r>
    </w:p>
    <w:tbl>
      <w:tblPr>
        <w:tblW w:w="10205" w:type="dxa"/>
        <w:jc w:val="left"/>
        <w:tblInd w:w="0" w:type="dxa"/>
        <w:tblLayout w:type="fixed"/>
        <w:tblCellMar>
          <w:top w:w="28" w:type="dxa"/>
          <w:left w:w="28" w:type="dxa"/>
          <w:bottom w:w="28" w:type="dxa"/>
          <w:right w:w="28" w:type="dxa"/>
        </w:tblCellMar>
      </w:tblPr>
      <w:tblGrid>
        <w:gridCol w:w="1701"/>
        <w:gridCol w:w="1495"/>
        <w:gridCol w:w="1499"/>
        <w:gridCol w:w="519"/>
        <w:gridCol w:w="519"/>
        <w:gridCol w:w="521"/>
        <w:gridCol w:w="109"/>
        <w:gridCol w:w="109"/>
        <w:gridCol w:w="109"/>
        <w:gridCol w:w="778"/>
        <w:gridCol w:w="2273"/>
        <w:gridCol w:w="573"/>
      </w:tblGrid>
      <w:tr>
        <w:trPr/>
        <w:tc>
          <w:tcPr>
            <w:tcW w:w="1701"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Restricted 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restricted stock outstanding at July 31, 2022</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33.63 </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35.16 </w:t>
            </w:r>
          </w:p>
        </w:tc>
        <w:tc>
          <w:tcPr>
            <w:tcW w:w="5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Forfeitures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restricted stock outstanding at April 30, 2023</w:t>
            </w:r>
          </w:p>
        </w:tc>
        <w:tc>
          <w:tcPr>
            <w:tcW w:w="10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5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32.83 </w:t>
            </w:r>
          </w:p>
        </w:tc>
        <w:tc>
          <w:tcPr>
            <w:tcW w:w="5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13. ACCUMULATED OTHER COMPREHENSIVE (LOSS) INCOME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accumulated other comprehensive (loss) income by component as of April 30, 2023 (in thousands):</w:t>
      </w:r>
    </w:p>
    <w:tbl>
      <w:tblPr>
        <w:tblW w:w="10205" w:type="dxa"/>
        <w:jc w:val="center"/>
        <w:tblInd w:w="0" w:type="dxa"/>
        <w:tblLayout w:type="fixed"/>
        <w:tblCellMar>
          <w:top w:w="28" w:type="dxa"/>
          <w:left w:w="28" w:type="dxa"/>
          <w:bottom w:w="28" w:type="dxa"/>
          <w:right w:w="28" w:type="dxa"/>
        </w:tblCellMar>
      </w:tblPr>
      <w:tblGrid>
        <w:gridCol w:w="1338"/>
        <w:gridCol w:w="914"/>
        <w:gridCol w:w="839"/>
        <w:gridCol w:w="472"/>
        <w:gridCol w:w="1413"/>
        <w:gridCol w:w="244"/>
        <w:gridCol w:w="109"/>
        <w:gridCol w:w="109"/>
        <w:gridCol w:w="109"/>
        <w:gridCol w:w="462"/>
        <w:gridCol w:w="1057"/>
        <w:gridCol w:w="240"/>
        <w:gridCol w:w="109"/>
        <w:gridCol w:w="109"/>
        <w:gridCol w:w="109"/>
        <w:gridCol w:w="542"/>
        <w:gridCol w:w="1624"/>
        <w:gridCol w:w="406"/>
      </w:tblGrid>
      <w:tr>
        <w:trPr/>
        <w:tc>
          <w:tcPr>
            <w:tcW w:w="1338"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3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Pension and Postretirement Health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Cumulative Translation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Accumulated Other Comprehensive (Loss) Income</w:t>
            </w:r>
          </w:p>
        </w:tc>
      </w:tr>
      <w:tr>
        <w:trPr/>
        <w:tc>
          <w:tcPr>
            <w:tcW w:w="3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July 31, 2022</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before reclassifications, net of tax</w:t>
            </w:r>
          </w:p>
        </w:tc>
        <w:tc>
          <w:tcPr>
            <w:tcW w:w="1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income, net of tax</w:t>
            </w:r>
          </w:p>
        </w:tc>
        <w:tc>
          <w:tcPr>
            <w:tcW w:w="1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current-period other comprehensive income (loss), net of tax</w:t>
            </w:r>
          </w:p>
        </w:tc>
        <w:tc>
          <w:tcPr>
            <w:tcW w:w="18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2,667 </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April 30, 2023</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14. RELATED PARTY TRANSACTIONS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One member of our Board of Directors (the "Board") retired from the role of President and Chief Executive Officer of a customer of ours in September 2019 and is currently party to a post-employment agreement with the customer. Total net sales to that customer, including sales to subsidiaries of that customer, were $56 thousand and $111 thousand for the third quarter of fiscal years 2023 and 2022, respectively, and were $183 thousand and $268 thousand for the first nine months of fiscal years 2023 and 2022, respectively. Outstanding accounts receivable from that customer, and its subsidiaries, were $6 thousand as of both April 30, 2023, and July 31,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One member of our Board is currently the President and Chief Executive Officer of a vendor of ours. Total payments to this vendor for fees and cost reimbursements were $30 thousand and $64 thousand for the third quarter of fiscal years 2023 and 2022, respectively, and were $143 thousand and $629 thousand for the first nine months of fiscal years 2023 and 2022, respectively. There were no outstanding accounts payable to that vendor as of April 30, 2023, or July 31, 2022.</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ITEM 2.  MANAGEMENT’S DISCUSSION AND ANALYSIS OF</w:t>
      </w:r>
      <w:r>
        <w:rPr>
          <w:color w:val="000000"/>
        </w:rPr>
        <w:t xml:space="preserve"> </w:t>
      </w:r>
      <w:r>
        <w:rPr>
          <w:rFonts w:ascii="Times New Roman;sans-serif" w:hAnsi="Times New Roman;sans-serif"/>
          <w:b/>
          <w:color w:val="000000"/>
          <w:sz w:val="20"/>
        </w:rPr>
        <w:t>FINANCIAL CONDITION AND RESULTS OF OPERATIONS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together with the financial statements and the related notes included herein and our Consolidated Financial Statements, accompanying notes and Management’s Discussion and Analysis of Financial Condition and Results of Operations contained in our Annual Report on Form 10-K for the fiscal year ended July 31, 2022. This discussion contains forward-looking statements that involve risks and uncertainties. Our actual results may differ materially from the results discussed in the forward-looking statements. Factors that might cause a difference include, but are not limited to, those discussed under "Forward-Looking Statements" and Item 1A, Risk Factors of our Annual Report on Form 10-K for the fiscal year ended July 31,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OVERVIEW</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develop, mine, manufacture and market sorbent products principally produced from clay minerals, primarily consisting of calcium bentonite, attapulgite and diatomaceous shale. Our principal products include agricultural and horticultural chemical carriers, animal health and nutrition products, cat litter, fluid purification and filtration bleaching clays, industrial and automotive floor absorbents and sports field products. Our products are sold to two primary customer groups, including customers who resell our products as originally produced to the end consumer and other customers who use our products as part of their production process or use them as an ingredient in their final finished product. We have two reportable operating segments based on the different characteristics of our two primary customer groups: the Retail and Wholesale Products Group ("Retail and Wholesale" or "R&amp;W") and the Business to Business Products Group ("Business to Business" or "B2B"), as described in Note 11 of the Notes to the unaudited Condensed Consolidated Financial Statements. Each operating segment is discussed individually below.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OVERVIEW</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net sales reached an all-time high in the third quarter and nine months of fiscal year 2023 as we implemented strategic price increases across multiple principal products in order to restore profitability in both the R&amp;W and B2B products groups, which were supplemented by an increase in sales volume in the B2B products group. Consolidated net sales increased approximately $19.7 million or 23% in the third quarter of fiscal year 2023 and $50.2 million or 20% for the first nine months of fiscal year 2023 compared to the same periods of fiscal year 2022. Consolidated income from operations in the third quarter and first nine months of fiscal year 2023 increased by $18.5 million and $30.0 million, respectively, compared to the same periods in fiscal year 2022.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expenses continued to increase, consolidated net income for the three and nine months ended April 30, 2023, was $8.5 million and $17.6 million, respectively, compared to a net loss of $2.1 million and net income of $0.5 million in the three and nine months ended April 30, 2022, respectively.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third quarter of fiscal year 2023 we recognized a loss of $4.8 million in connection with the termination of the Company's pension plan. Refer to Note 10 of the Notes to the unaudited Condensed Consolidated Financial Statements for additional details.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Consolidated Balance Sheets as of April 30, 2023, and our Consolidated Statements of Cash Flows for the third quarter of fiscal year 2023 show an increase in total cash and cash equivalents from fiscal year-end 2022. The increase is driven mostly by improved net income and increases in accrued expenses, offset by capital expenditures on property, plant &amp; equipment and increases in accounts receivable and inventories. Refer to the "Liquidity and Capital Resources" section below.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NINE MONTHS ENDED APRIL 30, 2023 COMPARED TO</w:t>
      </w: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NINE MONTHS ENDED APRIL 30, 2022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RESULTS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net sales for the nine months ended April 30, 2023, were $305.6 million, a 20% increase compared to net sales of $255.4 million for the nine months ended April 30, 2022. Net sales increased for both our R&amp;W and B2B products groups, primarily due to price increases implemented across both product groups and to a lesser extent due to volume growth in our B2B products group.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first nine months of fiscal year 2023, we have been able to reduce our backlog of orders by $4.2 million, a 64% decrease from July 31, 2022. This was accomplished by increasing personnel, expanding production shifts, optimizing equipment, and utilizing alternative modes of transportation. In order to meet the increase in customer demand, we continue to implement strategies to further reduce labor, manufacturing and freight constraints.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gross profit for the first nine months of fiscal year 2023 was $72.8 million, or 24% of net sales, compared to $45.0 million, or 18%, of net sales, for the first nine months of fiscal year 2022. The increase is driven by improved selling prices across multiple products helping to mitigate the increases in cost of goods sold. Our domestic cost of goods sold per ton increased 12%, driven primarily by per ton increases in non-fuel manufacturing, freight and natural gas, offset by lower per ton packaging costs. Non-fuel manufacturing costs per ton increased 17% during the first nine months of fiscal year 2023 compared to the first nine months of fiscal year 2022, mainly due to higher per ton costs of labor, including contracted labor for mining, repairs and depreciation. Domestic freight costs per ton increased approximately 7% in the first nine months of fiscal year 2023 compared to the same period of fiscal year 2022. This excludes the impact of a significant customer in our cat litter business that altered shipping terms in January 2023 from collect to delivered which further increased our overall freight cost. Ocean freight costs have also increased due to rising fuel prices and fees during the first half of the year and the mix of products and geographic locations during the third quarter. In addition, our overall freight costs can vary between periods depending on the mix of products sold and the geographic distribution of our customers. The cost of natural gas per ton used to operate kilns that dry our clay was 23% higher in the first nine months of fiscal year 2023 compared to the first nine months of fiscal year 2022 mostly driven by higher rates in the first half of the year offset by a decrease in the third quarter. Packaging costs per ton decreased by approximately 4% in the first nine months of fiscal year 2023 compared to the first nine months of fiscal year 2023 due to lower commodity costs, particularly as it relates to resin and pallet costs. Many of our contracts for packaging purchases are subject to periodic price adjustments, which trail changes in underlying commodity prices.</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Total selling, general and administrative expenses of $44.5 million for the first nine months of fiscal year 2023 were higher by $3.4 million, or 8%, compared to $41.1 million for the first nine months of fiscal year 2022. Unallocated corporate expenses were higher by $3.9 million, or 20%, driven by higher bonus accrual due to improved year-to-date results compared to the Company’s performance target under the annual incentive plan and increase in insurance expense, offset by a reduction in research and development expenses now allocated to the operating segments. The discussion of the segments' operating incomes below describes the changes in SG&amp;A expenses that were allocated to the operating segments.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other expenses were $6.9 million for the first nine months of fiscal year 2023 compared to a net other income of $0.9 million in the same period of fiscal year 2022. This was mostly due to the $4.8 million loss on pension termination recognized in the third quarter and the $2.5 million reserve recorded in the second quarter for anticipated landfill capacity modification costs, offset by other miscellaneous and interest income.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net income before taxes for the first nine months of fiscal year 2023 was $21.5 million compared to $0.8 million for the first nine months of fiscal year 2022. Results for the first nine months of fiscal year 2023 were driven by the factors discussed above.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had a tax expense for the first nine months of fiscal year 2023 of $3.9 million compared to $1.2 million tax benefit for the first nine months of fiscal year 2022. Our tax expense was driven primarily by higher net income. We used an estimated annual effective tax rate ("ETR") of 19% in determining our provision for income taxes, which is based on expected annual taxable income and the assessment of various tax deductions, including depletion.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BUSINESS TO BUSINESS PRODUCTS GROUP</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of the Business to Business Products Group for the first nine months of fiscal year 2023 were $104.3 million, an increase of $23.1 million, or 28%, from net sales of $81.2 million for the first nine months of fiscal year 2022, with increases across all three of our principal product lines within this group. Net sales of our fluids purification products increased approximately $9.8 million, or 22%, compared to the first nine months of the prior fiscal year. The increase in net sales was driven primarily by price increases across all regions and continued demand for our products used in the filtration of edible oil, renewable diesel, and jet fuel. Net sales increased in all regions with most of the increase driven by sales in North America, the region including Europe, Middle East, and Africa ("EMEA") and Latin America when compared to the first nine months of fiscal year 2022. Net sales of our agricultural and horticultural chemical carrier products increased approximately $9.0 million, or 42%, for the first nine months of fiscal year 2023 compared to the same period in fiscal year 2022. This is a result of quarterly price increases implemented throughout the year and continued strong demand from several large customers. Net sales of our animal health and nutrition products increased $4.3 million, or 30%, during the first nine months of fiscal year 2023 compared to the same period of fiscal year 2022. We saw growth in net sales in all regions except our subsidiaries in China and Indonesia, with the most impact coming from Latin America and North America. Latin American sales were boosted by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European Union's ("EU") initial regulations requiring antibiotic-free foreign protein imports, as a large percentage of meat is exported from that region to the EU. North American sales rose due to a new product line, increased distribution to new and existing customers and a strategic focus on that market. Asia year-to-date net sales increased due to price. Net sales of our subsidiary in China decreased from the prior year, as discussed in the "Foreign Operations" section below.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SG&amp;A expenses for the Business to Business Products Group increased approximately 7% or $0.8 million for the first nine months of fiscal year 2023 compared to the same period of the prior fiscal year. The majority of the increase relates to research and development expenses that are now allocated to the animal health business (a change from when existing costs were previously included in unallocated corporate expenses), increase in compensation including bonus and travel-related expenses, offset by a reduction in marketing and patent write-off expenses.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Business to Business Products Group’s operating income for the first nine months of fiscal year 2023 was $24.8 million, an increase of $7.9 million, or 47%, from operating income of $16.9 million for the first nine months of fiscal year 2022. The increase in operating income was mostly driven by higher net sales across all business within this segment.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RETAIL AND WHOLESALE PRODUCTS GROUP</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sales of the Retail and Wholesale Products Group for the first nine months of fiscal year 2023 were $201.4 million, an increase of $27.1 million, or 16%, from net sales of $174.3 million for the same period of fiscal year 2022 driven by higher net sales of cat litter, industrial and sport products, slightly offset by a decline in our co-packaged cat litter business. Total global cat litter net sales increased by approximately $22.1 million, or 15% compared to the first nine months of fiscal year 2022 driven mostly by pricing. Domestic cat litter net sales were $145.7 million, an increase of $20.2 million from the first nine months of fiscal year 2022 due to price. Increased sales of branded and private label lightweight and coarse litter were partially offset by a decrease in revenue for private label heavy weight litter. Net sales of co-packaged products decreased by approximately $0.1 million compared to the same period in fiscal year 2022. This decrease was primarily driven by our customer discontinuing export sales to one of their foreign markets as well as softer domestic sales volumes, offset by price increases in the third quarter. Net sales of cat litter by our subsidiary in Canada increased period over period, as discussed in "Foreign Operations" below. Net sales of our global industrial and sports products increased approximately $5.0 million, or 18%, compared to the first nine months of fiscal year 2022, primarily driven by price increases implemented to rebuild margins, and to a lesser extent from higher volumes.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SG&amp;A expenses for the Retail and Wholesale Products Group were lower by approximately $1.4 million, or 12%, during the first nine months of fiscal year 2023 compared to the first nine months of fiscal year 2022, primarily due to timing of SG&amp;A spend and the reclassification of certain trade spending charges from SG&amp;A to net sales. These decreases were partially offset by higher broker sales commissions which are a percentage based on net sales, higher bonus accrual, and an increase in our allowance for doubtful accounts due to one customer declaring bankruptcy. We anticipate total advertising expense in fiscal year 2023 to be higher than fiscal year 2022, with a majority of the spend concentrated in the fourth quarter of the fiscal year.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Retail and Wholesale Products Group's operating income for the first half of fiscal year 2023 was $27.0 million, an increase of $26 million, from operating income of $1.0 million for the same period of fiscal year 2022. This was driven primarily by the increase in gross margins due to selling price increases partially offset by higher cost of goods sold, and the goodwill impairment recognized in the third quarter of fiscal year 2022.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FOREIGN OPERATIONS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operations include our subsidiary in Canada, which is reported in the Retail and Wholesale Products Group, and our subsidiaries in the UK, Mexico, China and Indonesia, which are reported in the Business to Business Products Group. Net sales by our foreign subsidiaries during the first nine months of fiscal year 2023 were $16.8 million, an increase of $2.3 million, or 16%, compared to net sales of $14.5 million during the first nine months of fiscal year 2022. All of our foreign operations, with the exception of our subsidiaries in China and Indonesia, experienced an increase in net sales during the first nine months of fiscal year 2023 compared to fiscal year 2022. Total net sales of our subsidiary in Canada during this period increased by $2.0 million, or 24%, compared to the same period in fiscal year 2022 driven by higher private label cat litter net sales. The increase in cat litter sales was driven by a combination of volume growth and price increases instituted in response to rising costs. Net sales of our subsidiary in the United Kingdom in the first nine months of fiscal year 2023 increased by $0.3 million, or 21%, compared to net sales in the first nine months of fiscal year 2022. The increase is driven primarily by price increases which offset the impact of softer sale volumes. Net sales of our subsidiary in Mexico increased during the first nine months of fiscal year 2023 compared to the same period of fiscal year 2022 by $0.6 million, or 43% due to growing demand for our animal health products. Net sales of our subsidiary in China decreased $0.5 million, or 19%, during the first nine months of fiscal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2023 compared to the same period of fiscal year 2022 primarily due to the process of transitioning to a master distributor. Net sales by our foreign subsidiaries represented 5% and 6% of our consolidated net sales during the first nine months of fiscal year 2023 and 2022, respectively.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foreign subsidiaries reported net income of $1.1 million for the first nine months of fiscal year 2023, compared to a net loss of $0.7 million for the first nine months of fiscal year 2022. The net income in the first nine months of fiscal year 2023 was driven by price and volume increases in Canada, UK and Mexico and the reduction of cost of goods sold in China and Indonesia.</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Identifiable assets of our foreign subsidiaries as of April 31, 2023, were $15.5 million, compared to $13.0 million as of July 31, 2022.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THREE MONTHS ENDED APRIL 30, 2023 COMPARED TO</w:t>
      </w: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THREE MONTHS ENDED APRIL 30,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RESULTS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net sales for the three months ended April 30, 2023, were $105.4 million, a 23% increase compared to net sales of $85.8 million for the three months ended April 30, 2022. Net sales increased for both our Retail and Wholesale Products Group and Business to Business Products Group, primarily due to price increases implemented across both product groups and to a lesser extent volume growth in the B2B products group.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gross profit for the three months ended April 30, 2023, was $27.5 million, or 26% of net sales, compared to $15.6 million, or 18%, of net sales, for the three months ended April 30, 2022. The increase is driven by higher selling prices across multiple products thus helping to mitigate the increases in cost of goods sold. Domestic cost of goods sold per ton rose by 12%, driven primarily by per ton increases in freight and non-fuel manufacturing costs offset by a decrease in natural gas and packaging. Per ton non-fuel manufacturing costs rose 12% in the third quarter of fiscal year 2023 compared to the third quarter of fiscal year 2022, due to higher per ton costs of labor, including contracted labor for mining, depreciation, and general supplies, offset by a decrease in per ton costs of purchased materials and repairs. Domestic freight costs per ton increased approximately 19% in the third quarter of fiscal year 2023 compared to the same period of fiscal year 2022 due to a significant customer in our cat litter business that altered shipping terms in January 2023 from collect to delivered which increased our overall freight cost. Excluding the impact of this specific customer, per ton domestic freight costs would have decreased 7% quarter over quarter. Ocean freight costs have also increased due to the mix of products and increased volume to a high-priced geographic location. In addition, our overall freight costs can vary between periods depending on the mix of products sold and the geographic distribution of our customers. The cost of natural gas per ton used to operate kilns that dry our clay was 27% lower in the third quarter of fiscal year 2023 compared to the third quarter of fiscal year 2022 as fuel prices have decreased. Packaging costs per ton decreased 4% in the three months ended April 30, 2023, when compared to the same period of fiscal year 2022 due to lower commodity costs, particularly as it relates to resin and pallet costs. Many of our contracts for packaging purchases are subject to periodic price adjustments, which trail changes in underlying commodity prices.</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Total selling, general and administrative expenses of $13.0 million for the three months ended April 30, 2023, were down by $1.0 million, or 7%, compared to $14.0 million for the same period of fiscal year 2022. Unallocated corporate expenses were down by $0.5 million, or 8%, driven by lower legal expenses, recruitment fees, and allocation of research and development costs which are now allocated to operating segments, offset by an increase in insurance expenses. The discussion of the segments' operating incomes below describes the changes in SG&amp;A expenses that were allocated to the operating segments.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other (expense) income, net of $(4.5) million for the three months ended April, 2023, decreased compared to net other income of $0.2 million in the same period of fiscal year 2022, mainly due to the loss in connection with the pension termination. Refer to Note 10 of the Notes to the unaudited Condensed Consolidated Financial Statements for additional details regarding the pension termination.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net income before taxes for the three months ended April 30, 2023, was $10.0 million compared to a net loss of $3.9 million for the same period of fiscal year 2022. Results for the third quarter of fiscal year 2023 were driven by the factors discussed above.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had a tax expense for the third quarter of fiscal year 2023 of $1.5 million compared to a tax benefit of $1.7 million for the third quarter of fiscal year 2022. Our tax expense was driven primarily by higher net income. We used an estimated annual ETR of 19% in determining our provision for income taxes, which is based on expected annual taxable income and the assessment of various tax deductions, including depletion.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BUSINESS TO BUSINESS PRODUCTS GROUP</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of the Business to Business Products Group for the three months ended April 30, 2023, were $35.4 million, an increase of $7.5 million, or 27%, from net sales of $27.9 million for the three months ended April 30, 2022, with increases across all three of our principal product lines within this group. Net sales of our fluids purification products increased approximately $3.1 million, or 21%, compared to the third quarter of fiscal year 2022. Net sales increased in all regions, with most of the increase driven by North America and Latin America. The increase in net sales was driven primarily by price increases in North America, EMEA, and Latin America and to lesser extent by volume growth in Latin America, North America and Asia. Increases in volume were driven due to timing as well as increased demand for our products used in jet fuel and renewable diesel filtration. Net sales of our agricultural and horticultural chemical carrier products increased approximately $2.8 million, or 35%, for the three months ended April 30, 2023, compared to the same period in fiscal year 2022. This is a result of price increases implemented throughout the year and increase in shipments to a key customer. Net sales of our animal health and nutrition products increased $1.7 million, or 32%, during the three months ended April 30, 2023, compared to the same period in fiscal year 2022. The growth was driven primarily by Latin America, North America, and Asia (excluding China). The increase in Latin America was driven mainly by an increase in volume from existing customers due to positive product performance and an increase in new customers. North American sales rose due to increased demand due to an expansion of existing customers and new customers. The increase in Asia (excluding China) sales was driven by price increases. Net sales of our subsidiary in China decreased from the prior year, as discussed in the "Foreign Operations" section below.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SG&amp;A expenses for the Business to Business Products Group in the three months ended April 30, 2023 remained flat compared to the same period of fiscal year 2022.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Business to Business Products Group’s operating income for the three months ended April 30, 2023, was $9.8 million, an increase of $4.8 million, or 98%, from operating income of $5.0 million for the three months ended April 30, 2022. The overall increase in operating income was driven primarily by higher net sales due to continued strategic price increases and volume growth.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RETAIL AND WHOLESALE PRODUCTS GROUP</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sales of the Retail and Wholesale Products Group for the three months ended April 30, 2023, were $70.0 million, an increase of $12.1 million, or 21%, from net sales of $57.9 million for the three months ended April 30, 2022, driven by higher net sales of all product lines included in this group. Global cat litter net sales were higher by approximately $10 million, or 21%, compared to the third quarter of fiscal year 2022 driven by price increases. Domestic cat litter net sales were $49.9 million an increase of $8.9 million driven mainly by price increases. Increased sales of lightweight (branded and private label) and coarse litter were partially offset by a decrease in net sales of private label heavy weight litter. Net sales of co-packaged products increased by approximately $0.4 million compared to the same period in fiscal year 2022. This increase was driven by price increases offset by a decrease in volume as our customer discontinued export sales to one of their foreign markets. Net sales of cat litter by our subsidiary in Canada increased period over period, as discussed in "Foreign Operations" below. Net sales of our global industrial and sports products increased approximately $2.2 million, or 20%, compared to the three months ended April 30, 2022, primarily driven by price increases.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SG&amp;A expenses for the Retail and Wholesale Products Group were lower by approximately $0.3 million, or 10%, during the three months ended April 30, 2023, compared to the same period in fiscal year 2022. The decrease was primarily a result of timing of SG&amp;A spend and the reclassification of certain trade spending charges from SG&amp;A to net sales, offset by advertising costs, which began to rise in the third quarter of fiscal year 2023 compared to prior year. We anticipate total advertising expense in fiscal year 2023 to be higher than fiscal year 2022 and more in line with historical levels, with spending concentrated in the fourth quarter.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Retail and Wholesale Products Group's operating income was $10.7 million for the third quarter of fiscal year 2023, an increase of $13.0 million from operating loss of $(2.3) million for the same period of fiscal year 2022. This was driven primarily by the increase in gross margins due to selling price increases, partially offset by higher cost of goods sold, and the goodwill impairment recognized in the third quarter of fiscal year 2022.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FOREIGN OPERATIONS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operations include our subsidiary in Canada, which is reported in the Retail and Wholesale Products Group, and our subsidiaries in the UK, Mexico, China and Indonesia, which are reported in the Business to Business Products Group. Net sales by our foreign subsidiaries during the three months ending April 30, 2023 were $5.5 million, an increase of $0.7 million, or 15%, compared to net sales of $4.8 million during the same period of fiscal year 2022 which was driven by increases in net sales in Canada, UK and Mexico offset by reduction in net sales in China and Indonesia. Total net sales of our subsidiary in Canada increased by $0.8 million, or 28%, in the three months ended April 30, 2023, compared to the same period in fiscal year 2022 driven by higher lightweight (private label and branded) cat litter sales and to a lesser extent coarse cat litter and floor absorbents. The increase in Canada net sales was mainly driven by higher demand from existing customers across both cat litter and floor absorbents. Net sales of our subsidiary in the United Kingdom for the three months ended April 30, 2023, increased by $0.1 million, or 27%, compared to the same period in fiscal year 2022. The growth in net sales in the United Kingdom was driven by price increases. Net sales of our subsidiary in Mexico increased during the third quarter of fiscal year 2023 compared to the third quarter of fiscal year 2022 by $0.1 million, or 30% due to growing demand of our animal health products. Net sales of our subsidiary in China decreased $0.1 million, or 12%, during the third quarter of fiscal year 2023 compared to the third quarter of fiscal year 2022 primarily due to the process of transitioning to a sole distributor. Net sales by our foreign subsidiaries represented 5% and 6% of our consolidated net sales during the second quarter of fiscal years 2023 and 2022, respectively.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foreign subsidiaries reported net income of $0.5 million for the three months ended April 30, 2023, compared to net income of $22 thousand for the three months ended April 30, 2022. The increase in net income was driven by volume growth in Canada and Mexico, price increases in the United Kingdom, and a reduction of costs in Indonesia offset by a reduction in net sales in China.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principal liquidity needs are to fund our capital requirements, including funding working capital needs; purchasing and upgrading equipment, facilities, information systems, and real estate; supporting new product development; investing in infrastructure; repurchasing stock; paying dividends; and, from time to time, business acquisitions, and funding our debt service requirements. During the first nine months of fiscal year 2023, we principally funded these short and long-term capital requirements using cash from current operations as well as cash generated in fiscal year 2022 from borrowings under our Series C Senior Notes. </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anticipate cash flows from operations and our available sources of liquidity will be sufficient to meet our cash requirements. In addition, we are actively monitoring the timing and collection of our accounts receivable.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elements of our unaudited Condensed Consolidated Statements of Cash Flows (in thousands):</w:t>
      </w:r>
    </w:p>
    <w:tbl>
      <w:tblPr>
        <w:tblW w:w="8335" w:type="dxa"/>
        <w:jc w:val="center"/>
        <w:tblInd w:w="0" w:type="dxa"/>
        <w:tblLayout w:type="fixed"/>
        <w:tblCellMar>
          <w:top w:w="28" w:type="dxa"/>
          <w:left w:w="28" w:type="dxa"/>
          <w:bottom w:w="28" w:type="dxa"/>
          <w:right w:w="28" w:type="dxa"/>
        </w:tblCellMar>
      </w:tblPr>
      <w:tblGrid>
        <w:gridCol w:w="1840"/>
        <w:gridCol w:w="1620"/>
        <w:gridCol w:w="1624"/>
        <w:gridCol w:w="281"/>
        <w:gridCol w:w="982"/>
        <w:gridCol w:w="145"/>
        <w:gridCol w:w="145"/>
        <w:gridCol w:w="145"/>
        <w:gridCol w:w="145"/>
        <w:gridCol w:w="281"/>
        <w:gridCol w:w="922"/>
        <w:gridCol w:w="205"/>
      </w:tblGrid>
      <w:tr>
        <w:trPr/>
        <w:tc>
          <w:tcPr>
            <w:tcW w:w="1840"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Nine Months Ended April 30,</w:t>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36,791</w:t>
            </w: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(17,434)</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(16,012)</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(5,806)</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13,448</w:t>
            </w:r>
            <w:r>
              <w:rPr>
                <w:color w:val="000000"/>
              </w:rPr>
              <w:t>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Net cash provided by operating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net income, as adjusted for depreciation and amortization and other non-cash operating activities, the primary sources and uses of operating cash flows for the first nine months of fiscal years 2023 and 2022 were as follows: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less allowance for doubtful accounts, increased $5.6 million in the first nine months of fiscal year 2023 compared to an increase of $2.5 million in the first nine months of fiscal year 2022. The increase in accounts receivable was driven primarily by higher net sales as sales prices increased, offset by the level and timing of collections due to payment terms.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increased by $1.2 million in the first nine months of fiscal year 2023 compared to $11.5 million in the first nine months of 2022 due to a combination of rising costs, specifically due to labor, natural gas, repairs, depreciation, electricity and the building of inventory levels for anticipated seasonal demand and to avoid any potential supply chain disruptions.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assets decreased by $2.6 million in the first nine months of fiscal year 2023 compared to a decrease of $1.0 million in the first nine months of fiscal year 2022. The decrease in other assets in the first nine months of fiscal year 2023 relates mostly to leased assets and the capitalized pre-production costs being transferred to property, plant and equipment as the mines are now in production.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payable increased by $0.3 million in the first nine months of fiscal year 2023 compared to an increase of $1.3 million in the first nine months of fiscal year 2022. The increase is mainly due to payables on capitalized expenditures offset by a decrease in trade and freight payables which vary in both periods due to the timing of payments, cost of goods and services we purchase, production volume levels and vendor payment terms.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expenses increased $5.7 million in the first nine months of fiscal year 2023 compared to a decrease of $1.1 million in the first nine months of fiscal year 2022. The majority of this increase is driven by the $2.5 million reserve added in the second quarter for the Georgia landfill modification as well as higher compensation-related expenses accrued for in fiscal year 2023 compared to fiscal year 2022, and income tax payable. The increases were offset by the payout of the prior fiscal year's bonus which reduced accrued compensation in both fiscal years, but to a greater extent in fiscal year 2023 as the accrual was higher at year end 2022 than the prior fiscal year. The increase in accrued expenses is also impacted by the decrease in advertising expenses and other accruals that vary based on timing. In addition, accrued plant expenses can also fluctuate due to timing of payments, changes in the cost of goods and services we purchase, production volume levels and vendor payment terms. The decrease in accrued expenses for the first nine months of fiscal year 2022 was driven by the payout of the bonuses and real estate taxes offset by higher accrued utilities due to the rising cost of natural gas, higher accrued advertising due to the timing of our advertising programs, and additional accrued capital projects.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liabilities decreased by $1.7 million in the first nine months of fiscal year 2023 and $1.6 million for the same period in fiscal year 2022. The decreases in both fiscal years 2023 and 2022 relate primarily to a reduction in the operating lease liability.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Net cash used in investing activities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of $17.4 million in the first nine months of fiscal year 2023 were higher compared to cash used in investing activities of $16.0 million in the first nine months of fiscal year 2022 driven by capital expenditures. During the first nine months of fiscal year 2023 we expanded our plant equipment and improved our facilities to support increased demand for our products as well as made improvements to our IT network.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Net cash used in financing activities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in financing activities of $5.8 million in the first nine months of fiscal year 2023 compared to cash provided by financing activities of $8.8 million in the first nine months of fiscal year 2022. The cash used in financing activities for the first nine months of fiscal year 2023 was primarily used for payment of dividends. Cash provided by financing activities in the first nine months of fiscal year 2022 was primarily driven by the issuance of a $25.0 million note offset by treasury stock repurchases and dividend payments.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Total cash balances held by our foreign subsidiaries of $4.2 million as of April 30, 2023, increased slightly compared to $3.3 million as of July 31, 2022. See further discussion in "Foreign Operations" above.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party to a credit agreement (as amended, the "Credit Agreement") with BMO Harris Bank N.A. ("BMO Harris"), which terminates on August 30, 2027. The agreement provides for a $45 million unsecured revolving credit facility and a maximum of $10 million for letters of credit. The agreement terms also state that we may select a variable interest rate based on either the BMO Harris prime rate or an adjusted SOFR-based rate, plus a margin that varies depending on our debt to earnings ratio, or a fixed rate as agreed between us and BMO Harris. As of April 30, 2023, the variable rates would have been 8.00% for the BMO Harris prime-based rate or 5.08% for the adjusted SOFR-based rate. The Credit Agreement contains restrictive covenants that, among other things and under various conditions, limit our ability to incur additional indebtedness or to dispose of assets. The agreement also requires us to maintain a minimum fixed charge coverage ratio and a maximum net debt to earnings ratio. As of April 30, 2023, and 2022, we were in compliance with the covenants. There were no borrowings during the first nine months of either fiscal year 2023 or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party to an Amended and Restated Note Purchase and Private Shelf Agreement (as amended, the "Note Agreement") with PGIM, Inc. ("Prudential") and certain existing noteholders and purchasers affiliated with Prudential named therein pursuant to which, among other things, we issued $10 million in aggregate principal amount of our 3.95% Series B Senior Notes due May 15, 2030 of which $8 million aggregate principal amount remained outstanding as of April 30, 2023. Pursuant to the Note Agreement, on December 16, 2021, we issued $25 million in aggregate principal amount of our 3.25% Series C Senior Notes due December 16, 2031. As of April 30, 2023, outstanding notes payable totaled $32.8 million, net of $0.2 million of unamortized debt issuance costs. Under the shelf agreement, no additional debt issuances will occur.</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 Note 8 of the Notes to the unaudited Condensed Consolidated Financial Statements in this Quarterly Report on Form 10-Q for discussion on amendments made to the credit agreement with BMO Harris and our Senior Note Agreements.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April 30, 2023, we had remaining authority to repurchase 429,033 shares of Common Stock and 273,100 shares of Class B Stock under a repurchase plan approved by our Board of Directors (the "Board"). Repurchases may be made on the open market (pursuant to Rule 10b5-1 plans or otherwise) or in negotiated transactions. The timing, number and manner of share repurchases will be determined by our management pursuant to the repurchase plan approved by our Board.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cash flow from operations, availability under our revolving credit facility, current cash balances and our ability to obtain other financing, if necessary, will provide sufficient liquidity for foreseeable working capital needs, capital expenditures at existing facilities, deferred compensation payouts, dividend payments and debt service obligations for at least the next 12 months. We expect capital expenditures in fiscal year 2023 to be greater than in fiscal year 2022. We do not believe that these increased capital expenditures will dramatically impact our cash position; however, our cash requirements are subject to change as business conditions warrant and opportunities arise. Our anticipated advertising expense for fiscal year 2023 is expected to be higher compared to fiscal year 2022 and in line with historical pre-pandemic levels.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continually evaluate our liquidity position and anticipated cash needs, as well as the financing options available to obtain additional cash reserves. Our ability to fund operations, to make planned capital expenditures, to make scheduled debt payments, to contribute to our pension plan and to remain in compliance with all financial covenants under debt agreements, including, but not limited to, the current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CRITICAL ACCOUNTING POLICIES AND ESTIMATES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discussion and analysis of financial condition and results of operations is based on our unaudited Condensed Consolidated Financial Statements, which have been prepared in accordance with U.S. GAAP for interim financial information and in compliance with instructions to Form 10-Q and Article 10 of Regulation S-X. The preparation of these financial statements requires the use of estimates and assumptions related to the reporting of assets, liabilities, revenues, expenses and related disclosures. In preparing these financial statements, we have made our best estimates and judgments of certain amounts included in the financial statements. Estimates and assumptions are revised periodically. Actual results could differ from these estimates. See the information concerning our critical accounting policies included under "Management’s Discussion of Financial Condition and Results of Operations" in our Annual Report on Form 10-K for the fiscal year ended July 31, 2022.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conducted an evaluation of the effectiveness of the design and operation of our disclosure controls and procedures (as defined in Rule 13a-15(e) under the Securities Exchange Act of 1934 (the "Exchange Act")) as of the end of the period covered by this Quarterly Report on Form 10-Q.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experienced any material impact to our internal controls over financial reporting despite the fact that many of our employees are still working remotely. We are continually monitoring and assessing the effects of a hybrid work model on our internal controls to minimize the impact to their design and operating effectiveness.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Rule 13a-15(f) under the Exchange Act) that occurred during the fiscal quarter ended April 30, 2023 that have materially affected, or are reasonably likely to materially affect, our internal control over financial reporting.</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Inherent Limitations on Effectiveness of Controls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Items 1 and 3 of this Part II are either inapplicable or are answered in the negative and are omitted pursuant to the instructions to 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240"/>
        <w:jc w:val="both"/>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operations and financial results are subject to various risks and uncertainties, including those described in Part I, Item 1A, "Risk Factors" in the Company's Annual Report on Form 10-K for the year ended July 31, 2022. There have been no material changes to our risk factors since the Company's Annual Report on Form 10-K for the year ended July 31, 2022.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April 30, 2023, we did not sell any securities which were not registered under the Securities Act of 1933, as amended. The following chart summarize our Common Stock and Class B stock purchases during this period. There are no shares of our Class A Common Stock currently outstanding.</w:t>
      </w:r>
    </w:p>
    <w:tbl>
      <w:tblPr>
        <w:tblW w:w="10205" w:type="dxa"/>
        <w:jc w:val="center"/>
        <w:tblInd w:w="0" w:type="dxa"/>
        <w:tblLayout w:type="fixed"/>
        <w:tblCellMar>
          <w:top w:w="28" w:type="dxa"/>
          <w:left w:w="28" w:type="dxa"/>
          <w:bottom w:w="28" w:type="dxa"/>
          <w:right w:w="28" w:type="dxa"/>
        </w:tblCellMar>
      </w:tblPr>
      <w:tblGrid>
        <w:gridCol w:w="572"/>
        <w:gridCol w:w="440"/>
        <w:gridCol w:w="442"/>
        <w:gridCol w:w="120"/>
        <w:gridCol w:w="120"/>
        <w:gridCol w:w="120"/>
        <w:gridCol w:w="472"/>
        <w:gridCol w:w="472"/>
        <w:gridCol w:w="473"/>
        <w:gridCol w:w="120"/>
        <w:gridCol w:w="120"/>
        <w:gridCol w:w="120"/>
        <w:gridCol w:w="398"/>
        <w:gridCol w:w="398"/>
        <w:gridCol w:w="400"/>
        <w:gridCol w:w="120"/>
        <w:gridCol w:w="120"/>
        <w:gridCol w:w="120"/>
        <w:gridCol w:w="780"/>
        <w:gridCol w:w="780"/>
        <w:gridCol w:w="782"/>
        <w:gridCol w:w="120"/>
        <w:gridCol w:w="120"/>
        <w:gridCol w:w="120"/>
        <w:gridCol w:w="683"/>
        <w:gridCol w:w="683"/>
        <w:gridCol w:w="990"/>
      </w:tblGrid>
      <w:tr>
        <w:trPr/>
        <w:tc>
          <w:tcPr>
            <w:tcW w:w="57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ISSUER PURCHASES OF EQUITY SECURITIES</w:t>
            </w:r>
            <w:r>
              <w:rPr>
                <w:rFonts w:ascii="Times New Roman;sans-serif" w:hAnsi="Times New Roman;sans-serif"/>
                <w:b/>
                <w:color w:val="000000"/>
                <w:sz w:val="13"/>
              </w:rPr>
              <w:t>1, 2</w:t>
            </w:r>
          </w:p>
        </w:tc>
      </w:tr>
      <w:tr>
        <w:trPr/>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w:t>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April 30, 2023</w:t>
            </w:r>
          </w:p>
        </w:tc>
        <w:tc>
          <w:tcPr>
            <w:tcW w:w="3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w:t>
            </w:r>
          </w:p>
        </w:tc>
        <w:tc>
          <w:tcPr>
            <w:tcW w:w="3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Price Paid per Share</w:t>
            </w:r>
          </w:p>
        </w:tc>
        <w:tc>
          <w:tcPr>
            <w:tcW w:w="3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 as Part of Publicly Announced Plans or Programs</w:t>
            </w:r>
          </w:p>
        </w:tc>
        <w:tc>
          <w:tcPr>
            <w:tcW w:w="3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Maximum Number of Shares that may yet be Purchased Under Plans or Programs</w:t>
            </w:r>
            <w:r>
              <w:rPr>
                <w:rFonts w:ascii="Times New Roman;sans-serif" w:hAnsi="Times New Roman;sans-serif"/>
                <w:b/>
                <w:color w:val="000000"/>
                <w:sz w:val="13"/>
              </w:rPr>
              <w:t>3</w:t>
            </w:r>
          </w:p>
        </w:tc>
      </w:tr>
      <w:tr>
        <w:trPr/>
        <w:tc>
          <w:tcPr>
            <w:tcW w:w="10205" w:type="dxa"/>
            <w:gridSpan w:val="27"/>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r>
      <w:tr>
        <w:trPr/>
        <w:tc>
          <w:tcPr>
            <w:tcW w:w="14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2023 to February 28, 2023</w:t>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429,033</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2023 to March 31, 2023</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429,033</w:t>
            </w:r>
          </w:p>
        </w:tc>
      </w:tr>
      <w:tr>
        <w:trPr/>
        <w:tc>
          <w:tcPr>
            <w:tcW w:w="145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April 1, 2023 to </w:t>
              <w:br/>
              <w:t>April 30, 2023</w:t>
            </w:r>
          </w:p>
        </w:tc>
        <w:tc>
          <w:tcPr>
            <w:tcW w:w="36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6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6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429,033</w:t>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8751" w:type="dxa"/>
            <w:gridSpan w:val="24"/>
            <w:tcBorders/>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234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2356"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234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2356"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234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2356"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8751" w:type="dxa"/>
            <w:gridSpan w:val="24"/>
            <w:tcBorders/>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234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2356"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234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2356"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234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23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 xml:space="preserve">The table summarizes repurchases of (and remaining authority to repurchase) shares of our Common Stock. Our Board of Directors authorized the repurchase of 300,000 shares of Class B Stock on March 21, 2018, however there have been no repurchases of Class B Stock for the three months ended April 30, 2023, and the authorized Class B Stock is not included in the table above. No shares of our Class A Common Stock are currently outstanding. Descriptions of our Common Stock, Class B Stock and Class A Common Stock are contained in Exhibit 4.1 of the Annual Report on Form 10-K for the fiscal year ended July 31, 2022.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3"/>
          <w:shd w:fill="FFFFFF" w:val="clear"/>
        </w:rPr>
        <w:t xml:space="preserve">2 </w:t>
      </w:r>
      <w:r>
        <w:rPr>
          <w:rFonts w:ascii="Times New Roman;sans-serif" w:hAnsi="Times New Roman;sans-serif"/>
          <w:b w:val="false"/>
          <w:color w:val="000000"/>
          <w:sz w:val="20"/>
          <w:shd w:fill="FFFFFF" w:val="clear"/>
        </w:rPr>
        <w:t>The figures in the table reflect transactions according to the settlement dates. For purposes of our unaudited consolidated f</w:t>
      </w:r>
      <w:r>
        <w:rPr>
          <w:rFonts w:ascii="Times New Roman;sans-serif" w:hAnsi="Times New Roman;sans-serif"/>
          <w:b w:val="false"/>
          <w:color w:val="000000"/>
          <w:sz w:val="20"/>
        </w:rPr>
        <w:t>inancial statements included in this Form 10-Q, the impact of these repurchases is recorded according to the settlement dates.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3"/>
        </w:rPr>
        <w:t xml:space="preserve">3 </w:t>
      </w:r>
      <w:r>
        <w:rPr>
          <w:rFonts w:ascii="Times New Roman;sans-serif" w:hAnsi="Times New Roman;sans-serif"/>
          <w:b w:val="false"/>
          <w:color w:val="000000"/>
          <w:sz w:val="20"/>
        </w:rPr>
        <w:t xml:space="preserve">Our Board of Directors authorized the repurchase of 250,000 shares of Common Stock on June 14, 2012 and an additional 750,000 shares of Common Stock on March 11, 2019. These authorizations do not have a stated expiration date. The share numbers in this column indicate the number of shares of Common Stock that may yet be repurchased under these authorizations. Repurchases may be made on the open market (pursuant to Rule 10b5-1 plans or otherwise) or in negotiated transactions. The timing, number and manner of share repurchases will be determined by management.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is included in Exhibit 95 to this Quarterly Report on Form 10-Q.</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10, 2023, the Company entered into the Fifth Amendment (the “Amendment”) to the Memorandum of Agreement #1450 “Fresh Step”® dated as of March 12, 2001 between A&amp;M Products Manufacturing Company, a subsidiary of The Clorox Company, and Oil-Dri Corporation of America (as amended by the First Amendment, dated December 13, 2002, the Second Amendment, dated October 15, 2007, the Third Amendment, dated May 27, 2016 and the Fourth Amendment, dated December 4, 2020, the “Memorandum Agreement”). The Amendment extends the initial term of the Memorandum Agreement. The foregoing is a brief description of the material terms of the Amendment and does not purport to be a complete description of the rights and obligations of the parties thereunder. The foregoing description is qualified in its entirety by reference to the Amendment, which is filed as an exhibit to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5"/>
        <w:gridCol w:w="260"/>
        <w:gridCol w:w="262"/>
        <w:gridCol w:w="109"/>
        <w:gridCol w:w="109"/>
        <w:gridCol w:w="109"/>
        <w:gridCol w:w="2350"/>
        <w:gridCol w:w="2298"/>
        <w:gridCol w:w="2319"/>
        <w:gridCol w:w="109"/>
        <w:gridCol w:w="109"/>
        <w:gridCol w:w="109"/>
        <w:gridCol w:w="516"/>
        <w:gridCol w:w="516"/>
        <w:gridCol w:w="735"/>
      </w:tblGrid>
      <w:tr>
        <w:trPr/>
        <w:tc>
          <w:tcPr>
            <w:tcW w:w="29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 Document Reference</w:t>
            </w:r>
          </w:p>
        </w:tc>
      </w:tr>
      <w:tr>
        <w:trPr/>
        <w:tc>
          <w:tcPr>
            <w:tcW w:w="8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01odcamproductsman.htm">
              <w:r>
                <w:rPr>
                  <w:rStyle w:val="InternetLink"/>
                  <w:rFonts w:ascii="Times New Roman;sans-serif" w:hAnsi="Times New Roman;sans-serif"/>
                  <w:b w:val="false"/>
                  <w:color w:val="0000FF"/>
                  <w:sz w:val="20"/>
                  <w:u w:val="single"/>
                </w:rPr>
                <w:t>Fifth Amendment, dated as of April 10, 2023, to Memorandum of Agreement #1450 “Fresh Step” ™ dated as of March 12, 2001.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odcex3104302023.htm">
              <w:r>
                <w:rPr>
                  <w:rStyle w:val="InternetLink"/>
                  <w:rFonts w:ascii="Times New Roman;sans-serif" w:hAnsi="Times New Roman;sans-serif"/>
                  <w:b w:val="false"/>
                  <w:color w:val="0000FF"/>
                  <w:sz w:val="20"/>
                  <w:u w:val="single"/>
                </w:rPr>
                <w:t>Certifications pursuant to Rule 13a–14(a).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odcex3204302023.htm">
              <w:r>
                <w:rPr>
                  <w:rStyle w:val="InternetLink"/>
                  <w:rFonts w:ascii="Times New Roman;sans-serif" w:hAnsi="Times New Roman;sans-serif"/>
                  <w:b w:val="false"/>
                  <w:color w:val="0000FF"/>
                  <w:sz w:val="20"/>
                  <w:u w:val="single"/>
                </w:rPr>
                <w:t>Certifications pursuant to Section 1350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dcex9504302023.htm">
              <w:r>
                <w:rPr>
                  <w:rStyle w:val="InternetLink"/>
                  <w:rFonts w:ascii="Times New Roman;sans-serif" w:hAnsi="Times New Roman;sans-serif"/>
                  <w:b w:val="false"/>
                  <w:color w:val="0000FF"/>
                  <w:sz w:val="20"/>
                  <w:u w:val="single"/>
                </w:rPr>
                <w:t>Mine Safety Disclosures</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Labels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bl>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Note: Stockholders may receive copies of the above listed exhibits, without fee, by written request to Investor Relations, Oil-Dri Corporation of America, 410 North Michigan Avenue, Suite 400, Chicago, Illinois  60611-4213, by telephone at (312) 321-1515 or by e-mail to info@oildri.com.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SIGNATURES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OIL-DRI CORPORATION OF AMERICA</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Daniel S. Jaffee                          </w:t>
      </w:r>
      <w:r>
        <w:rPr>
          <w:color w:val="000000"/>
        </w:rPr>
        <w:t xml:space="preserve">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Daniel S. Jaffee</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Chairman, President and Chief Executive Officer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Susan M. Kreh                         </w:t>
      </w:r>
      <w:r>
        <w:rPr>
          <w:color w:val="000000"/>
        </w:rPr>
        <w:t xml:space="preserve">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Susan M. Kreh</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Dated:  June 8, 2023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Exhibit 10.1</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CERTAIN IDENTIFIED INFORMATION HAS BEEN EXCLUDED FROM THIS EXHIBIT BECAUSE IT IS NOT MATERIAL AND WOULD LIKELY CAUSE COMPETITIVE HARM TO THE REGISTRANT IF PUBLICLY DISCLOSED. [***] INDICATES THAT INFORMATION HAS BEEN REDACTED.</w:t>
      </w:r>
    </w:p>
    <w:p>
      <w:pPr>
        <w:pStyle w:val="TextBody"/>
        <w:bidi w:val="0"/>
        <w:spacing w:before="0" w:after="0"/>
        <w:jc w:val="center"/>
        <w:rPr/>
      </w:pPr>
      <w:r>
        <w:rPr/>
      </w:r>
    </w:p>
    <w:p>
      <w:pPr>
        <w:pStyle w:val="TextBody"/>
        <w:bidi w:val="0"/>
        <w:spacing w:lineRule="auto" w:line="268" w:before="0" w:after="0"/>
        <w:ind w:left="0" w:right="0" w:firstLine="634"/>
        <w:jc w:val="center"/>
        <w:rPr>
          <w:rFonts w:ascii="Arial;sans-serif" w:hAnsi="Arial;sans-serif"/>
          <w:b/>
          <w:color w:val="000000"/>
          <w:sz w:val="22"/>
        </w:rPr>
      </w:pPr>
      <w:r>
        <w:rPr>
          <w:rFonts w:ascii="Arial;sans-serif" w:hAnsi="Arial;sans-serif"/>
          <w:b/>
          <w:color w:val="000000"/>
          <w:sz w:val="22"/>
        </w:rPr>
        <w:t>FIFTH AMENDMENT TO AGREEMENT 1450</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37" w:before="0" w:after="0"/>
        <w:ind w:left="0" w:right="0" w:firstLine="100"/>
        <w:jc w:val="left"/>
        <w:rPr/>
      </w:pPr>
      <w:r>
        <w:rPr>
          <w:rFonts w:ascii="Arial;sans-serif" w:hAnsi="Arial;sans-serif"/>
          <w:b w:val="false"/>
          <w:color w:val="000000"/>
          <w:sz w:val="22"/>
        </w:rPr>
        <w:t xml:space="preserve">This Fifth Amendment to Memorandum of Agreement #1450 (MOA) is made on April 14, 2023, by and between </w:t>
      </w:r>
      <w:r>
        <w:rPr>
          <w:rFonts w:ascii="Arial;sans-serif" w:hAnsi="Arial;sans-serif"/>
          <w:b/>
          <w:color w:val="000000"/>
          <w:sz w:val="22"/>
        </w:rPr>
        <w:t>A &amp; M Products Manufacturing Company</w:t>
      </w:r>
      <w:r>
        <w:rPr>
          <w:rFonts w:ascii="Arial;sans-serif" w:hAnsi="Arial;sans-serif"/>
          <w:b w:val="false"/>
          <w:color w:val="000000"/>
          <w:sz w:val="22"/>
        </w:rPr>
        <w:t>, 1221 Broadway, Oakland, California, 94612, hereinafter “</w:t>
      </w:r>
      <w:r>
        <w:rPr>
          <w:rFonts w:ascii="Arial;sans-serif" w:hAnsi="Arial;sans-serif"/>
          <w:b/>
          <w:color w:val="000000"/>
          <w:sz w:val="22"/>
        </w:rPr>
        <w:t>Buyer</w:t>
      </w:r>
      <w:r>
        <w:rPr>
          <w:color w:val="000000"/>
        </w:rPr>
        <w:t xml:space="preserve">” </w:t>
      </w:r>
      <w:r>
        <w:rPr>
          <w:rFonts w:ascii="Arial;sans-serif" w:hAnsi="Arial;sans-serif"/>
          <w:b w:val="false"/>
          <w:color w:val="000000"/>
          <w:sz w:val="22"/>
        </w:rPr>
        <w:t xml:space="preserve">and </w:t>
      </w:r>
      <w:r>
        <w:rPr>
          <w:rFonts w:ascii="Arial;sans-serif" w:hAnsi="Arial;sans-serif"/>
          <w:b/>
          <w:color w:val="000000"/>
          <w:sz w:val="22"/>
        </w:rPr>
        <w:t>Oil-Dri Corporation of America</w:t>
      </w:r>
      <w:r>
        <w:rPr>
          <w:rFonts w:ascii="Arial;sans-serif" w:hAnsi="Arial;sans-serif"/>
          <w:b w:val="false"/>
          <w:color w:val="000000"/>
          <w:sz w:val="22"/>
        </w:rPr>
        <w:t>, 410 N. Michigan Avenue, Chicago, Illinois 60611, hereinafter “</w:t>
      </w:r>
      <w:r>
        <w:rPr>
          <w:rFonts w:ascii="Arial;sans-serif" w:hAnsi="Arial;sans-serif"/>
          <w:b/>
          <w:color w:val="000000"/>
          <w:sz w:val="22"/>
        </w:rPr>
        <w:t>Seller</w:t>
      </w:r>
      <w:r>
        <w:rPr>
          <w:color w:val="000000"/>
        </w:rPr>
        <w:t>”</w:t>
      </w:r>
      <w:r>
        <w:rPr>
          <w:rFonts w:ascii="Arial;sans-serif" w:hAnsi="Arial;sans-serif"/>
          <w:b w:val="false"/>
          <w:color w:val="000000"/>
          <w:sz w:val="22"/>
        </w:rPr>
        <w:t>.</w:t>
      </w:r>
    </w:p>
    <w:p>
      <w:pPr>
        <w:pStyle w:val="TextBody"/>
        <w:bidi w:val="0"/>
        <w:spacing w:before="0" w:after="0"/>
        <w:jc w:val="left"/>
        <w:rPr/>
      </w:pPr>
      <w:r>
        <w:rPr/>
      </w:r>
    </w:p>
    <w:p>
      <w:pPr>
        <w:pStyle w:val="TextBody"/>
        <w:bidi w:val="0"/>
        <w:spacing w:lineRule="auto" w:line="268" w:before="0" w:after="0"/>
        <w:ind w:left="0" w:right="0" w:firstLine="631"/>
        <w:jc w:val="center"/>
        <w:rPr>
          <w:rFonts w:ascii="Arial;sans-serif" w:hAnsi="Arial;sans-serif"/>
          <w:b w:val="false"/>
          <w:color w:val="000000"/>
          <w:sz w:val="22"/>
        </w:rPr>
      </w:pPr>
      <w:r>
        <w:rPr>
          <w:rFonts w:ascii="Arial;sans-serif" w:hAnsi="Arial;sans-serif"/>
          <w:b w:val="false"/>
          <w:color w:val="000000"/>
          <w:sz w:val="22"/>
        </w:rPr>
        <w:t>RECITALS</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Arial;sans-serif" w:hAnsi="Arial;sans-serif"/>
          <w:b w:val="false"/>
          <w:color w:val="000000"/>
          <w:sz w:val="22"/>
        </w:rPr>
        <w:t>A.Buyer and Seller are parties to Memorandum of Agreement (“</w:t>
      </w:r>
      <w:r>
        <w:rPr>
          <w:rFonts w:ascii="Arial;sans-serif" w:hAnsi="Arial;sans-serif"/>
          <w:b/>
          <w:color w:val="000000"/>
          <w:sz w:val="22"/>
        </w:rPr>
        <w:t>MOA</w:t>
      </w:r>
      <w:r>
        <w:rPr>
          <w:color w:val="000000"/>
        </w:rPr>
        <w:t>”</w:t>
      </w:r>
      <w:r>
        <w:rPr>
          <w:rFonts w:ascii="Arial;sans-serif" w:hAnsi="Arial;sans-serif"/>
          <w:b w:val="false"/>
          <w:color w:val="000000"/>
          <w:sz w:val="22"/>
        </w:rPr>
        <w:t>), as amended, dated March 12, 2001, as amended by the First Amendment, dated December 13, 2002, and the Second Amendment, dated October 15, 2007, and the Third Amendment, dated May 27, 2016, and the Fourth Amendment, dated December 4, 2020 (the “</w:t>
      </w:r>
      <w:r>
        <w:rPr>
          <w:rFonts w:ascii="Arial;sans-serif" w:hAnsi="Arial;sans-serif"/>
          <w:b/>
          <w:color w:val="000000"/>
          <w:sz w:val="22"/>
        </w:rPr>
        <w:t>Original Agreement</w:t>
      </w:r>
      <w:r>
        <w:rPr>
          <w:color w:val="000000"/>
        </w:rPr>
        <w:t>”</w:t>
      </w:r>
      <w:r>
        <w:rPr>
          <w:rFonts w:ascii="Arial;sans-serif" w:hAnsi="Arial;sans-serif"/>
          <w:b w:val="false"/>
          <w:color w:val="000000"/>
          <w:sz w:val="22"/>
        </w:rPr>
        <w:t>); and</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2"/>
        </w:rPr>
      </w:pPr>
      <w:r>
        <w:rPr>
          <w:rFonts w:ascii="Arial;sans-serif" w:hAnsi="Arial;sans-serif"/>
          <w:b w:val="false"/>
          <w:color w:val="000000"/>
          <w:sz w:val="22"/>
        </w:rPr>
        <w:t>B.Seller and Buyer wish to amend the Original Agreement as hereinafter set forth.</w:t>
      </w:r>
    </w:p>
    <w:p>
      <w:pPr>
        <w:pStyle w:val="TextBody"/>
        <w:bidi w:val="0"/>
        <w:spacing w:before="0" w:after="0"/>
        <w:jc w:val="left"/>
        <w:rPr/>
      </w:pPr>
      <w:r>
        <w:rPr/>
      </w:r>
    </w:p>
    <w:p>
      <w:pPr>
        <w:pStyle w:val="TextBody"/>
        <w:bidi w:val="0"/>
        <w:spacing w:lineRule="auto" w:line="268" w:before="0" w:after="0"/>
        <w:ind w:left="0" w:right="0" w:firstLine="819"/>
        <w:jc w:val="left"/>
        <w:rPr>
          <w:rFonts w:ascii="Arial;sans-serif" w:hAnsi="Arial;sans-serif"/>
          <w:b w:val="false"/>
          <w:color w:val="000000"/>
          <w:sz w:val="22"/>
        </w:rPr>
      </w:pPr>
      <w:r>
        <w:rPr>
          <w:rFonts w:ascii="Arial;sans-serif" w:hAnsi="Arial;sans-serif"/>
          <w:b w:val="false"/>
          <w:color w:val="000000"/>
          <w:sz w:val="22"/>
        </w:rPr>
        <w:t>NOW THEREFORE, for good and valuable consideration, the receipt and sufficiency of which are hereby acknowledged and accepted, the parties hereby agree to amend the Original Agreement as follows:</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Arial;sans-serif" w:hAnsi="Arial;sans-serif"/>
          <w:b w:val="false"/>
          <w:color w:val="000000"/>
          <w:sz w:val="22"/>
        </w:rPr>
        <w:t>1.</w:t>
      </w:r>
      <w:r>
        <w:rPr>
          <w:rFonts w:ascii="Arial;sans-serif" w:hAnsi="Arial;sans-serif"/>
          <w:b/>
          <w:color w:val="000000"/>
          <w:sz w:val="22"/>
        </w:rPr>
        <w:t>Schedule 1. Section B</w:t>
      </w:r>
      <w:r>
        <w:rPr>
          <w:rFonts w:ascii="Arial;sans-serif" w:hAnsi="Arial;sans-serif"/>
          <w:b w:val="false"/>
          <w:color w:val="000000"/>
          <w:sz w:val="22"/>
        </w:rPr>
        <w:t xml:space="preserve">. </w:t>
      </w:r>
      <w:r>
        <w:rPr>
          <w:rFonts w:ascii="Arial;sans-serif" w:hAnsi="Arial;sans-serif"/>
          <w:b/>
          <w:color w:val="000000"/>
          <w:sz w:val="22"/>
        </w:rPr>
        <w:t xml:space="preserve">Term. </w:t>
      </w:r>
      <w:r>
        <w:rPr>
          <w:rFonts w:ascii="Arial;sans-serif" w:hAnsi="Arial;sans-serif"/>
          <w:b w:val="false"/>
          <w:color w:val="000000"/>
          <w:sz w:val="22"/>
        </w:rPr>
        <w:t>is amended and restated in its entirety to read as follows:</w:t>
      </w:r>
    </w:p>
    <w:p>
      <w:pPr>
        <w:pStyle w:val="TextBody"/>
        <w:bidi w:val="0"/>
        <w:spacing w:before="0" w:after="0"/>
        <w:jc w:val="left"/>
        <w:rPr/>
      </w:pPr>
      <w:r>
        <w:rPr/>
      </w:r>
    </w:p>
    <w:p>
      <w:pPr>
        <w:pStyle w:val="TextBody"/>
        <w:bidi w:val="0"/>
        <w:spacing w:lineRule="auto" w:line="268" w:before="0" w:after="0"/>
        <w:ind w:left="0" w:right="0" w:firstLine="820"/>
        <w:jc w:val="left"/>
        <w:rPr/>
      </w:pPr>
      <w:r>
        <w:rPr>
          <w:color w:val="000000"/>
        </w:rPr>
        <w:t>“</w:t>
      </w:r>
      <w:r>
        <w:rPr>
          <w:rFonts w:ascii="Arial;sans-serif" w:hAnsi="Arial;sans-serif"/>
          <w:b w:val="false"/>
          <w:color w:val="000000"/>
          <w:sz w:val="22"/>
        </w:rPr>
        <w:t xml:space="preserve">The initial term of this Agreement (“Initial Term”) will commence as of a Commencement Date of March 12, 2001 and expiring at </w:t>
      </w:r>
      <w:r>
        <w:rPr>
          <w:rFonts w:ascii="Arial;sans-serif" w:hAnsi="Arial;sans-serif"/>
          <w:b/>
          <w:color w:val="000000"/>
          <w:sz w:val="22"/>
        </w:rPr>
        <w:t>[***]</w:t>
      </w:r>
      <w:r>
        <w:rPr>
          <w:color w:val="000000"/>
        </w:rPr>
        <w:t xml:space="preserve"> </w:t>
      </w:r>
      <w:r>
        <w:rPr>
          <w:rFonts w:ascii="Arial;sans-serif" w:hAnsi="Arial;sans-serif"/>
          <w:b w:val="false"/>
          <w:color w:val="000000"/>
          <w:sz w:val="22"/>
        </w:rPr>
        <w:t xml:space="preserve">unless sooner terminated pursuant to this Agreement.” </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Arial;sans-serif" w:hAnsi="Arial;sans-serif"/>
          <w:b w:val="false"/>
          <w:color w:val="000000"/>
          <w:sz w:val="22"/>
        </w:rPr>
        <w:t>2.</w:t>
      </w:r>
      <w:r>
        <w:rPr>
          <w:rFonts w:ascii="Arial;sans-serif" w:hAnsi="Arial;sans-serif"/>
          <w:b/>
          <w:color w:val="000000"/>
          <w:sz w:val="22"/>
        </w:rPr>
        <w:t>Schedule 1. Section E.(2)</w:t>
      </w:r>
      <w:r>
        <w:rPr>
          <w:rFonts w:ascii="Arial;sans-serif" w:hAnsi="Arial;sans-serif"/>
          <w:b w:val="false"/>
          <w:color w:val="000000"/>
          <w:sz w:val="22"/>
        </w:rPr>
        <w:t xml:space="preserve">. </w:t>
      </w:r>
      <w:r>
        <w:rPr>
          <w:rFonts w:ascii="Arial;sans-serif" w:hAnsi="Arial;sans-serif"/>
          <w:b/>
          <w:color w:val="000000"/>
          <w:sz w:val="22"/>
          <w:u w:val="single"/>
        </w:rPr>
        <w:t>Ochlocknee Product</w:t>
      </w:r>
      <w:r>
        <w:rPr>
          <w:rFonts w:ascii="Arial;sans-serif" w:hAnsi="Arial;sans-serif"/>
          <w:b/>
          <w:color w:val="000000"/>
          <w:sz w:val="22"/>
        </w:rPr>
        <w:t xml:space="preserve">. </w:t>
      </w:r>
      <w:r>
        <w:rPr>
          <w:rFonts w:ascii="Arial;sans-serif" w:hAnsi="Arial;sans-serif"/>
          <w:b w:val="false"/>
          <w:color w:val="000000"/>
          <w:sz w:val="22"/>
        </w:rPr>
        <w:t>is amended to add the following sentence:</w:t>
      </w:r>
    </w:p>
    <w:p>
      <w:pPr>
        <w:pStyle w:val="TextBody"/>
        <w:bidi w:val="0"/>
        <w:spacing w:before="0" w:after="0"/>
        <w:jc w:val="left"/>
        <w:rPr/>
      </w:pPr>
      <w:r>
        <w:rPr/>
      </w:r>
    </w:p>
    <w:p>
      <w:pPr>
        <w:pStyle w:val="TextBody"/>
        <w:bidi w:val="0"/>
        <w:spacing w:lineRule="auto" w:line="268" w:before="0" w:after="0"/>
        <w:ind w:left="0" w:right="0" w:firstLine="100"/>
        <w:jc w:val="left"/>
        <w:rPr/>
      </w:pPr>
      <w:r>
        <w:rPr>
          <w:color w:val="000000"/>
        </w:rPr>
        <w:t>“</w:t>
      </w:r>
      <w:r>
        <w:rPr>
          <w:rFonts w:ascii="Arial;sans-serif" w:hAnsi="Arial;sans-serif"/>
          <w:b w:val="false"/>
          <w:color w:val="000000"/>
          <w:sz w:val="22"/>
        </w:rPr>
        <w:t xml:space="preserve">Notwithstanding anything herein to the contrary, the Base Price for the product from </w:t>
      </w:r>
      <w:r>
        <w:rPr>
          <w:rFonts w:ascii="Arial;sans-serif" w:hAnsi="Arial;sans-serif"/>
          <w:b/>
          <w:color w:val="000000"/>
          <w:sz w:val="22"/>
        </w:rPr>
        <w:t>[***]</w:t>
      </w:r>
      <w:r>
        <w:rPr>
          <w:color w:val="000000"/>
        </w:rPr>
        <w:t xml:space="preserve"> </w:t>
      </w:r>
      <w:r>
        <w:rPr>
          <w:rFonts w:ascii="Arial;sans-serif" w:hAnsi="Arial;sans-serif"/>
          <w:b w:val="false"/>
          <w:color w:val="000000"/>
          <w:sz w:val="22"/>
        </w:rPr>
        <w:t xml:space="preserve">through </w:t>
      </w:r>
      <w:r>
        <w:rPr>
          <w:rFonts w:ascii="Arial;sans-serif" w:hAnsi="Arial;sans-serif"/>
          <w:b/>
          <w:color w:val="000000"/>
          <w:sz w:val="22"/>
        </w:rPr>
        <w:t>[***]</w:t>
      </w:r>
      <w:r>
        <w:rPr>
          <w:color w:val="000000"/>
        </w:rPr>
        <w:t xml:space="preserve"> </w:t>
      </w:r>
      <w:r>
        <w:rPr>
          <w:rFonts w:ascii="Arial;sans-serif" w:hAnsi="Arial;sans-serif"/>
          <w:b w:val="false"/>
          <w:color w:val="000000"/>
          <w:sz w:val="22"/>
        </w:rPr>
        <w:t xml:space="preserve">shall be </w:t>
      </w:r>
      <w:r>
        <w:rPr>
          <w:rFonts w:ascii="Arial;sans-serif" w:hAnsi="Arial;sans-serif"/>
          <w:b/>
          <w:color w:val="000000"/>
          <w:sz w:val="22"/>
        </w:rPr>
        <w:t>[***]</w:t>
      </w:r>
      <w:r>
        <w:rPr>
          <w:rFonts w:ascii="Arial;sans-serif" w:hAnsi="Arial;sans-serif"/>
          <w:b w:val="false"/>
          <w:color w:val="000000"/>
          <w:sz w:val="22"/>
        </w:rPr>
        <w:t xml:space="preserve">, and the Base Price for the product from </w:t>
      </w:r>
      <w:r>
        <w:rPr>
          <w:rFonts w:ascii="Arial;sans-serif" w:hAnsi="Arial;sans-serif"/>
          <w:b/>
          <w:color w:val="000000"/>
          <w:sz w:val="22"/>
        </w:rPr>
        <w:t>[***]</w:t>
      </w:r>
      <w:r>
        <w:rPr>
          <w:color w:val="000000"/>
        </w:rPr>
        <w:t xml:space="preserve"> </w:t>
      </w:r>
      <w:r>
        <w:rPr>
          <w:rFonts w:ascii="Arial;sans-serif" w:hAnsi="Arial;sans-serif"/>
          <w:b w:val="false"/>
          <w:color w:val="000000"/>
          <w:sz w:val="22"/>
        </w:rPr>
        <w:t xml:space="preserve">through </w:t>
      </w:r>
      <w:r>
        <w:rPr>
          <w:rFonts w:ascii="Arial;sans-serif" w:hAnsi="Arial;sans-serif"/>
          <w:b/>
          <w:color w:val="000000"/>
          <w:sz w:val="22"/>
        </w:rPr>
        <w:t>[***]</w:t>
      </w:r>
      <w:r>
        <w:rPr>
          <w:color w:val="000000"/>
        </w:rPr>
        <w:t xml:space="preserve"> </w:t>
      </w:r>
      <w:r>
        <w:rPr>
          <w:rFonts w:ascii="Arial;sans-serif" w:hAnsi="Arial;sans-serif"/>
          <w:b w:val="false"/>
          <w:color w:val="000000"/>
          <w:sz w:val="22"/>
        </w:rPr>
        <w:t xml:space="preserve">shall be </w:t>
      </w:r>
      <w:r>
        <w:rPr>
          <w:rFonts w:ascii="Arial;sans-serif" w:hAnsi="Arial;sans-serif"/>
          <w:b/>
          <w:color w:val="000000"/>
          <w:sz w:val="22"/>
        </w:rPr>
        <w:t>[***]</w:t>
      </w:r>
      <w:r>
        <w:rPr>
          <w:rFonts w:ascii="Arial;sans-serif" w:hAnsi="Arial;sans-serif"/>
          <w:b w:val="false"/>
          <w:color w:val="000000"/>
          <w:sz w:val="22"/>
        </w:rPr>
        <w:t>.”</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Arial;sans-serif" w:hAnsi="Arial;sans-serif"/>
          <w:b w:val="false"/>
          <w:color w:val="000000"/>
          <w:sz w:val="22"/>
        </w:rPr>
        <w:t>3.</w:t>
      </w:r>
      <w:r>
        <w:rPr>
          <w:rFonts w:ascii="Arial;sans-serif" w:hAnsi="Arial;sans-serif"/>
          <w:b/>
          <w:color w:val="000000"/>
          <w:sz w:val="22"/>
        </w:rPr>
        <w:t>Schedule 1. Section F.(1)</w:t>
      </w:r>
      <w:r>
        <w:rPr>
          <w:rFonts w:ascii="Arial;sans-serif" w:hAnsi="Arial;sans-serif"/>
          <w:b w:val="false"/>
          <w:color w:val="000000"/>
          <w:sz w:val="22"/>
        </w:rPr>
        <w:t xml:space="preserve">. </w:t>
      </w:r>
      <w:r>
        <w:rPr>
          <w:rFonts w:ascii="Arial;sans-serif" w:hAnsi="Arial;sans-serif"/>
          <w:b/>
          <w:color w:val="000000"/>
          <w:sz w:val="22"/>
          <w:u w:val="single"/>
        </w:rPr>
        <w:t>Payment Terms</w:t>
      </w:r>
      <w:r>
        <w:rPr>
          <w:rFonts w:ascii="Arial;sans-serif" w:hAnsi="Arial;sans-serif"/>
          <w:b/>
          <w:color w:val="000000"/>
          <w:sz w:val="22"/>
        </w:rPr>
        <w:t xml:space="preserve">. </w:t>
      </w:r>
      <w:r>
        <w:rPr>
          <w:rFonts w:ascii="Arial;sans-serif" w:hAnsi="Arial;sans-serif"/>
          <w:b w:val="false"/>
          <w:color w:val="000000"/>
          <w:sz w:val="22"/>
        </w:rPr>
        <w:t>is amended to add the following sentence:</w:t>
      </w:r>
    </w:p>
    <w:p>
      <w:pPr>
        <w:pStyle w:val="TextBody"/>
        <w:bidi w:val="0"/>
        <w:spacing w:before="0" w:after="0"/>
        <w:jc w:val="left"/>
        <w:rPr/>
      </w:pPr>
      <w:r>
        <w:rPr/>
      </w:r>
    </w:p>
    <w:p>
      <w:pPr>
        <w:pStyle w:val="TextBody"/>
        <w:bidi w:val="0"/>
        <w:spacing w:lineRule="auto" w:line="268" w:before="0" w:after="0"/>
        <w:ind w:left="0" w:right="0" w:firstLine="90"/>
        <w:jc w:val="left"/>
        <w:rPr/>
      </w:pPr>
      <w:r>
        <w:rPr>
          <w:color w:val="000000"/>
        </w:rPr>
        <w:t>“</w:t>
      </w:r>
      <w:r>
        <w:rPr>
          <w:rFonts w:ascii="Arial;sans-serif" w:hAnsi="Arial;sans-serif"/>
          <w:b w:val="false"/>
          <w:color w:val="000000"/>
          <w:sz w:val="22"/>
        </w:rPr>
        <w:t xml:space="preserve">Effective </w:t>
      </w:r>
      <w:r>
        <w:rPr>
          <w:rFonts w:ascii="Arial;sans-serif" w:hAnsi="Arial;sans-serif"/>
          <w:b/>
          <w:color w:val="000000"/>
          <w:sz w:val="22"/>
        </w:rPr>
        <w:t>[***]</w:t>
      </w:r>
      <w:r>
        <w:rPr>
          <w:rFonts w:ascii="Arial;sans-serif" w:hAnsi="Arial;sans-serif"/>
          <w:b w:val="false"/>
          <w:color w:val="000000"/>
          <w:sz w:val="22"/>
        </w:rPr>
        <w:t xml:space="preserve">, the payment terms shall be </w:t>
      </w:r>
      <w:r>
        <w:rPr>
          <w:rFonts w:ascii="Arial;sans-serif" w:hAnsi="Arial;sans-serif"/>
          <w:b/>
          <w:color w:val="000000"/>
          <w:sz w:val="22"/>
        </w:rPr>
        <w:t>[***]</w:t>
      </w:r>
      <w:r>
        <w:rPr>
          <w:rFonts w:ascii="Arial;sans-serif" w:hAnsi="Arial;sans-serif"/>
          <w:b w:val="false"/>
          <w:color w:val="000000"/>
          <w:sz w:val="22"/>
        </w:rPr>
        <w:t>.”</w:t>
      </w:r>
    </w:p>
    <w:p>
      <w:pPr>
        <w:pStyle w:val="TextBody"/>
        <w:bidi w:val="0"/>
        <w:spacing w:before="0" w:after="0"/>
        <w:jc w:val="left"/>
        <w:rPr/>
      </w:pPr>
      <w:r>
        <w:rPr/>
      </w:r>
    </w:p>
    <w:p>
      <w:pPr>
        <w:pStyle w:val="TextBody"/>
        <w:bidi w:val="0"/>
        <w:spacing w:lineRule="auto" w:line="268"/>
        <w:ind w:left="0" w:right="0" w:hanging="360"/>
        <w:jc w:val="left"/>
        <w:rPr>
          <w:rFonts w:ascii="Arial;sans-serif" w:hAnsi="Arial;sans-serif"/>
          <w:b w:val="false"/>
          <w:color w:val="000000"/>
          <w:sz w:val="22"/>
        </w:rPr>
      </w:pPr>
      <w:r>
        <w:rPr>
          <w:rFonts w:ascii="Arial;sans-serif" w:hAnsi="Arial;sans-serif"/>
          <w:b w:val="false"/>
          <w:color w:val="000000"/>
          <w:sz w:val="22"/>
        </w:rPr>
        <w:t>4.The terms of the Original Agreement shall remain in full force and effect except as amended, modified and superseded hereby. Capitalized terms not otherwise defined herein shall have the same meanings as set forth in the Original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2"/>
        </w:rPr>
      </w:pPr>
      <w:r>
        <w:rPr>
          <w:rFonts w:ascii="Arial;sans-serif" w:hAnsi="Arial;sans-serif"/>
          <w:b w:val="false"/>
          <w:color w:val="000000"/>
          <w:sz w:val="22"/>
        </w:rPr>
        <w:t>5.The parties represent and warrant to each other that any person or entity purporting to have the authority to enter into this Amendment on behalf of or for the benefit of a party has such authority.</w:t>
      </w:r>
    </w:p>
    <w:p>
      <w:pPr>
        <w:pStyle w:val="TextBody"/>
        <w:bidi w:val="0"/>
        <w:spacing w:before="0" w:after="0"/>
        <w:jc w:val="left"/>
        <w:rPr/>
      </w:pPr>
      <w:r>
        <w:rPr/>
      </w:r>
    </w:p>
    <w:p>
      <w:pPr>
        <w:pStyle w:val="TextBody"/>
        <w:bidi w:val="0"/>
        <w:spacing w:lineRule="auto" w:line="268" w:before="0" w:after="0"/>
        <w:ind w:left="0" w:right="0" w:hanging="360"/>
        <w:jc w:val="left"/>
        <w:rPr>
          <w:rFonts w:ascii="Arial;sans-serif" w:hAnsi="Arial;sans-serif"/>
          <w:b w:val="false"/>
          <w:color w:val="000000"/>
          <w:sz w:val="22"/>
        </w:rPr>
      </w:pPr>
      <w:r>
        <w:rPr>
          <w:rFonts w:ascii="Arial;sans-serif" w:hAnsi="Arial;sans-serif"/>
          <w:b w:val="false"/>
          <w:color w:val="000000"/>
          <w:sz w:val="22"/>
        </w:rPr>
        <w:t>6.This Amendment may be executed by use of electronic signature and may be executed in counterparts, each of which shall be deemed to be an original, but all of which, taken together, shall constitute one and the same agreement. Delivery of an executed counterpart of this agreement by electronic means, including by an electronic signature service provider complying with the provisions of the federal E-SIGN Act, the Uniform Electronic Transactions Act and/or other applicable law, portable document format (PDF) or by other electronic means shall be equally effective as delivery of an original by mail.</w:t>
      </w:r>
    </w:p>
    <w:p>
      <w:pPr>
        <w:pStyle w:val="TextBody"/>
        <w:bidi w:val="0"/>
        <w:spacing w:before="0" w:after="0"/>
        <w:jc w:val="left"/>
        <w:rPr/>
      </w:pPr>
      <w:r>
        <w:rPr/>
      </w:r>
    </w:p>
    <w:p>
      <w:pPr>
        <w:pStyle w:val="TextBody"/>
        <w:bidi w:val="0"/>
        <w:spacing w:lineRule="auto" w:line="268" w:before="0" w:after="0"/>
        <w:ind w:left="0" w:right="0" w:firstLine="634"/>
        <w:jc w:val="center"/>
        <w:rPr/>
      </w:pPr>
      <w:r>
        <w:rPr>
          <w:rFonts w:ascii="Arial;sans-serif" w:hAnsi="Arial;sans-serif"/>
          <w:b w:val="false"/>
          <w:color w:val="000000"/>
          <w:sz w:val="22"/>
        </w:rPr>
        <w:t>[</w:t>
      </w:r>
      <w:r>
        <w:rPr>
          <w:rFonts w:ascii="Arial;sans-serif" w:hAnsi="Arial;sans-serif"/>
          <w:b w:val="false"/>
          <w:i/>
          <w:color w:val="000000"/>
          <w:sz w:val="22"/>
        </w:rPr>
        <w:t>The remainder of this page is intentionally left blank. Signature page follows.</w:t>
      </w:r>
      <w:r>
        <w:rPr>
          <w:rFonts w:ascii="Arial;sans-serif" w:hAnsi="Arial;sans-serif"/>
          <w:b w:val="false"/>
          <w:color w:val="000000"/>
          <w:sz w:val="22"/>
        </w:rPr>
        <w:t>]</w:t>
      </w:r>
    </w:p>
    <w:p>
      <w:pPr>
        <w:pStyle w:val="TextBody"/>
        <w:bidi w:val="0"/>
        <w:spacing w:before="0" w:after="0"/>
        <w:ind w:left="0" w:right="0" w:firstLine="634"/>
        <w:jc w:val="center"/>
        <w:rPr/>
      </w:pPr>
      <w:r>
        <w:rPr/>
      </w:r>
    </w:p>
    <w:p>
      <w:pPr>
        <w:pStyle w:val="TextBody"/>
        <w:bidi w:val="0"/>
        <w:spacing w:before="0" w:after="0"/>
        <w:ind w:left="0" w:right="0" w:firstLine="634"/>
        <w:jc w:val="center"/>
        <w:rPr/>
      </w:pPr>
      <w:r>
        <w:rPr/>
      </w:r>
    </w:p>
    <w:p>
      <w:pPr>
        <w:pStyle w:val="TextBody"/>
        <w:bidi w:val="0"/>
        <w:spacing w:before="0" w:after="0"/>
        <w:ind w:left="0" w:right="0" w:firstLine="634"/>
        <w:jc w:val="center"/>
        <w:rPr/>
      </w:pPr>
      <w:r>
        <w:rPr/>
      </w:r>
    </w:p>
    <w:p>
      <w:pPr>
        <w:pStyle w:val="TextBody"/>
        <w:bidi w:val="0"/>
        <w:spacing w:before="0" w:after="0"/>
        <w:ind w:left="0" w:right="0" w:firstLine="634"/>
        <w:jc w:val="center"/>
        <w:rPr/>
      </w:pPr>
      <w:r>
        <w:rPr/>
      </w:r>
    </w:p>
    <w:p>
      <w:pPr>
        <w:pStyle w:val="TextBody"/>
        <w:bidi w:val="0"/>
        <w:spacing w:before="0" w:after="0"/>
        <w:ind w:left="0" w:right="0" w:firstLine="634"/>
        <w:jc w:val="center"/>
        <w:rPr/>
      </w:pPr>
      <w:r>
        <w:rPr/>
      </w:r>
    </w:p>
    <w:p>
      <w:pPr>
        <w:pStyle w:val="TextBody"/>
        <w:bidi w:val="0"/>
        <w:spacing w:before="0" w:after="0"/>
        <w:ind w:left="0" w:right="0" w:firstLine="634"/>
        <w:jc w:val="center"/>
        <w:rPr/>
      </w:pPr>
      <w:r>
        <w:rPr/>
      </w:r>
    </w:p>
    <w:p>
      <w:pPr>
        <w:pStyle w:val="TextBody"/>
        <w:bidi w:val="0"/>
        <w:spacing w:before="0" w:after="0"/>
        <w:ind w:left="0" w:right="0" w:firstLine="634"/>
        <w:jc w:val="center"/>
        <w:rPr/>
      </w:pPr>
      <w:r>
        <w:rPr/>
      </w:r>
    </w:p>
    <w:p>
      <w:pPr>
        <w:pStyle w:val="TextBody"/>
        <w:bidi w:val="0"/>
        <w:spacing w:before="0" w:after="0"/>
        <w:ind w:left="0" w:right="0" w:firstLine="634"/>
        <w:jc w:val="center"/>
        <w:rPr/>
      </w:pPr>
      <w:r>
        <w:rPr/>
      </w:r>
    </w:p>
    <w:p>
      <w:pPr>
        <w:pStyle w:val="TextBody"/>
        <w:bidi w:val="0"/>
        <w:spacing w:before="0" w:after="0"/>
        <w:ind w:left="0" w:right="0" w:firstLine="634"/>
        <w:jc w:val="center"/>
        <w:rPr/>
      </w:pPr>
      <w:r>
        <w:rPr/>
      </w:r>
    </w:p>
    <w:p>
      <w:pPr>
        <w:pStyle w:val="TextBody"/>
        <w:bidi w:val="0"/>
        <w:spacing w:before="0" w:after="0"/>
        <w:ind w:left="0" w:right="0" w:firstLine="634"/>
        <w:jc w:val="center"/>
        <w:rPr/>
      </w:pPr>
      <w:r>
        <w:rPr/>
      </w:r>
    </w:p>
    <w:p>
      <w:pPr>
        <w:pStyle w:val="TextBody"/>
        <w:bidi w:val="0"/>
        <w:spacing w:before="0" w:after="0"/>
        <w:ind w:left="0" w:right="0" w:firstLine="634"/>
        <w:jc w:val="center"/>
        <w:rPr/>
      </w:pPr>
      <w:r>
        <w:rPr/>
      </w:r>
    </w:p>
    <w:p>
      <w:pPr>
        <w:pStyle w:val="TextBody"/>
        <w:bidi w:val="0"/>
        <w:spacing w:before="0" w:after="0"/>
        <w:ind w:left="0" w:right="0" w:firstLine="634"/>
        <w:jc w:val="center"/>
        <w:rPr/>
      </w:pPr>
      <w:r>
        <w:rPr/>
      </w:r>
    </w:p>
    <w:p>
      <w:pPr>
        <w:pStyle w:val="TextBody"/>
        <w:bidi w:val="0"/>
        <w:spacing w:before="0" w:after="0"/>
        <w:ind w:left="0" w:right="0" w:firstLine="634"/>
        <w:jc w:val="center"/>
        <w:rPr/>
      </w:pPr>
      <w:r>
        <w:rPr/>
      </w:r>
    </w:p>
    <w:p>
      <w:pPr>
        <w:pStyle w:val="TextBody"/>
        <w:bidi w:val="0"/>
        <w:spacing w:before="0" w:after="0"/>
        <w:ind w:left="0" w:right="0" w:firstLine="634"/>
        <w:jc w:val="center"/>
        <w:rPr/>
      </w:pPr>
      <w:r>
        <w:rPr/>
      </w:r>
    </w:p>
    <w:p>
      <w:pPr>
        <w:pStyle w:val="TextBody"/>
        <w:bidi w:val="0"/>
        <w:spacing w:before="0" w:after="0"/>
        <w:ind w:left="0" w:right="0" w:firstLine="634"/>
        <w:jc w:val="center"/>
        <w:rPr/>
      </w:pPr>
      <w:r>
        <w:rPr/>
      </w:r>
    </w:p>
    <w:p>
      <w:pPr>
        <w:pStyle w:val="TextBody"/>
        <w:bidi w:val="0"/>
        <w:spacing w:before="0" w:after="0"/>
        <w:ind w:left="0" w:right="0" w:firstLine="634"/>
        <w:jc w:val="center"/>
        <w:rPr/>
      </w:pPr>
      <w:r>
        <w:rPr/>
      </w:r>
    </w:p>
    <w:p>
      <w:pPr>
        <w:pStyle w:val="TextBody"/>
        <w:bidi w:val="0"/>
        <w:spacing w:before="0" w:after="0"/>
        <w:ind w:left="0" w:right="0" w:firstLine="634"/>
        <w:jc w:val="center"/>
        <w:rPr/>
      </w:pPr>
      <w:r>
        <w:rPr/>
      </w:r>
    </w:p>
    <w:p>
      <w:pPr>
        <w:pStyle w:val="TextBody"/>
        <w:bidi w:val="0"/>
        <w:spacing w:before="0" w:after="0"/>
        <w:ind w:left="0" w:right="0" w:firstLine="634"/>
        <w:jc w:val="center"/>
        <w:rPr/>
      </w:pPr>
      <w:r>
        <w:rPr/>
      </w:r>
    </w:p>
    <w:p>
      <w:pPr>
        <w:pStyle w:val="TextBody"/>
        <w:bidi w:val="0"/>
        <w:spacing w:before="0" w:after="0"/>
        <w:ind w:left="0" w:right="0" w:firstLine="634"/>
        <w:jc w:val="center"/>
        <w:rPr/>
      </w:pPr>
      <w:r>
        <w:rPr/>
      </w:r>
    </w:p>
    <w:p>
      <w:pPr>
        <w:pStyle w:val="TextBody"/>
        <w:bidi w:val="0"/>
        <w:spacing w:before="0" w:after="0"/>
        <w:jc w:val="left"/>
        <w:rPr/>
      </w:pPr>
      <w:r>
        <w:rPr/>
      </w:r>
    </w:p>
    <w:p>
      <w:pPr>
        <w:pStyle w:val="TextBody"/>
        <w:bidi w:val="0"/>
        <w:spacing w:before="0" w:after="0"/>
        <w:ind w:left="0" w:right="0" w:firstLine="819"/>
        <w:jc w:val="left"/>
        <w:rPr/>
      </w:pPr>
      <w:r>
        <w:rPr/>
      </w:r>
    </w:p>
    <w:p>
      <w:pPr>
        <w:pStyle w:val="TextBody"/>
        <w:bidi w:val="0"/>
        <w:spacing w:before="0" w:after="0"/>
        <w:ind w:left="0" w:right="0" w:firstLine="819"/>
        <w:jc w:val="left"/>
        <w:rPr/>
      </w:pPr>
      <w:r>
        <w:rPr/>
      </w:r>
    </w:p>
    <w:p>
      <w:pPr>
        <w:pStyle w:val="TextBody"/>
        <w:bidi w:val="0"/>
        <w:spacing w:before="0" w:after="0"/>
        <w:ind w:left="0" w:right="0" w:firstLine="819"/>
        <w:jc w:val="left"/>
        <w:rPr/>
      </w:pPr>
      <w:r>
        <w:rPr/>
      </w:r>
    </w:p>
    <w:p>
      <w:pPr>
        <w:pStyle w:val="TextBody"/>
        <w:bidi w:val="0"/>
        <w:spacing w:before="0" w:after="0"/>
        <w:ind w:left="0" w:right="0" w:firstLine="819"/>
        <w:jc w:val="left"/>
        <w:rPr/>
      </w:pPr>
      <w:r>
        <w:rPr/>
      </w:r>
    </w:p>
    <w:p>
      <w:pPr>
        <w:pStyle w:val="TextBody"/>
        <w:bidi w:val="0"/>
        <w:spacing w:before="0" w:after="0"/>
        <w:ind w:left="0" w:right="0" w:firstLine="819"/>
        <w:jc w:val="left"/>
        <w:rPr/>
      </w:pPr>
      <w:r>
        <w:rPr/>
      </w:r>
    </w:p>
    <w:p>
      <w:pPr>
        <w:pStyle w:val="TextBody"/>
        <w:bidi w:val="0"/>
        <w:spacing w:before="0" w:after="0"/>
        <w:ind w:left="0" w:right="0" w:firstLine="819"/>
        <w:jc w:val="left"/>
        <w:rPr/>
      </w:pPr>
      <w:r>
        <w:rPr/>
      </w:r>
    </w:p>
    <w:p>
      <w:pPr>
        <w:pStyle w:val="TextBody"/>
        <w:bidi w:val="0"/>
        <w:spacing w:before="0" w:after="0"/>
        <w:ind w:left="0" w:right="0" w:firstLine="819"/>
        <w:jc w:val="left"/>
        <w:rPr/>
      </w:pPr>
      <w:r>
        <w:rPr/>
      </w:r>
    </w:p>
    <w:p>
      <w:pPr>
        <w:pStyle w:val="TextBody"/>
        <w:bidi w:val="0"/>
        <w:spacing w:before="0" w:after="0"/>
        <w:ind w:left="0" w:right="0" w:firstLine="819"/>
        <w:jc w:val="left"/>
        <w:rPr/>
      </w:pPr>
      <w:r>
        <w:rPr/>
      </w:r>
    </w:p>
    <w:p>
      <w:pPr>
        <w:pStyle w:val="TextBody"/>
        <w:bidi w:val="0"/>
        <w:spacing w:before="0" w:after="0"/>
        <w:ind w:left="0" w:right="0" w:firstLine="819"/>
        <w:jc w:val="left"/>
        <w:rPr/>
      </w:pPr>
      <w:r>
        <w:rPr/>
      </w:r>
    </w:p>
    <w:p>
      <w:pPr>
        <w:pStyle w:val="TextBody"/>
        <w:bidi w:val="0"/>
        <w:spacing w:before="0" w:after="0"/>
        <w:ind w:left="0" w:right="0" w:firstLine="819"/>
        <w:jc w:val="left"/>
        <w:rPr/>
      </w:pPr>
      <w:r>
        <w:rPr/>
      </w:r>
    </w:p>
    <w:p>
      <w:pPr>
        <w:pStyle w:val="TextBody"/>
        <w:bidi w:val="0"/>
        <w:spacing w:before="0" w:after="0"/>
        <w:ind w:left="0" w:right="0" w:firstLine="819"/>
        <w:jc w:val="left"/>
        <w:rPr/>
      </w:pPr>
      <w:r>
        <w:rPr/>
      </w:r>
    </w:p>
    <w:p>
      <w:pPr>
        <w:pStyle w:val="TextBody"/>
        <w:bidi w:val="0"/>
        <w:spacing w:before="0" w:after="0"/>
        <w:ind w:left="0" w:right="0" w:firstLine="819"/>
        <w:jc w:val="left"/>
        <w:rPr/>
      </w:pPr>
      <w:r>
        <w:rPr/>
      </w:r>
    </w:p>
    <w:p>
      <w:pPr>
        <w:pStyle w:val="TextBody"/>
        <w:bidi w:val="0"/>
        <w:spacing w:before="0" w:after="0"/>
        <w:ind w:left="0" w:right="0" w:firstLine="819"/>
        <w:jc w:val="left"/>
        <w:rPr/>
      </w:pPr>
      <w:r>
        <w:rPr/>
      </w:r>
    </w:p>
    <w:p>
      <w:pPr>
        <w:pStyle w:val="TextBody"/>
        <w:bidi w:val="0"/>
        <w:spacing w:before="0" w:after="0"/>
        <w:ind w:left="0" w:right="0" w:firstLine="819"/>
        <w:jc w:val="left"/>
        <w:rPr/>
      </w:pPr>
      <w:r>
        <w:rPr/>
      </w:r>
    </w:p>
    <w:p>
      <w:pPr>
        <w:pStyle w:val="TextBody"/>
        <w:bidi w:val="0"/>
        <w:spacing w:before="0" w:after="0"/>
        <w:ind w:left="0" w:right="0" w:firstLine="819"/>
        <w:jc w:val="left"/>
        <w:rPr/>
      </w:pPr>
      <w:r>
        <w:rPr/>
      </w:r>
    </w:p>
    <w:p>
      <w:pPr>
        <w:pStyle w:val="TextBody"/>
        <w:bidi w:val="0"/>
        <w:spacing w:before="0" w:after="0"/>
        <w:ind w:left="0" w:right="0" w:firstLine="819"/>
        <w:jc w:val="left"/>
        <w:rPr/>
      </w:pPr>
      <w:r>
        <w:rPr/>
      </w:r>
    </w:p>
    <w:p>
      <w:pPr>
        <w:pStyle w:val="TextBody"/>
        <w:bidi w:val="0"/>
        <w:ind w:left="0" w:right="0" w:firstLine="819"/>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819"/>
        <w:jc w:val="left"/>
        <w:rPr>
          <w:rFonts w:ascii="Arial;sans-serif" w:hAnsi="Arial;sans-serif"/>
          <w:b w:val="false"/>
          <w:color w:val="000000"/>
          <w:sz w:val="22"/>
        </w:rPr>
      </w:pPr>
      <w:r>
        <w:rPr>
          <w:rFonts w:ascii="Arial;sans-serif" w:hAnsi="Arial;sans-serif"/>
          <w:b w:val="false"/>
          <w:color w:val="000000"/>
          <w:sz w:val="22"/>
        </w:rPr>
        <w:t>IN WITNESS WHEREOF, the undersigned have caused this Amendment to be signed, all as of the date first written above.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2" w:before="0" w:after="0"/>
        <w:ind w:left="0" w:right="0" w:firstLine="208"/>
        <w:jc w:val="left"/>
        <w:rPr/>
      </w:pPr>
      <w:r>
        <w:rPr>
          <w:rFonts w:ascii="Arial;sans-serif" w:hAnsi="Arial;sans-serif"/>
          <w:b/>
          <w:color w:val="000000"/>
          <w:sz w:val="22"/>
        </w:rPr>
        <w:t>BUYER</w:t>
      </w:r>
      <w:r>
        <w:rPr>
          <w:rFonts w:ascii="Arial;sans-serif" w:hAnsi="Arial;sans-serif"/>
          <w:b w:val="false"/>
          <w:color w:val="000000"/>
          <w:sz w:val="22"/>
        </w:rPr>
        <w:t>: A &amp; M Products Manufacturing Company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208"/>
        <w:jc w:val="left"/>
        <w:rPr/>
      </w:pPr>
      <w:r>
        <w:rPr>
          <w:rFonts w:ascii="Arial;sans-serif" w:hAnsi="Arial;sans-serif"/>
          <w:b w:val="false"/>
          <w:color w:val="000000"/>
          <w:sz w:val="22"/>
        </w:rPr>
        <w:t xml:space="preserve">By: </w:t>
      </w:r>
      <w:r>
        <w:rPr>
          <w:rFonts w:ascii="Arial;sans-serif" w:hAnsi="Arial;sans-serif"/>
          <w:b w:val="false"/>
          <w:color w:val="000000"/>
          <w:sz w:val="22"/>
          <w:u w:val="single"/>
        </w:rPr>
        <w:t>/s/ Tom Alexander</w:t>
      </w:r>
    </w:p>
    <w:p>
      <w:pPr>
        <w:pStyle w:val="TextBody"/>
        <w:bidi w:val="0"/>
        <w:spacing w:before="0" w:after="0"/>
        <w:jc w:val="left"/>
        <w:rPr/>
      </w:pPr>
      <w:r>
        <w:rPr/>
      </w:r>
    </w:p>
    <w:p>
      <w:pPr>
        <w:pStyle w:val="TextBody"/>
        <w:bidi w:val="0"/>
        <w:spacing w:lineRule="auto" w:line="268" w:before="0" w:after="0"/>
        <w:ind w:left="0" w:right="0" w:firstLine="208"/>
        <w:jc w:val="left"/>
        <w:rPr/>
      </w:pPr>
      <w:r>
        <w:rPr>
          <w:rFonts w:ascii="Arial;sans-serif" w:hAnsi="Arial;sans-serif"/>
          <w:b/>
          <w:color w:val="000000"/>
          <w:sz w:val="22"/>
        </w:rPr>
        <w:t>SELLER</w:t>
      </w:r>
      <w:r>
        <w:rPr>
          <w:rFonts w:ascii="Arial;sans-serif" w:hAnsi="Arial;sans-serif"/>
          <w:b w:val="false"/>
          <w:color w:val="000000"/>
          <w:sz w:val="22"/>
        </w:rPr>
        <w:t>: Oil Dri Corporation of America</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208"/>
        <w:jc w:val="left"/>
        <w:rPr/>
      </w:pPr>
      <w:r>
        <w:rPr>
          <w:rFonts w:ascii="Arial;sans-serif" w:hAnsi="Arial;sans-serif"/>
          <w:b w:val="false"/>
          <w:color w:val="000000"/>
          <w:sz w:val="22"/>
        </w:rPr>
        <w:t xml:space="preserve">By: </w:t>
      </w:r>
      <w:r>
        <w:rPr>
          <w:rFonts w:ascii="Arial;sans-serif" w:hAnsi="Arial;sans-serif"/>
          <w:b w:val="false"/>
          <w:color w:val="000000"/>
          <w:sz w:val="22"/>
          <w:u w:val="single"/>
        </w:rPr>
        <w:t>/s/ Dan Jaffee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Exhibit 31: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CERTIFICATIONS PURSUANT TO RULE 13A -14(A) UNDER THE SECURITIES EXCHANGE ACT OF 1934, AS AMENDED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Executive Officer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(Section 302 of the Sarbanes-Oxley Act of 2002) </w:t>
      </w:r>
    </w:p>
    <w:p>
      <w:pPr>
        <w:pStyle w:val="TextBody"/>
        <w:bidi w:val="0"/>
        <w:spacing w:before="180" w:after="283"/>
        <w:jc w:val="center"/>
        <w:rPr/>
      </w:pPr>
      <w:r>
        <w:rPr/>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 Daniel S. Jaffee, certify that: </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a.I have reviewed this quarterly report on Form 10-Q of Oil-Dri Corporation of America (the “registrant”);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465"/>
        <w:jc w:val="both"/>
        <w:rPr>
          <w:rFonts w:ascii="Times New Roman;sans-serif" w:hAnsi="Times New Roman;sans-serif"/>
          <w:b w:val="false"/>
          <w:color w:val="000000"/>
          <w:sz w:val="20"/>
        </w:rPr>
      </w:pPr>
      <w:r>
        <w:rPr>
          <w:rFonts w:ascii="Times New Roman;sans-serif" w:hAnsi="Times New Roman;sans-serif"/>
          <w:b w:val="false"/>
          <w:color w:val="000000"/>
          <w:sz w:val="20"/>
        </w:rPr>
        <w:t>i.Designed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521"/>
        <w:jc w:val="both"/>
        <w:rPr>
          <w:rFonts w:ascii="Times New Roman;sans-serif" w:hAnsi="Times New Roman;sans-serif"/>
          <w:b w:val="false"/>
          <w:color w:val="000000"/>
          <w:sz w:val="20"/>
        </w:rPr>
      </w:pPr>
      <w:r>
        <w:rPr>
          <w:rFonts w:ascii="Times New Roman;sans-serif" w:hAnsi="Times New Roman;sans-serif"/>
          <w:b w:val="false"/>
          <w:color w:val="000000"/>
          <w:sz w:val="20"/>
        </w:rPr>
        <w:t>ii.Designed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576"/>
        <w:jc w:val="both"/>
        <w:rPr>
          <w:rFonts w:ascii="Times New Roman;sans-serif" w:hAnsi="Times New Roman;sans-serif"/>
          <w:b w:val="false"/>
          <w:color w:val="000000"/>
          <w:sz w:val="20"/>
        </w:rPr>
      </w:pPr>
      <w:r>
        <w:rPr>
          <w:rFonts w:ascii="Times New Roman;sans-serif" w:hAnsi="Times New Roman;sans-serif"/>
          <w:b w:val="false"/>
          <w:color w:val="000000"/>
          <w:sz w:val="20"/>
        </w:rPr>
        <w:t>iii.Evaluated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565"/>
        <w:jc w:val="both"/>
        <w:rPr>
          <w:rFonts w:ascii="Times New Roman;sans-serif" w:hAnsi="Times New Roman;sans-serif"/>
          <w:b w:val="false"/>
          <w:color w:val="000000"/>
          <w:sz w:val="20"/>
        </w:rPr>
      </w:pPr>
      <w:r>
        <w:rPr>
          <w:rFonts w:ascii="Times New Roman;sans-serif" w:hAnsi="Times New Roman;sans-serif"/>
          <w:b w:val="false"/>
          <w:color w:val="000000"/>
          <w:sz w:val="20"/>
        </w:rPr>
        <w:t>iv.Disclosed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465"/>
        <w:jc w:val="both"/>
        <w:rPr>
          <w:rFonts w:ascii="Times New Roman;sans-serif" w:hAnsi="Times New Roman;sans-serif"/>
          <w:b w:val="false"/>
          <w:color w:val="000000"/>
          <w:sz w:val="20"/>
        </w:rPr>
      </w:pPr>
      <w:r>
        <w:rPr>
          <w:rFonts w:ascii="Times New Roman;sans-serif" w:hAnsi="Times New Roman;sans-serif"/>
          <w:b w:val="false"/>
          <w:color w:val="000000"/>
          <w:sz w:val="20"/>
        </w:rPr>
        <w:t>i.All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521"/>
        <w:jc w:val="both"/>
        <w:rPr>
          <w:rFonts w:ascii="Times New Roman;sans-serif" w:hAnsi="Times New Roman;sans-serif"/>
          <w:b w:val="false"/>
          <w:color w:val="000000"/>
          <w:sz w:val="20"/>
        </w:rPr>
      </w:pPr>
      <w:r>
        <w:rPr>
          <w:rFonts w:ascii="Times New Roman;sans-serif" w:hAnsi="Times New Roman;sans-serif"/>
          <w:b w:val="false"/>
          <w:color w:val="000000"/>
          <w:sz w:val="20"/>
        </w:rPr>
        <w:t>ii.Any fraud, whether or not material, that involves management or other employees who have a significant role in the registrant’s internal control over financial reporting.</w:t>
      </w:r>
    </w:p>
    <w:tbl>
      <w:tblPr>
        <w:tblW w:w="4649" w:type="dxa"/>
        <w:jc w:val="left"/>
        <w:tblInd w:w="0" w:type="dxa"/>
        <w:tblLayout w:type="fixed"/>
        <w:tblCellMar>
          <w:top w:w="28" w:type="dxa"/>
          <w:left w:w="28" w:type="dxa"/>
          <w:bottom w:w="28" w:type="dxa"/>
          <w:right w:w="28" w:type="dxa"/>
        </w:tblCellMar>
      </w:tblPr>
      <w:tblGrid>
        <w:gridCol w:w="200"/>
        <w:gridCol w:w="177"/>
        <w:gridCol w:w="178"/>
        <w:gridCol w:w="1199"/>
        <w:gridCol w:w="1199"/>
        <w:gridCol w:w="169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June 8, 2023</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Daniel S. Jaffee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Daniel S. Jaffee </w:t>
              <w:br/>
              <w:t>Chairman, President and Chief Executive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Exhibit 31 (continued):</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a Principal Financial Officer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(Section 302 of the Sarbanes-Oxley Act of 2002) </w:t>
      </w:r>
    </w:p>
    <w:p>
      <w:pPr>
        <w:pStyle w:val="TextBody"/>
        <w:bidi w:val="0"/>
        <w:spacing w:before="180" w:after="283"/>
        <w:jc w:val="center"/>
        <w:rPr/>
      </w:pPr>
      <w:r>
        <w:rPr/>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 Susan M. Kreh, certify that: </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Oil-Dri Corporation of America (the “registrant”);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2564" w:type="dxa"/>
        <w:jc w:val="left"/>
        <w:tblInd w:w="0" w:type="dxa"/>
        <w:tblLayout w:type="fixed"/>
        <w:tblCellMar>
          <w:top w:w="28" w:type="dxa"/>
          <w:left w:w="28" w:type="dxa"/>
          <w:bottom w:w="28" w:type="dxa"/>
          <w:right w:w="28" w:type="dxa"/>
        </w:tblCellMar>
      </w:tblPr>
      <w:tblGrid>
        <w:gridCol w:w="200"/>
        <w:gridCol w:w="177"/>
        <w:gridCol w:w="178"/>
        <w:gridCol w:w="588"/>
        <w:gridCol w:w="588"/>
        <w:gridCol w:w="83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June 8, 2023</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Susan M. Kreh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Susan M. Kreh</w:t>
              <w:br/>
              <w:t>Chief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color w:val="000000"/>
          <w:sz w:val="18"/>
        </w:rPr>
        <w:t>Exhibit 32:</w:t>
      </w:r>
      <w:r>
        <w:rPr>
          <w:color w:val="000000"/>
        </w:rPr>
        <w:t xml:space="preserve">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CERTIFICATIONS PURSUANT TO 18 U.S.C. SECTION 1350 AS ADOPTED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THE SARBANES-OXLEY ACT OF 2002 CERTIFICATION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18 U.S.C. Section 1350, the undersigned officer of Oil-Dri Corporation of America (the “Company”) hereby certifies that to the best of my knowledge the Company’s Quarterly Report on Form 10-Q for the quarter ended April 30, 2023 (the “Report”) fully complies with the requirements of Section 13(a) or 15(d), as applicable, of the Securities Exchange Act of 1934 and that the information contained in the Report fairly presents, in all material respects, the financial condition and results of operation of the Company. </w:t>
      </w:r>
    </w:p>
    <w:tbl>
      <w:tblPr>
        <w:tblW w:w="4604" w:type="dxa"/>
        <w:jc w:val="left"/>
        <w:tblInd w:w="0" w:type="dxa"/>
        <w:tblLayout w:type="fixed"/>
        <w:tblCellMar>
          <w:top w:w="28" w:type="dxa"/>
          <w:left w:w="28" w:type="dxa"/>
          <w:bottom w:w="28" w:type="dxa"/>
          <w:right w:w="28" w:type="dxa"/>
        </w:tblCellMar>
      </w:tblPr>
      <w:tblGrid>
        <w:gridCol w:w="594"/>
        <w:gridCol w:w="524"/>
        <w:gridCol w:w="529"/>
        <w:gridCol w:w="866"/>
        <w:gridCol w:w="866"/>
        <w:gridCol w:w="1225"/>
      </w:tblGrid>
      <w:tr>
        <w:trPr/>
        <w:tc>
          <w:tcPr>
            <w:tcW w:w="59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16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295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June 8, 2023</w:t>
            </w:r>
          </w:p>
        </w:tc>
      </w:tr>
      <w:tr>
        <w:trPr/>
        <w:tc>
          <w:tcPr>
            <w:tcW w:w="460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Daniel S. Jaffee</w:t>
            </w:r>
          </w:p>
        </w:tc>
      </w:tr>
      <w:tr>
        <w:trPr/>
        <w:tc>
          <w:tcPr>
            <w:tcW w:w="460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Name: Daniel S. Jaffee </w:t>
              <w:br/>
              <w:t>Title: Chairman, President and Chief Executive Officer</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signed original of this written statement required by Section 906 has been provided to the Company and will be retained by the Company and furnished to the Securities and Exchange Commission or its staff upon request.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certification is being furnished solely pursuant to Section 906 of the Sarbanes-Oxley Act of 2002 (Section 1350, Chapter 63 of Title 18, United States Code) and is not being filed as part of the Report or as a separate disclosure document.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18 U.S.C. Section 1350, the undersigned officer of Oil-Dri Corporation of America (the “Company”) hereby certifies that to the best of my knowledge the Company’s Quarterly Report on Form 10-Q for the quarter ended April 30, 2023 (the “Report”) fully complies with the requirements of Section 13(a) or 15(d), as applicable, of the Securities Exchange Act of 1934 and that the information contained in the Report fairly presents, in all material respects, the financial condition and results of operation of the Company. </w:t>
      </w:r>
    </w:p>
    <w:tbl>
      <w:tblPr>
        <w:tblW w:w="2563" w:type="dxa"/>
        <w:jc w:val="left"/>
        <w:tblInd w:w="0" w:type="dxa"/>
        <w:tblLayout w:type="fixed"/>
        <w:tblCellMar>
          <w:top w:w="28" w:type="dxa"/>
          <w:left w:w="28" w:type="dxa"/>
          <w:bottom w:w="28" w:type="dxa"/>
          <w:right w:w="28" w:type="dxa"/>
        </w:tblCellMar>
      </w:tblPr>
      <w:tblGrid>
        <w:gridCol w:w="331"/>
        <w:gridCol w:w="292"/>
        <w:gridCol w:w="294"/>
        <w:gridCol w:w="482"/>
        <w:gridCol w:w="482"/>
        <w:gridCol w:w="682"/>
      </w:tblGrid>
      <w:tr>
        <w:trPr/>
        <w:tc>
          <w:tcPr>
            <w:tcW w:w="33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r>
      <w:tr>
        <w:trPr/>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6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June 8, 2023</w:t>
            </w:r>
          </w:p>
        </w:tc>
      </w:tr>
      <w:tr>
        <w:trPr/>
        <w:tc>
          <w:tcPr>
            <w:tcW w:w="256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Susan M. Kreh</w:t>
            </w:r>
          </w:p>
        </w:tc>
      </w:tr>
      <w:tr>
        <w:trPr/>
        <w:tc>
          <w:tcPr>
            <w:tcW w:w="256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Susan M. Kreh</w:t>
              <w:br/>
              <w:t xml:space="preserve">Title: Chief Financial Officer </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signed original of this written statement required by Section 906 has been provided to the Company and will be retained by the Company and furnished to the Securities and Exchange Commission or its staff upon request.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certification is being furnished solely pursuant to Section 906 of the Sarbanes-Oxley Act of 2002 (Section 1350, Chapter 63 of Title 18, United States Code) and is not being filed as part of the Report or as a separate disclosure document.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Exhibit 95</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MINE SAFETY DISCLOSURES</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section 1503(a) of the Dodd-Frank Wall Street Reform and Consumer Protection Act and Item 104 of Regulation S-K, each operator of a coal or other mine is required to include certain mine safety information in its periodic reports filed with the Securities and Exchange Commission. The table below includes this mine safety information for each mine facility owned and operated by Oil-Dri Corporation of America, or its subsidiaries, for the quarter ended April 30, 2023.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Section 104 Significant and Substantial Violations: Total number of violations of mandatory health or safety standards that could significantly and substantially contribute to the cause and effect of a coal or other mine safety or health hazard.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Section 107(a) Imminent Danger Orders: Total number of orders issued when an imminent danger is identified which requires all persons to be withdrawn from area(s) in the mine until the imminent danger and the conditions that caused it cease to exist.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Total Dollar Value of Proposed MSHA Assessments: Each issuance of a citation or order by MSHA results in the assessment of a monetary penalty. The total dollar value presented includes any contested penalties.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Legal Actions Pending, Initiated or Resolved: Total number of cases pending legal action before the Federal Mine Safety and Health Review Commission as of the last day of the reporting period or the number of such cases initiated or resolved during the reporting period.</w:t>
      </w:r>
    </w:p>
    <w:tbl>
      <w:tblPr>
        <w:tblW w:w="10205" w:type="dxa"/>
        <w:jc w:val="center"/>
        <w:tblInd w:w="0" w:type="dxa"/>
        <w:tblLayout w:type="fixed"/>
        <w:tblCellMar>
          <w:top w:w="28" w:type="dxa"/>
          <w:left w:w="28" w:type="dxa"/>
          <w:bottom w:w="28" w:type="dxa"/>
          <w:right w:w="28" w:type="dxa"/>
        </w:tblCellMar>
      </w:tblPr>
      <w:tblGrid>
        <w:gridCol w:w="482"/>
        <w:gridCol w:w="423"/>
        <w:gridCol w:w="300"/>
        <w:gridCol w:w="427"/>
        <w:gridCol w:w="427"/>
        <w:gridCol w:w="428"/>
        <w:gridCol w:w="250"/>
        <w:gridCol w:w="250"/>
        <w:gridCol w:w="251"/>
        <w:gridCol w:w="301"/>
        <w:gridCol w:w="301"/>
        <w:gridCol w:w="302"/>
        <w:gridCol w:w="358"/>
        <w:gridCol w:w="358"/>
        <w:gridCol w:w="359"/>
        <w:gridCol w:w="285"/>
        <w:gridCol w:w="285"/>
        <w:gridCol w:w="286"/>
        <w:gridCol w:w="427"/>
        <w:gridCol w:w="427"/>
        <w:gridCol w:w="428"/>
        <w:gridCol w:w="314"/>
        <w:gridCol w:w="314"/>
        <w:gridCol w:w="315"/>
        <w:gridCol w:w="285"/>
        <w:gridCol w:w="285"/>
        <w:gridCol w:w="286"/>
        <w:gridCol w:w="303"/>
        <w:gridCol w:w="303"/>
        <w:gridCol w:w="445"/>
      </w:tblGrid>
      <w:tr>
        <w:trPr/>
        <w:tc>
          <w:tcPr>
            <w:tcW w:w="48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Legal Actions</w:t>
            </w:r>
          </w:p>
        </w:tc>
      </w:tr>
      <w:tr>
        <w:trPr/>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Mine location</w:t>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Section 104 “Significant and Substantial” Violations</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Section 104(b)</w:t>
              <w:br/>
              <w:t xml:space="preserve">Orders </w:t>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Section 104(d)</w:t>
              <w:br/>
              <w:t xml:space="preserve">Citations and Orders </w:t>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Section 110(b)(2) Flagrant Violations</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Section 107(a) Imminent Danger Orders</w:t>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 xml:space="preserve">Total Dollar Value of Proposed MSHA Assessments </w:t>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Pending as of Last Day of Period</w:t>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Initiated During Period</w:t>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Resolved During Period</w:t>
            </w:r>
          </w:p>
        </w:tc>
      </w:tr>
      <w:tr>
        <w:trPr/>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Ochlocknee, Georgia</w:t>
            </w:r>
          </w:p>
        </w:tc>
        <w:tc>
          <w:tcPr>
            <w:tcW w:w="12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Ripley, Mississippi</w:t>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1,350</w:t>
            </w:r>
          </w:p>
        </w:tc>
        <w:tc>
          <w:tcPr>
            <w:tcW w:w="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Mounds, Illinois</w:t>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286</w:t>
            </w:r>
          </w:p>
        </w:tc>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Blue Mountain, Mississippi</w:t>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Taft, California</w:t>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ind w:left="0" w:right="0" w:firstLine="720"/>
        <w:jc w:val="left"/>
        <w:rPr/>
      </w:pPr>
      <w:r>
        <w:rPr/>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We had no mining-related fatalities at any of our facilities during the three months ended April 30, 2023. During this period we also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 All legal actions pending and initiated during the period were contests of proposed penalties.</w:t>
      </w:r>
    </w:p>
    <w:p>
      <w:pPr>
        <w:pStyle w:val="TextBody"/>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19100</Words>
  <Characters>102683</Characters>
  <CharactersWithSpaces>120887</CharactersWithSpaces>
  <Paragraphs>2146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