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7010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January 10, 2006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Andrew N. Peterson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Chief Financial Officer, Oil-Dri Corporation of America</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410 North Michigan Avenue</w:t>
      </w:r>
    </w:p>
    <w:p>
      <w:pPr>
        <w:sectPr>
          <w:pgSz w:w="11900" w:h="16838" w:orient="portrait"/>
          <w:cols w:equalWidth="0" w:num="1">
            <w:col w:w="10219"/>
          </w:cols>
          <w:pgMar w:left="240" w:top="1055" w:right="1440" w:bottom="0" w:gutter="0" w:footer="0" w:header="0"/>
        </w:sectPr>
      </w:pPr>
    </w:p>
    <w:p>
      <w:pPr>
        <w:spacing w:after="0" w:line="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Suite 400 Chicago, IL</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60611-4213</w:t>
      </w:r>
    </w:p>
    <w:p>
      <w:pPr>
        <w:spacing w:after="0" w:line="224" w:lineRule="exact"/>
        <w:rPr>
          <w:sz w:val="24"/>
          <w:szCs w:val="24"/>
          <w:color w:val="auto"/>
        </w:rPr>
      </w:pPr>
    </w:p>
    <w:p>
      <w:pPr>
        <w:sectPr>
          <w:pgSz w:w="11900" w:h="16838" w:orient="portrait"/>
          <w:cols w:equalWidth="0" w:num="2">
            <w:col w:w="1160" w:space="220"/>
            <w:col w:w="8839"/>
          </w:cols>
          <w:pgMar w:left="240" w:top="1055" w:right="1440" w:bottom="0" w:gutter="0" w:footer="0" w:header="0"/>
          <w:type w:val="continuous"/>
        </w:sectPr>
      </w:pPr>
    </w:p>
    <w:p>
      <w:pPr>
        <w:ind w:right="3359" w:firstLine="843"/>
        <w:spacing w:after="0" w:line="236" w:lineRule="auto"/>
        <w:rPr>
          <w:sz w:val="20"/>
          <w:szCs w:val="20"/>
          <w:color w:val="auto"/>
        </w:rPr>
      </w:pPr>
      <w:r>
        <w:rPr>
          <w:rFonts w:ascii="Courier New" w:cs="Courier New" w:eastAsia="Courier New" w:hAnsi="Courier New"/>
          <w:sz w:val="18"/>
          <w:szCs w:val="18"/>
          <w:color w:val="auto"/>
        </w:rPr>
        <w:t>RE: Form 10-K for the fiscal year ended July 31, 2005 Form 10-Q for the quarter ended October 31, 2005 File No. 0-23897</w:t>
      </w:r>
    </w:p>
    <w:p>
      <w:pPr>
        <w:sectPr>
          <w:pgSz w:w="11900" w:h="16838" w:orient="portrait"/>
          <w:cols w:equalWidth="0" w:num="1">
            <w:col w:w="10219"/>
          </w:cols>
          <w:pgMar w:left="240" w:top="1055" w:right="1440" w:bottom="0" w:gutter="0" w:footer="0" w:header="0"/>
          <w:type w:val="continuous"/>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Peterson:</w:t>
      </w:r>
    </w:p>
    <w:p>
      <w:pPr>
        <w:spacing w:after="0" w:line="207" w:lineRule="exact"/>
        <w:rPr>
          <w:sz w:val="24"/>
          <w:szCs w:val="24"/>
          <w:color w:val="auto"/>
        </w:rPr>
      </w:pPr>
    </w:p>
    <w:p>
      <w:pPr>
        <w:ind w:right="3999" w:firstLine="632"/>
        <w:spacing w:after="0" w:line="235" w:lineRule="auto"/>
        <w:rPr>
          <w:sz w:val="20"/>
          <w:szCs w:val="20"/>
          <w:color w:val="auto"/>
        </w:rPr>
      </w:pPr>
      <w:r>
        <w:rPr>
          <w:rFonts w:ascii="Courier New" w:cs="Courier New" w:eastAsia="Courier New" w:hAnsi="Courier New"/>
          <w:sz w:val="18"/>
          <w:szCs w:val="18"/>
          <w:color w:val="auto"/>
        </w:rPr>
        <w:t>We have reviewed these filings and have the following comments.</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If you disagree with a comment, we will consider your explanation as</w:t>
      </w:r>
    </w:p>
    <w:p>
      <w:pPr>
        <w:spacing w:after="0" w:line="6" w:lineRule="exact"/>
        <w:rPr>
          <w:sz w:val="24"/>
          <w:szCs w:val="24"/>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to why our comment is inapplicable or a revision is unnecessary. Please be as detailed as necessary in your explanation. In some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comments, we may ask you to provide us with information so we may</w:t>
      </w:r>
    </w:p>
    <w:p>
      <w:pPr>
        <w:spacing w:after="0" w:line="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better understand your disclosure. After reviewing this information,</w:t>
      </w:r>
    </w:p>
    <w:p>
      <w:pPr>
        <w:spacing w:after="0"/>
        <w:rPr>
          <w:sz w:val="20"/>
          <w:szCs w:val="20"/>
          <w:color w:val="auto"/>
        </w:rPr>
      </w:pPr>
      <w:r>
        <w:rPr>
          <w:rFonts w:ascii="Courier New" w:cs="Courier New" w:eastAsia="Courier New" w:hAnsi="Courier New"/>
          <w:sz w:val="18"/>
          <w:szCs w:val="18"/>
          <w:color w:val="auto"/>
        </w:rPr>
        <w:t>we may or may not raise additional comments.</w:t>
      </w:r>
    </w:p>
    <w:p>
      <w:pPr>
        <w:spacing w:after="0" w:line="201"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YEAR ENDED JULY 31,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4"/>
          <w:szCs w:val="24"/>
          <w:color w:val="auto"/>
        </w:rPr>
      </w:pPr>
    </w:p>
    <w:p>
      <w:pPr>
        <w:ind w:right="33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a comment below requests additional disclosures or other revisions, please show us in your supplemental response what the revisions will look like. These revisions should be included in your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future filings.</w:t>
      </w:r>
    </w:p>
    <w:p>
      <w:pPr>
        <w:spacing w:after="0" w:line="207"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Item 7 - Management`s Discussion and Analysis of Financial Condition</w:t>
      </w:r>
    </w:p>
    <w:p>
      <w:pPr>
        <w:spacing w:after="0"/>
        <w:rPr>
          <w:sz w:val="20"/>
          <w:szCs w:val="20"/>
          <w:color w:val="auto"/>
        </w:rPr>
      </w:pPr>
      <w:r>
        <w:rPr>
          <w:rFonts w:ascii="Courier New" w:cs="Courier New" w:eastAsia="Courier New" w:hAnsi="Courier New"/>
          <w:sz w:val="18"/>
          <w:szCs w:val="18"/>
          <w:color w:val="auto"/>
        </w:rPr>
        <w:t>and Results of Operations, page 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Results of Operations, page 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Fiscal 2005 Compared to Fiscal 2004, page 15</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discuss the business reasons for the changes between</w:t>
      </w:r>
    </w:p>
    <w:p>
      <w:pPr>
        <w:spacing w:after="0" w:line="4"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periods in net sales and operating income from operations of each of</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segments. In doing so, please disclose the amount of each significant change in line items between periods and the business reasons for it. In circumstances where there is more than one business reason for the change, attempt to quantify the incremental</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impact of each individual business reason discussed on the overall change in the line item. Please show us what your revised MD&amp;A for</w:t>
      </w:r>
    </w:p>
    <w:p>
      <w:pPr>
        <w:spacing w:after="0" w:line="6" w:lineRule="exact"/>
        <w:rPr>
          <w:rFonts w:ascii="Courier New" w:cs="Courier New" w:eastAsia="Courier New" w:hAnsi="Courier New"/>
          <w:sz w:val="18"/>
          <w:szCs w:val="18"/>
          <w:color w:val="auto"/>
        </w:rPr>
      </w:pPr>
    </w:p>
    <w:p>
      <w:pPr>
        <w:ind w:right="3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2005 as compared to 2004 will look like. See Item 303(a)(3) of Regulation S-K and Financial Reporting Codification 501.04.</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Liquidity and Capital Resources, page 17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 You disclose that you accounted for $1.2 million in cash grants</w:t>
      </w:r>
    </w:p>
    <w:p>
      <w:pPr>
        <w:sectPr>
          <w:pgSz w:w="11900" w:h="16838" w:orient="portrait"/>
          <w:cols w:equalWidth="0" w:num="1">
            <w:col w:w="10219"/>
          </w:cols>
          <w:pgMar w:left="240" w:top="1055"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on</w:t>
      </w:r>
    </w:p>
    <w:p>
      <w:pPr>
        <w:spacing w:after="0" w:line="4" w:lineRule="exact"/>
        <w:rPr>
          <w:sz w:val="20"/>
          <w:szCs w:val="20"/>
          <w:color w:val="auto"/>
        </w:rPr>
      </w:pPr>
    </w:p>
    <w:p>
      <w:pPr>
        <w:ind w:right="3679"/>
        <w:spacing w:after="0" w:line="279" w:lineRule="auto"/>
        <w:rPr>
          <w:sz w:val="20"/>
          <w:szCs w:val="20"/>
          <w:color w:val="auto"/>
        </w:rPr>
      </w:pPr>
      <w:r>
        <w:rPr>
          <w:rFonts w:ascii="Courier New" w:cs="Courier New" w:eastAsia="Courier New" w:hAnsi="Courier New"/>
          <w:sz w:val="16"/>
          <w:szCs w:val="16"/>
          <w:color w:val="auto"/>
        </w:rPr>
        <w:t>a "net" grant accounting basis, thus showing no cash inflow or capital expenditure outflow. Please tell us what accounting literature you relied on in determining your presentation.</w:t>
      </w:r>
    </w:p>
    <w:p>
      <w:pPr>
        <w:spacing w:after="0" w:line="178" w:lineRule="exact"/>
        <w:rPr>
          <w:sz w:val="20"/>
          <w:szCs w:val="20"/>
          <w:color w:val="auto"/>
        </w:rPr>
      </w:pPr>
    </w:p>
    <w:p>
      <w:pPr>
        <w:ind w:right="325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liquidity section to discuss the changes in your operating, investing, and financing cash flows as depicted in your statement of cash flows. Your discussion should focus on the primary drivers of and other material factors necessary to an understanding of your cash flows and the indicative value of historical cash flows. Please refer to the SEC Interpretive Release</w:t>
      </w:r>
    </w:p>
    <w:p>
      <w:pPr>
        <w:spacing w:after="0" w:line="4"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33-8350.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page 17</w:t>
      </w:r>
    </w:p>
    <w:p>
      <w:pPr>
        <w:spacing w:after="0" w:line="207" w:lineRule="exact"/>
        <w:rPr>
          <w:sz w:val="20"/>
          <w:szCs w:val="20"/>
          <w:color w:val="auto"/>
        </w:rPr>
      </w:pPr>
    </w:p>
    <w:p>
      <w:pPr>
        <w:ind w:right="325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table of contractual obligations to include payments you are obligated to make under your interest rate swap agreements. Because the table is aimed at increasing transparency of</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 we believe these payments should be included in the table.</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also disclose any assumptions you made to derive these amounts.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7a - Quantitative and Qualitative Disclosures About Market</w:t>
      </w:r>
    </w:p>
    <w:p>
      <w:pPr>
        <w:spacing w:after="0" w:line="238" w:lineRule="auto"/>
        <w:rPr>
          <w:sz w:val="20"/>
          <w:szCs w:val="20"/>
          <w:color w:val="auto"/>
        </w:rPr>
      </w:pPr>
      <w:r>
        <w:rPr>
          <w:rFonts w:ascii="Courier New" w:cs="Courier New" w:eastAsia="Courier New" w:hAnsi="Courier New"/>
          <w:sz w:val="18"/>
          <w:szCs w:val="18"/>
          <w:color w:val="auto"/>
        </w:rPr>
        <w:t>Risk,</w:t>
      </w:r>
    </w:p>
    <w:p>
      <w:pPr>
        <w:spacing w:after="0"/>
        <w:rPr>
          <w:sz w:val="20"/>
          <w:szCs w:val="20"/>
          <w:color w:val="auto"/>
        </w:rPr>
      </w:pPr>
      <w:r>
        <w:rPr>
          <w:rFonts w:ascii="Courier New" w:cs="Courier New" w:eastAsia="Courier New" w:hAnsi="Courier New"/>
          <w:sz w:val="18"/>
          <w:szCs w:val="18"/>
          <w:color w:val="auto"/>
        </w:rPr>
        <w:t>page 24</w:t>
      </w:r>
    </w:p>
    <w:p>
      <w:pPr>
        <w:spacing w:after="0" w:line="206" w:lineRule="exact"/>
        <w:rPr>
          <w:sz w:val="20"/>
          <w:szCs w:val="20"/>
          <w:color w:val="auto"/>
        </w:rPr>
      </w:pPr>
    </w:p>
    <w:p>
      <w:pPr>
        <w:ind w:right="335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us with additional information to help us understand why you believe quantitative disclosures for both your foreign currency and interest rate risks are not required, or provide</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disclosure required by Item 305 of Regulation S-K. Please refer</w:t>
      </w:r>
    </w:p>
    <w:p>
      <w:pPr>
        <w:spacing w:after="0" w:line="5" w:lineRule="exact"/>
        <w:rPr>
          <w:rFonts w:ascii="Courier New" w:cs="Courier New" w:eastAsia="Courier New" w:hAnsi="Courier New"/>
          <w:sz w:val="18"/>
          <w:szCs w:val="18"/>
          <w:color w:val="auto"/>
        </w:rPr>
      </w:pPr>
    </w:p>
    <w:p>
      <w:pPr>
        <w:ind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appendices to Item 305 for suggested formats for presentation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Stockholders` Equity, page 28</w:t>
      </w:r>
    </w:p>
    <w:p>
      <w:pPr>
        <w:spacing w:after="0" w:line="207" w:lineRule="exact"/>
        <w:rPr>
          <w:sz w:val="20"/>
          <w:szCs w:val="20"/>
          <w:color w:val="auto"/>
        </w:rPr>
      </w:pPr>
    </w:p>
    <w:p>
      <w:pPr>
        <w:jc w:val="both"/>
        <w:ind w:right="3259" w:firstLine="8"/>
        <w:spacing w:after="0" w:line="236"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statement of stockholders` equity to include columns disclosing the changes in the number of shares outstanding and held as treasury stock.</w:t>
      </w:r>
    </w:p>
    <w:p>
      <w:pPr>
        <w:spacing w:after="0" w:line="208" w:lineRule="exact"/>
        <w:rPr>
          <w:rFonts w:ascii="Courier New" w:cs="Courier New" w:eastAsia="Courier New" w:hAnsi="Courier New"/>
          <w:sz w:val="18"/>
          <w:szCs w:val="18"/>
          <w:color w:val="auto"/>
        </w:rPr>
      </w:pPr>
    </w:p>
    <w:p>
      <w:pPr>
        <w:ind w:right="3679" w:firstLine="8"/>
        <w:spacing w:after="0" w:line="236"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amount of income tax expense or benefit allocated to each component of other comprehensive income in accordance with paragraph 25 of SFAS 130.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Cash Flows, page 29</w:t>
      </w:r>
    </w:p>
    <w:p>
      <w:pPr>
        <w:spacing w:after="0" w:line="207" w:lineRule="exact"/>
        <w:rPr>
          <w:sz w:val="20"/>
          <w:szCs w:val="20"/>
          <w:color w:val="auto"/>
        </w:rPr>
      </w:pPr>
    </w:p>
    <w:p>
      <w:pPr>
        <w:jc w:val="both"/>
        <w:ind w:right="3479" w:firstLine="8"/>
        <w:spacing w:after="0" w:line="237"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present the effect of exchange rate changes on cash balances held in foreign currencies as a separate part of the reconciliation of the change in cash and cash equivalents during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  See paragraph 25 of SFAS 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Summary of Significant Accounting Policies, page 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3259" w:firstLine="8"/>
        <w:spacing w:after="0" w:line="236"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how you are treating the restricted shares you have issued in computing both your basic and diluted earnings per share. See paragraphs 10 and 13 of SFAS 128.</w:t>
      </w:r>
    </w:p>
    <w:p>
      <w:pPr>
        <w:spacing w:after="0" w:line="208" w:lineRule="exact"/>
        <w:rPr>
          <w:rFonts w:ascii="Courier New" w:cs="Courier New" w:eastAsia="Courier New" w:hAnsi="Courier New"/>
          <w:sz w:val="18"/>
          <w:szCs w:val="18"/>
          <w:color w:val="auto"/>
        </w:rPr>
      </w:pPr>
    </w:p>
    <w:p>
      <w:pPr>
        <w:ind w:right="3259" w:firstLine="8"/>
        <w:spacing w:after="0" w:line="236"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types of expenses that you include in the cost of sales line item and the types of expenses that you include in</w:t>
      </w:r>
    </w:p>
    <w:p>
      <w:pPr>
        <w:spacing w:after="0" w:line="6"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general and administrative expenses line item. Please</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also disclose whether you include inbound freight charges, purchasing</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receiving costs, inspection costs, warehousing costs, internal transfer costs, and the other costs of your distribution network in</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sales line item. With the exception of warehousing costs, if you currently exclude a portion of these costs from cost of</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sales, please disclose:</w:t>
      </w:r>
    </w:p>
    <w:p>
      <w:pPr>
        <w:spacing w:after="0" w:line="4" w:lineRule="exact"/>
        <w:rPr>
          <w:sz w:val="20"/>
          <w:szCs w:val="20"/>
          <w:color w:val="auto"/>
        </w:rPr>
      </w:pPr>
    </w:p>
    <w:p>
      <w:pPr>
        <w:ind w:right="3899" w:firstLine="8"/>
        <w:spacing w:after="0" w:line="235"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footnote the line items that these excluded costs are included</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and the amounts included in each line item for each period presented, and</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MD&amp;A that your gross margins may not be comparable to those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entities, since some entities include all of the costs related</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their distribution network in cost of sales and others like you exclude a portion of them from gross margin, including them instead</w:t>
      </w:r>
    </w:p>
    <w:p>
      <w:pPr>
        <w:spacing w:after="0" w:line="6"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 line item, such as selling, general and administrative expenses.</w:t>
      </w:r>
    </w:p>
    <w:p>
      <w:pPr>
        <w:spacing w:after="0" w:line="208" w:lineRule="exact"/>
        <w:rPr>
          <w:sz w:val="20"/>
          <w:szCs w:val="20"/>
          <w:color w:val="auto"/>
        </w:rPr>
      </w:pPr>
    </w:p>
    <w:p>
      <w:pPr>
        <w:ind w:right="3479" w:firstLine="8"/>
        <w:spacing w:after="0" w:line="236"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how you account for your investments in debt securities. Please also include the disclosures required by paragraphs 19-22 of SFAS 115, as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Intangibles and Goodwill, page 32</w:t>
      </w:r>
    </w:p>
    <w:p>
      <w:pPr>
        <w:spacing w:after="0" w:line="207" w:lineRule="exact"/>
        <w:rPr>
          <w:sz w:val="20"/>
          <w:szCs w:val="20"/>
          <w:color w:val="auto"/>
        </w:rPr>
      </w:pPr>
    </w:p>
    <w:p>
      <w:pPr>
        <w:ind w:right="357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ensure that you meet all disclosure requirements set forth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paragraphs 44-46 of SFAS 142.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Income Taxes, page 41</w:t>
      </w:r>
    </w:p>
    <w:p>
      <w:pPr>
        <w:spacing w:after="0" w:line="207" w:lineRule="exact"/>
        <w:rPr>
          <w:sz w:val="20"/>
          <w:szCs w:val="20"/>
          <w:color w:val="auto"/>
        </w:rPr>
      </w:pPr>
    </w:p>
    <w:p>
      <w:pPr>
        <w:ind w:right="3899" w:firstLine="8"/>
        <w:spacing w:after="0" w:line="235"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expiration dates of your alternative minimum</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 credit carryforwards.  See paragraph 48 of SFAS 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Leases, page 48</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if your leases have (a) step rent provisions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escalation clauses and (b) capital improvement funding and other lease concessions. If so, please tell us how you account for these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9A - Controls and Procedures, page 54</w:t>
      </w:r>
    </w:p>
    <w:p>
      <w:pPr>
        <w:spacing w:after="0" w:line="207" w:lineRule="exact"/>
        <w:rPr>
          <w:sz w:val="20"/>
          <w:szCs w:val="20"/>
          <w:color w:val="auto"/>
        </w:rPr>
      </w:pPr>
    </w:p>
    <w:p>
      <w:pPr>
        <w:ind w:right="3579" w:firstLine="8"/>
        <w:spacing w:after="0" w:line="236"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note that disclosure controls and procedures are now defined in Exchange Act Rules 13a-15(e) and 15d-15(e). Please refer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Release 33-8238, which became effective August 14, 2003.</w:t>
      </w:r>
    </w:p>
    <w:p>
      <w:pPr>
        <w:spacing w:after="0" w:line="207" w:lineRule="exact"/>
        <w:rPr>
          <w:rFonts w:ascii="Courier New" w:cs="Courier New" w:eastAsia="Courier New" w:hAnsi="Courier New"/>
          <w:sz w:val="18"/>
          <w:szCs w:val="18"/>
          <w:color w:val="auto"/>
        </w:rPr>
      </w:pPr>
    </w:p>
    <w:p>
      <w:pPr>
        <w:ind w:right="325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have determined that your disclosure controls and procedures "are effective for gathering, analyzing, and disclosing the information [you are] required to disclose in reports</w:t>
      </w:r>
    </w:p>
    <w:p>
      <w:pPr>
        <w:spacing w:after="0" w:line="4"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filed under the Act." This is an incomplete definition of disclosure</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controls and procedures per Exchange Act Rules 13a-15(e) and 15d-15(e). Please revise your definition to clarify that disclosure controls and procedures are designed to ensure that information required to be disclosed in [your] filings under the Securities Exchange Act of 1934 is recorded, processed, summarized and reported</w:t>
      </w:r>
    </w:p>
    <w:p>
      <w:pPr>
        <w:spacing w:after="0" w:line="7" w:lineRule="exact"/>
        <w:rPr>
          <w:rFonts w:ascii="Courier New" w:cs="Courier New" w:eastAsia="Courier New" w:hAnsi="Courier New"/>
          <w:sz w:val="18"/>
          <w:szCs w:val="18"/>
          <w:color w:val="auto"/>
        </w:rPr>
      </w:pPr>
    </w:p>
    <w:p>
      <w:pPr>
        <w:jc w:val="both"/>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the time periods specified in the Securities and Exchange Commission rules and forms. In addition, your disclosure should also</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clarify that disclosure controls and procedures include controls and</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designed to ensure that information required to be disclosed by you in the reports that you file or submit under the Exchange Act is accumulated and communicated to your management, including your principal executive and principal financial officers,</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persons performing similar functions, as appropriate to allow timely decisions regarding required disclosure. Alternatively, you</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simply conclude that your disclosure controls and procedures are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or ineffective, whichever the case may be.</w:t>
      </w:r>
    </w:p>
    <w:p>
      <w:pPr>
        <w:spacing w:after="0" w:line="207" w:lineRule="exact"/>
        <w:rPr>
          <w:rFonts w:ascii="Courier New" w:cs="Courier New" w:eastAsia="Courier New" w:hAnsi="Courier New"/>
          <w:sz w:val="18"/>
          <w:szCs w:val="18"/>
          <w:color w:val="auto"/>
        </w:rPr>
      </w:pPr>
    </w:p>
    <w:p>
      <w:pPr>
        <w:jc w:val="both"/>
        <w:ind w:right="325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true, please revise your disclosure to confirm that you performed an evaluation of the effectiveness of the design and operation of your disclosure controls and procedures as of the end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covered by your report as indicated in your</w:t>
      </w:r>
    </w:p>
    <w:p>
      <w:pPr>
        <w:sectPr>
          <w:pgSz w:w="11900" w:h="16838" w:orient="portrait"/>
          <w:cols w:equalWidth="0" w:num="1">
            <w:col w:w="10219"/>
          </w:cols>
          <w:pgMar w:left="240" w:top="136" w:right="1440" w:bottom="0" w:gutter="0" w:footer="0" w:header="0"/>
        </w:sectPr>
      </w:pPr>
    </w:p>
    <w:bookmarkStart w:id="3" w:name="page4"/>
    <w:bookmarkEnd w:id="3"/>
    <w:p>
      <w:pPr>
        <w:ind w:right="3999"/>
        <w:spacing w:after="0" w:line="235" w:lineRule="auto"/>
        <w:rPr>
          <w:sz w:val="20"/>
          <w:szCs w:val="20"/>
          <w:color w:val="auto"/>
        </w:rPr>
      </w:pPr>
      <w:r>
        <w:rPr>
          <w:rFonts w:ascii="Courier New" w:cs="Courier New" w:eastAsia="Courier New" w:hAnsi="Courier New"/>
          <w:sz w:val="18"/>
          <w:szCs w:val="18"/>
          <w:color w:val="auto"/>
        </w:rPr>
        <w:t>certifications. Please also confirm whether there were any changes</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in your internal controls over financial reporting during the fourth</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fiscal quarter, rather than subsequent to the date of your evaluation. Please refer to Items 307 and 308(c) of Regulation S-K.</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Please note that this comment also applies to your quarterly filings</w:t>
      </w:r>
    </w:p>
    <w:p>
      <w:pPr>
        <w:spacing w:after="0"/>
        <w:rPr>
          <w:sz w:val="20"/>
          <w:szCs w:val="20"/>
          <w:color w:val="auto"/>
        </w:rPr>
      </w:pPr>
      <w:r>
        <w:rPr>
          <w:rFonts w:ascii="Courier New" w:cs="Courier New" w:eastAsia="Courier New" w:hAnsi="Courier New"/>
          <w:sz w:val="18"/>
          <w:szCs w:val="18"/>
          <w:color w:val="auto"/>
        </w:rPr>
        <w:t>on Form 10-Q.</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31</w:t>
      </w:r>
    </w:p>
    <w:p>
      <w:pPr>
        <w:spacing w:after="0" w:line="207" w:lineRule="exact"/>
        <w:rPr>
          <w:sz w:val="20"/>
          <w:szCs w:val="20"/>
          <w:color w:val="auto"/>
        </w:rPr>
      </w:pPr>
    </w:p>
    <w:p>
      <w:pPr>
        <w:ind w:right="335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certifications to conform to the exact language of Item 601(b)(31) of Regulation S-K. See also the SEC Release No. 34-46427. Please note that this comment also applies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quarterly filings on Form 10-Q.</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10-Q FOR THE PERIOD ENDED OCTOBER 31,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347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address the above comments in your interim filings as well.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Recently Issued Accounting Standards and Other Matters,</w:t>
      </w:r>
    </w:p>
    <w:p>
      <w:pPr>
        <w:spacing w:after="0" w:line="238" w:lineRule="auto"/>
        <w:rPr>
          <w:sz w:val="20"/>
          <w:szCs w:val="20"/>
          <w:color w:val="auto"/>
        </w:rPr>
      </w:pPr>
      <w:r>
        <w:rPr>
          <w:rFonts w:ascii="Courier New" w:cs="Courier New" w:eastAsia="Courier New" w:hAnsi="Courier New"/>
          <w:sz w:val="18"/>
          <w:szCs w:val="18"/>
          <w:color w:val="auto"/>
        </w:rPr>
        <w:t>page</w:t>
      </w:r>
    </w:p>
    <w:p>
      <w:pPr>
        <w:spacing w:after="0"/>
        <w:rPr>
          <w:sz w:val="20"/>
          <w:szCs w:val="20"/>
          <w:color w:val="auto"/>
        </w:rPr>
      </w:pPr>
      <w:r>
        <w:rPr>
          <w:rFonts w:ascii="Courier New" w:cs="Courier New" w:eastAsia="Courier New" w:hAnsi="Courier New"/>
          <w:sz w:val="18"/>
          <w:szCs w:val="18"/>
          <w:color w:val="auto"/>
        </w:rPr>
        <w:t>10</w:t>
      </w:r>
    </w:p>
    <w:p>
      <w:pPr>
        <w:spacing w:after="0" w:line="206" w:lineRule="exact"/>
        <w:rPr>
          <w:sz w:val="20"/>
          <w:szCs w:val="20"/>
          <w:color w:val="auto"/>
        </w:rPr>
      </w:pPr>
    </w:p>
    <w:p>
      <w:pPr>
        <w:ind w:right="3579" w:firstLine="8"/>
        <w:spacing w:after="0" w:line="236"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the current status of your evaluation of the anticipated effects of adopting EITF 04-06, "Accounting for Stripping</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Costs in the Mining Industry."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Segment Reporting, page 11</w:t>
      </w:r>
    </w:p>
    <w:p>
      <w:pPr>
        <w:spacing w:after="0" w:line="207" w:lineRule="exact"/>
        <w:rPr>
          <w:sz w:val="20"/>
          <w:szCs w:val="20"/>
          <w:color w:val="auto"/>
        </w:rPr>
      </w:pPr>
    </w:p>
    <w:p>
      <w:pPr>
        <w:ind w:right="3359" w:firstLine="8"/>
        <w:spacing w:after="0" w:line="236"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previously disclosed, in your annual report on Form 10-K, that you had four reportable segments: the Consumer Products Group,</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Specialty Products Group, the Crop Production and Horticulture Group, and the Industrial and Automotive Products Group. It appears</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these four groups represent at least four separate operating segments as defined in paragraph 10 of SFAS 131. Please provide us</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more information regarding your conclusion that you now have two</w:t>
      </w:r>
    </w:p>
    <w:p>
      <w:pPr>
        <w:spacing w:after="0" w:line="5" w:lineRule="exact"/>
        <w:rPr>
          <w:rFonts w:ascii="Courier New" w:cs="Courier New" w:eastAsia="Courier New" w:hAnsi="Courier New"/>
          <w:sz w:val="18"/>
          <w:szCs w:val="18"/>
          <w:color w:val="auto"/>
        </w:rPr>
      </w:pPr>
    </w:p>
    <w:p>
      <w:pPr>
        <w:ind w:right="36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reportable segments. If you satisfy the criteria discussed in paragraph 17 of SFAS 131 for aggregation of your operating segments</w:t>
      </w:r>
    </w:p>
    <w:p>
      <w:pPr>
        <w:spacing w:after="0" w:line="6" w:lineRule="exact"/>
        <w:rPr>
          <w:rFonts w:ascii="Courier New" w:cs="Courier New" w:eastAsia="Courier New" w:hAnsi="Courier New"/>
          <w:sz w:val="18"/>
          <w:szCs w:val="18"/>
          <w:color w:val="auto"/>
        </w:rPr>
      </w:pPr>
    </w:p>
    <w:p>
      <w:pPr>
        <w:ind w:right="3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into two reportable segments, please provide us with an analysis supporting this conclusion. Your analysis should compare the economic characteristics of your aggregated operating segments, including margins. In this regard, we note your statement on page</w:t>
      </w:r>
    </w:p>
    <w:p>
      <w:pPr>
        <w:spacing w:after="0"/>
        <w:tabs>
          <w:tab w:leader="none" w:pos="0" w:val="left"/>
        </w:tabs>
        <w:numPr>
          <w:ilvl w:val="0"/>
          <w:numId w:val="19"/>
        </w:numPr>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your annual report on Form 10-K that each of the four groups has</w:t>
      </w:r>
    </w:p>
    <w:p>
      <w:pPr>
        <w:spacing w:after="0" w:line="5"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different economic characteristics. Please also refer to Questions 7</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8 of the FASB Staff Implementation Guide for SFAS 131.</w:t>
      </w:r>
    </w:p>
    <w:p>
      <w:pPr>
        <w:spacing w:after="0" w:line="207" w:lineRule="exact"/>
        <w:rPr>
          <w:rFonts w:ascii="Courier New" w:cs="Courier New" w:eastAsia="Courier New" w:hAnsi="Courier New"/>
          <w:sz w:val="18"/>
          <w:szCs w:val="18"/>
          <w:color w:val="auto"/>
        </w:rPr>
      </w:pPr>
    </w:p>
    <w:p>
      <w:pPr>
        <w:ind w:right="3899" w:firstLine="8"/>
        <w:spacing w:after="0" w:line="290"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provide us with a copy of the operating results information provided to your chief operating decision maker.</w:t>
      </w:r>
    </w:p>
    <w:p>
      <w:pPr>
        <w:spacing w:after="0" w:line="164" w:lineRule="exact"/>
        <w:rPr>
          <w:sz w:val="20"/>
          <w:szCs w:val="20"/>
          <w:color w:val="auto"/>
        </w:rPr>
      </w:pPr>
    </w:p>
    <w:p>
      <w:pPr>
        <w:spacing w:after="0"/>
        <w:tabs>
          <w:tab w:leader="none" w:pos="520" w:val="left"/>
          <w:tab w:leader="none" w:pos="1040" w:val="left"/>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Please respond to these comments within 10 business days, or tell us when you will provide us with a response. Please provide us</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with a response letter that keys your responses to our comments and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provides any requested information. Detailed letters greatly facilitate our review. Please file your supplemental response on EDGAR as a correspondence file. Please understand that we may have</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additional comments after reviewing your responses to our comments.</w:t>
      </w:r>
    </w:p>
    <w:p>
      <w:pPr>
        <w:sectPr>
          <w:pgSz w:w="11900" w:h="16838" w:orient="portrait"/>
          <w:cols w:equalWidth="0" w:num="1">
            <w:col w:w="10219"/>
          </w:cols>
          <w:pgMar w:left="240" w:top="142" w:right="1440" w:bottom="0" w:gutter="0" w:footer="0" w:header="0"/>
        </w:sectPr>
      </w:pPr>
    </w:p>
    <w:bookmarkStart w:id="4" w:name="page5"/>
    <w:bookmarkEnd w:id="4"/>
    <w:p>
      <w:pPr>
        <w:jc w:val="both"/>
        <w:ind w:right="3259" w:firstLine="632"/>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 be</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certain that they have provided all information required under the Securities Exchange Act of 1934 and that they have provided all information investors require for an informed decision. Since the company and its management are in possession of all facts relating to</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 company`s disclosure, they are 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206" w:lineRule="exact"/>
        <w:rPr>
          <w:sz w:val="20"/>
          <w:szCs w:val="20"/>
          <w:color w:val="auto"/>
        </w:rPr>
      </w:pPr>
    </w:p>
    <w:p>
      <w:pPr>
        <w:ind w:right="3359" w:firstLine="8"/>
        <w:spacing w:after="0" w:line="235" w:lineRule="auto"/>
        <w:tabs>
          <w:tab w:leader="none" w:pos="21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their filings;</w:t>
      </w:r>
    </w:p>
    <w:p>
      <w:pPr>
        <w:spacing w:after="0" w:line="208"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3159" w:firstLine="1686"/>
        <w:spacing w:after="0" w:line="236" w:lineRule="auto"/>
        <w:rPr>
          <w:sz w:val="20"/>
          <w:szCs w:val="20"/>
          <w:color w:val="auto"/>
        </w:rPr>
      </w:pPr>
      <w:r>
        <w:rPr>
          <w:rFonts w:ascii="Courier New" w:cs="Courier New" w:eastAsia="Courier New" w:hAnsi="Courier New"/>
          <w:sz w:val="18"/>
          <w:szCs w:val="18"/>
          <w:color w:val="auto"/>
        </w:rPr>
        <w:t>In addition, please be advised that the Division of Enforcement has access to all information you provide to the staff of</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the Division of Corporation Finance in our review of your filing or</w:t>
      </w:r>
    </w:p>
    <w:p>
      <w:pPr>
        <w:spacing w:after="0"/>
        <w:rPr>
          <w:sz w:val="20"/>
          <w:szCs w:val="20"/>
          <w:color w:val="auto"/>
        </w:rPr>
      </w:pPr>
      <w:r>
        <w:rPr>
          <w:rFonts w:ascii="Courier New" w:cs="Courier New" w:eastAsia="Courier New" w:hAnsi="Courier New"/>
          <w:sz w:val="18"/>
          <w:szCs w:val="18"/>
          <w:color w:val="auto"/>
        </w:rPr>
        <w:t>in response to our comments on your filing.</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you have any questions regarding these comments, please</w:t>
      </w:r>
    </w:p>
    <w:p>
      <w:pPr>
        <w:spacing w:after="0" w:line="238" w:lineRule="auto"/>
        <w:rPr>
          <w:sz w:val="20"/>
          <w:szCs w:val="20"/>
          <w:color w:val="auto"/>
        </w:rPr>
      </w:pPr>
      <w:r>
        <w:rPr>
          <w:rFonts w:ascii="Courier New" w:cs="Courier New" w:eastAsia="Courier New" w:hAnsi="Courier New"/>
          <w:sz w:val="18"/>
          <w:szCs w:val="18"/>
          <w:color w:val="auto"/>
        </w:rPr>
        <w:t>direct them to Jeffrey Gordon, Staff Accountant, at (202) 551-3866</w:t>
      </w:r>
    </w:p>
    <w:p>
      <w:pPr>
        <w:spacing w:after="0"/>
        <w:rPr>
          <w:sz w:val="20"/>
          <w:szCs w:val="20"/>
          <w:color w:val="auto"/>
        </w:rPr>
      </w:pPr>
      <w:r>
        <w:rPr>
          <w:rFonts w:ascii="Courier New" w:cs="Courier New" w:eastAsia="Courier New" w:hAnsi="Courier New"/>
          <w:sz w:val="18"/>
          <w:szCs w:val="18"/>
          <w:color w:val="auto"/>
        </w:rPr>
        <w:t>or, in his absence, Scott Watkinson, Staff Accountant, at (202)</w:t>
      </w:r>
    </w:p>
    <w:p>
      <w:pPr>
        <w:spacing w:after="0" w:line="237" w:lineRule="auto"/>
        <w:rPr>
          <w:sz w:val="20"/>
          <w:szCs w:val="20"/>
          <w:color w:val="auto"/>
        </w:rPr>
      </w:pPr>
      <w:r>
        <w:rPr>
          <w:rFonts w:ascii="Courier New" w:cs="Courier New" w:eastAsia="Courier New" w:hAnsi="Courier New"/>
          <w:sz w:val="18"/>
          <w:szCs w:val="18"/>
          <w:color w:val="auto"/>
        </w:rPr>
        <w:t>551-</w:t>
      </w:r>
    </w:p>
    <w:p>
      <w:pPr>
        <w:spacing w:after="0" w:line="238" w:lineRule="auto"/>
        <w:rPr>
          <w:sz w:val="20"/>
          <w:szCs w:val="20"/>
          <w:color w:val="auto"/>
        </w:rPr>
      </w:pPr>
      <w:r>
        <w:rPr>
          <w:rFonts w:ascii="Courier New" w:cs="Courier New" w:eastAsia="Courier New" w:hAnsi="Courier New"/>
          <w:sz w:val="18"/>
          <w:szCs w:val="18"/>
          <w:color w:val="auto"/>
        </w:rPr>
        <w:t>3741.</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Rufus Decker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Accounting Branch Chief</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Andrew N. Peterson</w:t>
      </w:r>
    </w:p>
    <w:p>
      <w:pPr>
        <w:spacing w:after="0" w:line="238" w:lineRule="auto"/>
        <w:rPr>
          <w:sz w:val="20"/>
          <w:szCs w:val="20"/>
          <w:color w:val="auto"/>
        </w:rPr>
      </w:pPr>
      <w:r>
        <w:rPr>
          <w:rFonts w:ascii="Courier New" w:cs="Courier New" w:eastAsia="Courier New" w:hAnsi="Courier New"/>
          <w:sz w:val="18"/>
          <w:szCs w:val="18"/>
          <w:color w:val="auto"/>
        </w:rPr>
        <w:t>Oil-Dri Corporation of America</w:t>
      </w:r>
    </w:p>
    <w:p>
      <w:pPr>
        <w:spacing w:after="0"/>
        <w:rPr>
          <w:sz w:val="20"/>
          <w:szCs w:val="20"/>
          <w:color w:val="auto"/>
        </w:rPr>
      </w:pPr>
      <w:r>
        <w:rPr>
          <w:rFonts w:ascii="Courier New" w:cs="Courier New" w:eastAsia="Courier New" w:hAnsi="Courier New"/>
          <w:sz w:val="18"/>
          <w:szCs w:val="18"/>
          <w:color w:val="auto"/>
        </w:rPr>
        <w:t>January 10, 2006</w:t>
      </w:r>
    </w:p>
    <w:p>
      <w:pPr>
        <w:spacing w:after="0" w:line="237" w:lineRule="auto"/>
        <w:rPr>
          <w:sz w:val="20"/>
          <w:szCs w:val="20"/>
          <w:color w:val="auto"/>
        </w:rPr>
      </w:pPr>
      <w:r>
        <w:rPr>
          <w:rFonts w:ascii="Courier New" w:cs="Courier New" w:eastAsia="Courier New" w:hAnsi="Courier New"/>
          <w:sz w:val="18"/>
          <w:szCs w:val="18"/>
          <w:color w:val="auto"/>
        </w:rPr>
        <w:t>Page 1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20549-7010</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pacing w:after="0" w:line="238" w:lineRule="auto"/>
        <w:rPr>
          <w:sz w:val="20"/>
          <w:szCs w:val="20"/>
          <w:color w:val="auto"/>
        </w:rPr>
      </w:pPr>
      <w:r>
        <w:rPr>
          <w:rFonts w:ascii="Courier New" w:cs="Courier New" w:eastAsia="Courier New" w:hAnsi="Courier New"/>
          <w:sz w:val="18"/>
          <w:szCs w:val="18"/>
          <w:color w:val="auto"/>
        </w:rPr>
        <w:t>CORPORATION FINANCE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4"/>
    </w:lvl>
  </w:abstractNum>
  <w:abstractNum w:abstractNumId="3">
    <w:nsid w:val="140E0F76"/>
    <w:multiLevelType w:val="hybridMultilevel"/>
    <w:lvl w:ilvl="0">
      <w:lvlJc w:val="left"/>
      <w:lvlText w:val="%1."/>
      <w:numFmt w:val="decimal"/>
      <w:start w:val="5"/>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1."/>
      <w:numFmt w:val="decimal"/>
      <w:start w:val="7"/>
    </w:lvl>
  </w:abstractNum>
  <w:abstractNum w:abstractNumId="6">
    <w:nsid w:val="DED7263"/>
    <w:multiLevelType w:val="hybridMultilevel"/>
    <w:lvl w:ilvl="0">
      <w:lvlJc w:val="left"/>
      <w:lvlText w:val="%1."/>
      <w:numFmt w:val="decimal"/>
      <w:start w:val="9"/>
    </w:lvl>
  </w:abstractNum>
  <w:abstractNum w:abstractNumId="7">
    <w:nsid w:val="7FDCC233"/>
    <w:multiLevelType w:val="hybridMultilevel"/>
    <w:lvl w:ilvl="0">
      <w:lvlJc w:val="left"/>
      <w:lvlText w:val="%1."/>
      <w:numFmt w:val="decimal"/>
      <w:start w:val="10"/>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2"/>
    </w:lvl>
  </w:abstractNum>
  <w:abstractNum w:abstractNumId="10">
    <w:nsid w:val="6B68079A"/>
    <w:multiLevelType w:val="hybridMultilevel"/>
    <w:lvl w:ilvl="0">
      <w:lvlJc w:val="left"/>
      <w:lvlText w:val="%1."/>
      <w:numFmt w:val="decimal"/>
      <w:start w:val="13"/>
    </w:lvl>
  </w:abstractNum>
  <w:abstractNum w:abstractNumId="11">
    <w:nsid w:val="4E6AFB66"/>
    <w:multiLevelType w:val="hybridMultilevel"/>
    <w:lvl w:ilvl="0">
      <w:lvlJc w:val="left"/>
      <w:lvlText w:val="%1."/>
      <w:numFmt w:val="decimal"/>
      <w:start w:val="14"/>
    </w:lvl>
  </w:abstractNum>
  <w:abstractNum w:abstractNumId="12">
    <w:nsid w:val="25E45D32"/>
    <w:multiLevelType w:val="hybridMultilevel"/>
    <w:lvl w:ilvl="0">
      <w:lvlJc w:val="left"/>
      <w:lvlText w:val="%1."/>
      <w:numFmt w:val="decimal"/>
      <w:start w:val="15"/>
    </w:lvl>
  </w:abstractNum>
  <w:abstractNum w:abstractNumId="13">
    <w:nsid w:val="519B500D"/>
    <w:multiLevelType w:val="hybridMultilevel"/>
    <w:lvl w:ilvl="0">
      <w:lvlJc w:val="left"/>
      <w:lvlText w:val="%1."/>
      <w:numFmt w:val="decimal"/>
      <w:start w:val="16"/>
    </w:lvl>
  </w:abstractNum>
  <w:abstractNum w:abstractNumId="14">
    <w:nsid w:val="431BD7B7"/>
    <w:multiLevelType w:val="hybridMultilevel"/>
    <w:lvl w:ilvl="0">
      <w:lvlJc w:val="left"/>
      <w:lvlText w:val="%1."/>
      <w:numFmt w:val="decimal"/>
      <w:start w:val="19"/>
    </w:lvl>
  </w:abstractNum>
  <w:abstractNum w:abstractNumId="15">
    <w:nsid w:val="3F2DBA31"/>
    <w:multiLevelType w:val="hybridMultilevel"/>
    <w:lvl w:ilvl="0">
      <w:lvlJc w:val="left"/>
      <w:lvlText w:val="%1."/>
      <w:numFmt w:val="decimal"/>
      <w:start w:val="20"/>
    </w:lvl>
  </w:abstractNum>
  <w:abstractNum w:abstractNumId="16">
    <w:nsid w:val="7C83E458"/>
    <w:multiLevelType w:val="hybridMultilevel"/>
    <w:lvl w:ilvl="0">
      <w:lvlJc w:val="left"/>
      <w:lvlText w:val="%1."/>
      <w:numFmt w:val="decimal"/>
      <w:start w:val="21"/>
    </w:lvl>
  </w:abstractNum>
  <w:abstractNum w:abstractNumId="17">
    <w:nsid w:val="257130A3"/>
    <w:multiLevelType w:val="hybridMultilevel"/>
    <w:lvl w:ilvl="0">
      <w:lvlJc w:val="left"/>
      <w:lvlText w:val="%1."/>
      <w:numFmt w:val="decimal"/>
      <w:start w:val="22"/>
    </w:lvl>
  </w:abstractNum>
  <w:abstractNum w:abstractNumId="18">
    <w:nsid w:val="62BBD95A"/>
    <w:multiLevelType w:val="hybridMultilevel"/>
    <w:lvl w:ilvl="0">
      <w:lvlJc w:val="left"/>
      <w:lvlText w:val="%1"/>
      <w:numFmt w:val="decimal"/>
      <w:start w:val="37"/>
    </w:lvl>
  </w:abstractNum>
  <w:abstractNum w:abstractNumId="19">
    <w:nsid w:val="436C6125"/>
    <w:multiLevelType w:val="hybridMultilevel"/>
    <w:lvl w:ilvl="0">
      <w:lvlJc w:val="left"/>
      <w:lvlText w:val="%1."/>
      <w:numFmt w:val="decimal"/>
      <w:start w:val="23"/>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2020-02-17T23:42:05Z</dcterms:created>
  <dcterms:modified xsi:type="dcterms:W3CDTF">2020-02-17T23:42:05Z</dcterms:modified>
</cp:coreProperties>
</file>