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662940</wp:posOffset>
            </wp:positionV>
            <wp:extent cx="69265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17145"/>
                    </a:xfrm>
                    <a:prstGeom prst="rect">
                      <a:avLst/>
                    </a:prstGeom>
                    <a:noFill/>
                  </pic:spPr>
                </pic:pic>
              </a:graphicData>
            </a:graphic>
          </wp:anchor>
        </w:drawing>
        <w:t>UNITED STATES</w:t>
      </w:r>
    </w:p>
    <w:p>
      <w:pPr>
        <w:spacing w:after="0" w:line="2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FORM 10-Q</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4"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20" w:type="dxa"/>
            <w:vAlign w:val="bottom"/>
            <w:gridSpan w:val="8"/>
          </w:tcPr>
          <w:p>
            <w:pPr>
              <w:jc w:val="center"/>
              <w:ind w:right="1400"/>
              <w:spacing w:after="0"/>
              <w:rPr>
                <w:sz w:val="20"/>
                <w:szCs w:val="20"/>
                <w:color w:val="auto"/>
              </w:rPr>
            </w:pPr>
            <w:r>
              <w:rPr>
                <w:rFonts w:ascii="Times New Roman" w:cs="Times New Roman" w:eastAsia="Times New Roman" w:hAnsi="Times New Roman"/>
                <w:sz w:val="18"/>
                <w:szCs w:val="18"/>
                <w:color w:val="auto"/>
                <w:w w:val="99"/>
              </w:rPr>
              <w:t>For the Quarterly Period Ended January 31, 2024</w:t>
            </w:r>
          </w:p>
        </w:tc>
      </w:tr>
      <w:tr>
        <w:trPr>
          <w:trHeight w:val="234"/>
        </w:trPr>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4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or</w:t>
            </w:r>
          </w:p>
        </w:tc>
        <w:tc>
          <w:tcPr>
            <w:tcW w:w="7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19"/>
        </w:trPr>
        <w:tc>
          <w:tcPr>
            <w:tcW w:w="200" w:type="dxa"/>
            <w:vAlign w:val="bottom"/>
          </w:tcPr>
          <w:p>
            <w:pPr>
              <w:ind w:left="40"/>
              <w:spacing w:after="0" w:line="181" w:lineRule="exact"/>
              <w:rPr>
                <w:sz w:val="20"/>
                <w:szCs w:val="20"/>
                <w:color w:val="auto"/>
              </w:rPr>
            </w:pPr>
            <w:r>
              <w:rPr>
                <w:rFonts w:ascii="MS PGothic" w:cs="MS PGothic" w:eastAsia="MS PGothic" w:hAnsi="MS PGothic"/>
                <w:sz w:val="18"/>
                <w:szCs w:val="18"/>
                <w:color w:val="auto"/>
                <w:w w:val="77"/>
              </w:rPr>
              <w:t>☐</w:t>
            </w:r>
          </w:p>
        </w:tc>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780" w:type="dxa"/>
            <w:vAlign w:val="bottom"/>
            <w:gridSpan w:val="9"/>
          </w:tcPr>
          <w:p>
            <w:pPr>
              <w:jc w:val="center"/>
              <w:ind w:right="1220"/>
              <w:spacing w:after="0"/>
              <w:rPr>
                <w:sz w:val="20"/>
                <w:szCs w:val="20"/>
                <w:color w:val="auto"/>
              </w:rPr>
            </w:pPr>
            <w:r>
              <w:rPr>
                <w:rFonts w:ascii="Times New Roman" w:cs="Times New Roman" w:eastAsia="Times New Roman" w:hAnsi="Times New Roman"/>
                <w:sz w:val="18"/>
                <w:szCs w:val="18"/>
                <w:color w:val="auto"/>
                <w:w w:val="99"/>
              </w:rPr>
              <w:t>Transition Report Pursuant to Section 13 or 15(d) of the Securities Exchange Act of 1934</w:t>
            </w:r>
          </w:p>
        </w:tc>
      </w:tr>
      <w:tr>
        <w:trPr>
          <w:trHeight w:val="234"/>
        </w:trPr>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20" w:type="dxa"/>
            <w:vAlign w:val="bottom"/>
            <w:gridSpan w:val="8"/>
          </w:tcPr>
          <w:p>
            <w:pPr>
              <w:jc w:val="center"/>
              <w:ind w:right="1380"/>
              <w:spacing w:after="0"/>
              <w:rPr>
                <w:sz w:val="20"/>
                <w:szCs w:val="20"/>
                <w:color w:val="auto"/>
              </w:rPr>
            </w:pPr>
            <w:r>
              <w:rPr>
                <w:rFonts w:ascii="Times New Roman" w:cs="Times New Roman" w:eastAsia="Times New Roman" w:hAnsi="Times New Roman"/>
                <w:sz w:val="18"/>
                <w:szCs w:val="18"/>
                <w:color w:val="auto"/>
                <w:w w:val="99"/>
              </w:rPr>
              <w:t>For the transition period from _____________ to ______________</w:t>
            </w:r>
          </w:p>
        </w:tc>
      </w:tr>
      <w:tr>
        <w:trPr>
          <w:trHeight w:val="553"/>
        </w:trPr>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920" w:type="dxa"/>
            <w:vAlign w:val="bottom"/>
            <w:gridSpan w:val="6"/>
          </w:tcPr>
          <w:p>
            <w:pPr>
              <w:jc w:val="center"/>
              <w:ind w:right="3100"/>
              <w:spacing w:after="0"/>
              <w:rPr>
                <w:sz w:val="20"/>
                <w:szCs w:val="20"/>
                <w:color w:val="auto"/>
              </w:rPr>
            </w:pPr>
            <w:r>
              <w:rPr>
                <w:rFonts w:ascii="Times New Roman" w:cs="Times New Roman" w:eastAsia="Times New Roman" w:hAnsi="Times New Roman"/>
                <w:sz w:val="18"/>
                <w:szCs w:val="18"/>
                <w:color w:val="auto"/>
              </w:rPr>
              <w:t>Commission File Number 001-12622</w:t>
            </w:r>
          </w:p>
        </w:tc>
      </w:tr>
      <w:tr>
        <w:trPr>
          <w:trHeight w:val="418"/>
        </w:trPr>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80" w:type="dxa"/>
            <w:vAlign w:val="bottom"/>
            <w:gridSpan w:val="7"/>
          </w:tcPr>
          <w:p>
            <w:pPr>
              <w:jc w:val="center"/>
              <w:ind w:right="2960"/>
              <w:spacing w:after="0"/>
              <w:rPr>
                <w:sz w:val="20"/>
                <w:szCs w:val="20"/>
                <w:color w:val="auto"/>
              </w:rPr>
            </w:pPr>
            <w:r>
              <w:rPr>
                <w:rFonts w:ascii="Times New Roman" w:cs="Times New Roman" w:eastAsia="Times New Roman" w:hAnsi="Times New Roman"/>
                <w:sz w:val="18"/>
                <w:szCs w:val="18"/>
                <w:color w:val="auto"/>
                <w:w w:val="99"/>
              </w:rPr>
              <w:t>OIL-DRI CORPORATION OF AMERICA</w:t>
            </w:r>
          </w:p>
        </w:tc>
      </w:tr>
      <w:tr>
        <w:trPr>
          <w:trHeight w:val="20"/>
        </w:trPr>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120" w:type="dxa"/>
            <w:vAlign w:val="bottom"/>
            <w:gridSpan w:val="3"/>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20" w:type="dxa"/>
            <w:vAlign w:val="bottom"/>
            <w:gridSpan w:val="8"/>
          </w:tcPr>
          <w:p>
            <w:pPr>
              <w:jc w:val="center"/>
              <w:ind w:right="1400"/>
              <w:spacing w:after="0"/>
              <w:rPr>
                <w:sz w:val="20"/>
                <w:szCs w:val="20"/>
                <w:color w:val="auto"/>
              </w:rPr>
            </w:pPr>
            <w:r>
              <w:rPr>
                <w:rFonts w:ascii="Times New Roman" w:cs="Times New Roman" w:eastAsia="Times New Roman" w:hAnsi="Times New Roman"/>
                <w:sz w:val="18"/>
                <w:szCs w:val="18"/>
                <w:color w:val="auto"/>
                <w:w w:val="99"/>
              </w:rPr>
              <w:t>(Exact name of the registrant as specified in its charter)</w:t>
            </w:r>
          </w:p>
        </w:tc>
      </w:tr>
      <w:tr>
        <w:trPr>
          <w:trHeight w:val="216"/>
        </w:trPr>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1700" w:type="dxa"/>
            <w:vAlign w:val="bottom"/>
            <w:gridSpan w:val="2"/>
          </w:tcPr>
          <w:p>
            <w:pPr>
              <w:spacing w:after="0"/>
              <w:rPr>
                <w:sz w:val="18"/>
                <w:szCs w:val="18"/>
                <w:color w:val="auto"/>
              </w:rPr>
            </w:pPr>
          </w:p>
        </w:tc>
        <w:tc>
          <w:tcPr>
            <w:tcW w:w="2240" w:type="dxa"/>
            <w:vAlign w:val="bottom"/>
          </w:tcPr>
          <w:p>
            <w:pPr>
              <w:spacing w:after="0"/>
              <w:rPr>
                <w:sz w:val="18"/>
                <w:szCs w:val="18"/>
                <w:color w:val="auto"/>
              </w:rPr>
            </w:pPr>
          </w:p>
        </w:tc>
        <w:tc>
          <w:tcPr>
            <w:tcW w:w="1940" w:type="dxa"/>
            <w:vAlign w:val="bottom"/>
            <w:gridSpan w:val="2"/>
          </w:tcPr>
          <w:p>
            <w:pPr>
              <w:spacing w:after="0"/>
              <w:rPr>
                <w:sz w:val="18"/>
                <w:szCs w:val="18"/>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36-2048898</w:t>
            </w:r>
          </w:p>
        </w:tc>
        <w:tc>
          <w:tcPr>
            <w:tcW w:w="860" w:type="dxa"/>
            <w:vAlign w:val="bottom"/>
          </w:tcPr>
          <w:p>
            <w:pPr>
              <w:spacing w:after="0"/>
              <w:rPr>
                <w:sz w:val="18"/>
                <w:szCs w:val="18"/>
                <w:color w:val="auto"/>
              </w:rPr>
            </w:pPr>
          </w:p>
        </w:tc>
      </w:tr>
      <w:tr>
        <w:trPr>
          <w:trHeight w:val="209"/>
        </w:trPr>
        <w:tc>
          <w:tcPr>
            <w:tcW w:w="200" w:type="dxa"/>
            <w:vAlign w:val="bottom"/>
          </w:tcPr>
          <w:p>
            <w:pPr>
              <w:spacing w:after="0"/>
              <w:rPr>
                <w:sz w:val="18"/>
                <w:szCs w:val="18"/>
                <w:color w:val="auto"/>
              </w:rPr>
            </w:pPr>
          </w:p>
        </w:tc>
        <w:tc>
          <w:tcPr>
            <w:tcW w:w="402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(State or other jurisdiction of incorporation or</w:t>
            </w:r>
          </w:p>
        </w:tc>
        <w:tc>
          <w:tcPr>
            <w:tcW w:w="2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60" w:type="dxa"/>
            <w:vAlign w:val="bottom"/>
            <w:gridSpan w:val="4"/>
          </w:tcPr>
          <w:p>
            <w:pPr>
              <w:jc w:val="center"/>
              <w:ind w:left="2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200" w:type="dxa"/>
            <w:vAlign w:val="bottom"/>
          </w:tcPr>
          <w:p>
            <w:pPr>
              <w:spacing w:after="0"/>
              <w:rPr>
                <w:sz w:val="20"/>
                <w:szCs w:val="20"/>
                <w:color w:val="auto"/>
              </w:rPr>
            </w:pPr>
          </w:p>
        </w:tc>
        <w:tc>
          <w:tcPr>
            <w:tcW w:w="402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w w:val="97"/>
              </w:rPr>
              <w:t>organization)</w:t>
            </w:r>
          </w:p>
        </w:tc>
        <w:tc>
          <w:tcPr>
            <w:tcW w:w="2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11"/>
        </w:trPr>
        <w:tc>
          <w:tcPr>
            <w:tcW w:w="200" w:type="dxa"/>
            <w:vAlign w:val="bottom"/>
          </w:tcPr>
          <w:p>
            <w:pPr>
              <w:spacing w:after="0"/>
              <w:rPr>
                <w:sz w:val="18"/>
                <w:szCs w:val="18"/>
                <w:color w:val="auto"/>
              </w:rPr>
            </w:pPr>
          </w:p>
        </w:tc>
        <w:tc>
          <w:tcPr>
            <w:tcW w:w="4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410 North Michigan Avenue, Suite 400</w:t>
            </w:r>
          </w:p>
        </w:tc>
        <w:tc>
          <w:tcPr>
            <w:tcW w:w="2240" w:type="dxa"/>
            <w:vAlign w:val="bottom"/>
          </w:tcPr>
          <w:p>
            <w:pPr>
              <w:spacing w:after="0"/>
              <w:rPr>
                <w:sz w:val="18"/>
                <w:szCs w:val="18"/>
                <w:color w:val="auto"/>
              </w:rPr>
            </w:pPr>
          </w:p>
        </w:tc>
        <w:tc>
          <w:tcPr>
            <w:tcW w:w="2820" w:type="dxa"/>
            <w:vAlign w:val="bottom"/>
            <w:gridSpan w:val="4"/>
          </w:tcPr>
          <w:p>
            <w:pPr>
              <w:jc w:val="center"/>
              <w:ind w:left="1810"/>
              <w:spacing w:after="0"/>
              <w:rPr>
                <w:sz w:val="20"/>
                <w:szCs w:val="20"/>
                <w:color w:val="auto"/>
              </w:rPr>
            </w:pPr>
            <w:r>
              <w:rPr>
                <w:rFonts w:ascii="Times New Roman" w:cs="Times New Roman" w:eastAsia="Times New Roman" w:hAnsi="Times New Roman"/>
                <w:sz w:val="18"/>
                <w:szCs w:val="18"/>
                <w:color w:val="auto"/>
              </w:rPr>
              <w:t>60611-4213</w:t>
            </w:r>
          </w:p>
        </w:tc>
        <w:tc>
          <w:tcPr>
            <w:tcW w:w="860" w:type="dxa"/>
            <w:vAlign w:val="bottom"/>
          </w:tcPr>
          <w:p>
            <w:pPr>
              <w:spacing w:after="0"/>
              <w:rPr>
                <w:sz w:val="18"/>
                <w:szCs w:val="18"/>
                <w:color w:val="auto"/>
              </w:rPr>
            </w:pPr>
          </w:p>
        </w:tc>
      </w:tr>
      <w:tr>
        <w:trPr>
          <w:trHeight w:val="20"/>
        </w:trPr>
        <w:tc>
          <w:tcPr>
            <w:tcW w:w="20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r>
      <w:tr>
        <w:trPr>
          <w:trHeight w:val="245"/>
        </w:trPr>
        <w:tc>
          <w:tcPr>
            <w:tcW w:w="200" w:type="dxa"/>
            <w:vAlign w:val="bottom"/>
          </w:tcPr>
          <w:p>
            <w:pPr>
              <w:spacing w:after="0"/>
              <w:rPr>
                <w:sz w:val="21"/>
                <w:szCs w:val="21"/>
                <w:color w:val="auto"/>
              </w:rPr>
            </w:pPr>
          </w:p>
        </w:tc>
        <w:tc>
          <w:tcPr>
            <w:tcW w:w="402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w w:val="99"/>
              </w:rPr>
              <w:t>Chicago, Illinois</w:t>
            </w:r>
          </w:p>
        </w:tc>
        <w:tc>
          <w:tcPr>
            <w:tcW w:w="2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7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(Zip Code)</w:t>
            </w:r>
          </w:p>
        </w:tc>
      </w:tr>
      <w:tr>
        <w:trPr>
          <w:trHeight w:val="230"/>
        </w:trPr>
        <w:tc>
          <w:tcPr>
            <w:tcW w:w="200" w:type="dxa"/>
            <w:vAlign w:val="bottom"/>
          </w:tcPr>
          <w:p>
            <w:pPr>
              <w:spacing w:after="0"/>
              <w:rPr>
                <w:sz w:val="19"/>
                <w:szCs w:val="19"/>
                <w:color w:val="auto"/>
              </w:rPr>
            </w:pPr>
          </w:p>
        </w:tc>
        <w:tc>
          <w:tcPr>
            <w:tcW w:w="402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4"/>
        </w:trPr>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20" w:type="dxa"/>
            <w:vAlign w:val="bottom"/>
            <w:gridSpan w:val="8"/>
          </w:tcPr>
          <w:p>
            <w:pPr>
              <w:ind w:left="420"/>
              <w:spacing w:after="0"/>
              <w:rPr>
                <w:sz w:val="20"/>
                <w:szCs w:val="20"/>
                <w:color w:val="auto"/>
              </w:rPr>
            </w:pPr>
            <w:r>
              <w:rPr>
                <w:rFonts w:ascii="Times New Roman" w:cs="Times New Roman" w:eastAsia="Times New Roman" w:hAnsi="Times New Roman"/>
                <w:sz w:val="18"/>
                <w:szCs w:val="18"/>
                <w:color w:val="auto"/>
              </w:rPr>
              <w:t>The registrant's telephone number, including area code: (312) 321-1515</w:t>
            </w:r>
          </w:p>
        </w:tc>
      </w:tr>
      <w:tr>
        <w:trPr>
          <w:trHeight w:val="310"/>
        </w:trPr>
        <w:tc>
          <w:tcPr>
            <w:tcW w:w="4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3"/>
        </w:trPr>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0" w:type="dxa"/>
            <w:vAlign w:val="bottom"/>
            <w:gridSpan w:val="5"/>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4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8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200" w:type="dxa"/>
            <w:vAlign w:val="bottom"/>
          </w:tcPr>
          <w:p>
            <w:pPr>
              <w:spacing w:after="0"/>
              <w:rPr>
                <w:sz w:val="20"/>
                <w:szCs w:val="20"/>
                <w:color w:val="auto"/>
              </w:rPr>
            </w:pPr>
          </w:p>
        </w:tc>
        <w:tc>
          <w:tcPr>
            <w:tcW w:w="4020" w:type="dxa"/>
            <w:vAlign w:val="bottom"/>
            <w:gridSpan w:val="6"/>
          </w:tcPr>
          <w:p>
            <w:pPr>
              <w:jc w:val="center"/>
              <w:ind w:left="630"/>
              <w:spacing w:after="0"/>
              <w:rPr>
                <w:sz w:val="20"/>
                <w:szCs w:val="20"/>
                <w:color w:val="auto"/>
              </w:rPr>
            </w:pPr>
            <w:r>
              <w:rPr>
                <w:rFonts w:ascii="Times New Roman" w:cs="Times New Roman" w:eastAsia="Times New Roman" w:hAnsi="Times New Roman"/>
                <w:sz w:val="18"/>
                <w:szCs w:val="18"/>
                <w:color w:val="auto"/>
                <w:w w:val="99"/>
              </w:rPr>
              <w:t>Common Stock, par value $0.10 per share</w:t>
            </w:r>
          </w:p>
        </w:tc>
        <w:tc>
          <w:tcPr>
            <w:tcW w:w="22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ODC</w:t>
            </w:r>
          </w:p>
        </w:tc>
        <w:tc>
          <w:tcPr>
            <w:tcW w:w="720" w:type="dxa"/>
            <w:vAlign w:val="bottom"/>
          </w:tcPr>
          <w:p>
            <w:pPr>
              <w:spacing w:after="0"/>
              <w:rPr>
                <w:sz w:val="20"/>
                <w:szCs w:val="20"/>
                <w:color w:val="auto"/>
              </w:rPr>
            </w:pPr>
          </w:p>
        </w:tc>
        <w:tc>
          <w:tcPr>
            <w:tcW w:w="296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319" w:lineRule="exact"/>
        <w:rPr>
          <w:sz w:val="24"/>
          <w:szCs w:val="24"/>
          <w:color w:val="auto"/>
        </w:rPr>
      </w:pPr>
    </w:p>
    <w:p>
      <w:pPr>
        <w:ind w:right="2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20" w:top="1282" w:right="399" w:bottom="1440" w:gutter="0" w:footer="0" w:header="0"/>
        </w:sectPr>
      </w:pPr>
    </w:p>
    <w:p>
      <w:pPr>
        <w:spacing w:after="0" w:line="95"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7"/>
          <w:szCs w:val="17"/>
          <w:color w:val="auto"/>
        </w:rPr>
        <w:t xml:space="preserve">Large Accelerated Filer </w:t>
      </w:r>
      <w:r>
        <w:rPr>
          <w:rFonts w:ascii="Wingdings" w:cs="Wingdings" w:eastAsia="Wingdings" w:hAnsi="Wingdings"/>
          <w:sz w:val="17"/>
          <w:szCs w:val="17"/>
          <w:b w:val="1"/>
          <w:bCs w:val="1"/>
          <w:color w:val="auto"/>
        </w:rPr>
        <w:t>o</w:t>
      </w:r>
    </w:p>
    <w:p>
      <w:pPr>
        <w:spacing w:after="0" w:line="39"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Accelerated Filer </w:t>
      </w:r>
      <w:r>
        <w:rPr>
          <w:rFonts w:ascii="Wingdings" w:cs="Wingdings" w:eastAsia="Wingdings" w:hAnsi="Wingdings"/>
          <w:sz w:val="18"/>
          <w:szCs w:val="18"/>
          <w:b w:val="1"/>
          <w:bCs w:val="1"/>
          <w:color w:val="auto"/>
        </w:rPr>
        <w:t>x</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Non-accelerated Filer </w:t>
      </w:r>
      <w:r>
        <w:rPr>
          <w:rFonts w:ascii="Wingdings" w:cs="Wingdings" w:eastAsia="Wingdings" w:hAnsi="Wingdings"/>
          <w:sz w:val="18"/>
          <w:szCs w:val="18"/>
          <w:b w:val="1"/>
          <w:bCs w:val="1"/>
          <w:color w:val="auto"/>
        </w:rPr>
        <w:t>o</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Smaller Reporting Company </w:t>
      </w:r>
      <w:r>
        <w:rPr>
          <w:rFonts w:ascii="Wingdings" w:cs="Wingdings" w:eastAsia="Wingdings" w:hAnsi="Wingdings"/>
          <w:sz w:val="18"/>
          <w:szCs w:val="18"/>
          <w:b w:val="1"/>
          <w:bCs w:val="1"/>
          <w:color w:val="auto"/>
        </w:rPr>
        <w:t>x</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200" w:lineRule="exact"/>
        <w:rPr>
          <w:sz w:val="24"/>
          <w:szCs w:val="24"/>
          <w:color w:val="auto"/>
        </w:rPr>
      </w:pPr>
    </w:p>
    <w:p>
      <w:pPr>
        <w:sectPr>
          <w:pgSz w:w="11900" w:h="16838" w:orient="portrait"/>
          <w:cols w:equalWidth="0" w:num="2">
            <w:col w:w="7120" w:space="720"/>
            <w:col w:w="3340"/>
          </w:cols>
          <w:pgMar w:left="320" w:top="1282" w:right="399" w:bottom="1440" w:gutter="0" w:footer="0" w:header="0"/>
          <w:type w:val="continuous"/>
        </w:sectPr>
      </w:pPr>
    </w:p>
    <w:p>
      <w:pPr>
        <w:spacing w:after="0" w:line="223"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15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February 29, 2024.</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Common Stock – 5,125,142 Shares and Class B Stock – 2,161,907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82" w:right="3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8140" w:type="dxa"/>
            <w:vAlign w:val="bottom"/>
          </w:tcPr>
          <w:p>
            <w:pPr>
              <w:ind w:left="37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7"/>
        </w:trPr>
        <w:tc>
          <w:tcPr>
            <w:tcW w:w="940" w:type="dxa"/>
            <w:vAlign w:val="bottom"/>
          </w:tcPr>
          <w:p>
            <w:pPr>
              <w:spacing w:after="0"/>
              <w:rPr>
                <w:sz w:val="24"/>
                <w:szCs w:val="24"/>
                <w:color w:val="auto"/>
              </w:rPr>
            </w:pPr>
          </w:p>
        </w:tc>
        <w:tc>
          <w:tcPr>
            <w:tcW w:w="8140" w:type="dxa"/>
            <w:vAlign w:val="bottom"/>
          </w:tcPr>
          <w:p>
            <w:pPr>
              <w:ind w:left="320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2040" w:type="dxa"/>
            <w:vAlign w:val="bottom"/>
            <w:gridSpan w:val="7"/>
            <w:vMerge w:val="restart"/>
          </w:tcPr>
          <w:p>
            <w:pPr>
              <w:ind w:left="14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89"/>
        </w:trPr>
        <w:tc>
          <w:tcPr>
            <w:tcW w:w="940" w:type="dxa"/>
            <w:vAlign w:val="bottom"/>
          </w:tcPr>
          <w:p>
            <w:pPr>
              <w:spacing w:after="0"/>
              <w:rPr>
                <w:sz w:val="16"/>
                <w:szCs w:val="16"/>
                <w:color w:val="auto"/>
              </w:rPr>
            </w:pPr>
          </w:p>
        </w:tc>
        <w:tc>
          <w:tcPr>
            <w:tcW w:w="8140" w:type="dxa"/>
            <w:vAlign w:val="bottom"/>
          </w:tcPr>
          <w:p>
            <w:pPr>
              <w:spacing w:after="0"/>
              <w:rPr>
                <w:sz w:val="16"/>
                <w:szCs w:val="16"/>
                <w:color w:val="auto"/>
              </w:rPr>
            </w:pPr>
          </w:p>
        </w:tc>
        <w:tc>
          <w:tcPr>
            <w:tcW w:w="204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1:</w:t>
            </w:r>
          </w:p>
        </w:tc>
        <w:tc>
          <w:tcPr>
            <w:tcW w:w="81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Financial Statements</w:t>
            </w:r>
          </w:p>
        </w:tc>
        <w:tc>
          <w:tcPr>
            <w:tcW w:w="1700" w:type="dxa"/>
            <w:vAlign w:val="bottom"/>
            <w:gridSpan w:val="5"/>
            <w:shd w:val="clear" w:color="auto" w:fill="CCEEFF"/>
          </w:tcPr>
          <w:p>
            <w:pPr>
              <w:jc w:val="center"/>
              <w:ind w:left="1430"/>
              <w:spacing w:after="0" w:line="189" w:lineRule="exact"/>
              <w:rPr>
                <w:sz w:val="20"/>
                <w:szCs w:val="20"/>
                <w:color w:val="auto"/>
              </w:rPr>
            </w:pPr>
            <w:r>
              <w:rPr>
                <w:rFonts w:ascii="Times New Roman" w:cs="Times New Roman" w:eastAsia="Times New Roman" w:hAnsi="Times New Roman"/>
                <w:sz w:val="18"/>
                <w:szCs w:val="18"/>
                <w:color w:val="0000FF"/>
              </w:rPr>
              <w:t>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top w:val="single" w:sz="8" w:color="CCEEFF"/>
            </w:tcBorders>
          </w:tcPr>
          <w:p>
            <w:pPr>
              <w:spacing w:after="0"/>
              <w:rPr>
                <w:sz w:val="19"/>
                <w:szCs w:val="19"/>
                <w:color w:val="auto"/>
              </w:rPr>
            </w:pPr>
          </w:p>
        </w:tc>
        <w:tc>
          <w:tcPr>
            <w:tcW w:w="814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2:</w:t>
            </w:r>
          </w:p>
        </w:tc>
        <w:tc>
          <w:tcPr>
            <w:tcW w:w="81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0" w:type="dxa"/>
            <w:vAlign w:val="bottom"/>
            <w:gridSpan w:val="6"/>
            <w:shd w:val="clear" w:color="auto" w:fill="CCEEFF"/>
          </w:tcPr>
          <w:p>
            <w:pPr>
              <w:jc w:val="center"/>
              <w:ind w:left="1330"/>
              <w:spacing w:after="0" w:line="189" w:lineRule="exact"/>
              <w:rPr>
                <w:sz w:val="20"/>
                <w:szCs w:val="20"/>
                <w:color w:val="auto"/>
              </w:rPr>
            </w:pPr>
            <w:r>
              <w:rPr>
                <w:rFonts w:ascii="Times New Roman" w:cs="Times New Roman" w:eastAsia="Times New Roman" w:hAnsi="Times New Roman"/>
                <w:sz w:val="18"/>
                <w:szCs w:val="18"/>
                <w:color w:val="0000FF"/>
                <w:w w:val="99"/>
              </w:rPr>
              <w:t>24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top w:val="single" w:sz="8" w:color="CCEEFF"/>
            </w:tcBorders>
          </w:tcPr>
          <w:p>
            <w:pPr>
              <w:spacing w:after="0"/>
              <w:rPr>
                <w:sz w:val="19"/>
                <w:szCs w:val="19"/>
                <w:color w:val="auto"/>
              </w:rPr>
            </w:pPr>
          </w:p>
        </w:tc>
        <w:tc>
          <w:tcPr>
            <w:tcW w:w="814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4:</w:t>
            </w:r>
          </w:p>
        </w:tc>
        <w:tc>
          <w:tcPr>
            <w:tcW w:w="81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1800" w:type="dxa"/>
            <w:vAlign w:val="bottom"/>
            <w:gridSpan w:val="6"/>
            <w:shd w:val="clear" w:color="auto" w:fill="CCEEFF"/>
          </w:tcPr>
          <w:p>
            <w:pPr>
              <w:jc w:val="center"/>
              <w:ind w:left="1330"/>
              <w:spacing w:after="0" w:line="189" w:lineRule="exact"/>
              <w:rPr>
                <w:sz w:val="20"/>
                <w:szCs w:val="20"/>
                <w:color w:val="auto"/>
              </w:rPr>
            </w:pPr>
            <w:r>
              <w:rPr>
                <w:rFonts w:ascii="Times New Roman" w:cs="Times New Roman" w:eastAsia="Times New Roman" w:hAnsi="Times New Roman"/>
                <w:sz w:val="18"/>
                <w:szCs w:val="18"/>
                <w:color w:val="0000FF"/>
                <w:w w:val="99"/>
              </w:rPr>
              <w:t>30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40" w:type="dxa"/>
            <w:vAlign w:val="bottom"/>
            <w:tcBorders>
              <w:top w:val="single" w:sz="8" w:color="CCEEFF"/>
            </w:tcBorders>
          </w:tcPr>
          <w:p>
            <w:pPr>
              <w:spacing w:after="0"/>
              <w:rPr>
                <w:sz w:val="19"/>
                <w:szCs w:val="19"/>
                <w:color w:val="auto"/>
              </w:rPr>
            </w:pPr>
          </w:p>
        </w:tc>
        <w:tc>
          <w:tcPr>
            <w:tcW w:w="814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shd w:val="clear" w:color="auto" w:fill="CCEEFF"/>
          </w:tcPr>
          <w:p>
            <w:pPr>
              <w:spacing w:after="0"/>
              <w:rPr>
                <w:sz w:val="19"/>
                <w:szCs w:val="19"/>
                <w:color w:val="auto"/>
              </w:rPr>
            </w:pPr>
          </w:p>
        </w:tc>
        <w:tc>
          <w:tcPr>
            <w:tcW w:w="8140" w:type="dxa"/>
            <w:vAlign w:val="bottom"/>
            <w:shd w:val="clear" w:color="auto" w:fill="CCEEFF"/>
          </w:tcPr>
          <w:p>
            <w:pPr>
              <w:ind w:left="334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94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1A:</w:t>
            </w:r>
          </w:p>
        </w:tc>
        <w:tc>
          <w:tcPr>
            <w:tcW w:w="81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1800" w:type="dxa"/>
            <w:vAlign w:val="bottom"/>
            <w:gridSpan w:val="6"/>
            <w:shd w:val="clear" w:color="auto" w:fill="CCEEFF"/>
          </w:tcPr>
          <w:p>
            <w:pPr>
              <w:jc w:val="center"/>
              <w:ind w:left="1330"/>
              <w:spacing w:after="0" w:line="189" w:lineRule="exact"/>
              <w:rPr>
                <w:sz w:val="20"/>
                <w:szCs w:val="20"/>
                <w:color w:val="auto"/>
              </w:rPr>
            </w:pPr>
            <w:r>
              <w:rPr>
                <w:rFonts w:ascii="Times New Roman" w:cs="Times New Roman" w:eastAsia="Times New Roman" w:hAnsi="Times New Roman"/>
                <w:sz w:val="18"/>
                <w:szCs w:val="18"/>
                <w:color w:val="0000FF"/>
                <w:w w:val="99"/>
              </w:rPr>
              <w:t>31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40" w:type="dxa"/>
            <w:vAlign w:val="bottom"/>
            <w:tcBorders>
              <w:top w:val="single" w:sz="8" w:color="CCEEFF"/>
            </w:tcBorders>
          </w:tcPr>
          <w:p>
            <w:pPr>
              <w:spacing w:after="0"/>
              <w:rPr>
                <w:sz w:val="22"/>
                <w:szCs w:val="22"/>
                <w:color w:val="auto"/>
              </w:rPr>
            </w:pPr>
          </w:p>
        </w:tc>
        <w:tc>
          <w:tcPr>
            <w:tcW w:w="8140" w:type="dxa"/>
            <w:vAlign w:val="bottom"/>
            <w:tcBorders>
              <w:top w:val="single" w:sz="8" w:color="CCEEFF"/>
            </w:tcBorders>
          </w:tcPr>
          <w:p>
            <w:pPr>
              <w:spacing w:after="0"/>
              <w:rPr>
                <w:sz w:val="22"/>
                <w:szCs w:val="22"/>
                <w:color w:val="auto"/>
              </w:rPr>
            </w:pPr>
          </w:p>
        </w:tc>
        <w:tc>
          <w:tcPr>
            <w:tcW w:w="14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2:</w:t>
            </w:r>
          </w:p>
        </w:tc>
        <w:tc>
          <w:tcPr>
            <w:tcW w:w="81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800" w:type="dxa"/>
            <w:vAlign w:val="bottom"/>
            <w:gridSpan w:val="6"/>
            <w:shd w:val="clear" w:color="auto" w:fill="CCEEFF"/>
          </w:tcPr>
          <w:p>
            <w:pPr>
              <w:jc w:val="center"/>
              <w:ind w:left="1330"/>
              <w:spacing w:after="0" w:line="189" w:lineRule="exact"/>
              <w:rPr>
                <w:sz w:val="20"/>
                <w:szCs w:val="20"/>
                <w:color w:val="auto"/>
              </w:rPr>
            </w:pPr>
            <w:r>
              <w:rPr>
                <w:rFonts w:ascii="Times New Roman" w:cs="Times New Roman" w:eastAsia="Times New Roman" w:hAnsi="Times New Roman"/>
                <w:sz w:val="18"/>
                <w:szCs w:val="18"/>
                <w:color w:val="0000FF"/>
                <w:w w:val="99"/>
              </w:rPr>
              <w:t>32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40" w:type="dxa"/>
            <w:vAlign w:val="bottom"/>
            <w:tcBorders>
              <w:top w:val="single" w:sz="8" w:color="CCEEFF"/>
            </w:tcBorders>
          </w:tcPr>
          <w:p>
            <w:pPr>
              <w:spacing w:after="0"/>
              <w:rPr>
                <w:sz w:val="22"/>
                <w:szCs w:val="22"/>
                <w:color w:val="auto"/>
              </w:rPr>
            </w:pPr>
          </w:p>
        </w:tc>
        <w:tc>
          <w:tcPr>
            <w:tcW w:w="8140" w:type="dxa"/>
            <w:vAlign w:val="bottom"/>
            <w:tcBorders>
              <w:top w:val="single" w:sz="8" w:color="CCEEFF"/>
            </w:tcBorders>
          </w:tcPr>
          <w:p>
            <w:pPr>
              <w:spacing w:after="0"/>
              <w:rPr>
                <w:sz w:val="22"/>
                <w:szCs w:val="22"/>
                <w:color w:val="auto"/>
              </w:rPr>
            </w:pPr>
          </w:p>
        </w:tc>
        <w:tc>
          <w:tcPr>
            <w:tcW w:w="14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4:</w:t>
            </w:r>
          </w:p>
        </w:tc>
        <w:tc>
          <w:tcPr>
            <w:tcW w:w="81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1800" w:type="dxa"/>
            <w:vAlign w:val="bottom"/>
            <w:gridSpan w:val="6"/>
            <w:shd w:val="clear" w:color="auto" w:fill="CCEEFF"/>
          </w:tcPr>
          <w:p>
            <w:pPr>
              <w:jc w:val="center"/>
              <w:ind w:left="1330"/>
              <w:spacing w:after="0" w:line="189" w:lineRule="exact"/>
              <w:rPr>
                <w:sz w:val="20"/>
                <w:szCs w:val="20"/>
                <w:color w:val="auto"/>
              </w:rPr>
            </w:pPr>
            <w:r>
              <w:rPr>
                <w:rFonts w:ascii="Times New Roman" w:cs="Times New Roman" w:eastAsia="Times New Roman" w:hAnsi="Times New Roman"/>
                <w:sz w:val="18"/>
                <w:szCs w:val="18"/>
                <w:color w:val="0000FF"/>
                <w:w w:val="99"/>
              </w:rPr>
              <w:t>32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40" w:type="dxa"/>
            <w:vAlign w:val="bottom"/>
            <w:tcBorders>
              <w:top w:val="single" w:sz="8" w:color="CCEEFF"/>
            </w:tcBorders>
          </w:tcPr>
          <w:p>
            <w:pPr>
              <w:spacing w:after="0"/>
              <w:rPr>
                <w:sz w:val="22"/>
                <w:szCs w:val="22"/>
                <w:color w:val="auto"/>
              </w:rPr>
            </w:pPr>
          </w:p>
        </w:tc>
        <w:tc>
          <w:tcPr>
            <w:tcW w:w="8140" w:type="dxa"/>
            <w:vAlign w:val="bottom"/>
            <w:tcBorders>
              <w:top w:val="single" w:sz="8" w:color="CCEEFF"/>
            </w:tcBorders>
          </w:tcPr>
          <w:p>
            <w:pPr>
              <w:spacing w:after="0"/>
              <w:rPr>
                <w:sz w:val="22"/>
                <w:szCs w:val="22"/>
                <w:color w:val="auto"/>
              </w:rPr>
            </w:pPr>
          </w:p>
        </w:tc>
        <w:tc>
          <w:tcPr>
            <w:tcW w:w="14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5:</w:t>
            </w:r>
          </w:p>
        </w:tc>
        <w:tc>
          <w:tcPr>
            <w:tcW w:w="81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1800" w:type="dxa"/>
            <w:vAlign w:val="bottom"/>
            <w:gridSpan w:val="6"/>
            <w:shd w:val="clear" w:color="auto" w:fill="CCEEFF"/>
          </w:tcPr>
          <w:p>
            <w:pPr>
              <w:jc w:val="center"/>
              <w:ind w:left="1330"/>
              <w:spacing w:after="0" w:line="189" w:lineRule="exact"/>
              <w:rPr>
                <w:sz w:val="20"/>
                <w:szCs w:val="20"/>
                <w:color w:val="auto"/>
              </w:rPr>
            </w:pPr>
            <w:r>
              <w:rPr>
                <w:rFonts w:ascii="Times New Roman" w:cs="Times New Roman" w:eastAsia="Times New Roman" w:hAnsi="Times New Roman"/>
                <w:sz w:val="18"/>
                <w:szCs w:val="18"/>
                <w:color w:val="0000FF"/>
                <w:w w:val="99"/>
              </w:rPr>
              <w:t>32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940" w:type="dxa"/>
            <w:vAlign w:val="bottom"/>
            <w:tcBorders>
              <w:top w:val="single" w:sz="8" w:color="CCEEFF"/>
            </w:tcBorders>
          </w:tcPr>
          <w:p>
            <w:pPr>
              <w:spacing w:after="0"/>
              <w:rPr>
                <w:sz w:val="22"/>
                <w:szCs w:val="22"/>
                <w:color w:val="auto"/>
              </w:rPr>
            </w:pPr>
          </w:p>
        </w:tc>
        <w:tc>
          <w:tcPr>
            <w:tcW w:w="8140" w:type="dxa"/>
            <w:vAlign w:val="bottom"/>
            <w:tcBorders>
              <w:top w:val="single" w:sz="8" w:color="CCEEFF"/>
            </w:tcBorders>
          </w:tcPr>
          <w:p>
            <w:pPr>
              <w:spacing w:after="0"/>
              <w:rPr>
                <w:sz w:val="22"/>
                <w:szCs w:val="22"/>
                <w:color w:val="auto"/>
              </w:rPr>
            </w:pPr>
          </w:p>
        </w:tc>
        <w:tc>
          <w:tcPr>
            <w:tcW w:w="14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6:</w:t>
            </w:r>
          </w:p>
        </w:tc>
        <w:tc>
          <w:tcPr>
            <w:tcW w:w="81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1800" w:type="dxa"/>
            <w:vAlign w:val="bottom"/>
            <w:gridSpan w:val="6"/>
            <w:shd w:val="clear" w:color="auto" w:fill="CCEEFF"/>
          </w:tcPr>
          <w:p>
            <w:pPr>
              <w:jc w:val="center"/>
              <w:ind w:left="1330"/>
              <w:spacing w:after="0" w:line="189" w:lineRule="exact"/>
              <w:rPr>
                <w:sz w:val="20"/>
                <w:szCs w:val="20"/>
                <w:color w:val="auto"/>
              </w:rPr>
            </w:pPr>
            <w:r>
              <w:rPr>
                <w:rFonts w:ascii="Times New Roman" w:cs="Times New Roman" w:eastAsia="Times New Roman" w:hAnsi="Times New Roman"/>
                <w:sz w:val="18"/>
                <w:szCs w:val="18"/>
                <w:color w:val="0000FF"/>
                <w:w w:val="99"/>
              </w:rPr>
              <w:t>33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40" w:type="dxa"/>
            <w:vAlign w:val="bottom"/>
            <w:tcBorders>
              <w:top w:val="single" w:sz="8" w:color="CCEEFF"/>
            </w:tcBorders>
          </w:tcPr>
          <w:p>
            <w:pPr>
              <w:spacing w:after="0"/>
              <w:rPr>
                <w:sz w:val="19"/>
                <w:szCs w:val="19"/>
                <w:color w:val="auto"/>
              </w:rPr>
            </w:pPr>
          </w:p>
        </w:tc>
        <w:tc>
          <w:tcPr>
            <w:tcW w:w="814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940" w:type="dxa"/>
            <w:vAlign w:val="bottom"/>
            <w:shd w:val="clear" w:color="auto" w:fill="CCEEFF"/>
          </w:tcPr>
          <w:p>
            <w:pPr>
              <w:spacing w:after="0"/>
              <w:rPr>
                <w:sz w:val="16"/>
                <w:szCs w:val="16"/>
                <w:color w:val="auto"/>
              </w:rPr>
            </w:pPr>
          </w:p>
        </w:tc>
        <w:tc>
          <w:tcPr>
            <w:tcW w:w="81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1800" w:type="dxa"/>
            <w:vAlign w:val="bottom"/>
            <w:gridSpan w:val="6"/>
            <w:shd w:val="clear" w:color="auto" w:fill="CCEEFF"/>
          </w:tcPr>
          <w:p>
            <w:pPr>
              <w:jc w:val="center"/>
              <w:ind w:left="1330"/>
              <w:spacing w:after="0" w:line="189" w:lineRule="exact"/>
              <w:rPr>
                <w:sz w:val="20"/>
                <w:szCs w:val="20"/>
                <w:color w:val="auto"/>
              </w:rPr>
            </w:pPr>
            <w:r>
              <w:rPr>
                <w:rFonts w:ascii="Times New Roman" w:cs="Times New Roman" w:eastAsia="Times New Roman" w:hAnsi="Times New Roman"/>
                <w:sz w:val="18"/>
                <w:szCs w:val="18"/>
                <w:color w:val="0000FF"/>
                <w:w w:val="99"/>
              </w:rPr>
              <w:t>34</w:t>
            </w: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81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statements in this report, including, but not limited to, those under the heading "Management’s Discussion and Analysis of Financial Condition and Results of Operations," and those statements elsewhere in this report and other documents that we file with the Securities and Exchange Commission ("SEC"), contain forward-looking statements, within the meaning of the safe harbor provisions of the U.S. Private Securities Litigation Reform Act of 1995,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Forward-looking statements can be identified by words such as "expect," "outlook," "forecast," "would," "could," "should," "project," "intend," "plan," "continue," "believe," "seek," "estimate," "anticipate," "may," "assume," "potential," "strive," and similar references to future periods.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Such statements are subject to certain risks, uncertainties and assumptions that could cause actual results to differ materially, including, but not limited to, those described herein and in Item 1A, "Risk Factors," in our Annual Report on Form 10-K for the fiscal year ended July 31, 2023, and from time to time in our other filings with the SEC. Should one or more of these or other risks or uncertainties materialize, or should underlying assumptions prove incorrect, actual results may vary materially from those anticipated, intended, expected, believed, estimated, projected, planned or otherwise expressed in any forward-looking statements. 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18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TRADEMARK NOTICE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"Oil-Dri" is a registered trademark of Oil-Dri Corporation of America.</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900" w:type="dxa"/>
            <w:vAlign w:val="bottom"/>
          </w:tcPr>
          <w:p>
            <w:pPr>
              <w:ind w:left="1820"/>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90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90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(Unaudited)</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40" w:type="dxa"/>
            <w:vAlign w:val="bottom"/>
          </w:tcPr>
          <w:p>
            <w:pPr>
              <w:spacing w:after="0"/>
              <w:rPr>
                <w:sz w:val="24"/>
                <w:szCs w:val="24"/>
                <w:color w:val="auto"/>
              </w:rPr>
            </w:pPr>
          </w:p>
        </w:tc>
        <w:tc>
          <w:tcPr>
            <w:tcW w:w="832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(in thousands, except for share and per share amounts)</w:t>
            </w: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900" w:type="dxa"/>
            <w:vAlign w:val="bottom"/>
            <w:vMerge w:val="restart"/>
          </w:tcPr>
          <w:p>
            <w:pPr>
              <w:ind w:left="14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14"/>
                <w:szCs w:val="14"/>
                <w:color w:val="auto"/>
              </w:rPr>
            </w:pPr>
          </w:p>
        </w:tc>
        <w:tc>
          <w:tcPr>
            <w:tcW w:w="1320" w:type="dxa"/>
            <w:vAlign w:val="bottom"/>
            <w:gridSpan w:val="2"/>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260" w:type="dxa"/>
            <w:vAlign w:val="bottom"/>
          </w:tcPr>
          <w:p>
            <w:pPr>
              <w:spacing w:after="0"/>
              <w:rPr>
                <w:sz w:val="14"/>
                <w:szCs w:val="14"/>
                <w:color w:val="auto"/>
              </w:rPr>
            </w:pPr>
          </w:p>
        </w:tc>
        <w:tc>
          <w:tcPr>
            <w:tcW w:w="1120" w:type="dxa"/>
            <w:vAlign w:val="bottom"/>
          </w:tcPr>
          <w:p>
            <w:pPr>
              <w:jc w:val="right"/>
              <w:ind w:right="290"/>
              <w:spacing w:after="0" w:line="169" w:lineRule="exact"/>
              <w:rPr>
                <w:sz w:val="20"/>
                <w:szCs w:val="20"/>
                <w:color w:val="auto"/>
              </w:rPr>
            </w:pPr>
            <w:r>
              <w:rPr>
                <w:rFonts w:ascii="Times New Roman" w:cs="Times New Roman" w:eastAsia="Times New Roman" w:hAnsi="Times New Roman"/>
                <w:sz w:val="18"/>
                <w:szCs w:val="18"/>
                <w:b w:val="1"/>
                <w:bCs w:val="1"/>
                <w:color w:val="auto"/>
              </w:rPr>
              <w:t>July 31,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900" w:type="dxa"/>
            <w:vAlign w:val="bottom"/>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8320" w:type="dxa"/>
            <w:vAlign w:val="bottom"/>
            <w:gridSpan w:val="4"/>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31,754</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3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Accounts receivable, net allowances of</w:t>
            </w:r>
          </w:p>
        </w:tc>
        <w:tc>
          <w:tcPr>
            <w:tcW w:w="1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59,336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$1,072 and $1,087 at January 31, 2024 and July 31, 2023, respectively</w:t>
            </w:r>
          </w:p>
        </w:tc>
        <w:tc>
          <w:tcPr>
            <w:tcW w:w="16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59,287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6,067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320" w:type="dxa"/>
            <w:vAlign w:val="bottom"/>
            <w:gridSpan w:val="4"/>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139,433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136,507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3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4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Cost</w:t>
            </w:r>
          </w:p>
        </w:tc>
        <w:tc>
          <w:tcPr>
            <w:tcW w:w="59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315,908</w:t>
            </w: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305,851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(190,881)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(184,979)</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320" w:type="dxa"/>
            <w:vAlign w:val="bottom"/>
            <w:tcBorders>
              <w:bottom w:val="single" w:sz="8" w:color="CCEEFF"/>
            </w:tcBorders>
            <w:gridSpan w:val="4"/>
          </w:tcPr>
          <w:p>
            <w:pPr>
              <w:ind w:left="780"/>
              <w:spacing w:after="0"/>
              <w:rPr>
                <w:sz w:val="20"/>
                <w:szCs w:val="20"/>
                <w:color w:val="auto"/>
              </w:rPr>
            </w:pPr>
            <w:r>
              <w:rPr>
                <w:rFonts w:ascii="Times New Roman" w:cs="Times New Roman" w:eastAsia="Times New Roman" w:hAnsi="Times New Roman"/>
                <w:sz w:val="18"/>
                <w:szCs w:val="18"/>
                <w:b w:val="1"/>
                <w:bCs w:val="1"/>
                <w:color w:val="auto"/>
              </w:rPr>
              <w:t>Total Property, Plant and Equipment, Net</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125,027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120,872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5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32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Other Assets</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3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Intangible assets, net of accumulated amortization</w:t>
            </w:r>
          </w:p>
        </w:tc>
        <w:tc>
          <w:tcPr>
            <w:tcW w:w="1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1,454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of $8,383 and $8,341 at January 31, 2024 and July 31, 2023, respectively</w:t>
            </w:r>
          </w:p>
        </w:tc>
        <w:tc>
          <w:tcPr>
            <w:tcW w:w="16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7,151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320" w:type="dxa"/>
            <w:vAlign w:val="bottom"/>
            <w:tcBorders>
              <w:bottom w:val="single" w:sz="8" w:color="CCEEFF"/>
            </w:tcBorders>
            <w:gridSpan w:val="4"/>
          </w:tcPr>
          <w:p>
            <w:pPr>
              <w:ind w:left="780"/>
              <w:spacing w:after="0"/>
              <w:rPr>
                <w:sz w:val="20"/>
                <w:szCs w:val="20"/>
                <w:color w:val="auto"/>
              </w:rPr>
            </w:pPr>
            <w:r>
              <w:rPr>
                <w:rFonts w:ascii="Times New Roman" w:cs="Times New Roman" w:eastAsia="Times New Roman" w:hAnsi="Times New Roman"/>
                <w:sz w:val="18"/>
                <w:szCs w:val="18"/>
                <w:b w:val="1"/>
                <w:bCs w:val="1"/>
                <w:color w:val="auto"/>
              </w:rPr>
              <w:t>Total Other Assets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31,692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28,856</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5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296,152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286,235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(in thousands, except for share and per share amounts)</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540" w:type="dxa"/>
            <w:vAlign w:val="bottom"/>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LIABILITIES &amp; STOCKHOLDERS’ EQUITY</w:t>
            </w:r>
          </w:p>
        </w:tc>
        <w:tc>
          <w:tcPr>
            <w:tcW w:w="160" w:type="dxa"/>
            <w:vAlign w:val="bottom"/>
          </w:tcPr>
          <w:p>
            <w:pPr>
              <w:spacing w:after="0"/>
              <w:rPr>
                <w:sz w:val="14"/>
                <w:szCs w:val="14"/>
                <w:color w:val="auto"/>
              </w:rPr>
            </w:pPr>
          </w:p>
        </w:tc>
        <w:tc>
          <w:tcPr>
            <w:tcW w:w="1440" w:type="dxa"/>
            <w:vAlign w:val="bottom"/>
            <w:gridSpan w:val="2"/>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240" w:type="dxa"/>
            <w:vAlign w:val="bottom"/>
          </w:tcPr>
          <w:p>
            <w:pPr>
              <w:spacing w:after="0"/>
              <w:rPr>
                <w:sz w:val="14"/>
                <w:szCs w:val="14"/>
                <w:color w:val="auto"/>
              </w:rPr>
            </w:pPr>
          </w:p>
        </w:tc>
        <w:tc>
          <w:tcPr>
            <w:tcW w:w="1100" w:type="dxa"/>
            <w:vAlign w:val="bottom"/>
          </w:tcPr>
          <w:p>
            <w:pPr>
              <w:jc w:val="right"/>
              <w:ind w:right="270"/>
              <w:spacing w:after="0" w:line="169" w:lineRule="exact"/>
              <w:rPr>
                <w:sz w:val="20"/>
                <w:szCs w:val="20"/>
                <w:color w:val="auto"/>
              </w:rPr>
            </w:pPr>
            <w:r>
              <w:rPr>
                <w:rFonts w:ascii="Times New Roman" w:cs="Times New Roman" w:eastAsia="Times New Roman" w:hAnsi="Times New Roman"/>
                <w:sz w:val="18"/>
                <w:szCs w:val="18"/>
                <w:b w:val="1"/>
                <w:bCs w:val="1"/>
                <w:color w:val="auto"/>
              </w:rPr>
              <w:t>July 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540" w:type="dxa"/>
            <w:vAlign w:val="bottom"/>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60" w:type="dxa"/>
            <w:vAlign w:val="bottom"/>
            <w:gridSpan w:val="4"/>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maturities of notes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12,009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payable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1,963</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2,637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28,554</w:t>
            </w: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36,868</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ind w:left="7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46,163</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58,768</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26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Notes payable, net of unamortized debt issuance costs</w:t>
            </w:r>
          </w:p>
        </w:tc>
        <w:tc>
          <w:tcPr>
            <w:tcW w:w="1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30,851</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826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of $149 and $173 at January 31, 2024 and July 31, 2023, respectively</w:t>
            </w:r>
          </w:p>
        </w:tc>
        <w:tc>
          <w:tcPr>
            <w:tcW w:w="16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Deferred compensation</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5,423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11,251</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8,810</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6,426</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53,951</w:t>
            </w: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50,391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100,114</w:t>
            </w: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(See note 7)</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Stockholders’ Equity</w:t>
            </w:r>
          </w:p>
        </w:tc>
        <w:tc>
          <w:tcPr>
            <w:tcW w:w="662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6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Common Stock, par value $.10 per share, issued 8,817,723 shares at January 31, 2024</w:t>
            </w:r>
          </w:p>
        </w:tc>
        <w:tc>
          <w:tcPr>
            <w:tcW w:w="1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882</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and 8,750,223 shares at July 31, 2023</w:t>
            </w:r>
          </w:p>
        </w:tc>
        <w:tc>
          <w:tcPr>
            <w:tcW w:w="16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2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Class B Stock, par value $.10 per share, issued 2,524,556 shares at January 31, 2024</w:t>
            </w:r>
          </w:p>
        </w:tc>
        <w:tc>
          <w:tcPr>
            <w:tcW w:w="1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82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and 2,397,056 shares at July 31, 2023</w:t>
            </w:r>
          </w:p>
        </w:tc>
        <w:tc>
          <w:tcPr>
            <w:tcW w:w="16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58,205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55,624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219,995</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2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Less Treasury Stock, at cost (3,694,081 Common and 362,649 Class B shares at</w:t>
            </w:r>
          </w:p>
        </w:tc>
        <w:tc>
          <w:tcPr>
            <w:tcW w:w="1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(84,029)</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8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31, 2024 and 3,658,989 Common and 351,641 Class B shares at July 31, 2023)</w:t>
            </w:r>
          </w:p>
        </w:tc>
        <w:tc>
          <w:tcPr>
            <w:tcW w:w="1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(81,207)</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ind w:left="78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196,038</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177,076</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Liabilities &amp;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296,152</w:t>
            </w:r>
          </w:p>
        </w:tc>
        <w:tc>
          <w:tcPr>
            <w:tcW w:w="2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286,235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for per share amounts)</w:t>
            </w:r>
          </w:p>
        </w:tc>
        <w:tc>
          <w:tcPr>
            <w:tcW w:w="120" w:type="dxa"/>
            <w:vAlign w:val="bottom"/>
          </w:tcPr>
          <w:p>
            <w:pPr>
              <w:spacing w:after="0"/>
              <w:rPr>
                <w:sz w:val="17"/>
                <w:szCs w:val="17"/>
                <w:color w:val="auto"/>
              </w:rPr>
            </w:pPr>
          </w:p>
        </w:tc>
        <w:tc>
          <w:tcPr>
            <w:tcW w:w="2820" w:type="dxa"/>
            <w:vAlign w:val="bottom"/>
            <w:gridSpan w:val="4"/>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For the Six Months Ended January</w:t>
            </w:r>
          </w:p>
        </w:tc>
        <w:tc>
          <w:tcPr>
            <w:tcW w:w="0" w:type="dxa"/>
            <w:vAlign w:val="bottom"/>
          </w:tcPr>
          <w:p>
            <w:pPr>
              <w:spacing w:after="0"/>
              <w:rPr>
                <w:sz w:val="1"/>
                <w:szCs w:val="1"/>
                <w:color w:val="auto"/>
              </w:rPr>
            </w:pPr>
          </w:p>
        </w:tc>
      </w:tr>
      <w:tr>
        <w:trPr>
          <w:trHeight w:val="243"/>
        </w:trPr>
        <w:tc>
          <w:tcPr>
            <w:tcW w:w="8280" w:type="dxa"/>
            <w:vAlign w:val="bottom"/>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28"/>
        </w:trPr>
        <w:tc>
          <w:tcPr>
            <w:tcW w:w="8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217,106</w:t>
            </w:r>
          </w:p>
        </w:tc>
        <w:tc>
          <w:tcPr>
            <w:tcW w:w="5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200,208</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(155,173)</w:t>
            </w: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(154,882)</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61,933</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45,326</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(33,612)</w:t>
            </w: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(31,451)</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28,321</w:t>
            </w:r>
          </w:p>
        </w:tc>
        <w:tc>
          <w:tcPr>
            <w:tcW w:w="2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13,875</w:t>
            </w:r>
          </w:p>
        </w:tc>
        <w:tc>
          <w:tcPr>
            <w:tcW w:w="0" w:type="dxa"/>
            <w:vAlign w:val="bottom"/>
          </w:tcPr>
          <w:p>
            <w:pPr>
              <w:spacing w:after="0"/>
              <w:rPr>
                <w:sz w:val="1"/>
                <w:szCs w:val="1"/>
                <w:color w:val="auto"/>
              </w:rPr>
            </w:pPr>
          </w:p>
        </w:tc>
      </w:tr>
      <w:tr>
        <w:trPr>
          <w:trHeight w:val="128"/>
        </w:trPr>
        <w:tc>
          <w:tcPr>
            <w:tcW w:w="8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472</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(558)</w:t>
            </w: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b w:val="1"/>
                <w:bCs w:val="1"/>
                <w:color w:val="auto"/>
              </w:rPr>
              <w:t>Total Other Expense, Net</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(809)</w:t>
            </w:r>
          </w:p>
        </w:tc>
        <w:tc>
          <w:tcPr>
            <w:tcW w:w="2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0" w:type="dxa"/>
            <w:vAlign w:val="bottom"/>
          </w:tcPr>
          <w:p>
            <w:pPr>
              <w:spacing w:after="0"/>
              <w:rPr>
                <w:sz w:val="1"/>
                <w:szCs w:val="1"/>
                <w:color w:val="auto"/>
              </w:rPr>
            </w:pPr>
          </w:p>
        </w:tc>
      </w:tr>
      <w:tr>
        <w:trPr>
          <w:trHeight w:val="128"/>
        </w:trPr>
        <w:tc>
          <w:tcPr>
            <w:tcW w:w="8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27,512</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11,476</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(4,388)</w:t>
            </w: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23,124</w:t>
            </w:r>
          </w:p>
        </w:tc>
        <w:tc>
          <w:tcPr>
            <w:tcW w:w="2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9,076</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Noncontrolling Interest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Oil-Dri</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23,124</w:t>
            </w: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9,097</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8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Basic Common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3.44</w:t>
            </w:r>
          </w:p>
        </w:tc>
        <w:tc>
          <w:tcPr>
            <w:tcW w:w="5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Basic Class B Common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w:t>
            </w:r>
          </w:p>
        </w:tc>
        <w:tc>
          <w:tcPr>
            <w:tcW w:w="5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30"/>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Diluted Common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3.19</w:t>
            </w:r>
          </w:p>
        </w:tc>
        <w:tc>
          <w:tcPr>
            <w:tcW w:w="5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Diluted Class B Common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w:t>
            </w:r>
          </w:p>
        </w:tc>
        <w:tc>
          <w:tcPr>
            <w:tcW w:w="5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Average Shares Outstanding</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Basic Common</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4,856</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w:t>
            </w:r>
          </w:p>
        </w:tc>
        <w:tc>
          <w:tcPr>
            <w:tcW w:w="0" w:type="dxa"/>
            <w:vAlign w:val="bottom"/>
          </w:tcPr>
          <w:p>
            <w:pPr>
              <w:spacing w:after="0"/>
              <w:rPr>
                <w:sz w:val="1"/>
                <w:szCs w:val="1"/>
                <w:color w:val="auto"/>
              </w:rPr>
            </w:pPr>
          </w:p>
        </w:tc>
      </w:tr>
      <w:tr>
        <w:trPr>
          <w:trHeight w:val="230"/>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Basic Class B Common</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1,971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Diluted Common</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6,827</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0" w:type="dxa"/>
            <w:vAlign w:val="bottom"/>
          </w:tcPr>
          <w:p>
            <w:pPr>
              <w:spacing w:after="0"/>
              <w:rPr>
                <w:sz w:val="1"/>
                <w:szCs w:val="1"/>
                <w:color w:val="auto"/>
              </w:rPr>
            </w:pPr>
          </w:p>
        </w:tc>
      </w:tr>
      <w:tr>
        <w:trPr>
          <w:trHeight w:val="230"/>
        </w:trPr>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Diluted Class B Common</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1,971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 Declared Per Share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Basic Common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0.580</w:t>
            </w:r>
          </w:p>
        </w:tc>
        <w:tc>
          <w:tcPr>
            <w:tcW w:w="5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0.560</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Basic Class B Common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0.436</w:t>
            </w:r>
          </w:p>
        </w:tc>
        <w:tc>
          <w:tcPr>
            <w:tcW w:w="5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17"/>
                <w:szCs w:val="17"/>
                <w:color w:val="auto"/>
              </w:rPr>
            </w:pPr>
          </w:p>
        </w:tc>
        <w:tc>
          <w:tcPr>
            <w:tcW w:w="2820" w:type="dxa"/>
            <w:vAlign w:val="bottom"/>
            <w:gridSpan w:val="4"/>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For the Six Months Ended January</w:t>
            </w:r>
          </w:p>
        </w:tc>
        <w:tc>
          <w:tcPr>
            <w:tcW w:w="0" w:type="dxa"/>
            <w:vAlign w:val="bottom"/>
          </w:tcPr>
          <w:p>
            <w:pPr>
              <w:spacing w:after="0"/>
              <w:rPr>
                <w:sz w:val="1"/>
                <w:szCs w:val="1"/>
                <w:color w:val="auto"/>
              </w:rPr>
            </w:pPr>
          </w:p>
        </w:tc>
      </w:tr>
      <w:tr>
        <w:trPr>
          <w:trHeight w:val="243"/>
        </w:trPr>
        <w:tc>
          <w:tcPr>
            <w:tcW w:w="82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300" w:type="dxa"/>
            <w:vAlign w:val="bottom"/>
          </w:tcPr>
          <w:p>
            <w:pPr>
              <w:spacing w:after="0"/>
              <w:rPr>
                <w:sz w:val="21"/>
                <w:szCs w:val="21"/>
                <w:color w:val="auto"/>
              </w:rPr>
            </w:pPr>
          </w:p>
        </w:tc>
        <w:tc>
          <w:tcPr>
            <w:tcW w:w="104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9"/>
        </w:trPr>
        <w:tc>
          <w:tcPr>
            <w:tcW w:w="8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Oil-Dri</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23,124</w:t>
            </w:r>
          </w:p>
        </w:tc>
        <w:tc>
          <w:tcPr>
            <w:tcW w:w="5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9,097</w:t>
            </w:r>
          </w:p>
        </w:tc>
        <w:tc>
          <w:tcPr>
            <w:tcW w:w="0" w:type="dxa"/>
            <w:vAlign w:val="bottom"/>
          </w:tcPr>
          <w:p>
            <w:pPr>
              <w:spacing w:after="0"/>
              <w:rPr>
                <w:sz w:val="1"/>
                <w:szCs w:val="1"/>
                <w:color w:val="auto"/>
              </w:rPr>
            </w:pPr>
          </w:p>
        </w:tc>
      </w:tr>
      <w:tr>
        <w:trPr>
          <w:trHeight w:val="257"/>
        </w:trPr>
        <w:tc>
          <w:tcPr>
            <w:tcW w:w="8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 and postretirement benefits (net of tax)</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2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23,109</w:t>
            </w: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8,955</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ectPr>
          <w:pgSz w:w="11900" w:h="16838" w:orient="portrait"/>
          <w:cols w:equalWidth="0" w:num="1">
            <w:col w:w="11220"/>
          </w:cols>
          <w:pgMar w:left="320" w:top="887" w:right="359" w:bottom="99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997" w:gutter="0" w:footer="0" w:header="0"/>
          <w:type w:val="continuous"/>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for per share amounts)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940" w:type="dxa"/>
            <w:vAlign w:val="bottom"/>
            <w:tcBorders>
              <w:bottom w:val="single" w:sz="8" w:color="auto"/>
            </w:tcBorders>
          </w:tcPr>
          <w:p>
            <w:pPr>
              <w:spacing w:after="0"/>
              <w:rPr>
                <w:sz w:val="20"/>
                <w:szCs w:val="20"/>
                <w:color w:val="auto"/>
              </w:rPr>
            </w:pPr>
          </w:p>
        </w:tc>
      </w:tr>
      <w:tr>
        <w:trPr>
          <w:trHeight w:val="169"/>
        </w:trPr>
        <w:tc>
          <w:tcPr>
            <w:tcW w:w="8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4"/>
          </w:tcPr>
          <w:p>
            <w:pPr>
              <w:jc w:val="center"/>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41"/>
        </w:trPr>
        <w:tc>
          <w:tcPr>
            <w:tcW w:w="8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January 31,</w:t>
            </w:r>
          </w:p>
        </w:tc>
        <w:tc>
          <w:tcPr>
            <w:tcW w:w="940" w:type="dxa"/>
            <w:vAlign w:val="bottom"/>
            <w:tcBorders>
              <w:bottom w:val="single" w:sz="8" w:color="auto"/>
            </w:tcBorders>
          </w:tcPr>
          <w:p>
            <w:pPr>
              <w:spacing w:after="0"/>
              <w:rPr>
                <w:sz w:val="20"/>
                <w:szCs w:val="20"/>
                <w:color w:val="auto"/>
              </w:rPr>
            </w:pPr>
          </w:p>
        </w:tc>
      </w:tr>
      <w:tr>
        <w:trPr>
          <w:trHeight w:val="225"/>
        </w:trPr>
        <w:tc>
          <w:tcPr>
            <w:tcW w:w="8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29"/>
        </w:trPr>
        <w:tc>
          <w:tcPr>
            <w:tcW w:w="8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105,668</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101,669</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(74,726)</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(78,653)</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30,942</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23,016</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(15,777)</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(15,710)</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15,165</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7,306</w:t>
            </w:r>
          </w:p>
        </w:tc>
      </w:tr>
      <w:tr>
        <w:trPr>
          <w:trHeight w:val="128"/>
        </w:trPr>
        <w:tc>
          <w:tcPr>
            <w:tcW w:w="8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(362)</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29"/>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(418)</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w:t>
            </w:r>
          </w:p>
        </w:tc>
      </w:tr>
      <w:tr>
        <w:trPr>
          <w:trHeight w:val="223"/>
        </w:trPr>
        <w:tc>
          <w:tcPr>
            <w:tcW w:w="82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b w:val="1"/>
                <w:bCs w:val="1"/>
                <w:color w:val="auto"/>
              </w:rPr>
              <w:t>Total Other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(483)</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w:t>
            </w:r>
          </w:p>
        </w:tc>
      </w:tr>
      <w:tr>
        <w:trPr>
          <w:trHeight w:val="128"/>
        </w:trPr>
        <w:tc>
          <w:tcPr>
            <w:tcW w:w="8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14,682</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5,039</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(2,300)</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12,382</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Noncontrolling Interest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Oil-Dri</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12,382</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8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Basic Common</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1.84</w:t>
            </w:r>
          </w:p>
        </w:tc>
        <w:tc>
          <w:tcPr>
            <w:tcW w:w="2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r>
      <w:tr>
        <w:trPr>
          <w:trHeight w:val="23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Basic Class B Common</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r>
      <w:tr>
        <w:trPr>
          <w:trHeight w:val="230"/>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Diluted Common</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w:t>
            </w:r>
          </w:p>
        </w:tc>
        <w:tc>
          <w:tcPr>
            <w:tcW w:w="2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r>
      <w:tr>
        <w:trPr>
          <w:trHeight w:val="230"/>
        </w:trPr>
        <w:tc>
          <w:tcPr>
            <w:tcW w:w="8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Diluted Class B Common</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Average Shares Outstanding</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Basic Common</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4,883</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w:t>
            </w:r>
          </w:p>
        </w:tc>
      </w:tr>
      <w:tr>
        <w:trPr>
          <w:trHeight w:val="230"/>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Basic Class B Common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1,977</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w:t>
            </w:r>
          </w:p>
        </w:tc>
      </w:tr>
      <w:tr>
        <w:trPr>
          <w:trHeight w:val="23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Diluted Common</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6,860</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w:t>
            </w:r>
          </w:p>
        </w:tc>
      </w:tr>
      <w:tr>
        <w:trPr>
          <w:trHeight w:val="230"/>
        </w:trPr>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Diluted Class B Common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1,977</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 Declared Per Share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Basic Common</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0.290</w:t>
            </w:r>
          </w:p>
        </w:tc>
        <w:tc>
          <w:tcPr>
            <w:tcW w:w="2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0.280</w:t>
            </w:r>
          </w:p>
        </w:tc>
      </w:tr>
      <w:tr>
        <w:trPr>
          <w:trHeight w:val="23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Basic Class B Common</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0.218</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0.210</w:t>
            </w: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940" w:type="dxa"/>
            <w:vAlign w:val="bottom"/>
            <w:tcBorders>
              <w:bottom w:val="single" w:sz="8" w:color="auto"/>
            </w:tcBorders>
          </w:tcPr>
          <w:p>
            <w:pPr>
              <w:spacing w:after="0"/>
              <w:rPr>
                <w:sz w:val="20"/>
                <w:szCs w:val="20"/>
                <w:color w:val="auto"/>
              </w:rPr>
            </w:pPr>
          </w:p>
        </w:tc>
      </w:tr>
      <w:tr>
        <w:trPr>
          <w:trHeight w:val="169"/>
        </w:trPr>
        <w:tc>
          <w:tcPr>
            <w:tcW w:w="8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4"/>
          </w:tcPr>
          <w:p>
            <w:pPr>
              <w:jc w:val="right"/>
              <w:ind w:right="250"/>
              <w:spacing w:after="0" w:line="169" w:lineRule="exact"/>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41"/>
        </w:trPr>
        <w:tc>
          <w:tcPr>
            <w:tcW w:w="8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940" w:type="dxa"/>
            <w:vAlign w:val="bottom"/>
            <w:tcBorders>
              <w:bottom w:val="single" w:sz="8" w:color="auto"/>
            </w:tcBorders>
          </w:tcPr>
          <w:p>
            <w:pPr>
              <w:spacing w:after="0"/>
              <w:rPr>
                <w:sz w:val="20"/>
                <w:szCs w:val="20"/>
                <w:color w:val="auto"/>
              </w:rPr>
            </w:pPr>
          </w:p>
        </w:tc>
      </w:tr>
      <w:tr>
        <w:trPr>
          <w:trHeight w:val="225"/>
        </w:trPr>
        <w:tc>
          <w:tcPr>
            <w:tcW w:w="8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7"/>
        </w:trPr>
        <w:tc>
          <w:tcPr>
            <w:tcW w:w="8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Oil-Dri</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12,382</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w:t>
            </w:r>
          </w:p>
        </w:tc>
      </w:tr>
      <w:tr>
        <w:trPr>
          <w:trHeight w:val="256"/>
        </w:trPr>
        <w:tc>
          <w:tcPr>
            <w:tcW w:w="8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 and postretirement benefits (net of tax)</w:t>
            </w:r>
          </w:p>
        </w:tc>
        <w:tc>
          <w:tcPr>
            <w:tcW w:w="220" w:type="dxa"/>
            <w:vAlign w:val="bottom"/>
          </w:tcPr>
          <w:p>
            <w:pPr>
              <w:spacing w:after="0"/>
              <w:rPr>
                <w:sz w:val="19"/>
                <w:szCs w:val="19"/>
                <w:color w:val="auto"/>
              </w:rPr>
            </w:pPr>
          </w:p>
        </w:tc>
        <w:tc>
          <w:tcPr>
            <w:tcW w:w="110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w w:val="99"/>
              </w:rPr>
              <w:t>(24)</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12,552</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60" w:type="dxa"/>
            <w:vAlign w:val="bottom"/>
            <w:gridSpan w:val="12"/>
          </w:tcPr>
          <w:p>
            <w:pPr>
              <w:jc w:val="center"/>
              <w:ind w:left="359"/>
              <w:spacing w:after="0"/>
              <w:rPr>
                <w:sz w:val="20"/>
                <w:szCs w:val="20"/>
                <w:color w:val="auto"/>
              </w:rPr>
            </w:pPr>
            <w:r>
              <w:rPr>
                <w:rFonts w:ascii="Times New Roman" w:cs="Times New Roman" w:eastAsia="Times New Roman" w:hAnsi="Times New Roman"/>
                <w:sz w:val="12"/>
                <w:szCs w:val="12"/>
                <w:b w:val="1"/>
                <w:bCs w:val="1"/>
                <w:color w:val="auto"/>
              </w:rPr>
              <w:t>For the Three Months Ended January 31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tcPr>
          <w:p>
            <w:pPr>
              <w:jc w:val="center"/>
              <w:ind w:left="99"/>
              <w:spacing w:after="0"/>
              <w:rPr>
                <w:sz w:val="20"/>
                <w:szCs w:val="20"/>
                <w:color w:val="auto"/>
              </w:rPr>
            </w:pPr>
            <w:r>
              <w:rPr>
                <w:rFonts w:ascii="Times New Roman" w:cs="Times New Roman" w:eastAsia="Times New Roman" w:hAnsi="Times New Roman"/>
                <w:sz w:val="12"/>
                <w:szCs w:val="12"/>
                <w:b w:val="1"/>
                <w:bCs w:val="1"/>
                <w:color w:val="auto"/>
                <w:w w:val="99"/>
              </w:rPr>
              <w:t>(unaudited)</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60" w:type="dxa"/>
            <w:vAlign w:val="bottom"/>
            <w:tcBorders>
              <w:bottom w:val="single" w:sz="8" w:color="auto"/>
            </w:tcBorders>
            <w:gridSpan w:val="6"/>
          </w:tcPr>
          <w:p>
            <w:pPr>
              <w:ind w:left="460"/>
              <w:spacing w:after="0"/>
              <w:rPr>
                <w:sz w:val="20"/>
                <w:szCs w:val="20"/>
                <w:color w:val="auto"/>
              </w:rPr>
            </w:pPr>
            <w:r>
              <w:rPr>
                <w:rFonts w:ascii="Times New Roman" w:cs="Times New Roman" w:eastAsia="Times New Roman" w:hAnsi="Times New Roman"/>
                <w:sz w:val="12"/>
                <w:szCs w:val="12"/>
                <w:b w:val="1"/>
                <w:bCs w:val="1"/>
                <w:color w:val="auto"/>
              </w:rPr>
              <w:t>Number of Shares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2"/>
                <w:szCs w:val="12"/>
                <w:b w:val="1"/>
                <w:bCs w:val="1"/>
                <w:color w:val="auto"/>
                <w:w w:val="99"/>
              </w:rPr>
              <w:t>Accumulated</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gridSpan w:val="4"/>
            <w:vMerge w:val="continue"/>
          </w:tcPr>
          <w:p>
            <w:pPr>
              <w:spacing w:after="0"/>
              <w:rPr>
                <w:sz w:val="10"/>
                <w:szCs w:val="10"/>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Treasury</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Treasury</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2"/>
                <w:szCs w:val="12"/>
                <w:b w:val="1"/>
                <w:bCs w:val="1"/>
                <w:color w:val="auto"/>
              </w:rPr>
              <w:t>Other</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gridSpan w:val="4"/>
          </w:tcPr>
          <w:p>
            <w:pPr>
              <w:jc w:val="center"/>
              <w:ind w:right="120"/>
              <w:spacing w:after="0" w:line="122" w:lineRule="exact"/>
              <w:rPr>
                <w:sz w:val="20"/>
                <w:szCs w:val="20"/>
                <w:color w:val="auto"/>
              </w:rPr>
            </w:pPr>
            <w:r>
              <w:rPr>
                <w:rFonts w:ascii="Times New Roman" w:cs="Times New Roman" w:eastAsia="Times New Roman" w:hAnsi="Times New Roman"/>
                <w:sz w:val="12"/>
                <w:szCs w:val="12"/>
                <w:b w:val="1"/>
                <w:bCs w:val="1"/>
                <w:color w:val="auto"/>
              </w:rPr>
              <w:t>&amp; Class B</w:t>
            </w:r>
          </w:p>
        </w:tc>
        <w:tc>
          <w:tcPr>
            <w:tcW w:w="8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2"/>
                <w:szCs w:val="12"/>
                <w:b w:val="1"/>
                <w:bCs w:val="1"/>
                <w:color w:val="auto"/>
              </w:rPr>
              <w:t>&amp; Class B</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2"/>
                <w:szCs w:val="12"/>
                <w:b w:val="1"/>
                <w:bCs w:val="1"/>
                <w:color w:val="auto"/>
              </w:rPr>
              <w:t>Paid-In</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4"/>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Loss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October 31, 2022</w:t>
            </w:r>
          </w:p>
        </w:tc>
        <w:tc>
          <w:tcPr>
            <w:tcW w:w="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11,122,674</w:t>
            </w: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(3,968,939)</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1,112</w:t>
            </w:r>
          </w:p>
        </w:tc>
        <w:tc>
          <w:tcPr>
            <w:tcW w:w="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53,385</w:t>
            </w:r>
          </w:p>
        </w:tc>
        <w:tc>
          <w:tcPr>
            <w:tcW w:w="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182,135</w:t>
            </w: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(79,648)</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(2,576)</w:t>
            </w: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(380)</w:t>
            </w:r>
          </w:p>
        </w:tc>
        <w:tc>
          <w:tcPr>
            <w:tcW w:w="220" w:type="dxa"/>
            <w:vAlign w:val="bottom"/>
            <w:tcBorders>
              <w:top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154,028</w:t>
            </w:r>
          </w:p>
        </w:tc>
        <w:tc>
          <w:tcPr>
            <w:tcW w:w="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Income (Loss)</w:t>
            </w:r>
          </w:p>
        </w:tc>
        <w:tc>
          <w:tcPr>
            <w:tcW w:w="40" w:type="dxa"/>
            <w:vAlign w:val="bottom"/>
          </w:tcPr>
          <w:p>
            <w:pPr>
              <w:spacing w:after="0"/>
              <w:rPr>
                <w:sz w:val="14"/>
                <w:szCs w:val="14"/>
                <w:color w:val="auto"/>
              </w:rPr>
            </w:pPr>
          </w:p>
        </w:tc>
        <w:tc>
          <w:tcPr>
            <w:tcW w:w="1040" w:type="dxa"/>
            <w:vAlign w:val="bottom"/>
            <w:gridSpan w:val="4"/>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3,856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3,846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Comprehensive Income</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Dividends Declared</w:t>
            </w:r>
          </w:p>
        </w:tc>
        <w:tc>
          <w:tcPr>
            <w:tcW w:w="40" w:type="dxa"/>
            <w:vAlign w:val="bottom"/>
          </w:tcPr>
          <w:p>
            <w:pPr>
              <w:spacing w:after="0"/>
              <w:rPr>
                <w:sz w:val="14"/>
                <w:szCs w:val="14"/>
                <w:color w:val="auto"/>
              </w:rPr>
            </w:pPr>
          </w:p>
        </w:tc>
        <w:tc>
          <w:tcPr>
            <w:tcW w:w="1040" w:type="dxa"/>
            <w:vAlign w:val="bottom"/>
            <w:gridSpan w:val="4"/>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left="219"/>
              <w:spacing w:after="0"/>
              <w:rPr>
                <w:sz w:val="20"/>
                <w:szCs w:val="20"/>
                <w:color w:val="auto"/>
              </w:rPr>
            </w:pPr>
            <w:r>
              <w:rPr>
                <w:rFonts w:ascii="Times New Roman" w:cs="Times New Roman" w:eastAsia="Times New Roman" w:hAnsi="Times New Roman"/>
                <w:sz w:val="12"/>
                <w:szCs w:val="12"/>
                <w:color w:val="auto"/>
              </w:rPr>
              <w:t>(1,858)</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(1,858)</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Purchases of Treasury Stock</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(4,133)</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(133)</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(133)</w:t>
            </w: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2000" w:type="dxa"/>
            <w:vAlign w:val="bottom"/>
          </w:tcPr>
          <w:p>
            <w:pPr>
              <w:ind w:left="20"/>
              <w:spacing w:after="0" w:line="122" w:lineRule="exact"/>
              <w:rPr>
                <w:sz w:val="20"/>
                <w:szCs w:val="20"/>
                <w:color w:val="auto"/>
              </w:rPr>
            </w:pPr>
            <w:r>
              <w:rPr>
                <w:rFonts w:ascii="Times New Roman" w:cs="Times New Roman" w:eastAsia="Times New Roman" w:hAnsi="Times New Roman"/>
                <w:sz w:val="12"/>
                <w:szCs w:val="12"/>
                <w:color w:val="auto"/>
              </w:rPr>
              <w:t>Net issuance of stock under long-term</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18,605</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(3,246)</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103</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(105)</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incentive plans</w:t>
            </w:r>
          </w:p>
        </w:tc>
        <w:tc>
          <w:tcPr>
            <w:tcW w:w="9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Amortization of Restricted Stock</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840</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January 31, 2023</w:t>
            </w:r>
          </w:p>
        </w:tc>
        <w:tc>
          <w:tcPr>
            <w:tcW w:w="4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11,141,279</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(3,976,318)</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1,114</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54,328</w:t>
            </w:r>
          </w:p>
        </w:tc>
        <w:tc>
          <w:tcPr>
            <w:tcW w:w="40" w:type="dxa"/>
            <w:vAlign w:val="bottom"/>
            <w:tcBorders>
              <w:top w:val="single" w:sz="8" w:color="auto"/>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184,133</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(79,886)</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(2,325)</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(390)</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156,974</w:t>
            </w:r>
          </w:p>
        </w:tc>
        <w:tc>
          <w:tcPr>
            <w:tcW w:w="4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October 31, 2023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11,329,279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(4,026,459)</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1,133</w:t>
            </w:r>
          </w:p>
        </w:tc>
        <w:tc>
          <w:tcPr>
            <w:tcW w:w="40" w:type="dxa"/>
            <w:vAlign w:val="bottom"/>
          </w:tcPr>
          <w:p>
            <w:pPr>
              <w:spacing w:after="0"/>
              <w:rPr>
                <w:sz w:val="14"/>
                <w:szCs w:val="14"/>
                <w:color w:val="auto"/>
              </w:rPr>
            </w:pPr>
          </w:p>
        </w:tc>
        <w:tc>
          <w:tcPr>
            <w:tcW w:w="240" w:type="dxa"/>
            <w:vAlign w:val="bottom"/>
            <w:gridSpan w:val="3"/>
          </w:tcPr>
          <w:p>
            <w:pPr>
              <w:ind w:left="120"/>
              <w:spacing w:after="0"/>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56,746</w:t>
            </w:r>
          </w:p>
        </w:tc>
        <w:tc>
          <w:tcPr>
            <w:tcW w:w="40" w:type="dxa"/>
            <w:vAlign w:val="bottom"/>
          </w:tcPr>
          <w:p>
            <w:pPr>
              <w:spacing w:after="0"/>
              <w:rPr>
                <w:sz w:val="14"/>
                <w:szCs w:val="14"/>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209,585</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(82,111)</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563</w:t>
            </w:r>
          </w:p>
        </w:tc>
        <w:tc>
          <w:tcPr>
            <w:tcW w:w="40" w:type="dxa"/>
            <w:vAlign w:val="bottom"/>
          </w:tcPr>
          <w:p>
            <w:pPr>
              <w:spacing w:after="0"/>
              <w:rPr>
                <w:sz w:val="14"/>
                <w:szCs w:val="14"/>
                <w:color w:val="auto"/>
              </w:rPr>
            </w:pPr>
          </w:p>
        </w:tc>
        <w:tc>
          <w:tcPr>
            <w:tcW w:w="280" w:type="dxa"/>
            <w:vAlign w:val="bottom"/>
            <w:gridSpan w:val="3"/>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gridSpan w:val="3"/>
          </w:tcPr>
          <w:p>
            <w:pPr>
              <w:ind w:left="120"/>
              <w:spacing w:after="0"/>
              <w:rPr>
                <w:sz w:val="20"/>
                <w:szCs w:val="20"/>
                <w:color w:val="auto"/>
              </w:rPr>
            </w:pPr>
            <w:r>
              <w:rPr>
                <w:rFonts w:ascii="Times New Roman" w:cs="Times New Roman" w:eastAsia="Times New Roman" w:hAnsi="Times New Roman"/>
                <w:sz w:val="12"/>
                <w:szCs w:val="12"/>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185,916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Income (Loss)</w:t>
            </w:r>
          </w:p>
        </w:tc>
        <w:tc>
          <w:tcPr>
            <w:tcW w:w="40" w:type="dxa"/>
            <w:vAlign w:val="bottom"/>
            <w:shd w:val="clear" w:color="auto" w:fill="CCEEFF"/>
          </w:tcPr>
          <w:p>
            <w:pPr>
              <w:spacing w:after="0"/>
              <w:rPr>
                <w:sz w:val="15"/>
                <w:szCs w:val="15"/>
                <w:color w:val="auto"/>
              </w:rPr>
            </w:pPr>
          </w:p>
        </w:tc>
        <w:tc>
          <w:tcPr>
            <w:tcW w:w="10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12,382</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12,382</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 Comprehensive Income</w:t>
            </w:r>
          </w:p>
        </w:tc>
        <w:tc>
          <w:tcPr>
            <w:tcW w:w="40" w:type="dxa"/>
            <w:vAlign w:val="bottom"/>
          </w:tcPr>
          <w:p>
            <w:pPr>
              <w:spacing w:after="0"/>
              <w:rPr>
                <w:sz w:val="14"/>
                <w:szCs w:val="14"/>
                <w:color w:val="auto"/>
              </w:rPr>
            </w:pPr>
          </w:p>
        </w:tc>
        <w:tc>
          <w:tcPr>
            <w:tcW w:w="1040" w:type="dxa"/>
            <w:vAlign w:val="bottom"/>
            <w:gridSpan w:val="4"/>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Dividends Declared</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center"/>
              <w:ind w:left="219"/>
              <w:spacing w:after="0"/>
              <w:rPr>
                <w:sz w:val="20"/>
                <w:szCs w:val="20"/>
                <w:color w:val="auto"/>
              </w:rPr>
            </w:pPr>
            <w:r>
              <w:rPr>
                <w:rFonts w:ascii="Times New Roman" w:cs="Times New Roman" w:eastAsia="Times New Roman" w:hAnsi="Times New Roman"/>
                <w:sz w:val="12"/>
                <w:szCs w:val="12"/>
                <w:color w:val="auto"/>
              </w:rPr>
              <w:t>(1,972)</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(1,972)</w:t>
            </w: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Purchases of Treasury Stock</w:t>
            </w:r>
          </w:p>
        </w:tc>
        <w:tc>
          <w:tcPr>
            <w:tcW w:w="40" w:type="dxa"/>
            <w:vAlign w:val="bottom"/>
          </w:tcPr>
          <w:p>
            <w:pPr>
              <w:spacing w:after="0"/>
              <w:rPr>
                <w:sz w:val="14"/>
                <w:szCs w:val="14"/>
                <w:color w:val="auto"/>
              </w:rPr>
            </w:pPr>
          </w:p>
        </w:tc>
        <w:tc>
          <w:tcPr>
            <w:tcW w:w="1040" w:type="dxa"/>
            <w:vAlign w:val="bottom"/>
            <w:gridSpan w:val="4"/>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(24,746)</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(1,703)</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(1,703)</w:t>
            </w: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shd w:val="clear" w:color="auto" w:fill="CCEEFF"/>
          </w:tcPr>
          <w:p>
            <w:pPr>
              <w:ind w:left="20"/>
              <w:spacing w:after="0" w:line="130" w:lineRule="exact"/>
              <w:rPr>
                <w:sz w:val="20"/>
                <w:szCs w:val="20"/>
                <w:color w:val="auto"/>
              </w:rPr>
            </w:pPr>
            <w:r>
              <w:rPr>
                <w:rFonts w:ascii="Times New Roman" w:cs="Times New Roman" w:eastAsia="Times New Roman" w:hAnsi="Times New Roman"/>
                <w:sz w:val="12"/>
                <w:szCs w:val="12"/>
                <w:color w:val="auto"/>
              </w:rPr>
              <w:t>Net issuance of stock under long-term</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13,000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(5,525)</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(215)</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incentive plans</w:t>
            </w:r>
          </w:p>
        </w:tc>
        <w:tc>
          <w:tcPr>
            <w:tcW w:w="92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3"/>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Amortization of Restricted Stock</w:t>
            </w:r>
          </w:p>
        </w:tc>
        <w:tc>
          <w:tcPr>
            <w:tcW w:w="40" w:type="dxa"/>
            <w:vAlign w:val="bottom"/>
          </w:tcPr>
          <w:p>
            <w:pPr>
              <w:spacing w:after="0"/>
              <w:rPr>
                <w:sz w:val="14"/>
                <w:szCs w:val="14"/>
                <w:color w:val="auto"/>
              </w:rPr>
            </w:pPr>
          </w:p>
        </w:tc>
        <w:tc>
          <w:tcPr>
            <w:tcW w:w="1040" w:type="dxa"/>
            <w:vAlign w:val="bottom"/>
            <w:gridSpan w:val="4"/>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1,246</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2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January 31, 2024</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11,342,279</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(4,056,730)</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1,134</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58,205</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219,995</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(84,029)</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733</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196,038</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gridSpan w:val="1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For the Six Months Ended January 31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12"/>
          </w:tcPr>
          <w:p>
            <w:pPr>
              <w:jc w:val="right"/>
              <w:ind w:right="220"/>
              <w:spacing w:after="0"/>
              <w:rPr>
                <w:sz w:val="20"/>
                <w:szCs w:val="20"/>
                <w:color w:val="auto"/>
              </w:rPr>
            </w:pPr>
            <w:r>
              <w:rPr>
                <w:rFonts w:ascii="Times New Roman" w:cs="Times New Roman" w:eastAsia="Times New Roman" w:hAnsi="Times New Roman"/>
                <w:sz w:val="12"/>
                <w:szCs w:val="12"/>
                <w:b w:val="1"/>
                <w:bCs w:val="1"/>
                <w:i w:val="1"/>
                <w:iCs w:val="1"/>
                <w:color w:val="auto"/>
              </w:rPr>
              <w:t>(in thousands, except share amounts)</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2"/>
                <w:szCs w:val="12"/>
                <w:color w:val="auto"/>
              </w:rPr>
              <w:t>Number of Shares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080" w:type="dxa"/>
            <w:vAlign w:val="bottom"/>
            <w:gridSpan w:val="5"/>
          </w:tcPr>
          <w:p>
            <w:pPr>
              <w:jc w:val="center"/>
              <w:ind w:right="140"/>
              <w:spacing w:after="0" w:line="122" w:lineRule="exact"/>
              <w:rPr>
                <w:sz w:val="20"/>
                <w:szCs w:val="20"/>
                <w:color w:val="auto"/>
              </w:rPr>
            </w:pPr>
            <w:r>
              <w:rPr>
                <w:rFonts w:ascii="Times New Roman" w:cs="Times New Roman" w:eastAsia="Times New Roman" w:hAnsi="Times New Roman"/>
                <w:sz w:val="12"/>
                <w:szCs w:val="12"/>
                <w:color w:val="auto"/>
                <w:w w:val="99"/>
              </w:rPr>
              <w:t>Common &amp; Class</w:t>
            </w: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color w:val="auto"/>
                <w:w w:val="98"/>
              </w:rPr>
              <w:t>Treasury Stock</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2"/>
                <w:szCs w:val="12"/>
                <w:color w:val="auto"/>
              </w:rPr>
              <w:t>Common &amp;</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2"/>
                <w:szCs w:val="12"/>
                <w:color w:val="auto"/>
              </w:rPr>
              <w:t>Additional Paid-</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tcPr>
          <w:p>
            <w:pPr>
              <w:ind w:left="40"/>
              <w:spacing w:after="0" w:line="122" w:lineRule="exact"/>
              <w:rPr>
                <w:sz w:val="20"/>
                <w:szCs w:val="20"/>
                <w:color w:val="auto"/>
              </w:rPr>
            </w:pPr>
            <w:r>
              <w:rPr>
                <w:rFonts w:ascii="Times New Roman" w:cs="Times New Roman" w:eastAsia="Times New Roman" w:hAnsi="Times New Roman"/>
                <w:sz w:val="12"/>
                <w:szCs w:val="12"/>
                <w:color w:val="auto"/>
              </w:rPr>
              <w:t>Retained</w:t>
            </w:r>
          </w:p>
        </w:tc>
        <w:tc>
          <w:tcPr>
            <w:tcW w:w="820" w:type="dxa"/>
            <w:vAlign w:val="bottom"/>
            <w:gridSpan w:val="4"/>
            <w:vMerge w:val="restart"/>
          </w:tcPr>
          <w:p>
            <w:pPr>
              <w:ind w:left="20"/>
              <w:spacing w:after="0"/>
              <w:rPr>
                <w:sz w:val="20"/>
                <w:szCs w:val="20"/>
                <w:color w:val="auto"/>
              </w:rPr>
            </w:pPr>
            <w:r>
              <w:rPr>
                <w:rFonts w:ascii="Times New Roman" w:cs="Times New Roman" w:eastAsia="Times New Roman" w:hAnsi="Times New Roman"/>
                <w:sz w:val="12"/>
                <w:szCs w:val="12"/>
                <w:color w:val="auto"/>
              </w:rPr>
              <w:t>Treasury Stock</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2"/>
                <w:szCs w:val="12"/>
                <w:color w:val="auto"/>
              </w:rPr>
              <w:t>Accumulated Other</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2"/>
                <w:szCs w:val="12"/>
                <w:color w:val="auto"/>
              </w:rPr>
              <w:t>Non-controlling</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gridSpan w:val="3"/>
          </w:tcPr>
          <w:p>
            <w:pPr>
              <w:spacing w:after="0" w:line="122" w:lineRule="exact"/>
              <w:rPr>
                <w:sz w:val="20"/>
                <w:szCs w:val="20"/>
                <w:color w:val="auto"/>
              </w:rPr>
            </w:pPr>
            <w:r>
              <w:rPr>
                <w:rFonts w:ascii="Times New Roman" w:cs="Times New Roman" w:eastAsia="Times New Roman" w:hAnsi="Times New Roman"/>
                <w:sz w:val="12"/>
                <w:szCs w:val="12"/>
                <w:color w:val="auto"/>
              </w:rPr>
              <w:t>Total Stockholders'</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4"/>
          </w:tcPr>
          <w:p>
            <w:pPr>
              <w:jc w:val="center"/>
              <w:ind w:right="180"/>
              <w:spacing w:after="0"/>
              <w:rPr>
                <w:sz w:val="20"/>
                <w:szCs w:val="20"/>
                <w:color w:val="auto"/>
              </w:rPr>
            </w:pPr>
            <w:r>
              <w:rPr>
                <w:rFonts w:ascii="Times New Roman" w:cs="Times New Roman" w:eastAsia="Times New Roman" w:hAnsi="Times New Roman"/>
                <w:sz w:val="12"/>
                <w:szCs w:val="12"/>
                <w:color w:val="auto"/>
                <w:w w:val="98"/>
              </w:rPr>
              <w:t>B Stock</w:t>
            </w: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3"/>
          </w:tcPr>
          <w:p>
            <w:pPr>
              <w:jc w:val="center"/>
              <w:ind w:right="60"/>
              <w:spacing w:after="0"/>
              <w:rPr>
                <w:sz w:val="20"/>
                <w:szCs w:val="20"/>
                <w:color w:val="auto"/>
              </w:rPr>
            </w:pPr>
            <w:r>
              <w:rPr>
                <w:rFonts w:ascii="Times New Roman" w:cs="Times New Roman" w:eastAsia="Times New Roman" w:hAnsi="Times New Roman"/>
                <w:sz w:val="12"/>
                <w:szCs w:val="12"/>
                <w:color w:val="auto"/>
              </w:rPr>
              <w:t>Class B Stock</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In Capital</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auto"/>
              </w:rPr>
              <w:t>Earnings</w:t>
            </w:r>
          </w:p>
        </w:tc>
        <w:tc>
          <w:tcPr>
            <w:tcW w:w="82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Comprehensive Loss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Interest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Equity</w:t>
            </w:r>
          </w:p>
        </w:tc>
        <w:tc>
          <w:tcPr>
            <w:tcW w:w="0" w:type="dxa"/>
            <w:vAlign w:val="bottom"/>
          </w:tcPr>
          <w:p>
            <w:pPr>
              <w:spacing w:after="0"/>
              <w:rPr>
                <w:sz w:val="1"/>
                <w:szCs w:val="1"/>
                <w:color w:val="auto"/>
              </w:rPr>
            </w:pPr>
          </w:p>
        </w:tc>
      </w:tr>
      <w:tr>
        <w:trPr>
          <w:trHeight w:val="175"/>
        </w:trPr>
        <w:tc>
          <w:tcPr>
            <w:tcW w:w="2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July 31, 2022</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11,083,824</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(3,961,579)</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1,108</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52,467</w:t>
            </w: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178,754</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(79,428)</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(2,183)</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(369)</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150,349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Net Income (Loss)</w:t>
            </w:r>
          </w:p>
        </w:tc>
        <w:tc>
          <w:tcPr>
            <w:tcW w:w="40" w:type="dxa"/>
            <w:vAlign w:val="bottom"/>
          </w:tcPr>
          <w:p>
            <w:pPr>
              <w:spacing w:after="0"/>
              <w:rPr>
                <w:sz w:val="14"/>
                <w:szCs w:val="14"/>
                <w:color w:val="auto"/>
              </w:rPr>
            </w:pPr>
          </w:p>
        </w:tc>
        <w:tc>
          <w:tcPr>
            <w:tcW w:w="1040" w:type="dxa"/>
            <w:vAlign w:val="bottom"/>
            <w:gridSpan w:val="4"/>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9,097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9,076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Comprehensive Loss</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Dividends Declared</w:t>
            </w:r>
          </w:p>
        </w:tc>
        <w:tc>
          <w:tcPr>
            <w:tcW w:w="40" w:type="dxa"/>
            <w:vAlign w:val="bottom"/>
          </w:tcPr>
          <w:p>
            <w:pPr>
              <w:spacing w:after="0"/>
              <w:rPr>
                <w:sz w:val="14"/>
                <w:szCs w:val="14"/>
                <w:color w:val="auto"/>
              </w:rPr>
            </w:pPr>
          </w:p>
        </w:tc>
        <w:tc>
          <w:tcPr>
            <w:tcW w:w="1040" w:type="dxa"/>
            <w:vAlign w:val="bottom"/>
            <w:gridSpan w:val="4"/>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(3,718)</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Purchases of Treasury Stock</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(7,493)</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20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2"/>
                <w:szCs w:val="12"/>
                <w:color w:val="auto"/>
              </w:rPr>
              <w:t>Net issuance of stock under long-term</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57,455</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(7,246)</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227</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(233)</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7"/>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incentive plans</w:t>
            </w:r>
          </w:p>
        </w:tc>
        <w:tc>
          <w:tcPr>
            <w:tcW w:w="9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Amortization of Restricted Stock</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1,634</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Balance, January 31, 2023</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11,141,279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(3,976,318)</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1,114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54,328</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184,133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(79,886)</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(2,325)</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gridSpan w:val="2"/>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(390)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156,974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Balance, July 31, 2023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11,147,279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(4,010,630)</w:t>
            </w:r>
          </w:p>
        </w:tc>
        <w:tc>
          <w:tcPr>
            <w:tcW w:w="40" w:type="dxa"/>
            <w:vAlign w:val="bottom"/>
          </w:tcPr>
          <w:p>
            <w:pPr>
              <w:spacing w:after="0"/>
              <w:rPr>
                <w:sz w:val="14"/>
                <w:szCs w:val="14"/>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1,115</w:t>
            </w:r>
          </w:p>
        </w:tc>
        <w:tc>
          <w:tcPr>
            <w:tcW w:w="40" w:type="dxa"/>
            <w:vAlign w:val="bottom"/>
          </w:tcPr>
          <w:p>
            <w:pPr>
              <w:spacing w:after="0"/>
              <w:rPr>
                <w:sz w:val="14"/>
                <w:szCs w:val="14"/>
                <w:color w:val="auto"/>
              </w:rPr>
            </w:pPr>
          </w:p>
        </w:tc>
        <w:tc>
          <w:tcPr>
            <w:tcW w:w="240" w:type="dxa"/>
            <w:vAlign w:val="bottom"/>
            <w:gridSpan w:val="3"/>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55,624</w:t>
            </w:r>
          </w:p>
        </w:tc>
        <w:tc>
          <w:tcPr>
            <w:tcW w:w="40" w:type="dxa"/>
            <w:vAlign w:val="bottom"/>
          </w:tcPr>
          <w:p>
            <w:pPr>
              <w:spacing w:after="0"/>
              <w:rPr>
                <w:sz w:val="14"/>
                <w:szCs w:val="14"/>
                <w:color w:val="auto"/>
              </w:rPr>
            </w:pPr>
          </w:p>
        </w:tc>
        <w:tc>
          <w:tcPr>
            <w:tcW w:w="280" w:type="dxa"/>
            <w:vAlign w:val="bottom"/>
            <w:gridSpan w:val="3"/>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200,796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(81,207)</w:t>
            </w:r>
          </w:p>
        </w:tc>
        <w:tc>
          <w:tcPr>
            <w:tcW w:w="40" w:type="dxa"/>
            <w:vAlign w:val="bottom"/>
          </w:tcPr>
          <w:p>
            <w:pPr>
              <w:spacing w:after="0"/>
              <w:rPr>
                <w:sz w:val="14"/>
                <w:szCs w:val="14"/>
                <w:color w:val="auto"/>
              </w:rPr>
            </w:pPr>
          </w:p>
        </w:tc>
        <w:tc>
          <w:tcPr>
            <w:tcW w:w="220" w:type="dxa"/>
            <w:vAlign w:val="bottom"/>
            <w:gridSpan w:val="3"/>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748</w:t>
            </w:r>
          </w:p>
        </w:tc>
        <w:tc>
          <w:tcPr>
            <w:tcW w:w="40" w:type="dxa"/>
            <w:vAlign w:val="bottom"/>
          </w:tcPr>
          <w:p>
            <w:pPr>
              <w:spacing w:after="0"/>
              <w:rPr>
                <w:sz w:val="14"/>
                <w:szCs w:val="14"/>
                <w:color w:val="auto"/>
              </w:rPr>
            </w:pPr>
          </w:p>
        </w:tc>
        <w:tc>
          <w:tcPr>
            <w:tcW w:w="280" w:type="dxa"/>
            <w:vAlign w:val="bottom"/>
            <w:gridSpan w:val="3"/>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177,076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Income (Loss)</w:t>
            </w:r>
          </w:p>
        </w:tc>
        <w:tc>
          <w:tcPr>
            <w:tcW w:w="40" w:type="dxa"/>
            <w:vAlign w:val="bottom"/>
            <w:shd w:val="clear" w:color="auto" w:fill="CCEEFF"/>
          </w:tcPr>
          <w:p>
            <w:pPr>
              <w:spacing w:after="0"/>
              <w:rPr>
                <w:sz w:val="15"/>
                <w:szCs w:val="15"/>
                <w:color w:val="auto"/>
              </w:rPr>
            </w:pPr>
          </w:p>
        </w:tc>
        <w:tc>
          <w:tcPr>
            <w:tcW w:w="10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23,124</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23,124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Other Comprehensive Loss</w:t>
            </w:r>
          </w:p>
        </w:tc>
        <w:tc>
          <w:tcPr>
            <w:tcW w:w="40" w:type="dxa"/>
            <w:vAlign w:val="bottom"/>
          </w:tcPr>
          <w:p>
            <w:pPr>
              <w:spacing w:after="0"/>
              <w:rPr>
                <w:sz w:val="14"/>
                <w:szCs w:val="14"/>
                <w:color w:val="auto"/>
              </w:rPr>
            </w:pPr>
          </w:p>
        </w:tc>
        <w:tc>
          <w:tcPr>
            <w:tcW w:w="1040" w:type="dxa"/>
            <w:vAlign w:val="bottom"/>
            <w:gridSpan w:val="4"/>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Dividends Declared</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(3,925)</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(3,925)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Purchases of Treasury Stock</w:t>
            </w:r>
          </w:p>
        </w:tc>
        <w:tc>
          <w:tcPr>
            <w:tcW w:w="40" w:type="dxa"/>
            <w:vAlign w:val="bottom"/>
          </w:tcPr>
          <w:p>
            <w:pPr>
              <w:spacing w:after="0"/>
              <w:rPr>
                <w:sz w:val="14"/>
                <w:szCs w:val="14"/>
                <w:color w:val="auto"/>
              </w:rPr>
            </w:pPr>
          </w:p>
        </w:tc>
        <w:tc>
          <w:tcPr>
            <w:tcW w:w="1040" w:type="dxa"/>
            <w:vAlign w:val="bottom"/>
            <w:gridSpan w:val="4"/>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(40,075)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(2,575)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(2,575)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40" w:type="dxa"/>
            <w:vAlign w:val="bottom"/>
            <w:gridSpan w:val="2"/>
            <w:shd w:val="clear" w:color="auto" w:fill="CCEEFF"/>
          </w:tcPr>
          <w:p>
            <w:pPr>
              <w:ind w:left="20"/>
              <w:spacing w:after="0" w:line="130" w:lineRule="exact"/>
              <w:rPr>
                <w:sz w:val="20"/>
                <w:szCs w:val="20"/>
                <w:color w:val="auto"/>
              </w:rPr>
            </w:pPr>
            <w:r>
              <w:rPr>
                <w:rFonts w:ascii="Times New Roman" w:cs="Times New Roman" w:eastAsia="Times New Roman" w:hAnsi="Times New Roman"/>
                <w:sz w:val="12"/>
                <w:szCs w:val="12"/>
                <w:color w:val="auto"/>
              </w:rPr>
              <w:t>Net issuance of stock under long-term</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195,000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(6,025)</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(247)</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incentive plans</w:t>
            </w:r>
          </w:p>
        </w:tc>
        <w:tc>
          <w:tcPr>
            <w:tcW w:w="92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3"/>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Amortization of Restricted Stock</w:t>
            </w:r>
          </w:p>
        </w:tc>
        <w:tc>
          <w:tcPr>
            <w:tcW w:w="40" w:type="dxa"/>
            <w:vAlign w:val="bottom"/>
          </w:tcPr>
          <w:p>
            <w:pPr>
              <w:spacing w:after="0"/>
              <w:rPr>
                <w:sz w:val="14"/>
                <w:szCs w:val="14"/>
                <w:color w:val="auto"/>
              </w:rPr>
            </w:pPr>
          </w:p>
        </w:tc>
        <w:tc>
          <w:tcPr>
            <w:tcW w:w="1040" w:type="dxa"/>
            <w:vAlign w:val="bottom"/>
            <w:gridSpan w:val="4"/>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2,354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2,354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January 31, 2024</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11,342,279</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(4,056,730)</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1,134</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58,205</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219,995</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(84,029)</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733</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196,038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4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280" w:type="dxa"/>
            <w:vAlign w:val="bottom"/>
            <w:gridSpan w:val="5"/>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0" w:type="dxa"/>
            <w:vAlign w:val="bottom"/>
          </w:tcPr>
          <w:p>
            <w:pPr>
              <w:spacing w:after="0"/>
              <w:rPr>
                <w:sz w:val="17"/>
                <w:szCs w:val="17"/>
                <w:color w:val="auto"/>
              </w:rPr>
            </w:pPr>
          </w:p>
        </w:tc>
        <w:tc>
          <w:tcPr>
            <w:tcW w:w="2820" w:type="dxa"/>
            <w:vAlign w:val="bottom"/>
            <w:gridSpan w:val="4"/>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For the Six Months Ended January</w:t>
            </w:r>
          </w:p>
        </w:tc>
      </w:tr>
      <w:tr>
        <w:trPr>
          <w:trHeight w:val="234"/>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98"/>
        </w:trPr>
        <w:tc>
          <w:tcPr>
            <w:tcW w:w="8280" w:type="dxa"/>
            <w:vAlign w:val="bottom"/>
            <w:gridSpan w:val="5"/>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tcPr>
          <w:p>
            <w:pPr>
              <w:spacing w:after="0"/>
              <w:rPr>
                <w:sz w:val="17"/>
                <w:szCs w:val="17"/>
                <w:color w:val="auto"/>
              </w:rPr>
            </w:pPr>
          </w:p>
        </w:tc>
        <w:tc>
          <w:tcPr>
            <w:tcW w:w="1220" w:type="dxa"/>
            <w:vAlign w:val="bottom"/>
          </w:tcPr>
          <w:p>
            <w:pPr>
              <w:jc w:val="right"/>
              <w:ind w:right="390"/>
              <w:spacing w:after="0" w:line="198" w:lineRule="exact"/>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390"/>
              <w:spacing w:after="0" w:line="198"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94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82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23,124</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9,076</w:t>
            </w:r>
          </w:p>
        </w:tc>
      </w:tr>
      <w:tr>
        <w:trPr>
          <w:trHeight w:val="229"/>
        </w:trPr>
        <w:tc>
          <w:tcPr>
            <w:tcW w:w="82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8,854</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7,274</w:t>
            </w:r>
          </w:p>
        </w:tc>
      </w:tr>
      <w:tr>
        <w:trPr>
          <w:trHeight w:val="229"/>
        </w:trPr>
        <w:tc>
          <w:tcPr>
            <w:tcW w:w="20" w:type="dxa"/>
            <w:vAlign w:val="bottom"/>
          </w:tcPr>
          <w:p>
            <w:pPr>
              <w:spacing w:after="0"/>
              <w:rPr>
                <w:sz w:val="19"/>
                <w:szCs w:val="19"/>
                <w:color w:val="auto"/>
              </w:rPr>
            </w:pPr>
          </w:p>
        </w:tc>
        <w:tc>
          <w:tcPr>
            <w:tcW w:w="82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2,354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30"/>
        </w:trPr>
        <w:tc>
          <w:tcPr>
            <w:tcW w:w="20" w:type="dxa"/>
            <w:vAlign w:val="bottom"/>
          </w:tcPr>
          <w:p>
            <w:pPr>
              <w:spacing w:after="0"/>
              <w:rPr>
                <w:sz w:val="19"/>
                <w:szCs w:val="19"/>
                <w:color w:val="auto"/>
              </w:rPr>
            </w:pPr>
          </w:p>
        </w:tc>
        <w:tc>
          <w:tcPr>
            <w:tcW w:w="82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Provision for bad debts and cash discounts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Accretion of Asset Retirement Obligation</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20" w:type="dxa"/>
            <w:vAlign w:val="bottom"/>
          </w:tcPr>
          <w:p>
            <w:pPr>
              <w:spacing w:after="0"/>
              <w:rPr>
                <w:sz w:val="19"/>
                <w:szCs w:val="19"/>
                <w:color w:val="auto"/>
              </w:rPr>
            </w:pPr>
          </w:p>
        </w:tc>
        <w:tc>
          <w:tcPr>
            <w:tcW w:w="82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Loss on the disposals of property, plant and equipment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(Increase) Decrease in assets: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26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(5,738)</w:t>
            </w: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(3,666)</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w:t>
            </w:r>
          </w:p>
        </w:tc>
      </w:tr>
      <w:tr>
        <w:trPr>
          <w:trHeight w:val="229"/>
        </w:trPr>
        <w:tc>
          <w:tcPr>
            <w:tcW w:w="20" w:type="dxa"/>
            <w:vAlign w:val="bottom"/>
          </w:tcPr>
          <w:p>
            <w:pPr>
              <w:spacing w:after="0"/>
              <w:rPr>
                <w:sz w:val="19"/>
                <w:szCs w:val="19"/>
                <w:color w:val="auto"/>
              </w:rPr>
            </w:pPr>
          </w:p>
        </w:tc>
        <w:tc>
          <w:tcPr>
            <w:tcW w:w="826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(3,217)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20" w:type="dxa"/>
            <w:vAlign w:val="bottom"/>
          </w:tcPr>
          <w:p>
            <w:pPr>
              <w:spacing w:after="0"/>
              <w:rPr>
                <w:sz w:val="19"/>
                <w:szCs w:val="19"/>
                <w:color w:val="auto"/>
              </w:rPr>
            </w:pPr>
          </w:p>
        </w:tc>
        <w:tc>
          <w:tcPr>
            <w:tcW w:w="82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Increase (Decrease) in liabilities:</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(3,243)</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30"/>
        </w:trPr>
        <w:tc>
          <w:tcPr>
            <w:tcW w:w="20" w:type="dxa"/>
            <w:vAlign w:val="bottom"/>
          </w:tcPr>
          <w:p>
            <w:pPr>
              <w:spacing w:after="0"/>
              <w:rPr>
                <w:sz w:val="19"/>
                <w:szCs w:val="19"/>
                <w:color w:val="auto"/>
              </w:rPr>
            </w:pPr>
          </w:p>
        </w:tc>
        <w:tc>
          <w:tcPr>
            <w:tcW w:w="826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(7,582)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w:t>
            </w: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Deferred compensation</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911</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30"/>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ind w:left="44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(448)</w:t>
            </w: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w:t>
            </w:r>
          </w:p>
        </w:tc>
      </w:tr>
      <w:tr>
        <w:trPr>
          <w:trHeight w:val="223"/>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(5,179)</w:t>
            </w:r>
          </w:p>
        </w:tc>
        <w:tc>
          <w:tcPr>
            <w:tcW w:w="2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w:t>
            </w:r>
          </w:p>
        </w:tc>
      </w:tr>
      <w:tr>
        <w:trPr>
          <w:trHeight w:val="223"/>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17,945</w:t>
            </w: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14,217</w:t>
            </w:r>
          </w:p>
        </w:tc>
      </w:tr>
      <w:tr>
        <w:trPr>
          <w:trHeight w:val="237"/>
        </w:trPr>
        <w:tc>
          <w:tcPr>
            <w:tcW w:w="20" w:type="dxa"/>
            <w:vAlign w:val="bottom"/>
            <w:shd w:val="clear" w:color="auto" w:fill="CCEEFF"/>
          </w:tcPr>
          <w:p>
            <w:pPr>
              <w:spacing w:after="0"/>
              <w:rPr>
                <w:sz w:val="20"/>
                <w:szCs w:val="20"/>
                <w:color w:val="auto"/>
              </w:rPr>
            </w:pPr>
          </w:p>
        </w:tc>
        <w:tc>
          <w:tcPr>
            <w:tcW w:w="39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189"/>
        </w:trPr>
        <w:tc>
          <w:tcPr>
            <w:tcW w:w="828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Capital expenditures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(15,546)</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(12,640)</w:t>
            </w:r>
          </w:p>
        </w:tc>
      </w:tr>
      <w:tr>
        <w:trPr>
          <w:trHeight w:val="230"/>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ind w:left="20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(15,546)</w:t>
            </w:r>
          </w:p>
        </w:tc>
        <w:tc>
          <w:tcPr>
            <w:tcW w:w="2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(12,635)</w:t>
            </w:r>
          </w:p>
        </w:tc>
      </w:tr>
      <w:tr>
        <w:trPr>
          <w:trHeight w:val="237"/>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09"/>
        </w:trPr>
        <w:tc>
          <w:tcPr>
            <w:tcW w:w="828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398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Dividends paid</w:t>
            </w:r>
          </w:p>
        </w:tc>
        <w:tc>
          <w:tcPr>
            <w:tcW w:w="4280" w:type="dxa"/>
            <w:vAlign w:val="bottom"/>
            <w:tcBorders>
              <w:top w:val="single" w:sz="8" w:color="CCEEFF"/>
            </w:tcBorders>
            <w:gridSpan w:val="2"/>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(3,889)</w:t>
            </w:r>
          </w:p>
        </w:tc>
        <w:tc>
          <w:tcPr>
            <w:tcW w:w="2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(3,711)</w:t>
            </w: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(2,575)</w:t>
            </w:r>
          </w:p>
        </w:tc>
        <w:tc>
          <w:tcPr>
            <w:tcW w:w="2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23"/>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(6,464)</w:t>
            </w: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(3,936)</w:t>
            </w:r>
          </w:p>
        </w:tc>
      </w:tr>
      <w:tr>
        <w:trPr>
          <w:trHeight w:val="223"/>
        </w:trPr>
        <w:tc>
          <w:tcPr>
            <w:tcW w:w="82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2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82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(3,954)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w:t>
            </w:r>
          </w:p>
        </w:tc>
      </w:tr>
      <w:tr>
        <w:trPr>
          <w:trHeight w:val="230"/>
        </w:trPr>
        <w:tc>
          <w:tcPr>
            <w:tcW w:w="82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31,754</w:t>
            </w:r>
          </w:p>
        </w:tc>
        <w:tc>
          <w:tcPr>
            <w:tcW w:w="2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16,298</w:t>
            </w:r>
          </w:p>
        </w:tc>
      </w:tr>
      <w:tr>
        <w:trPr>
          <w:trHeight w:val="223"/>
        </w:trPr>
        <w:tc>
          <w:tcPr>
            <w:tcW w:w="82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27,800</w:t>
            </w:r>
          </w:p>
        </w:tc>
        <w:tc>
          <w:tcPr>
            <w:tcW w:w="2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13,951</w:t>
            </w: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17"/>
                <w:szCs w:val="17"/>
                <w:color w:val="auto"/>
              </w:rPr>
            </w:pPr>
          </w:p>
        </w:tc>
        <w:tc>
          <w:tcPr>
            <w:tcW w:w="2820" w:type="dxa"/>
            <w:vAlign w:val="bottom"/>
            <w:gridSpan w:val="4"/>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For the Six Months Ended January</w:t>
            </w:r>
          </w:p>
        </w:tc>
        <w:tc>
          <w:tcPr>
            <w:tcW w:w="0" w:type="dxa"/>
            <w:vAlign w:val="bottom"/>
          </w:tcPr>
          <w:p>
            <w:pPr>
              <w:spacing w:after="0"/>
              <w:rPr>
                <w:sz w:val="1"/>
                <w:szCs w:val="1"/>
                <w:color w:val="auto"/>
              </w:rPr>
            </w:pPr>
          </w:p>
        </w:tc>
      </w:tr>
      <w:tr>
        <w:trPr>
          <w:trHeight w:val="234"/>
        </w:trPr>
        <w:tc>
          <w:tcPr>
            <w:tcW w:w="8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8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cash flows: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payments, net of amounts capitalized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545</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 payments, net of refunds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8,072</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0" w:type="dxa"/>
            <w:vAlign w:val="bottom"/>
          </w:tcPr>
          <w:p>
            <w:pPr>
              <w:spacing w:after="0"/>
              <w:rPr>
                <w:sz w:val="1"/>
                <w:szCs w:val="1"/>
                <w:color w:val="auto"/>
              </w:rPr>
            </w:pPr>
          </w:p>
        </w:tc>
      </w:tr>
      <w:tr>
        <w:trPr>
          <w:trHeight w:val="229"/>
        </w:trPr>
        <w:tc>
          <w:tcPr>
            <w:tcW w:w="8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 expenditures accrued, but not paid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1,727</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0" w:type="dxa"/>
            <w:vAlign w:val="bottom"/>
          </w:tcPr>
          <w:p>
            <w:pPr>
              <w:spacing w:after="0"/>
              <w:rPr>
                <w:sz w:val="1"/>
                <w:szCs w:val="1"/>
                <w:color w:val="auto"/>
              </w:rPr>
            </w:pPr>
          </w:p>
        </w:tc>
      </w:tr>
      <w:tr>
        <w:trPr>
          <w:trHeight w:val="238"/>
        </w:trPr>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dividends declared and accrued, but not paid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1,963</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p>
      <w:pPr>
        <w:ind w:right="4920" w:firstLine="8"/>
        <w:spacing w:after="0" w:line="534" w:lineRule="auto"/>
        <w:tabs>
          <w:tab w:leader="none" w:pos="1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SIGNIFICANT ACCOUNTING POLICIES Basis of Presentation</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("U.S. GAAP") for interim financial information and in compliance with instructions to Form 10-Q and Article 10 of Regulation S-X. Accordingly, they do not include all of the information and footnotes required by U.S. GAAP for complete financial statements. The financial statements and the related notes are condensed and should be read in conjunction with the Consolidated Financial Statements and related notes included in our Annual Report on Form 10-K for the fiscal year ended July 31, 2023.</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Oil-Dri Corporation of America and its subsidiaries. All significant intercompany transactions are eliminated. Except as otherwise indicated herein or as the context otherwise requires, references to "Oil-Dri," the "Company," "we," "us" or "our" refer to Oil-Dri Corporation of America and its subsidiaries.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reflect all adjustments, consisting of normal recurring accruals and reclassifications which are, in the opinion of management, necessary for a fair presentation of the statements contained herein. Operating results for the three and six months ended January 31, 2024 are not necessarily an indication of the results that may be expected for the fiscal year ending July 31,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amounts in the prior period financial statements have been reclassified to conform to the presentation of the current period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immaterial reclassifications had no effect on the previously reported net income.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Use of Estimates</w:t>
      </w:r>
    </w:p>
    <w:p>
      <w:pPr>
        <w:spacing w:after="0" w:line="25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preparation of the unaudited Condensed Consolidated Financial Statements in conformity with U.S. GAAP requires management to make estimates and assumptions that affect the reported amounts of assets, liabilities, revenues and expenses during the reporting period, as well as the related disclosures. Estimates and assumptions about future events cannot be made with certainty. All of our estimates and assumptions are revised periodically. Actual results could differ from these estimates.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significant accounting policies, which are summarized in detail in our Annual Report on Form 10-K for the fiscal year ended July 31, 2023, have not materially changed. The following is a description of certain of our significant accounting policies: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Trade Receivables. </w:t>
      </w:r>
      <w:r>
        <w:rPr>
          <w:rFonts w:ascii="Times New Roman" w:cs="Times New Roman" w:eastAsia="Times New Roman" w:hAnsi="Times New Roman"/>
          <w:sz w:val="18"/>
          <w:szCs w:val="18"/>
          <w:color w:val="auto"/>
        </w:rPr>
        <w:t>We recognize trade receivables when control of finished products are transferred to our customers. We record an allowance for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losses based on our expectations and a periodic review of our accounts receivable, including a review of the overall aging of accounts, consideration of customer credit risk and analysis of facts and circumstances about specific accounts. A customer account is determined to be uncollectible when it is probable that a loss will be incurred after we have completed our internal collection procedures, including termination of shipments, direct customer contact and formal demand of payment. We retain outside collection agencies to facilitate our collection efforts. Past due status is determined based on contractual terms and customer payment history.</w:t>
      </w:r>
    </w:p>
    <w:p>
      <w:pPr>
        <w:spacing w:after="0" w:line="20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Property, Plant and Equipment. </w:t>
      </w:r>
      <w:r>
        <w:rPr>
          <w:rFonts w:ascii="Times New Roman" w:cs="Times New Roman" w:eastAsia="Times New Roman" w:hAnsi="Times New Roman"/>
          <w:sz w:val="18"/>
          <w:szCs w:val="18"/>
          <w:color w:val="auto"/>
        </w:rPr>
        <w:t>Property, plant and equipment includes depreciable assets such as building, machinery, equipment, furniture, vehicles,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capitalized spare parts. These assets are depreciated using the straight-line method over their estimated useful lives. Major improvements are capitalized, while maintenance and repairs that do not extend the useful life of the applicable assets are expensed as incurred. Interest expense may also be capitalized for assets that require a period of time to get them ready for their intended use.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assets are carried at cost on the Consolidated Balance Sheets and are reviewed for possible impairment on an annual basis or when circumstances indicate impairment that an asset may become impaired. We take into consideration idle and underutilized equipment and review business plans for possible impairment. When impairment is indicated, an impairment charge is recorded for the difference between the carrying value of the asset and its fair market value.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 w:name="page13"/>
    <w:bookmarkEnd w:id="12"/>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Land, Mining Property and Mineral Rights. </w:t>
      </w:r>
      <w:r>
        <w:rPr>
          <w:rFonts w:ascii="Times New Roman" w:cs="Times New Roman" w:eastAsia="Times New Roman" w:hAnsi="Times New Roman"/>
          <w:sz w:val="18"/>
          <w:szCs w:val="18"/>
          <w:color w:val="auto"/>
        </w:rPr>
        <w:t>We surface mine sorbent materials on property that we either own or lease as part of our overall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A significant part of our overall mining cost is incurred during the process of removing the overburden (non-usable material) from the mine site, thus exposing the sorbent material used in a majority of our production processes. These stripping costs are treated as a variable inventory production cost and are included in cost of goods sold in the period they are incurred. We defer and amortize the pre-production overburden removal costs during the development phase associated with opening a new mine.</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it is our policy to capitalize the purchase cost of land and mineral rights, including associated legal fees, survey fees and real estate fees. The costs of obtaining mineral patents, including legal fees and drilling expenses, are also capitalized. Pre-production development costs on new mines and any prepaid royalties that may be offset against future royalties due upon extraction of the minerals are also capitalized. All exploration related costs are expensed as incurred.</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Reclamation. </w:t>
      </w:r>
      <w:r>
        <w:rPr>
          <w:rFonts w:ascii="Times New Roman" w:cs="Times New Roman" w:eastAsia="Times New Roman" w:hAnsi="Times New Roman"/>
          <w:sz w:val="18"/>
          <w:szCs w:val="18"/>
          <w:color w:val="auto"/>
        </w:rPr>
        <w:t>We perform ongoing reclamation activities during the normal course of our overburden removal. As overburden is removed from a mine site,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is hauled to previously mined sites and is used to refill older sites. This process allows us to continuously reclaim older mine sites and dispose of overburden simultaneously, therefore minimizing the costs associated with the reclamation process.</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On an annual basis we evaluate our potential reclamation liability in accordance with ASC 410, </w:t>
      </w:r>
      <w:r>
        <w:rPr>
          <w:rFonts w:ascii="Times New Roman" w:cs="Times New Roman" w:eastAsia="Times New Roman" w:hAnsi="Times New Roman"/>
          <w:sz w:val="18"/>
          <w:szCs w:val="18"/>
          <w:i w:val="1"/>
          <w:iCs w:val="1"/>
          <w:color w:val="auto"/>
        </w:rPr>
        <w:t>Asset Retirement and Environmental Obligations.</w:t>
      </w:r>
      <w:r>
        <w:rPr>
          <w:rFonts w:ascii="Times New Roman" w:cs="Times New Roman" w:eastAsia="Times New Roman" w:hAnsi="Times New Roman"/>
          <w:sz w:val="18"/>
          <w:szCs w:val="18"/>
          <w:color w:val="auto"/>
        </w:rPr>
        <w:t xml:space="preserve"> The reclamation assets are depreciated over the estimated useful lives of the respective mines. The reclamation liabilities are increased based on a yearly accretion charge over the estimated useful lives of the respective mines.</w:t>
      </w:r>
    </w:p>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ASC 842,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provides that a contract is, or contains, a lease if it conveys the right to control the use of an identified asset and, accordingly,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lease liability and a related right-of-use ("ROU") asset is recognized at the commencement date on our consolidated balance sheet. As provided in ASC 842, we have elected not to apply these measurement and recognition requirements to short-term leases (i.e., leases with a term of 12 months or less). Short-term leases will not be recorded as ROU assets or lease liabilities on our consolidated balance sheet, and the related lease payments will be recognized in net earnings on a straight-line basis over the lease term. For leases other than short-term leases, the lease liability is equal to the present value of unpaid lease payments over the remaining lease term. The lease term may reflect options to extend or terminate the lease when it is reasonably certain that such options will be exercised. To determine the present value of the lease liability, we used an incremental borrowing rate, which is defined as the rate of interest we would have to pay to borrow (on a collateralized basis over a similar term) an amount equal to the lease payments in similar economic environments. The ROU asset is based on the corresponding lease liability adjusted for certain costs such as initial direct costs, prepaid lease payments and lease incentives received. Both operating and finance lease ROU assets are reviewed for impairment, consistent with other long-lived assets, whenever events or changes in circumstances indicate that the carrying amount may not be recoverable. After a ROU asset is impaired, any remaining balance of the ROU asset is amortized on a straight-line basis over the shorter of the remaining lease term or the estimated useful life. After the lease commencement date, we evaluate lease modifications, if any, that could result in a change in the accounting for leases.</w:t>
      </w:r>
    </w:p>
    <w:p>
      <w:pPr>
        <w:spacing w:after="0" w:line="2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leases provide for variable lease payments that vary due to changes in facts and circumstances occurring after the commencement date, other than the passage of time. Variable lease payments that are dependent on an index or rate (e.g., the Consumer Price Index) are included in the initial measurement of the lease liability and the ROU asset. Variable lease payments that are not known at the commencement date and are determinable based on the performance or use of the underlying asset, are expensed as incurred. Our variable lease payments primarily include common area maintenance charges based on the percentage of the total square footage leased and the usage of assets, such as photocopiers.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our contracts may contain lease components as well as non-lease components, such as an agreement to purchase services. As allowed under ASC 842, we have elected not to separate the lease components from non-lease components for all asset classes and we will not allocate the contract consideration to these components. This policy was applied to all existing leases upon adoption of ASC 842 and will be applied to new leases on an ongoing basis.</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We recognize revenue when performance obligations under the terms of the contracts with customers are satisfied. Our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generally consists of the promise to sell finished products to wholesalers, distributors and retailers or consumers and our obligations have an original duration of one year or less. Control of the finished products are transferred upon shipment to, or receipt at, customers' locations, as determined by the specific terms of the contract. We have completed our performance obligation when control is transferred and we recognize revenue accordingly. Taxes collected from customers and remitted to governmental authorities are excluded from net sales. Sales returns are not material nor are warranties and any related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3" w:name="page14"/>
    <w:bookmarkEnd w:id="13"/>
    <w:p>
      <w:pPr>
        <w:ind w:right="2120"/>
        <w:spacing w:after="0" w:line="276" w:lineRule="auto"/>
        <w:rPr>
          <w:sz w:val="20"/>
          <w:szCs w:val="20"/>
          <w:color w:val="auto"/>
        </w:rPr>
      </w:pPr>
      <w:r>
        <w:rPr>
          <w:rFonts w:ascii="Times New Roman" w:cs="Times New Roman" w:eastAsia="Times New Roman" w:hAnsi="Times New Roman"/>
          <w:sz w:val="17"/>
          <w:szCs w:val="17"/>
          <w:color w:val="auto"/>
        </w:rPr>
        <w:t>We have an unconditional right to consideration under the payment terms specified in the contracts upon completion of the performance obligation. We may require certain customers to provide payment in advance of product shipment. We recorded a</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liability for these advance payments of $0.2 million as of January 31, 2024, and no liability as of July 31, 2023. This liability is reported in Other within Accrued Expenses on the unaudited Condensed Consolidated Balance Sheet. There was no revenue recognized during the six months ended January 31, 2024, that was included in the liability for advance payments at the beginning of the period.</w:t>
      </w: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routinely commit to one-time or ongoing trade promotion programs directly with consumers, such as coupon programs, and with customers, such as volume discounts, cooperative marketing and other arrangements. We estimate and accrue the expected costs of these programs. These costs are considered variable consideration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and are netted against sales when revenue is recorded. The accruals are based on our best estimate of the amounts necessary to settle future and existing obligations on products sold as of the balance sheet date. To estimate these accruals, we rely on our historical experience of trade spending patterns and that of the industry, current trends and forecasted data.</w:t>
      </w:r>
    </w:p>
    <w:p>
      <w:pPr>
        <w:spacing w:after="0" w:line="2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("SG&amp;A") include salaries, wages and benefits associated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staff outside the manufacturing and distribution functions, all marketing 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 Current and Noncurrent Liabilities. </w:t>
      </w:r>
      <w:r>
        <w:rPr>
          <w:rFonts w:ascii="Times New Roman" w:cs="Times New Roman" w:eastAsia="Times New Roman" w:hAnsi="Times New Roman"/>
          <w:sz w:val="18"/>
          <w:szCs w:val="18"/>
          <w:color w:val="auto"/>
        </w:rPr>
        <w:t>Other liabilities include the accruals for general expenses not yet paid, cash collected not yet vouchered,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reserves, postretirement health benefit obligations, and reclamation liability accrual. Current liabilities are due to be paid within the next 12 months. Other noncurrent liabilities on the unaudited Condensed Consolidated Balance Sheet includes $4.6 million for the reclamation liability as of January 31, 2024 and $4.5 million as of July 31, 2023 and $1.8 million for postretirement health benefit as of both January 31, 2024 and July 31, 2023, respectively.</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Earnings Per Share. </w:t>
      </w:r>
      <w:r>
        <w:rPr>
          <w:rFonts w:ascii="Times New Roman" w:cs="Times New Roman" w:eastAsia="Times New Roman" w:hAnsi="Times New Roman"/>
          <w:sz w:val="18"/>
          <w:szCs w:val="18"/>
          <w:color w:val="auto"/>
        </w:rPr>
        <w:t>We utilize the two-class method to report our earnings per share ("EPS"). The two-class method is an earnings allocation formula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determines earnings per share for each class of common stock according to dividends declared and participation rights in undistributed earnings. Common Stock is entitled to cash dividends equal to at least 133.33% on a per share basis of the cash dividend paid on Class B Stock. In computing earnings per share, the Company has allocated dividends declared to Common and Class B shares based on amounts actually declared for each class of stock and 33.33% more of the undistributed earnings have been allocated to Common Stock than to the Class B shares on a per share basis. Common Stock is entitled to one vote per share and Class B Stock is entitled to ten votes per share. Common Stock have no conversion rights. Class B Stock is convertible on a share-by-share basis into Common Stock at any time and is subject to mandatory conversion under certain circumstances. Basic EPS is computed by dividing net earnings, reduced for any distributed and undistributed earnings allocated to unvested restricted shares, by the weighted-average number of shares outstanding during the period for each class of share. Diluted EPS, for each class of common stock, is computed by dividing net earnings by the weighted-average number of common shares and potential common shares outstanding during the period. Dilution for common stock takes into consideration the effect of both unvested restricted shares and convertible Class B shares, if the effect is dilutive. Dilution for Class B takes into consideration the effect of unvested restricted shares, if the effect is dilutive. Below is a reconciliation of the calculation of basic and diluted EPS.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520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Six Months Ended January 31, 2024</w:t>
            </w:r>
          </w:p>
        </w:tc>
      </w:tr>
      <w:tr>
        <w:trPr>
          <w:trHeight w:val="214"/>
        </w:trPr>
        <w:tc>
          <w:tcPr>
            <w:tcW w:w="5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60" w:type="dxa"/>
            <w:vAlign w:val="bottom"/>
            <w:gridSpan w:val="6"/>
          </w:tcPr>
          <w:p>
            <w:pPr>
              <w:jc w:val="center"/>
              <w:ind w:left="10"/>
              <w:spacing w:after="0"/>
              <w:rPr>
                <w:sz w:val="20"/>
                <w:szCs w:val="20"/>
                <w:color w:val="auto"/>
              </w:rPr>
            </w:pPr>
            <w:r>
              <w:rPr>
                <w:rFonts w:ascii="Times New Roman" w:cs="Times New Roman" w:eastAsia="Times New Roman" w:hAnsi="Times New Roman"/>
                <w:sz w:val="18"/>
                <w:szCs w:val="18"/>
                <w:color w:val="auto"/>
                <w:w w:val="99"/>
              </w:rPr>
              <w:t>(in thousands, except for per share data)</w:t>
            </w:r>
          </w:p>
        </w:tc>
        <w:tc>
          <w:tcPr>
            <w:tcW w:w="1120" w:type="dxa"/>
            <w:vAlign w:val="bottom"/>
          </w:tcPr>
          <w:p>
            <w:pPr>
              <w:spacing w:after="0"/>
              <w:rPr>
                <w:sz w:val="18"/>
                <w:szCs w:val="18"/>
                <w:color w:val="auto"/>
              </w:rPr>
            </w:pPr>
          </w:p>
        </w:tc>
      </w:tr>
      <w:tr>
        <w:trPr>
          <w:trHeight w:val="238"/>
        </w:trPr>
        <w:tc>
          <w:tcPr>
            <w:tcW w:w="516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Class B</w:t>
            </w: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23,124</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17,597</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w:t>
            </w:r>
          </w:p>
        </w:tc>
      </w:tr>
      <w:tr>
        <w:trPr>
          <w:trHeight w:val="230"/>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Distributed and undistributed earnings on restricted shares</w:t>
            </w: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2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available to stockholders</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21,785</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16,692</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(Numerator)</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16,692</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5,093</w:t>
            </w:r>
          </w:p>
        </w:tc>
      </w:tr>
      <w:tr>
        <w:trPr>
          <w:trHeight w:val="229"/>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(Denominator)</w:t>
            </w:r>
          </w:p>
        </w:tc>
        <w:tc>
          <w:tcPr>
            <w:tcW w:w="102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4,856</w:t>
            </w:r>
          </w:p>
        </w:tc>
        <w:tc>
          <w:tcPr>
            <w:tcW w:w="2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w:t>
            </w: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3.44</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9"/>
        </w:trPr>
        <w:tc>
          <w:tcPr>
            <w:tcW w:w="51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Effect of dilution - Net Income </w:t>
            </w:r>
            <w:r>
              <w:rPr>
                <w:rFonts w:ascii="Times New Roman" w:cs="Times New Roman" w:eastAsia="Times New Roman" w:hAnsi="Times New Roman"/>
                <w:sz w:val="23"/>
                <w:szCs w:val="23"/>
                <w:color w:val="auto"/>
                <w:vertAlign w:val="superscript"/>
              </w:rPr>
              <w:t>(1)</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5,093</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assuming dilution (Numerator)</w:t>
            </w: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21,785</w:t>
            </w:r>
          </w:p>
        </w:tc>
        <w:tc>
          <w:tcPr>
            <w:tcW w:w="2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5,093</w:t>
            </w:r>
          </w:p>
        </w:tc>
      </w:tr>
      <w:tr>
        <w:trPr>
          <w:trHeight w:val="256"/>
        </w:trPr>
        <w:tc>
          <w:tcPr>
            <w:tcW w:w="51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30"/>
        </w:trPr>
        <w:tc>
          <w:tcPr>
            <w:tcW w:w="51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Effect of dilution - Shares </w:t>
            </w:r>
            <w:r>
              <w:rPr>
                <w:rFonts w:ascii="Times New Roman" w:cs="Times New Roman" w:eastAsia="Times New Roman" w:hAnsi="Times New Roman"/>
                <w:sz w:val="23"/>
                <w:szCs w:val="23"/>
                <w:color w:val="auto"/>
                <w:vertAlign w:val="superscript"/>
              </w:rPr>
              <w:t>(1)</w:t>
            </w: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2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assuming dilution (Denominator)</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6,827</w:t>
            </w:r>
          </w:p>
        </w:tc>
        <w:tc>
          <w:tcPr>
            <w:tcW w:w="2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w:t>
            </w: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3.19</w:t>
            </w:r>
          </w:p>
        </w:tc>
        <w:tc>
          <w:tcPr>
            <w:tcW w:w="2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w:t>
            </w:r>
          </w:p>
        </w:tc>
      </w:tr>
      <w:tr>
        <w:trPr>
          <w:trHeight w:val="20"/>
        </w:trPr>
        <w:tc>
          <w:tcPr>
            <w:tcW w:w="516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r>
      <w:tr>
        <w:trPr>
          <w:trHeight w:val="453"/>
        </w:trPr>
        <w:tc>
          <w:tcPr>
            <w:tcW w:w="5160" w:type="dxa"/>
            <w:vAlign w:val="bottom"/>
          </w:tcPr>
          <w:p>
            <w:pPr>
              <w:spacing w:after="0"/>
              <w:rPr>
                <w:sz w:val="24"/>
                <w:szCs w:val="24"/>
                <w:color w:val="auto"/>
              </w:rPr>
            </w:pPr>
          </w:p>
        </w:tc>
        <w:tc>
          <w:tcPr>
            <w:tcW w:w="520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January 31, 2024</w:t>
            </w:r>
          </w:p>
        </w:tc>
      </w:tr>
      <w:tr>
        <w:trPr>
          <w:trHeight w:val="214"/>
        </w:trPr>
        <w:tc>
          <w:tcPr>
            <w:tcW w:w="5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60" w:type="dxa"/>
            <w:vAlign w:val="bottom"/>
            <w:gridSpan w:val="6"/>
          </w:tcPr>
          <w:p>
            <w:pPr>
              <w:jc w:val="center"/>
              <w:ind w:left="10"/>
              <w:spacing w:after="0"/>
              <w:rPr>
                <w:sz w:val="20"/>
                <w:szCs w:val="20"/>
                <w:color w:val="auto"/>
              </w:rPr>
            </w:pPr>
            <w:r>
              <w:rPr>
                <w:rFonts w:ascii="Times New Roman" w:cs="Times New Roman" w:eastAsia="Times New Roman" w:hAnsi="Times New Roman"/>
                <w:sz w:val="18"/>
                <w:szCs w:val="18"/>
                <w:color w:val="auto"/>
                <w:w w:val="99"/>
              </w:rPr>
              <w:t>(in thousands, except for per share data)</w:t>
            </w:r>
          </w:p>
        </w:tc>
        <w:tc>
          <w:tcPr>
            <w:tcW w:w="1120" w:type="dxa"/>
            <w:vAlign w:val="bottom"/>
          </w:tcPr>
          <w:p>
            <w:pPr>
              <w:spacing w:after="0"/>
              <w:rPr>
                <w:sz w:val="18"/>
                <w:szCs w:val="18"/>
                <w:color w:val="auto"/>
              </w:rPr>
            </w:pPr>
          </w:p>
        </w:tc>
      </w:tr>
      <w:tr>
        <w:trPr>
          <w:trHeight w:val="238"/>
        </w:trPr>
        <w:tc>
          <w:tcPr>
            <w:tcW w:w="516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Class B</w:t>
            </w: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12,382</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9,415</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w:t>
            </w:r>
          </w:p>
        </w:tc>
      </w:tr>
      <w:tr>
        <w:trPr>
          <w:trHeight w:val="229"/>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Distributed and undistributed earnings on restricted shares</w:t>
            </w: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available to stockholders</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11,684</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8,962</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(Numerator)</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8,962</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w:t>
            </w:r>
          </w:p>
        </w:tc>
      </w:tr>
      <w:tr>
        <w:trPr>
          <w:trHeight w:val="230"/>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(Denominator)</w:t>
            </w:r>
          </w:p>
        </w:tc>
        <w:tc>
          <w:tcPr>
            <w:tcW w:w="102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4,883</w:t>
            </w:r>
          </w:p>
        </w:tc>
        <w:tc>
          <w:tcPr>
            <w:tcW w:w="2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w:t>
            </w: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9"/>
        </w:trPr>
        <w:tc>
          <w:tcPr>
            <w:tcW w:w="51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Effect of dilution - Net Income </w:t>
            </w:r>
            <w:r>
              <w:rPr>
                <w:rFonts w:ascii="Times New Roman" w:cs="Times New Roman" w:eastAsia="Times New Roman" w:hAnsi="Times New Roman"/>
                <w:sz w:val="23"/>
                <w:szCs w:val="23"/>
                <w:color w:val="auto"/>
                <w:vertAlign w:val="superscript"/>
              </w:rPr>
              <w:t>(1)</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assuming dilution (Numerator)</w:t>
            </w: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11,684</w:t>
            </w:r>
          </w:p>
        </w:tc>
        <w:tc>
          <w:tcPr>
            <w:tcW w:w="2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w:t>
            </w:r>
          </w:p>
        </w:tc>
      </w:tr>
      <w:tr>
        <w:trPr>
          <w:trHeight w:val="257"/>
        </w:trPr>
        <w:tc>
          <w:tcPr>
            <w:tcW w:w="51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30"/>
        </w:trPr>
        <w:tc>
          <w:tcPr>
            <w:tcW w:w="51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Effect of dilution - Shares </w:t>
            </w:r>
            <w:r>
              <w:rPr>
                <w:rFonts w:ascii="Times New Roman" w:cs="Times New Roman" w:eastAsia="Times New Roman" w:hAnsi="Times New Roman"/>
                <w:sz w:val="23"/>
                <w:szCs w:val="23"/>
                <w:color w:val="auto"/>
                <w:vertAlign w:val="superscript"/>
              </w:rPr>
              <w:t>(1)</w:t>
            </w: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2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assuming dilution (Denominator)</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2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w:t>
            </w: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w:t>
            </w:r>
          </w:p>
        </w:tc>
        <w:tc>
          <w:tcPr>
            <w:tcW w:w="2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r>
    </w:tbl>
    <w:p>
      <w:pPr>
        <w:ind w:left="180" w:hanging="166"/>
        <w:spacing w:after="0" w:line="222" w:lineRule="auto"/>
        <w:tabs>
          <w:tab w:leader="none" w:pos="180"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impact of unvested restricted stock was anti-dilutive therefore not included in the calculation of diluted EPS</w:t>
      </w: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321" w:lineRule="exact"/>
        <w:rPr>
          <w:rFonts w:ascii="Times New Roman" w:cs="Times New Roman" w:eastAsia="Times New Roman" w:hAnsi="Times New Roman"/>
          <w:sz w:val="21"/>
          <w:szCs w:val="21"/>
          <w:color w:val="auto"/>
          <w:vertAlign w:val="superscript"/>
        </w:rPr>
      </w:pPr>
    </w:p>
    <w:p>
      <w:pPr>
        <w:ind w:left="488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4420870</wp:posOffset>
            </wp:positionH>
            <wp:positionV relativeFrom="paragraph">
              <wp:posOffset>-967740</wp:posOffset>
            </wp:positionV>
            <wp:extent cx="21602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ectPr>
          <w:pgSz w:w="11900" w:h="16838" w:orient="portrait"/>
          <w:cols w:equalWidth="0" w:num="1">
            <w:col w:w="10360"/>
          </w:cols>
          <w:pgMar w:left="980" w:top="927" w:right="5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2. NEW ACCOUNTING PRONOUNCEMENTS AND REGULATIONS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Not Yet Adopted</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No. 2023-09, "Income Taxes (Topic 740): Improvements to Income Tax Disclosures." These amendments primarily require enhanced disclosures and disaggregation of income tax information by jurisdiction in the annual income tax reconciliation and quantitative disclosures regarding income taxes paid. These amendments are to be applied prospectively, with the option to apply the standard retrospectively, for annual periods beginning after December 15, 2024. Early adoption is permitted. We are currently evaluating the impact that the adoption of this guidance will have on our disclosures.</w:t>
      </w:r>
    </w:p>
    <w:p>
      <w:pPr>
        <w:spacing w:after="0" w:line="1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These amendments primarily require enhanced disclosures about significant segment expenses regularly provided to the chief operating decision maker and included within each reported measure of segment profit or loss. In addition, ASU No. 2023-07 also requires all annual disclosures currently required by Topic 280 to be included in interim periods. These amendments are to be applied retrospectively for all periods presented in the financial statements and are effective for fiscal years beginning after December 15, 2023, and interim periods within fiscal years beginning after December 15, 2024, with early adoption permitted. We are currently evaluating the impact that the adoption of this guidance will have on our disclosures.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new accounting pronouncements adopted in the period.</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 INVENTORIES</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9"/>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composition of inventories is as follows (in thousands):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45"/>
        </w:trPr>
        <w:tc>
          <w:tcPr>
            <w:tcW w:w="18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240" w:type="dxa"/>
            <w:vAlign w:val="bottom"/>
          </w:tcPr>
          <w:p>
            <w:pPr>
              <w:spacing w:after="0"/>
              <w:rPr>
                <w:sz w:val="24"/>
                <w:szCs w:val="24"/>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July 31,</w:t>
            </w:r>
          </w:p>
        </w:tc>
      </w:tr>
      <w:tr>
        <w:trPr>
          <w:trHeight w:val="241"/>
        </w:trPr>
        <w:tc>
          <w:tcPr>
            <w:tcW w:w="1880" w:type="dxa"/>
            <w:vAlign w:val="bottom"/>
          </w:tcPr>
          <w:p>
            <w:pPr>
              <w:spacing w:after="0"/>
              <w:rPr>
                <w:sz w:val="20"/>
                <w:szCs w:val="20"/>
                <w:color w:val="auto"/>
              </w:rPr>
            </w:pPr>
          </w:p>
        </w:tc>
        <w:tc>
          <w:tcPr>
            <w:tcW w:w="46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1880" w:type="dxa"/>
            <w:vAlign w:val="bottom"/>
          </w:tcPr>
          <w:p>
            <w:pPr>
              <w:spacing w:after="0"/>
              <w:rPr>
                <w:sz w:val="19"/>
                <w:szCs w:val="19"/>
                <w:color w:val="auto"/>
              </w:rPr>
            </w:pPr>
          </w:p>
        </w:tc>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24,596</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21,943</w:t>
            </w:r>
          </w:p>
        </w:tc>
      </w:tr>
      <w:tr>
        <w:trPr>
          <w:trHeight w:val="230"/>
        </w:trPr>
        <w:tc>
          <w:tcPr>
            <w:tcW w:w="188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8,299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8,007</w:t>
            </w:r>
          </w:p>
        </w:tc>
      </w:tr>
      <w:tr>
        <w:trPr>
          <w:trHeight w:val="230"/>
        </w:trPr>
        <w:tc>
          <w:tcPr>
            <w:tcW w:w="1880" w:type="dxa"/>
            <w:vAlign w:val="bottom"/>
          </w:tcPr>
          <w:p>
            <w:pPr>
              <w:spacing w:after="0"/>
              <w:rPr>
                <w:sz w:val="19"/>
                <w:szCs w:val="19"/>
                <w:color w:val="auto"/>
              </w:rPr>
            </w:pPr>
          </w:p>
        </w:tc>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Spare parts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6,775</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w:t>
            </w:r>
          </w:p>
        </w:tc>
      </w:tr>
      <w:tr>
        <w:trPr>
          <w:trHeight w:val="230"/>
        </w:trPr>
        <w:tc>
          <w:tcPr>
            <w:tcW w:w="1880" w:type="dxa"/>
            <w:vAlign w:val="bottom"/>
          </w:tcPr>
          <w:p>
            <w:pPr>
              <w:spacing w:after="0"/>
              <w:rPr>
                <w:sz w:val="19"/>
                <w:szCs w:val="19"/>
                <w:color w:val="auto"/>
              </w:rPr>
            </w:pPr>
          </w:p>
        </w:tc>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6,560</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6,681</w:t>
            </w:r>
          </w:p>
        </w:tc>
      </w:tr>
      <w:tr>
        <w:trPr>
          <w:trHeight w:val="248"/>
        </w:trPr>
        <w:tc>
          <w:tcPr>
            <w:tcW w:w="1880" w:type="dxa"/>
            <w:vAlign w:val="bottom"/>
          </w:tcPr>
          <w:p>
            <w:pPr>
              <w:spacing w:after="0"/>
              <w:rPr>
                <w:sz w:val="21"/>
                <w:szCs w:val="21"/>
                <w:color w:val="auto"/>
              </w:rPr>
            </w:pPr>
          </w:p>
        </w:tc>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46,230</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42,612</w:t>
            </w:r>
          </w:p>
        </w:tc>
      </w:tr>
      <w:tr>
        <w:trPr>
          <w:trHeight w:val="20"/>
        </w:trPr>
        <w:tc>
          <w:tcPr>
            <w:tcW w:w="1880" w:type="dxa"/>
            <w:vAlign w:val="bottom"/>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Inventories are valued at the lower of cost (first-in, first-out) or net realizable value. Inventory costs include the cost of raw materials, packaging supplies, labor, and other overhead costs. The Company maintains reserves against inventory to reduce the carrying value to the expected net realizable value. These reserves are based upon a combination of factors including historical issues and market trends. Inventory reserves were $3.5 million and $3.6 million as of January 31, 2024 and July 31, 2023, respectively.</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inputs used to measure fair value are prioritized into categories based on the lowest level of input that is significant to the fair value measurement. The categories in the fair value hierarchy are as follows: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2: Observable market-based inputs for similar assets or liabilities or valuation models whose inputs are observable, directly or indirectly.</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Unobservable inputs.</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equivalents are primarily money market mutual funds classified as Level 1. We had $15.6 million cash equivalents as of January 31, 2024 and $15.4 million cash equivalents as of July 31, 2023.</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16" w:name="page17"/>
    <w:bookmarkEnd w:id="1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Balances of accounts receivable and accounts payable approximated their fair values at January 31, 2024 and July 31, 2023 due to the short maturity and nature of those balances.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Notes payable are reported at the face amount of future maturities. The estimated fair value of notes payable, including current maturities, was $30.1 million and $29.7 million as of January 31, 2024 and July 31, 2023, respectively, and are classified as Level 2. The fair value was estimated using the exit price notion by discounting future cash flows based on an observable market rate.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apply fair value techniques on at least an annual basis associated with: (1) valuing potential impairment loss related to goodwill, trademarks and other indefinite-lived intangible assets and (2) valuing potential impairment loss related to long-lived assets. See Note 5 of the Notes to the unaudited Condensed Consolidated Financial Statements for further information about goodwill and other intangible assets.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OTHER INTANGIBLE ASSETS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Intangible assets, other than goodwill, include trademarks, patents, and customer lists. Estimated intangible amortization for fiscal year 2024 is $0.1 million. Estimated intangible amortization for each of the next five fiscal years is $0.1 million. We have one acquired trademark recorded at a cost of $0.4 million that was determined to have an indefinite life and is not amortized.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triggering events in fiscal years 2024 or 2023 that would indicate a new impairment analysis is needed.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59"/>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is as follows (in thousands):</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45"/>
        </w:trPr>
        <w:tc>
          <w:tcPr>
            <w:tcW w:w="17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240" w:type="dxa"/>
            <w:vAlign w:val="bottom"/>
          </w:tcPr>
          <w:p>
            <w:pPr>
              <w:spacing w:after="0"/>
              <w:rPr>
                <w:sz w:val="24"/>
                <w:szCs w:val="24"/>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July 31,</w:t>
            </w:r>
          </w:p>
        </w:tc>
      </w:tr>
      <w:tr>
        <w:trPr>
          <w:trHeight w:val="241"/>
        </w:trPr>
        <w:tc>
          <w:tcPr>
            <w:tcW w:w="1720" w:type="dxa"/>
            <w:vAlign w:val="bottom"/>
          </w:tcPr>
          <w:p>
            <w:pPr>
              <w:spacing w:after="0"/>
              <w:rPr>
                <w:sz w:val="20"/>
                <w:szCs w:val="20"/>
                <w:color w:val="auto"/>
              </w:rPr>
            </w:pPr>
          </w:p>
        </w:tc>
        <w:tc>
          <w:tcPr>
            <w:tcW w:w="49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172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Wages, Commissions and Employee Benefits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11,831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19,054</w:t>
            </w:r>
          </w:p>
        </w:tc>
      </w:tr>
      <w:tr>
        <w:trPr>
          <w:trHeight w:val="230"/>
        </w:trPr>
        <w:tc>
          <w:tcPr>
            <w:tcW w:w="172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Georgia Landfill Modification Reserve</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2,762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w:t>
            </w:r>
          </w:p>
        </w:tc>
      </w:tr>
      <w:tr>
        <w:trPr>
          <w:trHeight w:val="230"/>
        </w:trPr>
        <w:tc>
          <w:tcPr>
            <w:tcW w:w="172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Freight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w:t>
            </w:r>
          </w:p>
        </w:tc>
      </w:tr>
      <w:tr>
        <w:trPr>
          <w:trHeight w:val="229"/>
        </w:trPr>
        <w:tc>
          <w:tcPr>
            <w:tcW w:w="172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Promotions and Advertising</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w:t>
            </w:r>
          </w:p>
        </w:tc>
      </w:tr>
      <w:tr>
        <w:trPr>
          <w:trHeight w:val="230"/>
        </w:trPr>
        <w:tc>
          <w:tcPr>
            <w:tcW w:w="172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Tax</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r>
      <w:tr>
        <w:trPr>
          <w:trHeight w:val="230"/>
        </w:trPr>
        <w:tc>
          <w:tcPr>
            <w:tcW w:w="1720" w:type="dxa"/>
            <w:vAlign w:val="bottom"/>
          </w:tcPr>
          <w:p>
            <w:pPr>
              <w:spacing w:after="0"/>
              <w:rPr>
                <w:sz w:val="19"/>
                <w:szCs w:val="19"/>
                <w:color w:val="auto"/>
              </w:rPr>
            </w:pPr>
          </w:p>
        </w:tc>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9,777</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8,937</w:t>
            </w:r>
          </w:p>
        </w:tc>
      </w:tr>
      <w:tr>
        <w:trPr>
          <w:trHeight w:val="248"/>
        </w:trPr>
        <w:tc>
          <w:tcPr>
            <w:tcW w:w="1720" w:type="dxa"/>
            <w:vAlign w:val="bottom"/>
          </w:tcPr>
          <w:p>
            <w:pPr>
              <w:spacing w:after="0"/>
              <w:rPr>
                <w:sz w:val="21"/>
                <w:szCs w:val="21"/>
                <w:color w:val="auto"/>
              </w:rPr>
            </w:pPr>
          </w:p>
        </w:tc>
        <w:tc>
          <w:tcPr>
            <w:tcW w:w="4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28,554</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36,868</w:t>
            </w:r>
          </w:p>
        </w:tc>
      </w:tr>
      <w:tr>
        <w:trPr>
          <w:trHeight w:val="20"/>
        </w:trPr>
        <w:tc>
          <w:tcPr>
            <w:tcW w:w="1720" w:type="dxa"/>
            <w:vAlign w:val="bottom"/>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OTHER CONTINGENCIES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party to various legal actions from time to time that are ordinary in nature and incidental to the operation of our business, including ongoing litigation. While it is not possible at this time to determine with certainty the ultimate outcome of these or other lawsuits, we believe that none of the pending proceedings will have a material adverse effect on our business, financial condition, results of operations or cash flows.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second quarter of fiscal year 2023, we recorded a reserve of $2.5 million for anticipated modification costs that we expect to incur to address capacity issues at our sole landfill located in Ochlocknee, Georgia. Reserves are recorded when it is probable that a liability has been incurred and the amount of the liability can be reasonably estimated. The amount of the reserve represents management’s best estimate of the costs for the modification with respect to this matter. Work began on the modifications in the second quarter of fiscal year 2024 and we increased our reserve by $0.5 million to reflect an update to our best estimate, offset by $0.3 million of payments made. Inherent uncertainties exist in these estimates primarily due to unknown conditions, changing governmental regulations and legal standards, and emerging technologies for handling site modification. Consequently, it is reasonably possible that modification costs in excess of amounts accrued could have a material impact on the Company’s results of operations, financial condition and cash flows.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25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are party to an Amended and Restated Note Purchase and Private Shelf Agreement (as amended, the "Note Agreement") with PGIM, Inc. ("Prudential") and certain existing noteholders and purchasers affiliated with Prudential named therein. Pursuant to the Note Agreement, on May 15, 2021 we issued $10 million in aggregate principal amount of our 3.95% Series B Senior Notes due May 15, 2030, of which $7 million aggregate principal amount remained outstanding as of January 31, 2024. Pursuant to the Note Agreement, on December 16, 2021, we issued an additional $25 million in aggregate principal amount of our 3.25% Series C Senior Notes due December 16, 2031, all of which remained outstanding as of January 31, 2024. The Note Agreement also provides us with the ability to request, from time to time, that Prudential affiliate(s) purchase, at Prudential’s discretion and on an uncommitted basis, additional senior unsecured notes of Oil-Dri (the “Shelf Notes,” and collectively with the Series A Senior Notes, Series B Senior Notes, and Series C Senior Notes, the “Notes”) in an aggregate principal amount of up to $75 million minus the aggregate principal amount of Notes then outstanding and Shelf Notes that have been accepted for purchase. Interest payable on any Shelf Note agreed to be purchased under the Note Agreement will be at a rate determined by Prudential and will mature no more than fifteen years after the date of original issue of such Shelf Note. On September 21, 2023, the Company entered into Amendment No. 4 to the Note Agreement extending the time frame for issuing and selling Shelf Notes to September 21, 2026.</w:t>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party to the Credit Agreement, dated as of January 27, 2006 (as previously amended, the "Credit Agreement"), among us, BMO Harris Bank N.A (“BMO”), and certain of our domestic subsidiaries. The agreement provides for a $45 million unsecured revolving credit facility, including a maximum of $10 million for letters of credit.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 contains restrictive covenants that, among other things and under various conditions, limit our ability to incur additional</w:t>
      </w:r>
    </w:p>
    <w:p>
      <w:pPr>
        <w:spacing w:after="0" w:line="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indebtedness or to dispose of assets. On August 30, 2022, we entered into the Sixth Amendment to the Credit Agreement (the "Sixth Amendment"). The Sixth Amendment extended the facility termination date to August 30, 2027; replaced the LIBOR-based reference rate with an adjusted term Secured Overnight Financing Rate ("SOFR"); revised the method for calculating consolidated EBITDA and consolidated debt for purposes of the Credit Agreement; modified certain restrictive covenants, including increasing the unsecured indebtedness basket from $50 million to $75 million; and revised the existing financial covenants by replacing the consolidated debt covenant with a covenant to maintain a maximum debt to earnings ratio, lowering the minimum fixed charge coverage ratio level and revising the method for calculating the fixed charge coverage ratio. As of January 31, 2024, and July 31, 2023, we were in compliance with the covenants. There were no borrowings during the second quarter of fiscal year 2024. However, we had $1.0 million of letters of credit outstanding under the Credit Agreement as of January 31, 2024 and July 31, 2023.</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Credit Agreement states that we may select a variable interest rate based on either the BMO prime rate or an adjusted SOFR-based rate, plus a margin that varies depending on our debt to earnings ratio, or a fixed rate as agreed between us and BMO. As of January 31, 2024, the variable rates would have been 8.50% for the BMO prime-based rate or 5.32% for the adjusted SOFR-based rate.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operating leases primarily for real estate properties, including corporate headquarters, customer service and sales offices, manufacturing and packaging facilities, warehouses, and research and development facilities, as well as for rail tracks, railcars and office equipment. Certain of our leases for a shared warehouse and office facility, rail track and railcars have options to extend which we are reasonably certain we will exercise and, accordingly, have been considered in the lease term used to recognize our ROU assets and lease liabilities. To determine the present value of the lease liability, we use an incremental borrowing rate, which is defined as the rate of interest that the Company would have to pay to borrow (on a collateralized basis over a similar term) an amount equal to the lease payments in similar economic environments. Further information about our accounting policy for leases is included in Note 1 of the Notes to the unaudited Condensed Consolidated Financial Statements.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 material finance leases, and variable costs for operating leases are immaterial for the three and six months ended January 31, 2024. Operating lease costs are included in Cost of Goods Sold or SG&amp;A expenses based on the nature of the lease. The following table summarizes total lease costs for our operating leases (in thousands):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8" w:name="page19"/>
    <w:bookmarkEnd w:id="18"/>
    <w:tbl>
      <w:tblPr>
        <w:tblLayout w:type="fixed"/>
        <w:tblInd w:w="1880" w:type="dxa"/>
        <w:tblCellMar>
          <w:top w:w="0" w:type="dxa"/>
          <w:left w:w="0" w:type="dxa"/>
          <w:bottom w:w="0" w:type="dxa"/>
          <w:right w:w="0" w:type="dxa"/>
        </w:tblCellMar>
      </w:tblPr>
      <w:tr>
        <w:trPr>
          <w:trHeight w:val="207"/>
        </w:trPr>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80" w:type="dxa"/>
            <w:vAlign w:val="bottom"/>
          </w:tcPr>
          <w:p>
            <w:pPr>
              <w:spacing w:after="0"/>
              <w:rPr>
                <w:sz w:val="17"/>
                <w:szCs w:val="17"/>
                <w:color w:val="auto"/>
              </w:rPr>
            </w:pPr>
          </w:p>
        </w:tc>
        <w:tc>
          <w:tcPr>
            <w:tcW w:w="2360" w:type="dxa"/>
            <w:vAlign w:val="bottom"/>
            <w:gridSpan w:val="4"/>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41"/>
        </w:trPr>
        <w:tc>
          <w:tcPr>
            <w:tcW w:w="2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7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800" w:type="dxa"/>
            <w:vAlign w:val="bottom"/>
            <w:tcBorders>
              <w:bottom w:val="single" w:sz="8" w:color="auto"/>
            </w:tcBorders>
          </w:tcPr>
          <w:p>
            <w:pPr>
              <w:spacing w:after="0"/>
              <w:rPr>
                <w:sz w:val="20"/>
                <w:szCs w:val="20"/>
                <w:color w:val="auto"/>
              </w:rPr>
            </w:pPr>
          </w:p>
        </w:tc>
      </w:tr>
      <w:tr>
        <w:trPr>
          <w:trHeight w:val="239"/>
        </w:trPr>
        <w:tc>
          <w:tcPr>
            <w:tcW w:w="2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50"/>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1,084</w:t>
            </w: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687</w:t>
            </w: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1,630</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1,383</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(in thousands):</w:t>
      </w:r>
    </w:p>
    <w:p>
      <w:pPr>
        <w:spacing w:after="0" w:line="117"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3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80" w:type="dxa"/>
            <w:vAlign w:val="bottom"/>
          </w:tcPr>
          <w:p>
            <w:pPr>
              <w:spacing w:after="0"/>
              <w:rPr>
                <w:sz w:val="17"/>
                <w:szCs w:val="17"/>
                <w:color w:val="auto"/>
              </w:rPr>
            </w:pPr>
          </w:p>
        </w:tc>
        <w:tc>
          <w:tcPr>
            <w:tcW w:w="238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41"/>
        </w:trPr>
        <w:tc>
          <w:tcPr>
            <w:tcW w:w="3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3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155"/>
        </w:trPr>
        <w:tc>
          <w:tcPr>
            <w:tcW w:w="3380" w:type="dxa"/>
            <w:vAlign w:val="bottom"/>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Cash paid for amounts included in the</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1,062</w:t>
            </w:r>
          </w:p>
        </w:tc>
        <w:tc>
          <w:tcPr>
            <w:tcW w:w="2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585</w:t>
            </w:r>
          </w:p>
        </w:tc>
        <w:tc>
          <w:tcPr>
            <w:tcW w:w="22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1,686</w:t>
            </w:r>
          </w:p>
        </w:tc>
        <w:tc>
          <w:tcPr>
            <w:tcW w:w="5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measurement of operating lease liabilities:</w:t>
            </w:r>
          </w:p>
        </w:tc>
        <w:tc>
          <w:tcPr>
            <w:tcW w:w="120" w:type="dxa"/>
            <w:vAlign w:val="bottom"/>
            <w:vMerge w:val="continue"/>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60" w:type="dxa"/>
            <w:vAlign w:val="bottom"/>
            <w:vMerge w:val="continue"/>
            <w:shd w:val="clear" w:color="auto" w:fill="CCEEFF"/>
          </w:tcPr>
          <w:p>
            <w:pPr>
              <w:spacing w:after="0"/>
              <w:rPr>
                <w:sz w:val="21"/>
                <w:szCs w:val="21"/>
                <w:color w:val="auto"/>
              </w:rPr>
            </w:pPr>
          </w:p>
        </w:tc>
        <w:tc>
          <w:tcPr>
            <w:tcW w:w="78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5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1,180</w:t>
            </w:r>
          </w:p>
        </w:tc>
        <w:tc>
          <w:tcPr>
            <w:tcW w:w="0" w:type="dxa"/>
            <w:vAlign w:val="bottom"/>
          </w:tcPr>
          <w:p>
            <w:pPr>
              <w:spacing w:after="0"/>
              <w:rPr>
                <w:sz w:val="1"/>
                <w:szCs w:val="1"/>
                <w:color w:val="auto"/>
              </w:rPr>
            </w:pPr>
          </w:p>
        </w:tc>
      </w:tr>
      <w:tr>
        <w:trPr>
          <w:trHeight w:val="229"/>
        </w:trPr>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Right-of-use assets obtained in exchange for</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3,699</w:t>
            </w:r>
          </w:p>
        </w:tc>
        <w:tc>
          <w:tcPr>
            <w:tcW w:w="200" w:type="dxa"/>
            <w:vAlign w:val="bottom"/>
          </w:tcPr>
          <w:p>
            <w:pPr>
              <w:spacing w:after="0"/>
              <w:rPr>
                <w:sz w:val="19"/>
                <w:szCs w:val="19"/>
                <w:color w:val="auto"/>
              </w:rPr>
            </w:pP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3,699</w:t>
            </w: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new operating lease liabilities</w:t>
            </w:r>
          </w:p>
        </w:tc>
        <w:tc>
          <w:tcPr>
            <w:tcW w:w="12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vMerge w:val="continue"/>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18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5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Operating lease ROU assets and operating lease liabilities are separately presented on the unaudited Condensed Consolidated Balance Sheet, excluding leases with an initial term of twelve months or less. Other supplemental balance sheet information related to leases was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24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January 31, 2024</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July 31, 2023</w:t>
            </w:r>
          </w:p>
        </w:tc>
      </w:tr>
      <w:tr>
        <w:trPr>
          <w:trHeight w:val="22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2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6.3 years</w:t>
            </w:r>
          </w:p>
        </w:tc>
        <w:tc>
          <w:tcPr>
            <w:tcW w:w="80" w:type="dxa"/>
            <w:vAlign w:val="bottom"/>
          </w:tcPr>
          <w:p>
            <w:pPr>
              <w:spacing w:after="0"/>
              <w:rPr>
                <w:sz w:val="19"/>
                <w:szCs w:val="19"/>
                <w:color w:val="auto"/>
              </w:rPr>
            </w:pPr>
          </w:p>
        </w:tc>
        <w:tc>
          <w:tcPr>
            <w:tcW w:w="2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7.7 years</w:t>
            </w:r>
          </w:p>
        </w:tc>
      </w:tr>
      <w:tr>
        <w:trPr>
          <w:trHeight w:val="229"/>
        </w:trPr>
        <w:tc>
          <w:tcPr>
            <w:tcW w:w="6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4.84%</w:t>
            </w:r>
          </w:p>
        </w:tc>
        <w:tc>
          <w:tcPr>
            <w:tcW w:w="80" w:type="dxa"/>
            <w:vAlign w:val="bottom"/>
            <w:shd w:val="clear" w:color="auto" w:fill="CCEEFF"/>
          </w:tcPr>
          <w:p>
            <w:pPr>
              <w:spacing w:after="0"/>
              <w:rPr>
                <w:sz w:val="19"/>
                <w:szCs w:val="19"/>
                <w:color w:val="auto"/>
              </w:rPr>
            </w:pP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liability maturities as of January 31, 2024, are as follows (in thousands):</w:t>
            </w:r>
          </w:p>
        </w:tc>
        <w:tc>
          <w:tcPr>
            <w:tcW w:w="5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108"/>
        </w:trPr>
        <w:tc>
          <w:tcPr>
            <w:tcW w:w="2160" w:type="dxa"/>
            <w:vAlign w:val="bottom"/>
          </w:tcPr>
          <w:p>
            <w:pPr>
              <w:spacing w:after="0"/>
              <w:rPr>
                <w:sz w:val="9"/>
                <w:szCs w:val="9"/>
                <w:color w:val="auto"/>
              </w:rPr>
            </w:pPr>
          </w:p>
        </w:tc>
        <w:tc>
          <w:tcPr>
            <w:tcW w:w="5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230"/>
        </w:trPr>
        <w:tc>
          <w:tcPr>
            <w:tcW w:w="2160" w:type="dxa"/>
            <w:vAlign w:val="bottom"/>
          </w:tcPr>
          <w:p>
            <w:pPr>
              <w:spacing w:after="0"/>
              <w:rPr>
                <w:sz w:val="19"/>
                <w:szCs w:val="19"/>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 2024 (remaining six months)</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1,621</w:t>
            </w:r>
          </w:p>
        </w:tc>
      </w:tr>
      <w:tr>
        <w:trPr>
          <w:trHeight w:val="230"/>
        </w:trPr>
        <w:tc>
          <w:tcPr>
            <w:tcW w:w="216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Fiscal year 2025</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3,165</w:t>
            </w:r>
          </w:p>
        </w:tc>
      </w:tr>
      <w:tr>
        <w:trPr>
          <w:trHeight w:val="230"/>
        </w:trPr>
        <w:tc>
          <w:tcPr>
            <w:tcW w:w="2160" w:type="dxa"/>
            <w:vAlign w:val="bottom"/>
          </w:tcPr>
          <w:p>
            <w:pPr>
              <w:spacing w:after="0"/>
              <w:rPr>
                <w:sz w:val="19"/>
                <w:szCs w:val="19"/>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 2026</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2,845</w:t>
            </w:r>
          </w:p>
        </w:tc>
      </w:tr>
      <w:tr>
        <w:trPr>
          <w:trHeight w:val="229"/>
        </w:trPr>
        <w:tc>
          <w:tcPr>
            <w:tcW w:w="216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Fiscal year 2027</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2,416</w:t>
            </w:r>
          </w:p>
        </w:tc>
      </w:tr>
      <w:tr>
        <w:trPr>
          <w:trHeight w:val="230"/>
        </w:trPr>
        <w:tc>
          <w:tcPr>
            <w:tcW w:w="2160" w:type="dxa"/>
            <w:vAlign w:val="bottom"/>
          </w:tcPr>
          <w:p>
            <w:pPr>
              <w:spacing w:after="0"/>
              <w:rPr>
                <w:sz w:val="19"/>
                <w:szCs w:val="19"/>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 2028</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1,551</w:t>
            </w:r>
          </w:p>
        </w:tc>
      </w:tr>
      <w:tr>
        <w:trPr>
          <w:trHeight w:val="230"/>
        </w:trPr>
        <w:tc>
          <w:tcPr>
            <w:tcW w:w="2160" w:type="dxa"/>
            <w:vAlign w:val="bottom"/>
          </w:tcPr>
          <w:p>
            <w:pPr>
              <w:spacing w:after="0"/>
              <w:rPr>
                <w:sz w:val="19"/>
                <w:szCs w:val="19"/>
                <w:color w:val="auto"/>
              </w:rPr>
            </w:pPr>
          </w:p>
        </w:tc>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4,502</w:t>
            </w:r>
          </w:p>
        </w:tc>
      </w:tr>
      <w:tr>
        <w:trPr>
          <w:trHeight w:val="223"/>
        </w:trPr>
        <w:tc>
          <w:tcPr>
            <w:tcW w:w="2160" w:type="dxa"/>
            <w:vAlign w:val="bottom"/>
          </w:tcPr>
          <w:p>
            <w:pPr>
              <w:spacing w:after="0"/>
              <w:rPr>
                <w:sz w:val="19"/>
                <w:szCs w:val="19"/>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16,100</w:t>
            </w:r>
          </w:p>
        </w:tc>
      </w:tr>
      <w:tr>
        <w:trPr>
          <w:trHeight w:val="230"/>
        </w:trPr>
        <w:tc>
          <w:tcPr>
            <w:tcW w:w="2160" w:type="dxa"/>
            <w:vAlign w:val="bottom"/>
          </w:tcPr>
          <w:p>
            <w:pPr>
              <w:spacing w:after="0"/>
              <w:rPr>
                <w:sz w:val="19"/>
                <w:szCs w:val="19"/>
                <w:color w:val="auto"/>
              </w:rPr>
            </w:pPr>
          </w:p>
        </w:tc>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(2,212)</w:t>
            </w:r>
          </w:p>
        </w:tc>
      </w:tr>
      <w:tr>
        <w:trPr>
          <w:trHeight w:val="248"/>
        </w:trPr>
        <w:tc>
          <w:tcPr>
            <w:tcW w:w="216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lease obligation</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13,888</w:t>
            </w:r>
          </w:p>
        </w:tc>
      </w:tr>
      <w:tr>
        <w:trPr>
          <w:trHeight w:val="20"/>
        </w:trPr>
        <w:tc>
          <w:tcPr>
            <w:tcW w:w="2160" w:type="dxa"/>
            <w:vAlign w:val="bottom"/>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10. PENSION AND OTHER POSTRETIREMENT BENEFITS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Oil-Dri Corporation of America Pension Plan ("Pension Plan") was a defined benefit pension plan for eligible salaried and hourly employees. Pension benefits were based on a formula of years of credited service and levels of compensation or stated amounts for each year of credited service. On January 9, 2020, Oil-Dri amended the Pension Plan to freeze participation, all future benefit accruals and accrual of benefit service, including consideration of compensation increases, effective March 1, 2020. Consequently, the Pension Plan was closed to new participants and existing participants no longer earned additional benefits on or after March 1, 2020. On September 20, 2022, the Company's Board of Directors (the "Board") approved a resolution to terminate the Company's defined benefit pension plan. The pension obligations were fully settled in April 2023.</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postretirement health benefits plan is also provided to domestic salaried employees who meet specific age, participation and length of service requirements at the time of retirement. Eligible employees may elect to continue their health care coverage under the Oil-Dri Corporation of America Employee Benefits Plan until the date certain criteria are met, including attaining the age of Medicare eligibility. We have the right to modify or terminate the postretirement health benefit plan at any time. The postretirement health plan is an unfunded plan. We pay insurance premiums and claims from our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pension and postretirement health benefit costs were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80" w:type="dxa"/>
            <w:vAlign w:val="bottom"/>
            <w:gridSpan w:val="4"/>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Pension Benefits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8"/>
        </w:trPr>
        <w:tc>
          <w:tcPr>
            <w:tcW w:w="46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169"/>
        </w:trPr>
        <w:tc>
          <w:tcPr>
            <w:tcW w:w="4660" w:type="dxa"/>
            <w:vAlign w:val="bottom"/>
          </w:tcPr>
          <w:p>
            <w:pPr>
              <w:spacing w:after="0"/>
              <w:rPr>
                <w:sz w:val="14"/>
                <w:szCs w:val="14"/>
                <w:color w:val="auto"/>
              </w:rPr>
            </w:pPr>
          </w:p>
        </w:tc>
        <w:tc>
          <w:tcPr>
            <w:tcW w:w="3240" w:type="dxa"/>
            <w:vAlign w:val="bottom"/>
            <w:gridSpan w:val="7"/>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For the Three Months Ended January</w:t>
            </w:r>
          </w:p>
        </w:tc>
        <w:tc>
          <w:tcPr>
            <w:tcW w:w="120" w:type="dxa"/>
            <w:vAlign w:val="bottom"/>
          </w:tcPr>
          <w:p>
            <w:pPr>
              <w:spacing w:after="0"/>
              <w:rPr>
                <w:sz w:val="14"/>
                <w:szCs w:val="14"/>
                <w:color w:val="auto"/>
              </w:rPr>
            </w:pPr>
          </w:p>
        </w:tc>
        <w:tc>
          <w:tcPr>
            <w:tcW w:w="2860" w:type="dxa"/>
            <w:vAlign w:val="bottom"/>
            <w:gridSpan w:val="5"/>
          </w:tcPr>
          <w:p>
            <w:pPr>
              <w:jc w:val="center"/>
              <w:ind w:right="30"/>
              <w:spacing w:after="0" w:line="169" w:lineRule="exact"/>
              <w:rPr>
                <w:sz w:val="20"/>
                <w:szCs w:val="20"/>
                <w:color w:val="auto"/>
              </w:rPr>
            </w:pPr>
            <w:r>
              <w:rPr>
                <w:rFonts w:ascii="Times New Roman" w:cs="Times New Roman" w:eastAsia="Times New Roman" w:hAnsi="Times New Roman"/>
                <w:sz w:val="18"/>
                <w:szCs w:val="18"/>
                <w:b w:val="1"/>
                <w:bCs w:val="1"/>
                <w:color w:val="auto"/>
                <w:w w:val="99"/>
              </w:rPr>
              <w:t>For the Six Months Ended January</w:t>
            </w:r>
          </w:p>
        </w:tc>
      </w:tr>
      <w:tr>
        <w:trPr>
          <w:trHeight w:val="241"/>
        </w:trPr>
        <w:tc>
          <w:tcPr>
            <w:tcW w:w="46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31,</w:t>
            </w:r>
          </w:p>
        </w:tc>
        <w:tc>
          <w:tcPr>
            <w:tcW w:w="11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3"/>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31,</w:t>
            </w:r>
          </w:p>
        </w:tc>
        <w:tc>
          <w:tcPr>
            <w:tcW w:w="1080" w:type="dxa"/>
            <w:vAlign w:val="bottom"/>
            <w:tcBorders>
              <w:bottom w:val="single" w:sz="8" w:color="auto"/>
            </w:tcBorders>
          </w:tcPr>
          <w:p>
            <w:pPr>
              <w:spacing w:after="0"/>
              <w:rPr>
                <w:sz w:val="20"/>
                <w:szCs w:val="20"/>
                <w:color w:val="auto"/>
              </w:rPr>
            </w:pPr>
          </w:p>
        </w:tc>
      </w:tr>
      <w:tr>
        <w:trPr>
          <w:trHeight w:val="225"/>
        </w:trPr>
        <w:tc>
          <w:tcPr>
            <w:tcW w:w="46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9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w:t>
            </w: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w:t>
            </w:r>
          </w:p>
        </w:tc>
        <w:tc>
          <w:tcPr>
            <w:tcW w:w="9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actuarial loss</w:t>
            </w:r>
          </w:p>
        </w:tc>
        <w:tc>
          <w:tcPr>
            <w:tcW w:w="9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cost</w:t>
            </w:r>
          </w:p>
        </w:tc>
        <w:tc>
          <w:tcPr>
            <w:tcW w:w="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0"/>
        </w:trPr>
        <w:tc>
          <w:tcPr>
            <w:tcW w:w="4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76"/>
        </w:trPr>
        <w:tc>
          <w:tcPr>
            <w:tcW w:w="46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780" w:type="dxa"/>
            <w:vAlign w:val="bottom"/>
            <w:gridSpan w:val="4"/>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Postretirement Health Benefits</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38"/>
        </w:trPr>
        <w:tc>
          <w:tcPr>
            <w:tcW w:w="46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169"/>
        </w:trPr>
        <w:tc>
          <w:tcPr>
            <w:tcW w:w="4660" w:type="dxa"/>
            <w:vAlign w:val="bottom"/>
          </w:tcPr>
          <w:p>
            <w:pPr>
              <w:spacing w:after="0"/>
              <w:rPr>
                <w:sz w:val="14"/>
                <w:szCs w:val="14"/>
                <w:color w:val="auto"/>
              </w:rPr>
            </w:pPr>
          </w:p>
        </w:tc>
        <w:tc>
          <w:tcPr>
            <w:tcW w:w="3240" w:type="dxa"/>
            <w:vAlign w:val="bottom"/>
            <w:gridSpan w:val="7"/>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For the Three Months Ended January</w:t>
            </w:r>
          </w:p>
        </w:tc>
        <w:tc>
          <w:tcPr>
            <w:tcW w:w="120" w:type="dxa"/>
            <w:vAlign w:val="bottom"/>
          </w:tcPr>
          <w:p>
            <w:pPr>
              <w:spacing w:after="0"/>
              <w:rPr>
                <w:sz w:val="14"/>
                <w:szCs w:val="14"/>
                <w:color w:val="auto"/>
              </w:rPr>
            </w:pPr>
          </w:p>
        </w:tc>
        <w:tc>
          <w:tcPr>
            <w:tcW w:w="2860" w:type="dxa"/>
            <w:vAlign w:val="bottom"/>
            <w:gridSpan w:val="5"/>
          </w:tcPr>
          <w:p>
            <w:pPr>
              <w:jc w:val="center"/>
              <w:ind w:right="30"/>
              <w:spacing w:after="0" w:line="169" w:lineRule="exact"/>
              <w:rPr>
                <w:sz w:val="20"/>
                <w:szCs w:val="20"/>
                <w:color w:val="auto"/>
              </w:rPr>
            </w:pPr>
            <w:r>
              <w:rPr>
                <w:rFonts w:ascii="Times New Roman" w:cs="Times New Roman" w:eastAsia="Times New Roman" w:hAnsi="Times New Roman"/>
                <w:sz w:val="18"/>
                <w:szCs w:val="18"/>
                <w:b w:val="1"/>
                <w:bCs w:val="1"/>
                <w:color w:val="auto"/>
                <w:w w:val="99"/>
              </w:rPr>
              <w:t>For the Six Months Ended January</w:t>
            </w:r>
          </w:p>
        </w:tc>
      </w:tr>
      <w:tr>
        <w:trPr>
          <w:trHeight w:val="241"/>
        </w:trPr>
        <w:tc>
          <w:tcPr>
            <w:tcW w:w="46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31,</w:t>
            </w:r>
          </w:p>
        </w:tc>
        <w:tc>
          <w:tcPr>
            <w:tcW w:w="11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3"/>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31,</w:t>
            </w:r>
          </w:p>
        </w:tc>
        <w:tc>
          <w:tcPr>
            <w:tcW w:w="1080" w:type="dxa"/>
            <w:vAlign w:val="bottom"/>
            <w:tcBorders>
              <w:bottom w:val="single" w:sz="8" w:color="auto"/>
            </w:tcBorders>
          </w:tcPr>
          <w:p>
            <w:pPr>
              <w:spacing w:after="0"/>
              <w:rPr>
                <w:sz w:val="20"/>
                <w:szCs w:val="20"/>
                <w:color w:val="auto"/>
              </w:rPr>
            </w:pPr>
          </w:p>
        </w:tc>
      </w:tr>
      <w:tr>
        <w:trPr>
          <w:trHeight w:val="225"/>
        </w:trPr>
        <w:tc>
          <w:tcPr>
            <w:tcW w:w="46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9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w:t>
            </w:r>
          </w:p>
        </w:tc>
        <w:tc>
          <w:tcPr>
            <w:tcW w:w="9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actuarial loss</w:t>
            </w:r>
          </w:p>
        </w:tc>
        <w:tc>
          <w:tcPr>
            <w:tcW w:w="9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Prior service costs</w:t>
            </w:r>
          </w:p>
        </w:tc>
        <w:tc>
          <w:tcPr>
            <w:tcW w:w="9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cost</w:t>
            </w:r>
          </w:p>
        </w:tc>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4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non-service cost components of net periodic benefit cost are included in Other Income (Expense) in the line item Other, net on the unaudited Condensed Consolidated Statements of Income.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discount rate for the net periodic benefit cost used in the calculation of the postretirement health benefits was 4.90% for the three and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2024, and 3.82% for the three and six months ended 2023. The medical cost trend assumption for postretirement health benefits was 8.20%.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graded trend rate is expected to decrease to an ultimate rate of 4.90% in fiscal year 2044.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11. OPERATING SEGMENTS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two operating segments: (1) Retail and Wholesale Products Group and (2) Business to Business Products Group. These operating segments are managed separately and each segment's major customers have different characteristics. The Retail and Wholesale Products Group customers include mass merchandisers, the farm and fleet channel, drugstore chains, pet specialty retail outlets, dollar stores, retail grocery stores, distributors of industrial cleanup and automotive products, environmental service companies, sports field product users and marketers of consumer products. The Business to Business Products Group customers include: processors and refiners of edible oils, renewable diesel, petroleum-based oils and biodiesel fuel; manufacturers of animal feed and agricultural chemicals; and distributors of animal health and nutrition products. Our operating segments are also our reportable segments. The accounting policies of the segments are the same as those described in Note 1 of the Notes to the Consolidated Financial Statements included in our Annual Report on Form 10-K for the fiscal year ended July 31, 2023.</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for our principal products by segment are as follows (in thousands):</w:t>
      </w:r>
    </w:p>
    <w:p>
      <w:pPr>
        <w:spacing w:after="0" w:line="266"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gridSpan w:val="9"/>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Business to Business Products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gridSpan w:val="7"/>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Retail and Wholesale Products</w:t>
            </w:r>
          </w:p>
        </w:tc>
      </w:tr>
      <w:tr>
        <w:trPr>
          <w:trHeight w:val="241"/>
        </w:trPr>
        <w:tc>
          <w:tcPr>
            <w:tcW w:w="3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6"/>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Group</w:t>
            </w: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6"/>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Group</w:t>
            </w:r>
          </w:p>
        </w:tc>
      </w:tr>
      <w:tr>
        <w:trPr>
          <w:trHeight w:val="225"/>
        </w:trPr>
        <w:tc>
          <w:tcPr>
            <w:tcW w:w="3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8"/>
                <w:szCs w:val="18"/>
                <w:b w:val="1"/>
                <w:bCs w:val="1"/>
                <w:color w:val="auto"/>
              </w:rPr>
              <w:t>For the Six Months Ended January 31,</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3520" w:type="dxa"/>
            <w:vAlign w:val="bottom"/>
            <w:tcBorders>
              <w:bottom w:val="single" w:sz="8" w:color="CCEEFF"/>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3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Cat Litter</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120,187</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110,580</w:t>
            </w:r>
          </w:p>
        </w:tc>
      </w:tr>
      <w:tr>
        <w:trPr>
          <w:trHeight w:val="229"/>
        </w:trPr>
        <w:tc>
          <w:tcPr>
            <w:tcW w:w="3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Industrial and Sports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21,524</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20,787</w:t>
            </w:r>
          </w:p>
        </w:tc>
      </w:tr>
      <w:tr>
        <w:trPr>
          <w:trHeight w:val="230"/>
        </w:trPr>
        <w:tc>
          <w:tcPr>
            <w:tcW w:w="320" w:type="dxa"/>
            <w:vAlign w:val="bottom"/>
          </w:tcPr>
          <w:p>
            <w:pPr>
              <w:spacing w:after="0"/>
              <w:rPr>
                <w:sz w:val="19"/>
                <w:szCs w:val="19"/>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Agricultural and Horticultural</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19,593</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Bleaching Clay and Fluids Purification</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45,115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37,241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20" w:type="dxa"/>
            <w:vAlign w:val="bottom"/>
          </w:tcPr>
          <w:p>
            <w:pPr>
              <w:spacing w:after="0"/>
              <w:rPr>
                <w:sz w:val="19"/>
                <w:szCs w:val="19"/>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Animal Health and Nutrition</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10,687</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75,395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68,841</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141,711</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131,367</w:t>
            </w:r>
          </w:p>
        </w:tc>
      </w:tr>
      <w:tr>
        <w:trPr>
          <w:trHeight w:val="21"/>
        </w:trPr>
        <w:tc>
          <w:tcPr>
            <w:tcW w:w="3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560"/>
        </w:trPr>
        <w:tc>
          <w:tcPr>
            <w:tcW w:w="3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720" w:type="dxa"/>
            <w:vAlign w:val="bottom"/>
            <w:gridSpan w:val="9"/>
          </w:tcPr>
          <w:p>
            <w:pPr>
              <w:jc w:val="center"/>
              <w:spacing w:after="0"/>
              <w:rPr>
                <w:sz w:val="20"/>
                <w:szCs w:val="20"/>
                <w:color w:val="auto"/>
              </w:rPr>
            </w:pPr>
            <w:r>
              <w:rPr>
                <w:rFonts w:ascii="Times New Roman" w:cs="Times New Roman" w:eastAsia="Times New Roman" w:hAnsi="Times New Roman"/>
                <w:sz w:val="18"/>
                <w:szCs w:val="18"/>
                <w:b w:val="1"/>
                <w:bCs w:val="1"/>
                <w:color w:val="auto"/>
              </w:rPr>
              <w:t>Business to Business Products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gridSpan w:val="9"/>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Retail and Wholesale Products</w:t>
            </w:r>
          </w:p>
        </w:tc>
      </w:tr>
      <w:tr>
        <w:trPr>
          <w:trHeight w:val="241"/>
        </w:trPr>
        <w:tc>
          <w:tcPr>
            <w:tcW w:w="3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7"/>
              </w:rPr>
              <w:t>Group</w:t>
            </w: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7"/>
              </w:rPr>
              <w:t>Group</w:t>
            </w: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r>
      <w:tr>
        <w:trPr>
          <w:trHeight w:val="225"/>
        </w:trPr>
        <w:tc>
          <w:tcPr>
            <w:tcW w:w="3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gridSpan w:val="15"/>
          </w:tcPr>
          <w:p>
            <w:pPr>
              <w:ind w:left="740"/>
              <w:spacing w:after="0"/>
              <w:rPr>
                <w:sz w:val="20"/>
                <w:szCs w:val="20"/>
                <w:color w:val="auto"/>
              </w:rPr>
            </w:pPr>
            <w:r>
              <w:rPr>
                <w:rFonts w:ascii="Times New Roman" w:cs="Times New Roman" w:eastAsia="Times New Roman" w:hAnsi="Times New Roman"/>
                <w:sz w:val="18"/>
                <w:szCs w:val="18"/>
                <w:b w:val="1"/>
                <w:bCs w:val="1"/>
                <w:color w:val="auto"/>
              </w:rPr>
              <w:t>For the Three Months Ended January 31,</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r>
      <w:tr>
        <w:trPr>
          <w:trHeight w:val="223"/>
        </w:trPr>
        <w:tc>
          <w:tcPr>
            <w:tcW w:w="320" w:type="dxa"/>
            <w:vAlign w:val="bottom"/>
            <w:tcBorders>
              <w:bottom w:val="single" w:sz="8" w:color="CCEEFF"/>
            </w:tcBorders>
          </w:tcPr>
          <w:p>
            <w:pPr>
              <w:spacing w:after="0"/>
              <w:rPr>
                <w:sz w:val="19"/>
                <w:szCs w:val="19"/>
                <w:color w:val="auto"/>
              </w:rPr>
            </w:pPr>
          </w:p>
        </w:tc>
        <w:tc>
          <w:tcPr>
            <w:tcW w:w="3520" w:type="dxa"/>
            <w:vAlign w:val="bottom"/>
            <w:tcBorders>
              <w:bottom w:val="single" w:sz="8" w:color="CCEEFF"/>
            </w:tcBorders>
          </w:tcPr>
          <w:p>
            <w:pPr>
              <w:ind w:left="128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340" w:type="dxa"/>
            <w:vAlign w:val="bottom"/>
          </w:tcPr>
          <w:p>
            <w:pPr>
              <w:spacing w:after="0"/>
              <w:rPr>
                <w:sz w:val="19"/>
                <w:szCs w:val="19"/>
                <w:color w:val="auto"/>
              </w:rPr>
            </w:pPr>
          </w:p>
        </w:tc>
      </w:tr>
      <w:tr>
        <w:trPr>
          <w:trHeight w:val="223"/>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Cat Litter</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59,326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56,382</w:t>
            </w:r>
          </w:p>
        </w:tc>
        <w:tc>
          <w:tcPr>
            <w:tcW w:w="340" w:type="dxa"/>
            <w:vAlign w:val="bottom"/>
          </w:tcPr>
          <w:p>
            <w:pPr>
              <w:spacing w:after="0"/>
              <w:rPr>
                <w:sz w:val="19"/>
                <w:szCs w:val="19"/>
                <w:color w:val="auto"/>
              </w:rPr>
            </w:pPr>
          </w:p>
        </w:tc>
      </w:tr>
      <w:tr>
        <w:trPr>
          <w:trHeight w:val="230"/>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Industrial and Sports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10,108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10,133</w:t>
            </w:r>
          </w:p>
        </w:tc>
        <w:tc>
          <w:tcPr>
            <w:tcW w:w="340" w:type="dxa"/>
            <w:vAlign w:val="bottom"/>
          </w:tcPr>
          <w:p>
            <w:pPr>
              <w:spacing w:after="0"/>
              <w:rPr>
                <w:sz w:val="19"/>
                <w:szCs w:val="19"/>
                <w:color w:val="auto"/>
              </w:rPr>
            </w:pPr>
          </w:p>
        </w:tc>
      </w:tr>
      <w:tr>
        <w:trPr>
          <w:trHeight w:val="229"/>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Agricultural and Horticultural</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9,278</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9,785</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r>
      <w:tr>
        <w:trPr>
          <w:trHeight w:val="230"/>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Bleaching Clay and Fluids Purification</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22,709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r>
      <w:tr>
        <w:trPr>
          <w:trHeight w:val="230"/>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Animal Health and Nutrition</w:t>
            </w:r>
          </w:p>
        </w:tc>
        <w:tc>
          <w:tcPr>
            <w:tcW w:w="3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4,247</w:t>
            </w:r>
          </w:p>
        </w:tc>
        <w:tc>
          <w:tcPr>
            <w:tcW w:w="1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6,357</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r>
      <w:tr>
        <w:trPr>
          <w:trHeight w:val="223"/>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36,234</w:t>
            </w:r>
          </w:p>
        </w:tc>
        <w:tc>
          <w:tcPr>
            <w:tcW w:w="1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35,154</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69,434</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66,515</w:t>
            </w:r>
          </w:p>
        </w:tc>
        <w:tc>
          <w:tcPr>
            <w:tcW w:w="340" w:type="dxa"/>
            <w:vAlign w:val="bottom"/>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rely on any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13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July 31, 2023</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1"/>
                <w:szCs w:val="21"/>
                <w:color w:val="auto"/>
              </w:rPr>
            </w:pPr>
          </w:p>
        </w:tc>
        <w:tc>
          <w:tcPr>
            <w:tcW w:w="132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to Business Products Group</w:t>
            </w:r>
          </w:p>
        </w:tc>
        <w:tc>
          <w:tcPr>
            <w:tcW w:w="4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88,681</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and Wholesale Products Group</w:t>
            </w:r>
          </w:p>
        </w:tc>
        <w:tc>
          <w:tcPr>
            <w:tcW w:w="4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143,962</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Assets</w:t>
            </w:r>
          </w:p>
        </w:tc>
        <w:tc>
          <w:tcPr>
            <w:tcW w:w="43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63,509</w:t>
            </w:r>
          </w:p>
        </w:tc>
        <w:tc>
          <w:tcPr>
            <w:tcW w:w="1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3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296,152</w:t>
            </w:r>
          </w:p>
        </w:tc>
        <w:tc>
          <w:tcPr>
            <w:tcW w:w="18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286,235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320" w:type="dxa"/>
            <w:vAlign w:val="bottom"/>
            <w:vMerge w:val="restart"/>
          </w:tcPr>
          <w:p>
            <w:pPr>
              <w:jc w:val="right"/>
              <w:ind w:right="267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3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4100" w:type="dxa"/>
            <w:vAlign w:val="bottom"/>
            <w:tcBorders>
              <w:bottom w:val="single" w:sz="8" w:color="9A9A9A"/>
            </w:tcBorders>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1" w:name="page22"/>
    <w:bookmarkEnd w:id="21"/>
    <w:p>
      <w:pPr>
        <w:jc w:val="both"/>
        <w:spacing w:after="0" w:line="266" w:lineRule="auto"/>
        <w:rPr>
          <w:sz w:val="20"/>
          <w:szCs w:val="20"/>
          <w:color w:val="auto"/>
        </w:rPr>
      </w:pPr>
      <w:r>
        <w:rPr>
          <w:rFonts w:ascii="Times New Roman" w:cs="Times New Roman" w:eastAsia="Times New Roman" w:hAnsi="Times New Roman"/>
          <w:sz w:val="18"/>
          <w:szCs w:val="18"/>
          <w:color w:val="auto"/>
        </w:rPr>
        <w:t>Net sales and operating income for each segment are provided below. The corporate expenses line includes certain unallocated expenses, including primarily salaries, wages and benefits, purchased services, rent, utilities and depreciation and amortization associated with corporate functions such as information systems, finance, legal, human resources and customer service.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Six Months Ended January 31,</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23"/>
        </w:trPr>
        <w:tc>
          <w:tcPr>
            <w:tcW w:w="5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9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960" w:type="dxa"/>
            <w:vAlign w:val="bottom"/>
            <w:tcBorders>
              <w:bottom w:val="single" w:sz="8" w:color="auto"/>
            </w:tcBorders>
          </w:tcPr>
          <w:p>
            <w:pPr>
              <w:spacing w:after="0"/>
              <w:rPr>
                <w:sz w:val="19"/>
                <w:szCs w:val="19"/>
                <w:color w:val="auto"/>
              </w:rPr>
            </w:pPr>
          </w:p>
        </w:tc>
      </w:tr>
      <w:tr>
        <w:trPr>
          <w:trHeight w:val="223"/>
        </w:trPr>
        <w:tc>
          <w:tcPr>
            <w:tcW w:w="5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20" w:type="dxa"/>
            <w:vAlign w:val="bottom"/>
            <w:gridSpan w:val="5"/>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to Business Products Group</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75,395</w:t>
            </w:r>
          </w:p>
        </w:tc>
        <w:tc>
          <w:tcPr>
            <w:tcW w:w="62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68,841</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22,108</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14,991</w:t>
            </w:r>
          </w:p>
        </w:tc>
      </w:tr>
      <w:tr>
        <w:trPr>
          <w:trHeight w:val="22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Retail and Wholesale Products Group</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141,711</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131,367</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23,208</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16,256</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217,106</w:t>
            </w: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200,208</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0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Expenses</w:t>
            </w:r>
          </w:p>
        </w:tc>
        <w:tc>
          <w:tcPr>
            <w:tcW w:w="3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(16,995)</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(17,372)</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28,321</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13,875</w:t>
            </w:r>
          </w:p>
        </w:tc>
      </w:tr>
      <w:tr>
        <w:trPr>
          <w:trHeight w:val="22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Expenses, Net</w:t>
            </w:r>
          </w:p>
        </w:tc>
        <w:tc>
          <w:tcPr>
            <w:tcW w:w="3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(809)</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27,512</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11,476</w:t>
            </w:r>
          </w:p>
        </w:tc>
      </w:tr>
      <w:tr>
        <w:trPr>
          <w:trHeight w:val="22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3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(4,388)</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23,124</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9,076</w:t>
            </w:r>
          </w:p>
        </w:tc>
      </w:tr>
      <w:tr>
        <w:trPr>
          <w:trHeight w:val="223"/>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Noncontrolling Interest</w:t>
            </w:r>
          </w:p>
        </w:tc>
        <w:tc>
          <w:tcPr>
            <w:tcW w:w="3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Oil-Dri</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23,124</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9,097</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gridSpan w:val="5"/>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446"/>
        </w:trPr>
        <w:tc>
          <w:tcPr>
            <w:tcW w:w="55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9"/>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January 31,</w:t>
            </w:r>
          </w:p>
        </w:tc>
        <w:tc>
          <w:tcPr>
            <w:tcW w:w="960" w:type="dxa"/>
            <w:vAlign w:val="bottom"/>
            <w:tcBorders>
              <w:bottom w:val="single" w:sz="8" w:color="auto"/>
            </w:tcBorders>
          </w:tcPr>
          <w:p>
            <w:pPr>
              <w:spacing w:after="0"/>
              <w:rPr>
                <w:sz w:val="24"/>
                <w:szCs w:val="24"/>
                <w:color w:val="auto"/>
              </w:rPr>
            </w:pPr>
          </w:p>
        </w:tc>
      </w:tr>
      <w:tr>
        <w:trPr>
          <w:trHeight w:val="223"/>
        </w:trPr>
        <w:tc>
          <w:tcPr>
            <w:tcW w:w="5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9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960" w:type="dxa"/>
            <w:vAlign w:val="bottom"/>
            <w:tcBorders>
              <w:bottom w:val="single" w:sz="8" w:color="auto"/>
            </w:tcBorders>
          </w:tcPr>
          <w:p>
            <w:pPr>
              <w:spacing w:after="0"/>
              <w:rPr>
                <w:sz w:val="19"/>
                <w:szCs w:val="19"/>
                <w:color w:val="auto"/>
              </w:rPr>
            </w:pPr>
          </w:p>
        </w:tc>
      </w:tr>
      <w:tr>
        <w:trPr>
          <w:trHeight w:val="223"/>
        </w:trPr>
        <w:tc>
          <w:tcPr>
            <w:tcW w:w="5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20" w:type="dxa"/>
            <w:vAlign w:val="bottom"/>
            <w:gridSpan w:val="5"/>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to Business Products Group</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36,234</w:t>
            </w:r>
          </w:p>
        </w:tc>
        <w:tc>
          <w:tcPr>
            <w:tcW w:w="80" w:type="dxa"/>
            <w:vAlign w:val="bottom"/>
            <w:shd w:val="clear" w:color="auto" w:fill="CCEEFF"/>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35,154</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10,985</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7,734</w:t>
            </w:r>
          </w:p>
        </w:tc>
      </w:tr>
      <w:tr>
        <w:trPr>
          <w:trHeight w:val="230"/>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Retail and Wholesale Products Group</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69,434</w:t>
            </w:r>
          </w:p>
        </w:tc>
        <w:tc>
          <w:tcPr>
            <w:tcW w:w="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66,515</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11,877</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8,682</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105,668</w:t>
            </w: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101,669</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0"/>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Expenses</w:t>
            </w:r>
          </w:p>
        </w:tc>
        <w:tc>
          <w:tcPr>
            <w:tcW w:w="3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(7,697)</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(9,110)</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15,165</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7,306</w:t>
            </w:r>
          </w:p>
        </w:tc>
      </w:tr>
      <w:tr>
        <w:trPr>
          <w:trHeight w:val="230"/>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Expenses, Net</w:t>
            </w:r>
          </w:p>
        </w:tc>
        <w:tc>
          <w:tcPr>
            <w:tcW w:w="3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(483)</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14,682</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5,039</w:t>
            </w:r>
          </w:p>
        </w:tc>
      </w:tr>
      <w:tr>
        <w:trPr>
          <w:trHeight w:val="22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3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(2,300)</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12,382</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w:t>
            </w:r>
          </w:p>
        </w:tc>
      </w:tr>
      <w:tr>
        <w:trPr>
          <w:trHeight w:val="223"/>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Noncontrolling Interest</w:t>
            </w:r>
          </w:p>
        </w:tc>
        <w:tc>
          <w:tcPr>
            <w:tcW w:w="3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Oil-Dri</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12,382</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Amended and Restated Oil-Dri Corporation of America 2006 Long Term Incentive Plan, as amended (the "2006 Plan"), permits the grant of stock options, stock appreciation rights, restricted stock, restricted stock units, performance awards and other stock-based and cash-based awards. Our employees and outside directors are eligible to receive grants under the 2006 Plan. The total number of shares of stock subject to grants under the 2006 Plan may not exceed 1,719,500. As of January 31, 2024, there were 638,076 Common Stock or Class B shares available for future grants under this plan.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All of our non-vested restricted stock as of January 31, 2024 was issued under the 2006 Plan with vesting periods generally between one and five years. We determined the fair value of restricted stock as of the grant date. We recognize the related compensation expense over the period from the date of grant to the date the shares vest.</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were 70,000 and 57,000 restricted shares of Common Stock granted during the first six months of fiscal years 2024 and 2023, respectively. There were 125,000 restricted shares of Class B shares granted during the first six months of fiscal year 2024 and none in fiscal year 2023. Stock-based compensation expense was $1.0 million and $0.8 million for the three-months ended January 31, 2024 and 2023 respectively, and $1.8 million and $1.6 million for the six months ended January 31, 2024 and 2023, respectively.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restricted stock transactions is shown below:</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6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Restricted Shares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1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0" w:type="dxa"/>
            <w:vAlign w:val="bottom"/>
          </w:tcPr>
          <w:p>
            <w:pPr>
              <w:spacing w:after="0"/>
              <w:rPr>
                <w:sz w:val="1"/>
                <w:szCs w:val="1"/>
                <w:color w:val="auto"/>
              </w:rPr>
            </w:pPr>
          </w:p>
        </w:tc>
      </w:tr>
      <w:tr>
        <w:trPr>
          <w:trHeight w:val="241"/>
        </w:trPr>
        <w:tc>
          <w:tcPr>
            <w:tcW w:w="660" w:type="dxa"/>
            <w:vAlign w:val="bottom"/>
          </w:tcPr>
          <w:p>
            <w:pPr>
              <w:spacing w:after="0"/>
              <w:rPr>
                <w:sz w:val="20"/>
                <w:szCs w:val="20"/>
                <w:color w:val="auto"/>
              </w:rPr>
            </w:pPr>
          </w:p>
        </w:tc>
        <w:tc>
          <w:tcPr>
            <w:tcW w:w="6100" w:type="dxa"/>
            <w:vAlign w:val="bottom"/>
            <w:tcBorders>
              <w:bottom w:val="single" w:sz="8" w:color="CCEEFF"/>
            </w:tcBorders>
          </w:tcPr>
          <w:p>
            <w:pPr>
              <w:spacing w:after="0"/>
              <w:rPr>
                <w:sz w:val="20"/>
                <w:szCs w:val="20"/>
                <w:color w:val="auto"/>
              </w:rPr>
            </w:pPr>
          </w:p>
        </w:tc>
        <w:tc>
          <w:tcPr>
            <w:tcW w:w="1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25"/>
        </w:trPr>
        <w:tc>
          <w:tcPr>
            <w:tcW w:w="660" w:type="dxa"/>
            <w:vAlign w:val="bottom"/>
          </w:tcPr>
          <w:p>
            <w:pPr>
              <w:spacing w:after="0"/>
              <w:rPr>
                <w:sz w:val="19"/>
                <w:szCs w:val="19"/>
                <w:color w:val="auto"/>
              </w:rPr>
            </w:pP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outstanding at July 31, 2023</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62.51</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0" w:type="dxa"/>
            <w:vAlign w:val="bottom"/>
          </w:tcPr>
          <w:p>
            <w:pPr>
              <w:spacing w:after="0"/>
              <w:rPr>
                <w:sz w:val="1"/>
                <w:szCs w:val="1"/>
                <w:color w:val="auto"/>
              </w:rPr>
            </w:pPr>
          </w:p>
        </w:tc>
      </w:tr>
      <w:tr>
        <w:trPr>
          <w:trHeight w:val="248"/>
        </w:trPr>
        <w:tc>
          <w:tcPr>
            <w:tcW w:w="660" w:type="dxa"/>
            <w:vAlign w:val="bottom"/>
          </w:tcPr>
          <w:p>
            <w:pPr>
              <w:spacing w:after="0"/>
              <w:rPr>
                <w:sz w:val="21"/>
                <w:szCs w:val="21"/>
                <w:color w:val="auto"/>
              </w:rPr>
            </w:pPr>
          </w:p>
        </w:tc>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outstanding at January 31, 2024</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ACCUMULATED OTHER COMPREHENSIVE (LOSS) INCOME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accumulated other comprehensive (loss) income by component as of January 31, 2024 (in thousands):</w:t>
      </w:r>
    </w:p>
    <w:p>
      <w:pPr>
        <w:spacing w:after="0" w:line="23" w:lineRule="exact"/>
        <w:rPr>
          <w:sz w:val="20"/>
          <w:szCs w:val="20"/>
          <w:color w:val="auto"/>
        </w:rPr>
      </w:pPr>
    </w:p>
    <w:tbl>
      <w:tblPr>
        <w:tblLayout w:type="fixed"/>
        <w:tblInd w:w="5140" w:type="dxa"/>
        <w:tblCellMar>
          <w:top w:w="0" w:type="dxa"/>
          <w:left w:w="0" w:type="dxa"/>
          <w:bottom w:w="0" w:type="dxa"/>
          <w:right w:w="0" w:type="dxa"/>
        </w:tblCellMar>
      </w:tblPr>
      <w:tr>
        <w:trPr>
          <w:trHeight w:val="207"/>
        </w:trPr>
        <w:tc>
          <w:tcPr>
            <w:tcW w:w="1620" w:type="dxa"/>
            <w:vAlign w:val="bottom"/>
            <w:vMerge w:val="restart"/>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Pension and</w:t>
            </w:r>
          </w:p>
        </w:tc>
        <w:tc>
          <w:tcPr>
            <w:tcW w:w="1700" w:type="dxa"/>
            <w:vAlign w:val="bottom"/>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Cumulative</w:t>
            </w:r>
          </w:p>
        </w:tc>
        <w:tc>
          <w:tcPr>
            <w:tcW w:w="18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Total Accumulated</w:t>
            </w:r>
          </w:p>
        </w:tc>
        <w:tc>
          <w:tcPr>
            <w:tcW w:w="0" w:type="dxa"/>
            <w:vAlign w:val="bottom"/>
          </w:tcPr>
          <w:p>
            <w:pPr>
              <w:spacing w:after="0"/>
              <w:rPr>
                <w:sz w:val="1"/>
                <w:szCs w:val="1"/>
                <w:color w:val="auto"/>
              </w:rPr>
            </w:pPr>
          </w:p>
        </w:tc>
      </w:tr>
      <w:tr>
        <w:trPr>
          <w:trHeight w:val="176"/>
        </w:trPr>
        <w:tc>
          <w:tcPr>
            <w:tcW w:w="1620" w:type="dxa"/>
            <w:vAlign w:val="bottom"/>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1800" w:type="dxa"/>
            <w:vAlign w:val="bottom"/>
          </w:tcPr>
          <w:p>
            <w:pPr>
              <w:jc w:val="center"/>
              <w:ind w:left="2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0" w:type="dxa"/>
            <w:vAlign w:val="bottom"/>
          </w:tcPr>
          <w:p>
            <w:pPr>
              <w:spacing w:after="0"/>
              <w:rPr>
                <w:sz w:val="1"/>
                <w:szCs w:val="1"/>
                <w:color w:val="auto"/>
              </w:rPr>
            </w:pPr>
          </w:p>
        </w:tc>
      </w:tr>
      <w:tr>
        <w:trPr>
          <w:trHeight w:val="189"/>
        </w:trPr>
        <w:tc>
          <w:tcPr>
            <w:tcW w:w="1620" w:type="dxa"/>
            <w:vAlign w:val="bottom"/>
          </w:tcPr>
          <w:p>
            <w:pPr>
              <w:jc w:val="center"/>
              <w:ind w:right="35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Postretirement</w:t>
            </w:r>
          </w:p>
        </w:tc>
        <w:tc>
          <w:tcPr>
            <w:tcW w:w="1700" w:type="dxa"/>
            <w:vAlign w:val="bottom"/>
          </w:tcPr>
          <w:p>
            <w:pPr>
              <w:ind w:left="460"/>
              <w:spacing w:after="0" w:line="189" w:lineRule="exact"/>
              <w:rPr>
                <w:sz w:val="20"/>
                <w:szCs w:val="20"/>
                <w:color w:val="auto"/>
              </w:rPr>
            </w:pPr>
            <w:r>
              <w:rPr>
                <w:rFonts w:ascii="Times New Roman" w:cs="Times New Roman" w:eastAsia="Times New Roman" w:hAnsi="Times New Roman"/>
                <w:sz w:val="18"/>
                <w:szCs w:val="18"/>
                <w:b w:val="1"/>
                <w:bCs w:val="1"/>
                <w:color w:val="auto"/>
              </w:rPr>
              <w:t>Translation</w:t>
            </w:r>
          </w:p>
        </w:tc>
        <w:tc>
          <w:tcPr>
            <w:tcW w:w="1800" w:type="dxa"/>
            <w:vAlign w:val="bottom"/>
          </w:tcPr>
          <w:p>
            <w:pPr>
              <w:jc w:val="center"/>
              <w:ind w:left="23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0" w:type="dxa"/>
            <w:vAlign w:val="bottom"/>
          </w:tcPr>
          <w:p>
            <w:pPr>
              <w:spacing w:after="0"/>
              <w:rPr>
                <w:sz w:val="1"/>
                <w:szCs w:val="1"/>
                <w:color w:val="auto"/>
              </w:rPr>
            </w:pPr>
          </w:p>
        </w:tc>
      </w:tr>
      <w:tr>
        <w:trPr>
          <w:trHeight w:val="230"/>
        </w:trPr>
        <w:tc>
          <w:tcPr>
            <w:tcW w:w="162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Health Benefits</w:t>
            </w:r>
          </w:p>
        </w:tc>
        <w:tc>
          <w:tcPr>
            <w:tcW w:w="170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80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(Loss) Income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0</wp:posOffset>
            </wp:positionV>
            <wp:extent cx="5983605"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83605" cy="15430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p>
      <w:pPr>
        <w:spacing w:after="0" w:line="9" w:lineRule="exact"/>
        <w:rPr>
          <w:sz w:val="20"/>
          <w:szCs w:val="20"/>
          <w:color w:val="auto"/>
        </w:rPr>
      </w:pPr>
    </w:p>
    <w:p>
      <w:pPr>
        <w:ind w:left="940"/>
        <w:spacing w:after="0"/>
        <w:tabs>
          <w:tab w:leader="none" w:pos="4940" w:val="left"/>
        </w:tabs>
        <w:rPr>
          <w:sz w:val="20"/>
          <w:szCs w:val="20"/>
          <w:color w:val="auto"/>
        </w:rPr>
      </w:pPr>
      <w:r>
        <w:rPr>
          <w:rFonts w:ascii="Times New Roman" w:cs="Times New Roman" w:eastAsia="Times New Roman" w:hAnsi="Times New Roman"/>
          <w:sz w:val="18"/>
          <w:szCs w:val="18"/>
          <w:color w:val="auto"/>
        </w:rPr>
        <w:t>Balance as of July 31, 2023</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940" w:right="480"/>
        <w:spacing w:after="0" w:line="234" w:lineRule="auto"/>
        <w:rPr>
          <w:sz w:val="20"/>
          <w:szCs w:val="20"/>
          <w:color w:val="auto"/>
        </w:rPr>
      </w:pPr>
      <w:r>
        <w:rPr>
          <w:rFonts w:ascii="Times New Roman" w:cs="Times New Roman" w:eastAsia="Times New Roman" w:hAnsi="Times New Roman"/>
          <w:sz w:val="18"/>
          <w:szCs w:val="18"/>
          <w:color w:val="auto"/>
        </w:rPr>
        <w:t>Other comprehensive loss before reclassifications, net of tax</w:t>
      </w:r>
    </w:p>
    <w:p>
      <w:pPr>
        <w:spacing w:after="0" w:line="10" w:lineRule="exact"/>
        <w:rPr>
          <w:sz w:val="20"/>
          <w:szCs w:val="20"/>
          <w:color w:val="auto"/>
        </w:rPr>
      </w:pPr>
    </w:p>
    <w:p>
      <w:pPr>
        <w:ind w:left="940" w:right="1080"/>
        <w:spacing w:after="0" w:line="237" w:lineRule="auto"/>
        <w:rPr>
          <w:sz w:val="20"/>
          <w:szCs w:val="20"/>
          <w:color w:val="auto"/>
        </w:rPr>
      </w:pPr>
      <w:r>
        <w:rPr>
          <w:rFonts w:ascii="Times New Roman" w:cs="Times New Roman" w:eastAsia="Times New Roman" w:hAnsi="Times New Roman"/>
          <w:sz w:val="18"/>
          <w:szCs w:val="18"/>
          <w:color w:val="auto"/>
        </w:rPr>
        <w:t>Amounts reclassified from accumulated other comprehensive income, net of tax</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3"/>
              </w:rPr>
              <w:t>1,012</w:t>
            </w:r>
          </w:p>
        </w:tc>
        <w:tc>
          <w:tcPr>
            <w:tcW w:w="62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80" w:type="dxa"/>
            <w:vAlign w:val="bottom"/>
          </w:tcPr>
          <w:p>
            <w:pPr>
              <w:spacing w:after="0"/>
              <w:rPr>
                <w:sz w:val="20"/>
                <w:szCs w:val="20"/>
                <w:color w:val="auto"/>
              </w:rPr>
            </w:pPr>
          </w:p>
        </w:tc>
        <w:tc>
          <w:tcPr>
            <w:tcW w:w="6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407"/>
        </w:trPr>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18"/>
        </w:trPr>
        <w:tc>
          <w:tcPr>
            <w:tcW w:w="8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(43)</w:t>
            </w:r>
          </w:p>
        </w:tc>
        <w:tc>
          <w:tcPr>
            <w:tcW w:w="620" w:type="dxa"/>
            <w:vAlign w:val="bottom"/>
          </w:tcPr>
          <w:p>
            <w:pPr>
              <w:spacing w:after="0"/>
              <w:rPr>
                <w:sz w:val="24"/>
                <w:szCs w:val="24"/>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-3242945</wp:posOffset>
            </wp:positionH>
            <wp:positionV relativeFrom="paragraph">
              <wp:posOffset>-265430</wp:posOffset>
            </wp:positionV>
            <wp:extent cx="5983605" cy="2660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83605" cy="26606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300" w:space="720"/>
            <w:col w:w="5220"/>
          </w:cols>
          <w:pgMar w:left="320" w:top="887" w:right="339" w:bottom="1440" w:gutter="0" w:footer="0" w:header="0"/>
          <w:type w:val="continuous"/>
        </w:sectPr>
      </w:pPr>
    </w:p>
    <w:tbl>
      <w:tblPr>
        <w:tblLayout w:type="fixed"/>
        <w:tblInd w:w="920" w:type="dxa"/>
        <w:tblCellMar>
          <w:top w:w="0" w:type="dxa"/>
          <w:left w:w="0" w:type="dxa"/>
          <w:bottom w:w="0" w:type="dxa"/>
          <w:right w:w="0" w:type="dxa"/>
        </w:tblCellMar>
      </w:tblPr>
      <w:tr>
        <w:trPr>
          <w:trHeight w:val="223"/>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loss, net of tax</w:t>
            </w:r>
          </w:p>
        </w:tc>
        <w:tc>
          <w:tcPr>
            <w:tcW w:w="6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w w:val="99"/>
              </w:rPr>
              <w:t>(43)</w:t>
            </w:r>
          </w:p>
        </w:tc>
        <w:tc>
          <w:tcPr>
            <w:tcW w:w="400" w:type="dxa"/>
            <w:vAlign w:val="bottom"/>
            <w:tcBorders>
              <w:bottom w:val="single" w:sz="8" w:color="CCEEFF"/>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Borders>
              <w:bottom w:val="single" w:sz="8" w:color="CCEEFF"/>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(15)</w:t>
            </w:r>
          </w:p>
        </w:tc>
      </w:tr>
      <w:tr>
        <w:trPr>
          <w:trHeight w:val="24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31, 2024</w:t>
            </w: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969</w:t>
            </w:r>
          </w:p>
        </w:tc>
        <w:tc>
          <w:tcPr>
            <w:tcW w:w="4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733</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One member of our Board is currently the President and Chief Executive Officer of a vendor of ours. Total payments to this vendor for fees and cost reimbursements were $0.5 million and $0.1 million for the first six months of fiscal years 2024 and 2023, respectively. There were no outstanding accounts payable to that vendor as of January 31, 2024 or July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the financial statements and the related notes included herein and our Consolidated Financial Statements, accompanying notes and Management’s Discussion and Analysis of Financial Condition and Results of Operations contained in our Annual Report on Form 10-K for the fiscal year ended July 31, 2023. This discussion contains forward-looking statements that involve risks and uncertainties. Our actual results may differ materially from the results discussed in the forward-looking statements. Factors that might cause a difference include, but are not limited to, those discussed herein under "Forward-Looking Statements" and "Risk Factors," and those discussed under Item 1A, Risk Factors of our Annual Report on Form 10-K for the fiscal year ended July 31, 2023.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develop, mine, manufacture and market sorbent products principally produced from clay minerals, primarily consisting of calcium bentonite, attapulgite and diatomaceous shale. Our principal products include agricultural and horticultural chemical carriers, animal health and nutrition products, cat litter, fluid purification and filtration bleaching clays, industrial and automotive floor absorbents and sports field products. Our products are sold to two primary customer groups, including customers who resell our products as originally produced to the end consumer and other customers who use our products as part of their production process or use them as an ingredient in their final finished product. We have two reportable operating segments based on the different characteristics of our two primary customer groups: the Retail and Wholesale Products Group ("Retail and Wholesale" or "R&amp;W") and the Business to Business Products Group ("Business to Business" or "B2B"), as described in Note 11 of the Notes to the unaudited Condensed Consolidated Financial Statements. Each operating segment is discussed individually below.</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OVERVIEW</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three and six months ended January 31, 2024 continued to be very strong with top line growth in both the Retail and Wholesale Products Group and the Business to Business Products Group. Within Retail &amp; Wholesale, higher prices continued to drive the increases in net sales. Within Business to Business, revenue continued to grow driven by a combination of higher prices and increased volumes. Consolidated net sales increased $4.0 million or 4% in the second quarter and $16.9 million or 8% in the six months ended January 31, 2024 compared to the same periods of fiscal year 2023. Consolidated income from operations in the second quarter and first six months of fiscal year 2024 increased by $7.9 million and $14.4 million, respectively compared to the same periods in fiscal year 2023.</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expenses continued to increase, consolidated net income for the three and six months ended January 31, 2024, were $12.4 million and $23.1 million, respectively, compared to $3.9 million and $9.1 million in the three and six months ended January 31, 2023, respectively.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Consolidated Balance Sheets as of January 31, 2024 and our Consolidated Statements of Cash Flows for the six months ended January 31, 2024 show a decrease in total cash and cash equivalents from fiscal year-end 2023. The decrease was driven mostly by capital expenditures on property, plant &amp; equipment and dividend payments offset by increases in cash from operations. Refer to the "Liquidity and Capital Resources" section below.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SIX MONTHS ENDED JANUARY 31, 2024 COMPARED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SIX MONTHS ENDED JANUARY 31, 2023</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RESULTS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Consolidated net sales for the six months ended January 31, 2024 were $217.1 million, an 8% increase compared to net sales of $200.2 million for the six months ended January 31, 2023. Net sales increased for both our Retail and Wholesale and Business to Business products groups, primarily due to price increases implemented across both product groups and volume growth in our B2B products group.</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Consolidated gross profit in the six months ended January 31, 2024 was $61.9 million, an increase of $16.6 million, or 37%, from gross profit of $45.3 million in the six months ended January 31, 2023. Our gross margin (defined as gross profit as a</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4" w:name="page25"/>
    <w:bookmarkEnd w:id="24"/>
    <w:p>
      <w:pPr>
        <w:jc w:val="both"/>
        <w:spacing w:after="0" w:line="253" w:lineRule="auto"/>
        <w:rPr>
          <w:sz w:val="20"/>
          <w:szCs w:val="20"/>
          <w:color w:val="auto"/>
        </w:rPr>
      </w:pPr>
      <w:r>
        <w:rPr>
          <w:rFonts w:ascii="Times New Roman" w:cs="Times New Roman" w:eastAsia="Times New Roman" w:hAnsi="Times New Roman"/>
          <w:sz w:val="18"/>
          <w:szCs w:val="18"/>
          <w:color w:val="auto"/>
        </w:rPr>
        <w:t>percentage of net sales) in the six months ended January 31, 2024 increased to 29% from 23% in the same period of fiscal year 2023. Our domestic cost of goods sold per ton increased 6%, driven primarily by per ton increases in non-fuel manufacturing and freight offset by lower per ton natural gas and packaging costs. Non-fuel manufacturing costs per ton increased 10% during the six months ended January 31, 2024 compared to six months ended January 31, 2023, mainly due to higher per ton costs of labor, repairs, and depreciation, offset by a decrease in the per ton cost of purchased materials. Domestic freight costs per ton increased 11% in the six months ended January 31, 2024 compared to the same period of fiscal year 2023 due to a significant customer in our cat litter business that altered shipping terms in January 2023 from collect to delivered which increased our overall freight cost. Excluding the impact of this specific customer, per ton domestic freight costs would have decreased 7% in the six months ended January 31, 2024 compared to the same period of fiscal year 2023. Ocean freight costs have also decreased due to both lower rates and export fees. In addition, our overall freight costs can vary between periods depending on the mix of products sold and the geographic distribution of our customers. Packaging costs per ton decreased 5% in the six months ended January 31, 2024 compared to the same period of fiscal year 2023. Many of our contracts for packaging purchases are subject to periodic price adjustments, which trail changes in underlying commodity prices. Per ton cost of natural gas decreased 42% in the six months ended January 31, 2024 compared to the same period of fiscal year 2023 due to a decrease in natural gas prices.</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SG&amp;A expenses of $33.6 million for the six months ended January 31, 2024 were higher by $2.2 million, or 7%, compared to $31.5 million for the six months ended January 31, 2023. The increase was driven by higher segment SG&amp;A. Corporate unallocated expenses decreased $0.4 million, or 2%. The discussion of the segments' operating incomes below describes the changes in SG&amp;A expenses that were allocated to the operating segments.</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other expenses were $0.8 million for the six months ended January 31, 2024 compared to $2.4 million in the same period of fiscal year 2023. The decrease was mainly due to the $2.5 million accrual for the landfill modification charged in the second quarter of fiscal year 2023 offset by the increase in the landfill modification accrual in second quarter of fiscal year 2024 and higher interest income. Refer to Note 7 of the Notes to the unaudited Condensed Consolidated Financial Statements for additional details regarding the landfill modification accrual.</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Consolidated net income before taxes for the six months ended January 31, 2024 was $27.5 million compared to $11.5 million for the six months ended January 31, 2023. Results for the six months ended January 31, 2024 were driven by the factors discussed above.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a tax expense was $4.4 million for the six months ended January 31, 2024 compared to $2.4 million for the six months ended January 31, 2023. Our tax expense was driven primarily by higher net income. We used an estimated annual effective tax rate ("ETR") of 16% in determining our provision for income taxes, which is based on expected annual taxable income and the assessment of various tax deductions, including depletion.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TO BUSINESS PRODUCTS GROUP</w:t>
      </w: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sales of the Business to Business Products Group for the six months ended January 31, 2024 were $75.4 million, an increase of $6.6 million, or 10%, from net sales of $68.8 million for the six months ended January 31, 2023, driven by sales of our fluid purification products. Net sales of our fluids purification products increased $7.9 million, or 21%, in the six months ended January 31, 2024 compared to the six months ended January 31, 2023. The increase was primarily driven by new customers in the renewable diesel business in North America, as well as continued demand for our products used in the filtration of edible oil and jet-fuel and to a lesser extent pricing. Net sales increased in North America, our subsidiary in the UK, and Asia, partially offset by a decrease in Latin America and in the Europe, Middle East, and Africa ("EMEA") region. Net sales of our animal health and nutrition products decreased $1.1 million, or 10%, during the six months ended January 31, 2024 compared to the same period of fiscal year 2023. The decrease was driven by Latin America and our subsidiary in Mexico, partially offset by an increase in net sales in North America. Both in Latin America and Mexico, net sales were down due to softer demand, while North America sales increased due to a combination of higher prices and stronger demand by existing customers when compared to the same period in fiscal year 2023. Net sales in Asia, including sales by our subsidiary in China, remained flat. Net sales of our agricultural and horticultural chemical carrier products decreased $0.2 million, or 1%, for the six months ended January 31, 2024 compared to the same period in fiscal year 2023. This was a result of softer volumes offset partially by higher prices.</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SG&amp;A expenses for the Business to Business Products Group remained flat for the six months ended January 31, 2024 compared to the same period of the prior fiscal year as higher compensation expenses were offset by lower allocated technical service support costs from the Innovation Center and Microbiology Lab and broker commissions.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5" w:name="page26"/>
    <w:bookmarkEnd w:id="25"/>
    <w:p>
      <w:pPr>
        <w:jc w:val="both"/>
        <w:spacing w:after="0" w:line="266" w:lineRule="auto"/>
        <w:rPr>
          <w:sz w:val="20"/>
          <w:szCs w:val="20"/>
          <w:color w:val="auto"/>
        </w:rPr>
      </w:pPr>
      <w:r>
        <w:rPr>
          <w:rFonts w:ascii="Times New Roman" w:cs="Times New Roman" w:eastAsia="Times New Roman" w:hAnsi="Times New Roman"/>
          <w:sz w:val="18"/>
          <w:szCs w:val="18"/>
          <w:color w:val="auto"/>
        </w:rPr>
        <w:t>The Business to Business Products Group’s operating income for the six months ended January 31, 2024 was $22.1 million, an increase of $7.1 million, or 47%, from operating income of $15.0 million for the six months ended January 31, 2023. The increase in operating income was mostly driven by higher sales and favorable product mix.</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RETAIL AND WHOLESALE PRODUCTS GROUP</w:t>
      </w: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sales of the Retail and Wholesale Products Group for the six months ended January 31, 2024 were $141.7 million, an increase of $10.3 million, or 8%, from net sales of $131.4 million for the same period of fiscal year 2023, mainly driven by higher net sales from our cat litter products. Total global cat litter net sales for the six months ended January 31, 2024 increased $9.6 million, or 9%, compared to the six months ended January 31, 2023, of which $9.5 million of the increase was due to pricing actions in North America. Domestic net sales increased across all products except for private label heavy weight litter, with the greatest increase driven by sales of private label coarse litters and branded light weight scoopable. Net sales of co-packaged cat litter products increased $0.1 million compared to the same period in fiscal year 2023. The increase was driven by price as volumes were still down as a result of the cyberattack on one of our customers, which prevented it from placing and receiving orders during the first quarter of fiscal year 2024. Net sales of cat litter by our subsidiary in Canada increased period over period, as discussed in "Foreign Operations" below. Net sales of our global industrial and sports products increased $0.7 million, or 4%, compared to the six months ended January 31, 2023, primarily driven by increased demand of our synthetic absorbent products and higher prices of our clay-based floor absorbent products, partially offset by a decrease in sports products. This was further supplemented by an increase in net sales of industrial products by our subsidiary in Canada.</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SG&amp;A expenses for the Retail and Wholesale Products Group were $2.0 million, or 29%, higher during the six months ended January 31, 2024 compared to the six months ended January 31, 2023, primarily due to advertising spend. We anticipate total advertising expense in fiscal year 2024 to be higher than fiscal year 2023, though spread more evenly throughout the year.</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Retail and Wholesale Products Group's operating income for the six months ended January 31, 2024 was $23.2 million, an increase of $7.0 million, or 43%, from operating income of $16.3 million for the same period of fiscal year 2023. This was driven primarily by the increase in gross margins due to price increases, partially offset by higher cost of goods sold as discussed 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OPERATIONS</w:t>
      </w:r>
    </w:p>
    <w:p>
      <w:pPr>
        <w:spacing w:after="0" w:line="25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Foreign operations include our subsidiary in Canada, which is reported in the Retail and Wholesale Products Group, and our subsidiaries in the UK, Mexico, China and Indonesia, which are reported in the Business to Business Products Group. Net sales by our foreign subsidiaries for the six months ended January 31, 2024 were $11.5 million, an increase of 2%, compared to net sales of $11.2 million during the six months ended January 31, 2023. All of our foreign operations, with the exception of our subsidiaries in Mexico and Indonesia, experienced an increase in net sales during the six months ended January 31, 2024 compared to the same period of fiscal year 2023. Net sales of our subsidiary in the United Kingdom increased by $0.4 million, or 33%, compared to net sales in the same period in fiscal year 2023. The increase was driven by a combination of higher demand of edible oil filtration products and price increases. Net sales of our subsidiary in China increased $0.4 million, or 29%, in the six months ended January 31, 2024 compared to the same period of fiscal year 2023 due to the sell off of all existing inventory to the new master distributor, which occurred in the first quarter of fiscal year 2024. Future sales to China will be directly through the Company and not through our subsidiary in China. Total net sales of our subsidiary in Canada increased $0.2 million, or 3%, in the six months ended January 31, 2024 compared to the same period in fiscal year 2023, driven by higher net sales of floor absorbents and private label cat litter. The increase in floor absorbent sales was driven by a combination of higher prices and volume while the increase in cat litter sales was mainly due to price increases instituted in response to rising costs. Net sales of our subsidiary in Mexico decreased $0.7 million, or 44% in the six months ended January 31, 2024 compared to the same period of fiscal year 2023. Net sales by our foreign subsidiaries represented 5% of our consolidated net sales for six months ended January 31, 2024 compared to 6% for the six months ended January 31, 2023.</w:t>
      </w:r>
    </w:p>
    <w:p>
      <w:pPr>
        <w:spacing w:after="0" w:line="2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foreign subsidiaries reported net income of $0.7 million for the six months ended January 31, 2024, compared to $0.6 million in the six months ended January 31, 2023. The increase in net income was primarily driven by increases in Canada and the UK as discussed above.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Identifiable assets of our foreign subsidiaries as of January 31, 2024, were $11.9 million, compared to $14.6 million as of July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auto"/>
        </w:rPr>
        <w:t>THREE MONTHS ENDED JANUARY 31, 2024 COMPARED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THREE MONTHS ENDED JANUARY 31, 2023</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RESULTS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Consolidated net sales for the second quarter of fiscal year 2024 were $105.7 million, a 4% increase compared to net sales of $101.7 million for the second quarter of fiscal year 2023. Net sales increased for both our Retail and Wholesale Products Group and Business to Business Products Group. The increase in Retail and Wholesale was driven by higher prices while Business to Business was predominantly driven by volume growth and to a lesser extent pricing, as further discussed below.</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Consolidated gross profit for the second quarter of fiscal year 2024 was $30.9 million, or 29% of net sales, compared to $23.0 million, or 23% of net sales, for the second quarter of fiscal year 2023. The increase was driven by higher selling prices across multiple products and improved product mix. Domestic per ton cost of goods sold increased 1%, driven primarily by per ton increases in freight and non-fuel manufacturing costs offset by a decrease in natural gas and packaging costs. Per ton non-fuel manufacturing costs rose 5% in the second quarter of fiscal year 2024 compared to the second quarter of fiscal year 2023, due to higher per ton costs of labor, repairs, and depreciation, offset by a decrease in per ton costs of purchased materials. Domestic freight costs per ton increased 8% in the second quarter of fiscal year 2024 compared to the same period of fiscal year 2023 due to a significant customer in our cat litter business that altered shipping terms in January 2023 from collect to delivered which increased our overall freight cost. Excluding the impact of this specific customer, per ton domestic freight costs would have decreased 11% in the second quarter of fiscal year 2024 compared to the same period of fiscal year 2023. Ocean freight costs have also decreased due to favorable rates and reduction in export fees when compared to the same period in fiscal year 2023. In addition, our overall freight costs can vary between periods depending on the mix of products sold and the geographic distribution of our customers. The cost of natural gas per ton used to operate kilns that dry our clay was 24% lower in the second quarter of fiscal year 2024 compared to the second quarter of fiscal year 2023 as fuel prices have decreased. Packaging costs per ton decreased 11% in the second quarter of fiscal year 2024 compared to the same period of fiscal year 2023 due to lower commodity costs, particularly as it relates to resin and pallet costs. Many of our contracts for packaging purchases are subject to periodic price adjustments, which trail changes in underlying commodity prices.</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Total selling, general and administrative expenses of $15.8 million for the second quarter of fiscal year 2024 remained nearly flat compared to $15.7 million for the same period of fiscal year 2023. Unallocated corporate expenses were down by $1.4 million, or 16%, compared to the same period in fiscal year 2023 due to a reduction in corporate bonus accrual. The discussion of the segments' operating incomes below describes the changes in SG&amp;A expenses that were allocated to the operating segments.</w:t>
      </w:r>
    </w:p>
    <w:p>
      <w:pPr>
        <w:spacing w:after="0" w:line="2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net other expense of $0.5 million for the second quarter of fiscal year 2024 decreased compared to $2.3 million in the same period of fiscal year 2023 mainly due to the $2.5 million accrual for the landfill modification charged in the second quarter of fiscal year 2023, offset by the increase in the landfill modification accrual in second quarter of fiscal year 2024 and higher interest income. Refer to Note 7 of the Notes to the unaudited Condensed Consolidated Financial Statements for additional details regarding the landfill modification accrual.</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Consolidated net income before taxes for the second quarter of fiscal year 2024 was $14.7 million compared to $5.0 million for the same period of fiscal year 2023. Results for the second quarter of fiscal year 2024 were driven by the factors discussed above.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a tax expense was $2.3 million for the second quarter of fiscal year 2024 compared to $1.2 million for the second quarter of fiscal year 2023. Our tax expense was driven primarily by higher net income. We used an estimated annual ETR of 16% in determining our provision for income taxes, which is based on expected annual taxable income and the assessment of various tax deductions, including depletion.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TO BUSINESS PRODUCTS GROUP</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sales of the Business to Business Products Group for the second quarter of fiscal year 2024 were $36.2 million, an increase of $1.1 million, or 3%, from net sales of $35.2 million for the second quarter of fiscal year 2023, driven by an increase in net sales of our fluid purification products. Net sales of our fluids purification products increased $3.7 million, or 19%, compared to the second quarter of fiscal year 2023 driven primarily by the North America region. The increase in North America was due to new customers using our products for renewable diesel filtration as well as higher demand by existing customers in edible oil and jet-fuel filtration. There was also an increase in Asia driven by higher volume and timing of orders. The increase was partially offset by softer sales volumes in EMEA and Latin America. Net sales of our agricultural and horticultural chemical carrier products decreased $0.5 million, or 5%, for the second quarter of fiscal year 2024 compared to the same period in fiscal</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7" w:name="page28"/>
    <w:bookmarkEnd w:id="27"/>
    <w:p>
      <w:pPr>
        <w:jc w:val="both"/>
        <w:spacing w:after="0" w:line="261" w:lineRule="auto"/>
        <w:rPr>
          <w:sz w:val="20"/>
          <w:szCs w:val="20"/>
          <w:color w:val="auto"/>
        </w:rPr>
      </w:pPr>
      <w:r>
        <w:rPr>
          <w:rFonts w:ascii="Times New Roman" w:cs="Times New Roman" w:eastAsia="Times New Roman" w:hAnsi="Times New Roman"/>
          <w:sz w:val="18"/>
          <w:szCs w:val="18"/>
          <w:color w:val="auto"/>
        </w:rPr>
        <w:t>year 2023, primarily due to softer volumes. Net sales of our animal health and nutrition products decreased $2.1 million, or 33%, during the second quarter of fiscal year 2024, compared to the same period in fiscal year 2023. The decrease was driven by lower demand and timing of orders in Latin America, Asia (including China), and Mexico, partially offset by an increase in net sales in North America. The increase in North America driven primarily by price as customers transition from trial to full price and to a lesser extent volume.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SG&amp;A expenses for the Business to Business Products Group in the second quarter of fiscal year 2024 increased $0.2 million, or 7%, compared to the same period of fiscal year 2023. The increase was mainly driven by compensation-related expenses to teammates and consultants, offset by a decrease in allocated technical service support costs from the Innovation Center and Microbiology Lab.</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Business to Business Products Group’s operating income for the second quarter of fiscal year 2024 was $11.0 million, an increase of $3.3 million, or 42%, from operating income of $7.7 million for the second quarter of fiscal year 2023. The overall increase in operating income was primarily due to higher net sales and favorable product mix.</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RETAIL AND WHOLESALE PRODUCTS GROUP</w:t>
      </w: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sales of the Retail and Wholesale Products Group for the second quarter of fiscal year 2024 were $69.4 million, an increase of $2.9 million, or 4%, from net sales of $66.5 million for the second quarter of fiscal year 2023, driven by higher net sales of our cat litter products. Global cat litter net sales were $2.9 million, or 5%, higher compared to the second quarter of fiscal year 2023 driven by price increases. Net sales of co-packaged products increased $1.6 million compared to the same period in fiscal year 2023. This increase was driven by price increases as well as timing of sales shifting from the first to second quarter as a result of driven by a cyberattack on one of our customers, which prevented it from placing and receiving orders during the first quarter of fiscal year 2024. Domestic cat litter net sales were $50.2 million, an increase of $1.3 million driven mainly by price increases. Domestic net sales increased across all products except for private label heavy weight litter, with the greatest increase driven by sales of private label coarse litters and branded light weight scoopable. Net sales of our global industrial and sports products were $10.1 million for second quarter of fiscal year 2024, of which $9.6 million represented domestic net sales, both of which remained flat relative to the same period in 2023. Net sales of both cat litter and industrial products by our subsidiary in Canada remained flat in the second quarter of fiscal year 2024 compared to the same period of fiscal year 2023.</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SG&amp;A expenses for the Retail and Wholesale Products Group increased by $0.8 million, or 25%, during the second quarter of fiscal year 2024 compared to the same period in fiscal year 2023. The increase was primarily driven by an increase in advertising spend, compensation-related expenses, offset by a reduction in broker commissions. We anticipate total advertising expense in fiscal year 2024 to be higher than fiscal year 2023, however spread more evenly throughout the year.</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Retail and Wholesale Products Group's operating income was $11.9 million for the second quarter of fiscal year 2024, an increase of $3.2 million from operating income of $8.7 million for the same period of fiscal year 2023. This was driven primarily by the increase in gross margins due to selling price increases, partially offset by higher per ton cost of goods sold as discussed 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OPERATIONS</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Foreign operations include our subsidiary in Canada, which is reported in the Retail and Wholesale Products Group, and our subsidiaries in the UK, Mexico, China and Indonesia, which are reported in the Business to Business Products Group. Net sales by our foreign subsidiaries during the second quarter of fiscal year 2024 were $4.5 million, a decrease of $1.0 million, or 18%, compared to net sales of $5.5 million during the same period of fiscal year 2023, driven primarily by decreases in net sales in China and Mexico. Sales of our subsidiary in China were down $0.5 million as a result of transitioning to a distributor model in China rather than sales through our subsidiary. Future sales to China will be directly through the Company and captured the Asia region, and not through our subsidiary in China. Net sales of our subsidiary in Mexico decreased during the second quarter of fiscal year 2024 compared to the same period of fiscal year 2023 by $0.5 million, or 62%. Total net sales of our subsidiaries in Canada, the UK, and Indonesia remained flat in the second quarter of fiscal year 2024 compared to the same period in 2023. Net sales by our foreign subsidiaries represented 4% and 5% of our consolidated net sales during the second quarter of fiscal years 2024 and 2023, respectively.</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foreign subsidiaries reported net income of $0.1 million for the second quarter of both fiscal year 2024 and 2023. This was driven by the decrease in sales in China and Mexico, offset by the increase in net income in Canada through the reduction of manufacturing costs.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principal liquidity needs are to fund our capital requirements, including funding working capital needs; purchasing and upgrading equipment, facilities, information systems, and real estate; supporting new product development; investing in infrastructure; repurchasing stock; paying dividends; and, from time to time, business acquisitions, and funding our debt service requirements. During the six months ended January 31, 2024, we principally funded these short and long-term capital requirements using cash from current operations as well as cash generated from previous borrowings under our Series C Senior Notes.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currently anticipate cash flows from operations and our available sources of liquidity will be sufficient to meet our cash requirements. In addition, we are actively monitoring the timing and collection of our accounts receivable.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elements of our unaudited Condensed Consolidated Statements of Cash Flows (in thousands):</w:t>
      </w:r>
    </w:p>
    <w:p>
      <w:pPr>
        <w:spacing w:after="0" w:line="133" w:lineRule="exact"/>
        <w:rPr>
          <w:sz w:val="20"/>
          <w:szCs w:val="20"/>
          <w:color w:val="auto"/>
        </w:rPr>
      </w:pPr>
    </w:p>
    <w:p>
      <w:pPr>
        <w:jc w:val="center"/>
        <w:ind w:left="6460"/>
        <w:spacing w:after="0"/>
        <w:rPr>
          <w:sz w:val="20"/>
          <w:szCs w:val="20"/>
          <w:color w:val="auto"/>
        </w:rPr>
      </w:pPr>
      <w:r>
        <w:rPr>
          <w:rFonts w:ascii="Times New Roman" w:cs="Times New Roman" w:eastAsia="Times New Roman" w:hAnsi="Times New Roman"/>
          <w:sz w:val="18"/>
          <w:szCs w:val="18"/>
          <w:b w:val="1"/>
          <w:bCs w:val="1"/>
          <w:color w:val="auto"/>
        </w:rPr>
        <w:t>For the Six Months Ended January</w:t>
      </w:r>
    </w:p>
    <w:p>
      <w:pPr>
        <w:jc w:val="center"/>
        <w:ind w:left="6460"/>
        <w:spacing w:after="0"/>
        <w:rPr>
          <w:sz w:val="20"/>
          <w:szCs w:val="20"/>
          <w:color w:val="auto"/>
        </w:rPr>
      </w:pPr>
      <w:r>
        <w:rPr>
          <w:rFonts w:ascii="Times New Roman" w:cs="Times New Roman" w:eastAsia="Times New Roman" w:hAnsi="Times New Roman"/>
          <w:sz w:val="18"/>
          <w:szCs w:val="18"/>
          <w:b w:val="1"/>
          <w:bCs w:val="1"/>
          <w:color w:val="auto"/>
        </w:rPr>
        <w:t>31,</w:t>
      </w:r>
    </w:p>
    <w:p>
      <w:pPr>
        <w:spacing w:after="0" w:line="7" w:lineRule="exact"/>
        <w:rPr>
          <w:sz w:val="20"/>
          <w:szCs w:val="20"/>
          <w:color w:val="auto"/>
        </w:rPr>
      </w:pPr>
    </w:p>
    <w:tbl>
      <w:tblPr>
        <w:tblLayout w:type="fixed"/>
        <w:tblInd w:w="920" w:type="dxa"/>
        <w:tblCellMar>
          <w:top w:w="0" w:type="dxa"/>
          <w:left w:w="0" w:type="dxa"/>
          <w:bottom w:w="0" w:type="dxa"/>
          <w:right w:w="0" w:type="dxa"/>
        </w:tblCellMar>
      </w:tblPr>
      <w:tr>
        <w:trPr>
          <w:trHeight w:val="237"/>
        </w:trPr>
        <w:tc>
          <w:tcPr>
            <w:tcW w:w="648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14,217</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(15,546)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(12,635)</w:t>
            </w: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(6,464)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w:t>
            </w:r>
          </w:p>
        </w:tc>
      </w:tr>
      <w:tr>
        <w:trPr>
          <w:trHeight w:val="229"/>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net income, as adjusted for depreciation and amortization and other non-cash operating activities, the primary sources and uses of operating cash flows for the six months ended January 31, 2024 were as follows: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Inventory increased by $3.7 million in the six months ended January 31, 2024 due to a combination of rising costs, specifically due to labor and repairs and the building of inventory levels for anticipated demand and to avoid any potential supply chain disruptions.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increased by $3.2 million in the six months ended January 31, 2024. The increase is mainly due to the timing income tax payments.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Accounts payable decreased by $3.2 million in the six months ended January 31, 2024. The decrease was mainly due to the timing of payments, cost of goods and services we purchase, production volume levels and vendor payment terms.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Accrued expenses decreased $7.6 million in the six months ended January 31, 2024. The decrease was mainly due to the payout of annual bonuses and taxes, and other miscellaneous expenses which fluctuate due to timing of payments, changes in the cost of goods and services we purchase, production volume levels and vendor payment terms including freight.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of $15.5 million in the six months ended January 31, 2024 was driven by capital expenditures. During the six months ended January 31, 2024 we expanded our plant equipment and improved our facilities to support increased demand for our products.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of $6.5 million in the six months ended January 31, 2024 was primarily used for dividend payments and treasury stock repurchases.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cash balances held by our foreign subsidiaries of $5.4 million as of January 31, 2024 increased compared to $5.2 million as of July 31, 2023. See further discussion in "Foreign Operations" above.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January 31, 2024, we had remaining authority to repurchase 382,404 shares of Common Stock and 262,092 shares of Class B Stock under a repurchase plan approved by our Board. Repurchases may be made on the open market (pursuant to Rule 10b5-1 plans or otherwise) or in negotiated transactions. The timing, number and manner of share repurchases will be determined by our management pursuant to the repurchase plan approved by our Board.</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cash flow from operations, availability under our Note Agreement and revolving credit facility under our Credit Agreement, current cash balances and our ability to obtain other financing, if necessary, will provide sufficient liquidity for foreseeable working capital needs, capital expenditures at existing facilities, deferred compensation payouts, dividend payments and debt service obligations for at least the next 12 months. See Note 8 of the Notes to the unaudited Condensed Consolidated Financial Statements in this Quarterly Report on Form 10-Q. We expect capital expenditures in fiscal year 2024 to be greater than in fiscal year 2023. We do not believe that these increased capital expenditures will dramatically impact our cash position; however, our cash requirements are subject to change as business conditions warrant and opportunities arise.</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continually evaluate our liquidity position and anticipated cash needs, as well as the financing options available to obtain additional cash reserves. Our ability to fund operations, to make planned capital expenditures, to make scheduled debt payments and to remain in compliance with all financial covenants under debt agreements, including, but not limited to, the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discussion and analysis of financial condition and results of operations is based on our unaudited Condensed Consolidated Financial Statements, which have been prepared in accordance with U.S. GAAP for interim financial information and in compliance with instructions to Form 10-Q and Article 10 of Regulation S-X. The preparation of these financial statements requires the use of estimates and assumptions related to the reporting of assets, liabilities, revenues, expenses and related disclosures. In preparing these financial statements, we have made our best estimates and judgments of certain amounts included in the financial statements. Estimates and assumptions are revised periodically. Actual results could differ from these estimates. See the information concerning our critical accounting policies included under "Management’s Discussion of Financial Condition and Results of Operations" in our Annual Report on Form 10-K for the fiscal year ended July 31, 2023.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conducted an evaluation of the effectiveness of the design and operation of our disclosure controls and procedures (as defined in Rule 13a-15(e) under the Securities Exchange Act of 1934 (the "Exchange Act")) as of the end of the period covered by this Quarterly Report on Form 10-Q.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under the Exchange Act) that occurred during the fiscal quarter ended January 31, 2024 that have materially affected, or are reasonably likely to materially affect, our internal control over financial reporting.</w:t>
      </w:r>
    </w:p>
    <w:p>
      <w:pPr>
        <w:sectPr>
          <w:pgSz w:w="11900" w:h="16838" w:orient="portrait"/>
          <w:cols w:equalWidth="0" w:num="1">
            <w:col w:w="11240"/>
          </w:cols>
          <w:pgMar w:left="320" w:top="8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including the CEO and CFO, do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1 and 3 of this Part II are either inapplicable or are answered in the negative and are omitted pursuant to the instructions to Part II of Form 10-Q.</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0" w:lineRule="exact"/>
        <w:rPr>
          <w:sz w:val="20"/>
          <w:szCs w:val="20"/>
          <w:color w:val="auto"/>
        </w:rPr>
      </w:pPr>
    </w:p>
    <w:p>
      <w:pPr>
        <w:spacing w:after="0" w:line="2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operations and financial results are subject to various risks and uncertainties, including those described in Part I, Item 1A, "Risk Factors" in the Company's Annual Report on Form 10-K for the fiscal year ended July 31, 2023. Except for the risk factor set forth below, there have been no material changes to our risk factors since the Company's Annual Report on Form 10-K for the fiscal year ended July 31, 2023.</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no longer qualify as a "smaller reporting company" and, commencing with our quarterly report on Form 10-Q for the period ending October 31, 2024, we may no longer take advantage of reduced disclosure and reporting requirements applicable to smaller reporting companies.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qualify as a "smaller reporting company" as defined by the SEC and have been able to take advantage of reduced disclosure and reporting requirements applicable to smaller reporting companies. However, management performed the annual public float test as of the last business day of the Company's second fiscal quarter ended January 31, 2024 and determined that the Company no longer qualifies as a smaller reporting company due to its public float exceeding $250 million. The Company will continue to use the scaled disclosures permitted for a smaller reporting company through its annual report on Form 10-K for the fiscal year ending July 31, 2024. Beginning with our quarterly report on Form 10-Q for the period ending October 31, 2024, the Company will no longer be eligible to rely on the reduced disclosure and reporting requirements applicable to smaller reporting companies. The resulting increased disclosure and reporting requirements could have a material adverse effect on our business, financial condition and results of operations if we are unable to comply on a timely basis or if the attention of our management and personnel is diverted from other business concerns.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January 31, 2024, we did not sell any securities which were not registered under the Securities Act of 1933, as amended. The following table summarizes our Common Stock purchases by or on behalf of the Company or any affiliated purchaser (as defined in Rule 10b-18(a)(3) under the Exchange Act) during this period.</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r>
        <w:rPr>
          <w:rFonts w:ascii="Times New Roman" w:cs="Times New Roman" w:eastAsia="Times New Roman" w:hAnsi="Times New Roman"/>
          <w:sz w:val="23"/>
          <w:szCs w:val="23"/>
          <w:b w:val="1"/>
          <w:bCs w:val="1"/>
          <w:color w:val="auto"/>
          <w:vertAlign w:val="superscript"/>
        </w:rPr>
        <w:t>1, 2</w:t>
      </w:r>
    </w:p>
    <w:tbl>
      <w:tblPr>
        <w:tblLayout w:type="fixed"/>
        <w:tblInd w:w="0" w:type="dxa"/>
        <w:tblCellMar>
          <w:top w:w="0" w:type="dxa"/>
          <w:left w:w="0" w:type="dxa"/>
          <w:bottom w:w="0" w:type="dxa"/>
          <w:right w:w="0" w:type="dxa"/>
        </w:tblCellMar>
      </w:tblPr>
      <w:tr>
        <w:trPr>
          <w:trHeight w:val="214"/>
        </w:trPr>
        <w:tc>
          <w:tcPr>
            <w:tcW w:w="2120" w:type="dxa"/>
            <w:vAlign w:val="bottom"/>
            <w:tcBorders>
              <w:top w:val="single" w:sz="8" w:color="auto"/>
            </w:tcBorders>
          </w:tcPr>
          <w:p>
            <w:pPr>
              <w:spacing w:after="0"/>
              <w:rPr>
                <w:sz w:val="18"/>
                <w:szCs w:val="18"/>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2240" w:type="dxa"/>
            <w:vAlign w:val="bottom"/>
            <w:tcBorders>
              <w:top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0" w:type="dxa"/>
            <w:vAlign w:val="bottom"/>
          </w:tcPr>
          <w:p>
            <w:pPr>
              <w:spacing w:after="0"/>
              <w:rPr>
                <w:sz w:val="1"/>
                <w:szCs w:val="1"/>
                <w:color w:val="auto"/>
              </w:rPr>
            </w:pPr>
          </w:p>
        </w:tc>
      </w:tr>
      <w:tr>
        <w:trPr>
          <w:trHeight w:val="184"/>
        </w:trPr>
        <w:tc>
          <w:tcPr>
            <w:tcW w:w="21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3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240" w:type="dxa"/>
            <w:vAlign w:val="bottom"/>
          </w:tcPr>
          <w:p>
            <w:pPr>
              <w:jc w:val="center"/>
              <w:ind w:left="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Maximum Number of</w:t>
            </w:r>
          </w:p>
        </w:tc>
        <w:tc>
          <w:tcPr>
            <w:tcW w:w="0" w:type="dxa"/>
            <w:vAlign w:val="bottom"/>
          </w:tcPr>
          <w:p>
            <w:pPr>
              <w:spacing w:after="0"/>
              <w:rPr>
                <w:sz w:val="1"/>
                <w:szCs w:val="1"/>
                <w:color w:val="auto"/>
              </w:rPr>
            </w:pPr>
          </w:p>
        </w:tc>
      </w:tr>
      <w:tr>
        <w:trPr>
          <w:trHeight w:val="176"/>
        </w:trPr>
        <w:tc>
          <w:tcPr>
            <w:tcW w:w="2120" w:type="dxa"/>
            <w:vAlign w:val="bottom"/>
          </w:tcPr>
          <w:p>
            <w:pPr>
              <w:spacing w:after="0"/>
              <w:rPr>
                <w:sz w:val="15"/>
                <w:szCs w:val="15"/>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 Price Paid per</w:t>
            </w:r>
          </w:p>
        </w:tc>
        <w:tc>
          <w:tcPr>
            <w:tcW w:w="23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Purchased as Part of</w:t>
            </w:r>
          </w:p>
        </w:tc>
        <w:tc>
          <w:tcPr>
            <w:tcW w:w="2240" w:type="dxa"/>
            <w:vAlign w:val="bottom"/>
          </w:tcPr>
          <w:p>
            <w:pPr>
              <w:jc w:val="center"/>
              <w:ind w:lef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 that may yet be</w:t>
            </w:r>
          </w:p>
        </w:tc>
        <w:tc>
          <w:tcPr>
            <w:tcW w:w="0" w:type="dxa"/>
            <w:vAlign w:val="bottom"/>
          </w:tcPr>
          <w:p>
            <w:pPr>
              <w:spacing w:after="0"/>
              <w:rPr>
                <w:sz w:val="1"/>
                <w:szCs w:val="1"/>
                <w:color w:val="auto"/>
              </w:rPr>
            </w:pPr>
          </w:p>
        </w:tc>
      </w:tr>
      <w:tr>
        <w:trPr>
          <w:trHeight w:val="175"/>
        </w:trPr>
        <w:tc>
          <w:tcPr>
            <w:tcW w:w="2120" w:type="dxa"/>
            <w:vAlign w:val="bottom"/>
            <w:vMerge w:val="restart"/>
          </w:tcPr>
          <w:p>
            <w:pPr>
              <w:ind w:left="74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260" w:type="dxa"/>
            <w:vAlign w:val="bottom"/>
            <w:vMerge w:val="continue"/>
          </w:tcPr>
          <w:p>
            <w:pPr>
              <w:spacing w:after="0"/>
              <w:rPr>
                <w:sz w:val="15"/>
                <w:szCs w:val="15"/>
                <w:color w:val="auto"/>
              </w:rPr>
            </w:pPr>
          </w:p>
        </w:tc>
        <w:tc>
          <w:tcPr>
            <w:tcW w:w="2240" w:type="dxa"/>
            <w:vAlign w:val="bottom"/>
            <w:vMerge w:val="continue"/>
          </w:tcPr>
          <w:p>
            <w:pPr>
              <w:spacing w:after="0"/>
              <w:rPr>
                <w:sz w:val="15"/>
                <w:szCs w:val="15"/>
                <w:color w:val="auto"/>
              </w:rPr>
            </w:pPr>
          </w:p>
        </w:tc>
        <w:tc>
          <w:tcPr>
            <w:tcW w:w="23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Publicly Announced Plans</w:t>
            </w:r>
          </w:p>
        </w:tc>
        <w:tc>
          <w:tcPr>
            <w:tcW w:w="2240" w:type="dxa"/>
            <w:vAlign w:val="bottom"/>
          </w:tcPr>
          <w:p>
            <w:pPr>
              <w:jc w:val="center"/>
              <w:ind w:lef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Under Plans or</w:t>
            </w:r>
          </w:p>
        </w:tc>
        <w:tc>
          <w:tcPr>
            <w:tcW w:w="0" w:type="dxa"/>
            <w:vAlign w:val="bottom"/>
          </w:tcPr>
          <w:p>
            <w:pPr>
              <w:spacing w:after="0"/>
              <w:rPr>
                <w:sz w:val="1"/>
                <w:szCs w:val="1"/>
                <w:color w:val="auto"/>
              </w:rPr>
            </w:pPr>
          </w:p>
        </w:tc>
      </w:tr>
      <w:tr>
        <w:trPr>
          <w:trHeight w:val="243"/>
        </w:trPr>
        <w:tc>
          <w:tcPr>
            <w:tcW w:w="2120" w:type="dxa"/>
            <w:vAlign w:val="bottom"/>
            <w:tcBorders>
              <w:bottom w:val="single" w:sz="8" w:color="auto"/>
            </w:tcBorders>
            <w:vMerge w:val="continue"/>
          </w:tcPr>
          <w:p>
            <w:pPr>
              <w:spacing w:after="0"/>
              <w:rPr>
                <w:sz w:val="21"/>
                <w:szCs w:val="21"/>
                <w:color w:val="auto"/>
              </w:rPr>
            </w:pPr>
          </w:p>
        </w:tc>
        <w:tc>
          <w:tcPr>
            <w:tcW w:w="226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6"/>
              </w:rPr>
              <w:t>Purchased</w:t>
            </w:r>
            <w:r>
              <w:rPr>
                <w:rFonts w:ascii="Times New Roman" w:cs="Times New Roman" w:eastAsia="Times New Roman" w:hAnsi="Times New Roman"/>
                <w:sz w:val="23"/>
                <w:szCs w:val="23"/>
                <w:b w:val="1"/>
                <w:bCs w:val="1"/>
                <w:color w:val="auto"/>
                <w:w w:val="96"/>
                <w:vertAlign w:val="superscript"/>
              </w:rPr>
              <w:t>3</w:t>
            </w: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2240" w:type="dxa"/>
            <w:vAlign w:val="bottom"/>
            <w:tcBorders>
              <w:bottom w:val="single" w:sz="8" w:color="auto"/>
            </w:tcBorders>
          </w:tcPr>
          <w:p>
            <w:pPr>
              <w:jc w:val="center"/>
              <w:ind w:left="10"/>
              <w:spacing w:after="0" w:line="243" w:lineRule="exact"/>
              <w:rPr>
                <w:sz w:val="20"/>
                <w:szCs w:val="20"/>
                <w:color w:val="auto"/>
              </w:rPr>
            </w:pPr>
            <w:r>
              <w:rPr>
                <w:rFonts w:ascii="Times New Roman" w:cs="Times New Roman" w:eastAsia="Times New Roman" w:hAnsi="Times New Roman"/>
                <w:sz w:val="18"/>
                <w:szCs w:val="18"/>
                <w:b w:val="1"/>
                <w:bCs w:val="1"/>
                <w:color w:val="auto"/>
                <w:w w:val="97"/>
              </w:rPr>
              <w:t>Programs</w:t>
            </w:r>
            <w:r>
              <w:rPr>
                <w:rFonts w:ascii="Times New Roman" w:cs="Times New Roman" w:eastAsia="Times New Roman" w:hAnsi="Times New Roman"/>
                <w:sz w:val="23"/>
                <w:szCs w:val="23"/>
                <w:b w:val="1"/>
                <w:bCs w:val="1"/>
                <w:color w:val="auto"/>
                <w:w w:val="97"/>
                <w:vertAlign w:val="superscript"/>
              </w:rPr>
              <w:t>4</w:t>
            </w:r>
          </w:p>
        </w:tc>
        <w:tc>
          <w:tcPr>
            <w:tcW w:w="0" w:type="dxa"/>
            <w:vAlign w:val="bottom"/>
          </w:tcPr>
          <w:p>
            <w:pPr>
              <w:spacing w:after="0"/>
              <w:rPr>
                <w:sz w:val="1"/>
                <w:szCs w:val="1"/>
                <w:color w:val="auto"/>
              </w:rPr>
            </w:pPr>
          </w:p>
        </w:tc>
      </w:tr>
      <w:tr>
        <w:trPr>
          <w:trHeight w:val="169"/>
        </w:trPr>
        <w:tc>
          <w:tcPr>
            <w:tcW w:w="21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November 1, 2023 to</w:t>
            </w:r>
          </w:p>
        </w:tc>
        <w:tc>
          <w:tcPr>
            <w:tcW w:w="226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30, 2023</w:t>
            </w:r>
          </w:p>
        </w:tc>
        <w:tc>
          <w:tcPr>
            <w:tcW w:w="22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2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tcBorders>
              <w:bottom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407,150</w:t>
            </w:r>
          </w:p>
        </w:tc>
        <w:tc>
          <w:tcPr>
            <w:tcW w:w="0" w:type="dxa"/>
            <w:vAlign w:val="bottom"/>
          </w:tcPr>
          <w:p>
            <w:pPr>
              <w:spacing w:after="0"/>
              <w:rPr>
                <w:sz w:val="1"/>
                <w:szCs w:val="1"/>
                <w:color w:val="auto"/>
              </w:rPr>
            </w:pPr>
          </w:p>
        </w:tc>
      </w:tr>
      <w:tr>
        <w:trPr>
          <w:trHeight w:val="169"/>
        </w:trPr>
        <w:tc>
          <w:tcPr>
            <w:tcW w:w="21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December 1, 2023 to</w:t>
            </w:r>
          </w:p>
        </w:tc>
        <w:tc>
          <w:tcPr>
            <w:tcW w:w="22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23,063</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$68.89</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384,087</w:t>
            </w:r>
          </w:p>
        </w:tc>
        <w:tc>
          <w:tcPr>
            <w:tcW w:w="0" w:type="dxa"/>
            <w:vAlign w:val="bottom"/>
          </w:tcPr>
          <w:p>
            <w:pPr>
              <w:spacing w:after="0"/>
              <w:rPr>
                <w:sz w:val="1"/>
                <w:szCs w:val="1"/>
                <w:color w:val="auto"/>
              </w:rPr>
            </w:pPr>
          </w:p>
        </w:tc>
      </w:tr>
      <w:tr>
        <w:trPr>
          <w:trHeight w:val="176"/>
        </w:trPr>
        <w:tc>
          <w:tcPr>
            <w:tcW w:w="2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January 1, 2024 to January</w:t>
            </w:r>
          </w:p>
        </w:tc>
        <w:tc>
          <w:tcPr>
            <w:tcW w:w="226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31, 2024</w:t>
            </w:r>
          </w:p>
        </w:tc>
        <w:tc>
          <w:tcPr>
            <w:tcW w:w="2260" w:type="dxa"/>
            <w:vAlign w:val="bottom"/>
            <w:tcBorders>
              <w:bottom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1,683</w:t>
            </w:r>
          </w:p>
        </w:tc>
        <w:tc>
          <w:tcPr>
            <w:tcW w:w="2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$67.88</w:t>
            </w:r>
          </w:p>
        </w:tc>
        <w:tc>
          <w:tcPr>
            <w:tcW w:w="2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tcBorders>
              <w:bottom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382,404</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8"/>
        <w:spacing w:after="0" w:line="241" w:lineRule="auto"/>
        <w:tabs>
          <w:tab w:leader="none" w:pos="101"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table summarizes repurchases of (and remaining authority to repurchase) shares of our Common Stock. Our Board authorized the repurchase of 300,000 shares of Class B Stock on March 12, 2018, however, there have been no repurchases of Class B Stock for the three months ended January 31, 2024, and the authorized Class B Stock is not included in the table above. 262,092 shares of Class B Stock remain authorized for repurchases as of January 31, 2024. No shares of our Class A Common Stock are currently outstanding. Descriptions of our Common Stock, Class B Stock and Class A Common Stock are contained in Exhibit 4.1 of our Annual Report on Form 10-K for the fiscal year ended July 31, 2023.</w:t>
      </w:r>
    </w:p>
    <w:p>
      <w:pPr>
        <w:spacing w:after="0" w:line="226" w:lineRule="exact"/>
        <w:rPr>
          <w:sz w:val="20"/>
          <w:szCs w:val="20"/>
          <w:color w:val="auto"/>
        </w:rPr>
      </w:pPr>
    </w:p>
    <w:p>
      <w:pPr>
        <w:ind w:firstLine="8"/>
        <w:spacing w:after="0" w:line="229" w:lineRule="auto"/>
        <w:tabs>
          <w:tab w:leader="none" w:pos="88"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figures in the table reflect transactions according to the settlement dates. For purposes of our unaudited Condensed Consolidated Financial Statements included in this Quarterly Report on Form 10-Q, the impact of repurchases are recorded according to the settlement dates.</w:t>
      </w:r>
    </w:p>
    <w:p>
      <w:pPr>
        <w:spacing w:after="0" w:line="195" w:lineRule="exact"/>
        <w:rPr>
          <w:sz w:val="20"/>
          <w:szCs w:val="20"/>
          <w:color w:val="auto"/>
        </w:rPr>
      </w:pPr>
    </w:p>
    <w:p>
      <w:pPr>
        <w:ind w:left="100" w:hanging="92"/>
        <w:spacing w:after="0"/>
        <w:tabs>
          <w:tab w:leader="none" w:pos="10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All 24,746 shares were surrendered by employees to pay taxes related to restricted stock awards.</w:t>
      </w:r>
    </w:p>
    <w:p>
      <w:pPr>
        <w:spacing w:after="0" w:line="225" w:lineRule="exact"/>
        <w:rPr>
          <w:sz w:val="20"/>
          <w:szCs w:val="20"/>
          <w:color w:val="auto"/>
        </w:rPr>
      </w:pPr>
    </w:p>
    <w:p>
      <w:pPr>
        <w:jc w:val="both"/>
        <w:ind w:firstLine="8"/>
        <w:spacing w:after="0" w:line="239" w:lineRule="auto"/>
        <w:tabs>
          <w:tab w:leader="none" w:pos="8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Our Board authorized the repurchase of 750,000 shares of Common Stock on March 11, 2019. This authorization does not have a stated expiration date. The share numbers in this column indicate the number of shares of Common Stock that may yet be repurchased under this authorization. Repurchases may be made on the open market (pursuant to Rule 10b5-1 plans or otherwise) or in negotiated transactions. The timing, number and manner of share repurchases will be determined by management.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are included in Exhibit 95 to this Quarterly Report on Form 10-Q.</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January 31, 2024, none of our officers or directors adopted or terminated a "Rule 10b5-1 trading arrangement" or "non-Rule 10b5-1 trading arrangement" (each as defined in Item 408 of Regulation S-K).</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8"/>
        </w:trPr>
        <w:tc>
          <w:tcPr>
            <w:tcW w:w="790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3300" w:type="dxa"/>
            <w:vAlign w:val="bottom"/>
          </w:tcPr>
          <w:p>
            <w:pPr>
              <w:spacing w:after="0"/>
              <w:rPr>
                <w:sz w:val="20"/>
                <w:szCs w:val="20"/>
                <w:color w:val="auto"/>
              </w:rPr>
            </w:pPr>
          </w:p>
        </w:tc>
      </w:tr>
      <w:tr>
        <w:trPr>
          <w:trHeight w:val="203"/>
        </w:trPr>
        <w:tc>
          <w:tcPr>
            <w:tcW w:w="1080" w:type="dxa"/>
            <w:vAlign w:val="bottom"/>
            <w:gridSpan w:val="2"/>
          </w:tcPr>
          <w:p>
            <w:pPr>
              <w:ind w:left="220"/>
              <w:spacing w:after="0" w:line="202" w:lineRule="exact"/>
              <w:rPr>
                <w:sz w:val="20"/>
                <w:szCs w:val="20"/>
                <w:color w:val="auto"/>
              </w:rPr>
            </w:pPr>
            <w:r>
              <w:rPr>
                <w:rFonts w:ascii="Times New Roman" w:cs="Times New Roman" w:eastAsia="Times New Roman" w:hAnsi="Times New Roman"/>
                <w:sz w:val="18"/>
                <w:szCs w:val="18"/>
                <w:color w:val="auto"/>
              </w:rPr>
              <w:t>Exhibit</w:t>
            </w:r>
          </w:p>
        </w:tc>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00" w:type="dxa"/>
            <w:vAlign w:val="bottom"/>
          </w:tcPr>
          <w:p>
            <w:pPr>
              <w:spacing w:after="0"/>
              <w:rPr>
                <w:sz w:val="17"/>
                <w:szCs w:val="17"/>
                <w:color w:val="auto"/>
              </w:rPr>
            </w:pPr>
          </w:p>
        </w:tc>
      </w:tr>
      <w:tr>
        <w:trPr>
          <w:trHeight w:val="243"/>
        </w:trPr>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No.</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462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8"/>
                <w:szCs w:val="18"/>
                <w:color w:val="auto"/>
              </w:rPr>
              <w:t>Description</w:t>
            </w:r>
          </w:p>
        </w:tc>
        <w:tc>
          <w:tcPr>
            <w:tcW w:w="80" w:type="dxa"/>
            <w:vAlign w:val="bottom"/>
          </w:tcPr>
          <w:p>
            <w:pPr>
              <w:spacing w:after="0"/>
              <w:rPr>
                <w:sz w:val="21"/>
                <w:szCs w:val="21"/>
                <w:color w:val="auto"/>
              </w:rPr>
            </w:pPr>
          </w:p>
        </w:tc>
        <w:tc>
          <w:tcPr>
            <w:tcW w:w="33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SEC Document Reference</w:t>
            </w:r>
          </w:p>
        </w:tc>
      </w:tr>
      <w:tr>
        <w:trPr>
          <w:trHeight w:val="263"/>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Eighth Amendment, dated as of January 25, 2024, to Memorandum of Agreement #1450</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55"/>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9"/>
              </w:rPr>
              <w:t>“Fresh Step” ™ dated as of March 12, 2001.</w:t>
            </w:r>
          </w:p>
        </w:tc>
        <w:tc>
          <w:tcPr>
            <w:tcW w:w="34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3300" w:type="dxa"/>
            <w:vAlign w:val="bottom"/>
          </w:tcPr>
          <w:p>
            <w:pPr>
              <w:spacing w:after="0"/>
              <w:rPr>
                <w:sz w:val="13"/>
                <w:szCs w:val="13"/>
                <w:color w:val="auto"/>
              </w:rPr>
            </w:pPr>
          </w:p>
        </w:tc>
      </w:tr>
      <w:tr>
        <w:trPr>
          <w:trHeight w:val="318"/>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Certifications pursuant to Rule 13a–14(a) or Rule 15d-14(a) under the Securities Exchange</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56"/>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70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Act of 1934, as amended.</w:t>
            </w:r>
          </w:p>
        </w:tc>
        <w:tc>
          <w:tcPr>
            <w:tcW w:w="100" w:type="dxa"/>
            <w:vAlign w:val="bottom"/>
            <w:gridSpan w:val="2"/>
          </w:tcPr>
          <w:p>
            <w:pPr>
              <w:spacing w:after="0"/>
              <w:rPr>
                <w:sz w:val="13"/>
                <w:szCs w:val="13"/>
                <w:color w:val="auto"/>
              </w:rPr>
            </w:pPr>
          </w:p>
        </w:tc>
        <w:tc>
          <w:tcPr>
            <w:tcW w:w="3300" w:type="dxa"/>
            <w:vAlign w:val="bottom"/>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277"/>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Certifications pursuant to 18 U.S.C. Section 1350 as adopted pursuant to Section 906 of the</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156"/>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8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120" w:type="dxa"/>
            <w:vAlign w:val="bottom"/>
            <w:gridSpan w:val="3"/>
          </w:tcPr>
          <w:p>
            <w:pPr>
              <w:spacing w:after="0"/>
              <w:rPr>
                <w:sz w:val="13"/>
                <w:szCs w:val="13"/>
                <w:color w:val="auto"/>
              </w:rPr>
            </w:pPr>
          </w:p>
        </w:tc>
        <w:tc>
          <w:tcPr>
            <w:tcW w:w="3300" w:type="dxa"/>
            <w:vAlign w:val="bottom"/>
          </w:tcPr>
          <w:p>
            <w:pPr>
              <w:spacing w:after="0"/>
              <w:rPr>
                <w:sz w:val="13"/>
                <w:szCs w:val="13"/>
                <w:color w:val="auto"/>
              </w:rPr>
            </w:pPr>
          </w:p>
        </w:tc>
      </w:tr>
      <w:tr>
        <w:trPr>
          <w:trHeight w:val="277"/>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Mine Safety Disclosures</w:t>
            </w:r>
            <w:r>
              <w:rPr>
                <w:rFonts w:ascii="Times New Roman" w:cs="Times New Roman" w:eastAsia="Times New Roman" w:hAnsi="Times New Roman"/>
                <w:sz w:val="18"/>
                <w:szCs w:val="18"/>
                <w:color w:val="000000"/>
              </w:rPr>
              <w:t>.</w:t>
            </w:r>
          </w:p>
        </w:tc>
        <w:tc>
          <w:tcPr>
            <w:tcW w:w="4700" w:type="dxa"/>
            <w:vAlign w:val="bottom"/>
            <w:gridSpan w:val="6"/>
          </w:tcPr>
          <w:p>
            <w:pPr>
              <w:spacing w:after="0"/>
              <w:rPr>
                <w:sz w:val="24"/>
                <w:szCs w:val="24"/>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5020" w:type="dxa"/>
            <w:vAlign w:val="bottom"/>
            <w:gridSpan w:val="7"/>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304"/>
        </w:trPr>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6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83"/>
        </w:trPr>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6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83"/>
        </w:trPr>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6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83"/>
        </w:trPr>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6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83"/>
        </w:trPr>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6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84"/>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bl>
    <w:p>
      <w:pPr>
        <w:spacing w:after="0" w:line="3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Note: Stockholders may receive copies of the above listed exhibits, without fee, by written request to Investor Relations, Oil-Dri Corporation of America, 410 North Michigan Avenue, Suite 400, Chicago, Illinois 60611-4213, by telephone at (312) 321-1515 or by e-mail to info@oildri.com.</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OIL-DRI CORPORATION OF AMERICA</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-7620</wp:posOffset>
            </wp:positionV>
            <wp:extent cx="16033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03375" cy="8255"/>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Daniel S. Jaffee</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Susan M. Kreh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-7620</wp:posOffset>
            </wp:positionV>
            <wp:extent cx="15392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39240" cy="8255"/>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Susan M. Kreh</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7, 2024</w:t>
      </w:r>
    </w:p>
    <w:p>
      <w:pPr>
        <w:spacing w:after="0" w:line="200" w:lineRule="exact"/>
        <w:rPr>
          <w:sz w:val="20"/>
          <w:szCs w:val="20"/>
          <w:color w:val="auto"/>
        </w:rPr>
      </w:pPr>
    </w:p>
    <w:p>
      <w:pPr>
        <w:spacing w:after="0" w:line="36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320"/>
          </w:cols>
          <w:pgMar w:left="660" w:top="891" w:right="919" w:bottom="1440" w:gutter="0" w:footer="0" w:header="0"/>
        </w:sectPr>
      </w:pPr>
    </w:p>
    <w:bookmarkStart w:id="34" w:name="page35"/>
    <w:bookmarkEnd w:id="34"/>
    <w:p>
      <w:pPr>
        <w:spacing w:after="0"/>
        <w:rPr>
          <w:sz w:val="20"/>
          <w:szCs w:val="20"/>
          <w:color w:val="auto"/>
        </w:rPr>
      </w:pPr>
      <w:r>
        <w:rPr>
          <w:rFonts w:ascii="Arial" w:cs="Arial" w:eastAsia="Arial" w:hAnsi="Arial"/>
          <w:sz w:val="20"/>
          <w:szCs w:val="20"/>
          <w:color w:val="auto"/>
        </w:rPr>
        <w:t>Exhibit 10.1</w:t>
      </w:r>
    </w:p>
    <w:p>
      <w:pPr>
        <w:spacing w:after="0" w:line="200" w:lineRule="exact"/>
        <w:rPr>
          <w:sz w:val="20"/>
          <w:szCs w:val="20"/>
          <w:color w:val="auto"/>
        </w:rPr>
      </w:pPr>
    </w:p>
    <w:p>
      <w:pPr>
        <w:spacing w:after="0" w:line="281" w:lineRule="exact"/>
        <w:rPr>
          <w:sz w:val="20"/>
          <w:szCs w:val="20"/>
          <w:color w:val="auto"/>
        </w:rPr>
      </w:pPr>
    </w:p>
    <w:p>
      <w:pPr>
        <w:ind w:left="3620"/>
        <w:spacing w:after="0"/>
        <w:rPr>
          <w:sz w:val="20"/>
          <w:szCs w:val="20"/>
          <w:color w:val="auto"/>
        </w:rPr>
      </w:pPr>
      <w:r>
        <w:rPr>
          <w:rFonts w:ascii="Arial" w:cs="Arial" w:eastAsia="Arial" w:hAnsi="Arial"/>
          <w:sz w:val="22"/>
          <w:szCs w:val="22"/>
          <w:color w:val="auto"/>
        </w:rPr>
        <w:t>EIGHTH AMENDMENT TO AGREEMENT 1450</w:t>
      </w:r>
    </w:p>
    <w:p>
      <w:pPr>
        <w:spacing w:after="0" w:line="200" w:lineRule="exact"/>
        <w:rPr>
          <w:sz w:val="20"/>
          <w:szCs w:val="20"/>
          <w:color w:val="auto"/>
        </w:rPr>
      </w:pPr>
    </w:p>
    <w:p>
      <w:pPr>
        <w:spacing w:after="0" w:line="257" w:lineRule="exact"/>
        <w:rPr>
          <w:sz w:val="20"/>
          <w:szCs w:val="20"/>
          <w:color w:val="auto"/>
        </w:rPr>
      </w:pPr>
    </w:p>
    <w:p>
      <w:pPr>
        <w:ind w:left="100"/>
        <w:spacing w:after="0"/>
        <w:rPr>
          <w:sz w:val="20"/>
          <w:szCs w:val="20"/>
          <w:color w:val="auto"/>
        </w:rPr>
      </w:pPr>
      <w:r>
        <w:rPr>
          <w:rFonts w:ascii="Arial" w:cs="Arial" w:eastAsia="Arial" w:hAnsi="Arial"/>
          <w:sz w:val="21"/>
          <w:szCs w:val="21"/>
          <w:color w:val="auto"/>
        </w:rPr>
        <w:t>This Eighth Amendment to Memorandum of Agreement #1450 (MOA) is made on January 25, 2024, by and between</w:t>
      </w:r>
    </w:p>
    <w:p>
      <w:pPr>
        <w:ind w:right="360"/>
        <w:spacing w:after="0" w:line="226" w:lineRule="auto"/>
        <w:rPr>
          <w:sz w:val="20"/>
          <w:szCs w:val="20"/>
          <w:color w:val="auto"/>
        </w:rPr>
      </w:pPr>
      <w:r>
        <w:rPr>
          <w:rFonts w:ascii="Arial" w:cs="Arial" w:eastAsia="Arial" w:hAnsi="Arial"/>
          <w:sz w:val="22"/>
          <w:szCs w:val="22"/>
          <w:b w:val="1"/>
          <w:bCs w:val="1"/>
          <w:color w:val="auto"/>
        </w:rPr>
        <w:t>A &amp; M Products Manufacturing Company</w:t>
      </w:r>
      <w:r>
        <w:rPr>
          <w:rFonts w:ascii="Arial" w:cs="Arial" w:eastAsia="Arial" w:hAnsi="Arial"/>
          <w:sz w:val="22"/>
          <w:szCs w:val="22"/>
          <w:color w:val="auto"/>
        </w:rPr>
        <w:t>, 1221 Broadway, Oakland, California, 94612, hereinafter “</w:t>
      </w:r>
      <w:r>
        <w:rPr>
          <w:rFonts w:ascii="Arial" w:cs="Arial" w:eastAsia="Arial" w:hAnsi="Arial"/>
          <w:sz w:val="22"/>
          <w:szCs w:val="22"/>
          <w:b w:val="1"/>
          <w:bCs w:val="1"/>
          <w:color w:val="auto"/>
        </w:rPr>
        <w:t>Buyer</w:t>
      </w:r>
      <w:r>
        <w:rPr>
          <w:rFonts w:ascii="Arial" w:cs="Arial" w:eastAsia="Arial" w:hAnsi="Arial"/>
          <w:sz w:val="22"/>
          <w:szCs w:val="22"/>
          <w:color w:val="auto"/>
        </w:rPr>
        <w:t>” and</w:t>
      </w:r>
      <w:r>
        <w:rPr>
          <w:rFonts w:ascii="Arial" w:cs="Arial" w:eastAsia="Arial" w:hAnsi="Arial"/>
          <w:sz w:val="22"/>
          <w:szCs w:val="22"/>
          <w:b w:val="1"/>
          <w:bCs w:val="1"/>
          <w:color w:val="auto"/>
        </w:rPr>
        <w:t xml:space="preserve"> Oil-Dri Corporation of America</w:t>
      </w:r>
      <w:r>
        <w:rPr>
          <w:rFonts w:ascii="Arial" w:cs="Arial" w:eastAsia="Arial" w:hAnsi="Arial"/>
          <w:sz w:val="22"/>
          <w:szCs w:val="22"/>
          <w:color w:val="auto"/>
        </w:rPr>
        <w:t>, 410 N. Michigan Avenue, Chicago, Illinois 60611, hereinafter “</w:t>
      </w:r>
      <w:r>
        <w:rPr>
          <w:rFonts w:ascii="Arial" w:cs="Arial" w:eastAsia="Arial" w:hAnsi="Arial"/>
          <w:sz w:val="22"/>
          <w:szCs w:val="22"/>
          <w:b w:val="1"/>
          <w:bCs w:val="1"/>
          <w:color w:val="auto"/>
        </w:rPr>
        <w:t>Seller</w:t>
      </w:r>
      <w:r>
        <w:rPr>
          <w:rFonts w:ascii="Arial" w:cs="Arial" w:eastAsia="Arial" w:hAnsi="Arial"/>
          <w:sz w:val="22"/>
          <w:szCs w:val="22"/>
          <w:color w:val="auto"/>
        </w:rPr>
        <w:t>”.</w:t>
      </w:r>
    </w:p>
    <w:p>
      <w:pPr>
        <w:spacing w:after="0" w:line="179"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RECITALS</w:t>
      </w:r>
    </w:p>
    <w:p>
      <w:pPr>
        <w:spacing w:after="0" w:line="231" w:lineRule="exact"/>
        <w:rPr>
          <w:sz w:val="20"/>
          <w:szCs w:val="20"/>
          <w:color w:val="auto"/>
        </w:rPr>
      </w:pPr>
    </w:p>
    <w:p>
      <w:pPr>
        <w:ind w:left="660" w:hanging="328"/>
        <w:spacing w:after="0" w:line="241" w:lineRule="auto"/>
        <w:tabs>
          <w:tab w:leader="none" w:pos="658" w:val="left"/>
        </w:tabs>
        <w:numPr>
          <w:ilvl w:val="0"/>
          <w:numId w:val="8"/>
        </w:numPr>
        <w:rPr>
          <w:rFonts w:ascii="Arial" w:cs="Arial" w:eastAsia="Arial" w:hAnsi="Arial"/>
          <w:sz w:val="20"/>
          <w:szCs w:val="20"/>
          <w:color w:val="auto"/>
        </w:rPr>
      </w:pPr>
      <w:r>
        <w:rPr>
          <w:rFonts w:ascii="Arial" w:cs="Arial" w:eastAsia="Arial" w:hAnsi="Arial"/>
          <w:sz w:val="22"/>
          <w:szCs w:val="22"/>
          <w:color w:val="auto"/>
        </w:rPr>
        <w:t xml:space="preserve">Buyer and Seller </w:t>
      </w:r>
      <w:r>
        <w:rPr>
          <w:rFonts w:ascii="Arial" w:cs="Arial" w:eastAsia="Arial" w:hAnsi="Arial"/>
          <w:sz w:val="19"/>
          <w:szCs w:val="19"/>
          <w:color w:val="auto"/>
        </w:rPr>
        <w:t>are</w:t>
      </w:r>
      <w:r>
        <w:rPr>
          <w:rFonts w:ascii="Arial" w:cs="Arial" w:eastAsia="Arial" w:hAnsi="Arial"/>
          <w:sz w:val="22"/>
          <w:szCs w:val="22"/>
          <w:color w:val="auto"/>
        </w:rPr>
        <w:t xml:space="preserve"> parties </w:t>
      </w:r>
      <w:r>
        <w:rPr>
          <w:rFonts w:ascii="Arial" w:cs="Arial" w:eastAsia="Arial" w:hAnsi="Arial"/>
          <w:sz w:val="19"/>
          <w:szCs w:val="19"/>
          <w:color w:val="auto"/>
        </w:rPr>
        <w:t>to</w:t>
      </w:r>
      <w:r>
        <w:rPr>
          <w:rFonts w:ascii="Arial" w:cs="Arial" w:eastAsia="Arial" w:hAnsi="Arial"/>
          <w:sz w:val="22"/>
          <w:szCs w:val="22"/>
          <w:color w:val="auto"/>
        </w:rPr>
        <w:t xml:space="preserve"> Memorandum of Agreement (“</w:t>
      </w:r>
      <w:r>
        <w:rPr>
          <w:rFonts w:ascii="Arial" w:cs="Arial" w:eastAsia="Arial" w:hAnsi="Arial"/>
          <w:sz w:val="22"/>
          <w:szCs w:val="22"/>
          <w:b w:val="1"/>
          <w:bCs w:val="1"/>
          <w:color w:val="auto"/>
        </w:rPr>
        <w:t>MOA</w:t>
      </w:r>
      <w:r>
        <w:rPr>
          <w:rFonts w:ascii="Arial" w:cs="Arial" w:eastAsia="Arial" w:hAnsi="Arial"/>
          <w:sz w:val="22"/>
          <w:szCs w:val="22"/>
          <w:color w:val="auto"/>
        </w:rPr>
        <w:t xml:space="preserve">”), </w:t>
      </w:r>
      <w:r>
        <w:rPr>
          <w:rFonts w:ascii="Arial" w:cs="Arial" w:eastAsia="Arial" w:hAnsi="Arial"/>
          <w:sz w:val="19"/>
          <w:szCs w:val="19"/>
          <w:color w:val="auto"/>
        </w:rPr>
        <w:t>as</w:t>
      </w:r>
      <w:r>
        <w:rPr>
          <w:rFonts w:ascii="Arial" w:cs="Arial" w:eastAsia="Arial" w:hAnsi="Arial"/>
          <w:sz w:val="22"/>
          <w:szCs w:val="22"/>
          <w:color w:val="auto"/>
        </w:rPr>
        <w:t xml:space="preserve"> amended, dated March 12, 2001, </w:t>
      </w:r>
      <w:r>
        <w:rPr>
          <w:rFonts w:ascii="Arial" w:cs="Arial" w:eastAsia="Arial" w:hAnsi="Arial"/>
          <w:sz w:val="19"/>
          <w:szCs w:val="19"/>
          <w:color w:val="auto"/>
        </w:rPr>
        <w:t>as</w:t>
      </w:r>
      <w:r>
        <w:rPr>
          <w:rFonts w:ascii="Arial" w:cs="Arial" w:eastAsia="Arial" w:hAnsi="Arial"/>
          <w:sz w:val="22"/>
          <w:szCs w:val="22"/>
          <w:color w:val="auto"/>
        </w:rPr>
        <w:t xml:space="preserve"> amended </w:t>
      </w:r>
      <w:r>
        <w:rPr>
          <w:rFonts w:ascii="Arial" w:cs="Arial" w:eastAsia="Arial" w:hAnsi="Arial"/>
          <w:sz w:val="19"/>
          <w:szCs w:val="19"/>
          <w:color w:val="auto"/>
        </w:rPr>
        <w:t>by the</w:t>
      </w:r>
      <w:r>
        <w:rPr>
          <w:rFonts w:ascii="Arial" w:cs="Arial" w:eastAsia="Arial" w:hAnsi="Arial"/>
          <w:sz w:val="22"/>
          <w:szCs w:val="22"/>
          <w:color w:val="auto"/>
        </w:rPr>
        <w:t xml:space="preserve"> First Amendment, dated December 13, 2002, and </w:t>
      </w:r>
      <w:r>
        <w:rPr>
          <w:rFonts w:ascii="Arial" w:cs="Arial" w:eastAsia="Arial" w:hAnsi="Arial"/>
          <w:sz w:val="19"/>
          <w:szCs w:val="19"/>
          <w:color w:val="auto"/>
        </w:rPr>
        <w:t>the</w:t>
      </w:r>
      <w:r>
        <w:rPr>
          <w:rFonts w:ascii="Arial" w:cs="Arial" w:eastAsia="Arial" w:hAnsi="Arial"/>
          <w:sz w:val="22"/>
          <w:szCs w:val="22"/>
          <w:color w:val="auto"/>
        </w:rPr>
        <w:t xml:space="preserve"> Second Amendment, dated October 15, 2007, and </w:t>
      </w:r>
      <w:r>
        <w:rPr>
          <w:rFonts w:ascii="Arial" w:cs="Arial" w:eastAsia="Arial" w:hAnsi="Arial"/>
          <w:sz w:val="19"/>
          <w:szCs w:val="19"/>
          <w:color w:val="auto"/>
        </w:rPr>
        <w:t>the</w:t>
      </w:r>
      <w:r>
        <w:rPr>
          <w:rFonts w:ascii="Arial" w:cs="Arial" w:eastAsia="Arial" w:hAnsi="Arial"/>
          <w:sz w:val="22"/>
          <w:szCs w:val="22"/>
          <w:color w:val="auto"/>
        </w:rPr>
        <w:t xml:space="preserve"> Third Amendment, dated May 27, 2016, </w:t>
      </w:r>
      <w:r>
        <w:rPr>
          <w:rFonts w:ascii="Arial" w:cs="Arial" w:eastAsia="Arial" w:hAnsi="Arial"/>
          <w:sz w:val="19"/>
          <w:szCs w:val="19"/>
          <w:color w:val="auto"/>
        </w:rPr>
        <w:t>the</w:t>
      </w:r>
      <w:r>
        <w:rPr>
          <w:rFonts w:ascii="Arial" w:cs="Arial" w:eastAsia="Arial" w:hAnsi="Arial"/>
          <w:sz w:val="22"/>
          <w:szCs w:val="22"/>
          <w:color w:val="auto"/>
        </w:rPr>
        <w:t xml:space="preserve"> Fourth Amendment, dated December 4, 2020</w:t>
      </w:r>
      <w:r>
        <w:rPr>
          <w:rFonts w:ascii="Arial" w:cs="Arial" w:eastAsia="Arial" w:hAnsi="Arial"/>
          <w:sz w:val="19"/>
          <w:szCs w:val="19"/>
          <w:color w:val="auto"/>
        </w:rPr>
        <w:t>, the</w:t>
      </w:r>
      <w:r>
        <w:rPr>
          <w:rFonts w:ascii="Arial" w:cs="Arial" w:eastAsia="Arial" w:hAnsi="Arial"/>
          <w:sz w:val="22"/>
          <w:szCs w:val="22"/>
          <w:color w:val="auto"/>
        </w:rPr>
        <w:t xml:space="preserve"> Fifth Amendment, dated April 14, 2023, the Sixth Amendment, dated June 29, 2023 and the Sixth Amendment, dated September 21, 2023 (the “</w:t>
      </w:r>
      <w:r>
        <w:rPr>
          <w:rFonts w:ascii="Arial" w:cs="Arial" w:eastAsia="Arial" w:hAnsi="Arial"/>
          <w:sz w:val="22"/>
          <w:szCs w:val="22"/>
          <w:b w:val="1"/>
          <w:bCs w:val="1"/>
          <w:color w:val="auto"/>
        </w:rPr>
        <w:t>Original Agreement</w:t>
      </w:r>
      <w:r>
        <w:rPr>
          <w:rFonts w:ascii="Arial" w:cs="Arial" w:eastAsia="Arial" w:hAnsi="Arial"/>
          <w:sz w:val="22"/>
          <w:szCs w:val="22"/>
          <w:color w:val="auto"/>
        </w:rPr>
        <w:t>”); and</w:t>
      </w:r>
    </w:p>
    <w:p>
      <w:pPr>
        <w:spacing w:after="0" w:line="189" w:lineRule="exact"/>
        <w:rPr>
          <w:rFonts w:ascii="Arial" w:cs="Arial" w:eastAsia="Arial" w:hAnsi="Arial"/>
          <w:sz w:val="20"/>
          <w:szCs w:val="20"/>
          <w:color w:val="auto"/>
        </w:rPr>
      </w:pPr>
    </w:p>
    <w:p>
      <w:pPr>
        <w:ind w:left="660" w:hanging="328"/>
        <w:spacing w:after="0"/>
        <w:tabs>
          <w:tab w:leader="none" w:pos="660" w:val="left"/>
        </w:tabs>
        <w:numPr>
          <w:ilvl w:val="0"/>
          <w:numId w:val="9"/>
        </w:numPr>
        <w:rPr>
          <w:rFonts w:ascii="Arial" w:cs="Arial" w:eastAsia="Arial" w:hAnsi="Arial"/>
          <w:sz w:val="20"/>
          <w:szCs w:val="20"/>
          <w:color w:val="auto"/>
        </w:rPr>
      </w:pPr>
      <w:r>
        <w:rPr>
          <w:rFonts w:ascii="Arial" w:cs="Arial" w:eastAsia="Arial" w:hAnsi="Arial"/>
          <w:sz w:val="22"/>
          <w:szCs w:val="22"/>
          <w:color w:val="auto"/>
        </w:rPr>
        <w:t xml:space="preserve">Seller and Buyer wish </w:t>
      </w:r>
      <w:r>
        <w:rPr>
          <w:rFonts w:ascii="Arial" w:cs="Arial" w:eastAsia="Arial" w:hAnsi="Arial"/>
          <w:sz w:val="19"/>
          <w:szCs w:val="19"/>
          <w:color w:val="auto"/>
        </w:rPr>
        <w:t>to amend the</w:t>
      </w:r>
      <w:r>
        <w:rPr>
          <w:rFonts w:ascii="Arial" w:cs="Arial" w:eastAsia="Arial" w:hAnsi="Arial"/>
          <w:sz w:val="22"/>
          <w:szCs w:val="22"/>
          <w:color w:val="auto"/>
        </w:rPr>
        <w:t xml:space="preserve"> Original Agreement </w:t>
      </w:r>
      <w:r>
        <w:rPr>
          <w:rFonts w:ascii="Arial" w:cs="Arial" w:eastAsia="Arial" w:hAnsi="Arial"/>
          <w:sz w:val="19"/>
          <w:szCs w:val="19"/>
          <w:color w:val="auto"/>
        </w:rPr>
        <w:t>as</w:t>
      </w:r>
      <w:r>
        <w:rPr>
          <w:rFonts w:ascii="Arial" w:cs="Arial" w:eastAsia="Arial" w:hAnsi="Arial"/>
          <w:sz w:val="22"/>
          <w:szCs w:val="22"/>
          <w:color w:val="auto"/>
        </w:rPr>
        <w:t xml:space="preserve"> hereinafter </w:t>
      </w:r>
      <w:r>
        <w:rPr>
          <w:rFonts w:ascii="Arial" w:cs="Arial" w:eastAsia="Arial" w:hAnsi="Arial"/>
          <w:sz w:val="19"/>
          <w:szCs w:val="19"/>
          <w:color w:val="auto"/>
        </w:rPr>
        <w:t>set</w:t>
      </w:r>
      <w:r>
        <w:rPr>
          <w:rFonts w:ascii="Arial" w:cs="Arial" w:eastAsia="Arial" w:hAnsi="Arial"/>
          <w:sz w:val="22"/>
          <w:szCs w:val="22"/>
          <w:color w:val="auto"/>
        </w:rPr>
        <w:t xml:space="preserve"> forth.</w:t>
      </w:r>
    </w:p>
    <w:p>
      <w:pPr>
        <w:spacing w:after="0" w:line="233" w:lineRule="exact"/>
        <w:rPr>
          <w:sz w:val="20"/>
          <w:szCs w:val="20"/>
          <w:color w:val="auto"/>
        </w:rPr>
      </w:pPr>
    </w:p>
    <w:p>
      <w:pPr>
        <w:ind w:right="600" w:firstLine="737"/>
        <w:spacing w:after="0" w:line="259" w:lineRule="auto"/>
        <w:rPr>
          <w:sz w:val="20"/>
          <w:szCs w:val="20"/>
          <w:color w:val="auto"/>
        </w:rPr>
      </w:pPr>
      <w:r>
        <w:rPr>
          <w:rFonts w:ascii="Arial" w:cs="Arial" w:eastAsia="Arial" w:hAnsi="Arial"/>
          <w:sz w:val="22"/>
          <w:szCs w:val="22"/>
          <w:color w:val="auto"/>
        </w:rPr>
        <w:t xml:space="preserve">NOW THEREFORE, </w:t>
      </w:r>
      <w:r>
        <w:rPr>
          <w:rFonts w:ascii="Arial" w:cs="Arial" w:eastAsia="Arial" w:hAnsi="Arial"/>
          <w:sz w:val="19"/>
          <w:szCs w:val="19"/>
          <w:color w:val="auto"/>
        </w:rPr>
        <w:t>for good</w:t>
      </w:r>
      <w:r>
        <w:rPr>
          <w:rFonts w:ascii="Arial" w:cs="Arial" w:eastAsia="Arial" w:hAnsi="Arial"/>
          <w:sz w:val="22"/>
          <w:szCs w:val="22"/>
          <w:color w:val="auto"/>
        </w:rPr>
        <w:t xml:space="preserve"> and valuable consideration, </w:t>
      </w:r>
      <w:r>
        <w:rPr>
          <w:rFonts w:ascii="Arial" w:cs="Arial" w:eastAsia="Arial" w:hAnsi="Arial"/>
          <w:sz w:val="19"/>
          <w:szCs w:val="19"/>
          <w:color w:val="auto"/>
        </w:rPr>
        <w:t>the</w:t>
      </w:r>
      <w:r>
        <w:rPr>
          <w:rFonts w:ascii="Arial" w:cs="Arial" w:eastAsia="Arial" w:hAnsi="Arial"/>
          <w:sz w:val="22"/>
          <w:szCs w:val="22"/>
          <w:color w:val="auto"/>
        </w:rPr>
        <w:t xml:space="preserve"> receipt and sufficiency of which </w:t>
      </w:r>
      <w:r>
        <w:rPr>
          <w:rFonts w:ascii="Arial" w:cs="Arial" w:eastAsia="Arial" w:hAnsi="Arial"/>
          <w:sz w:val="19"/>
          <w:szCs w:val="19"/>
          <w:color w:val="auto"/>
        </w:rPr>
        <w:t>are</w:t>
      </w:r>
      <w:r>
        <w:rPr>
          <w:rFonts w:ascii="Arial" w:cs="Arial" w:eastAsia="Arial" w:hAnsi="Arial"/>
          <w:sz w:val="22"/>
          <w:szCs w:val="22"/>
          <w:color w:val="auto"/>
        </w:rPr>
        <w:t xml:space="preserve"> hereby acknowledged and accepted, </w:t>
      </w:r>
      <w:r>
        <w:rPr>
          <w:rFonts w:ascii="Arial" w:cs="Arial" w:eastAsia="Arial" w:hAnsi="Arial"/>
          <w:sz w:val="19"/>
          <w:szCs w:val="19"/>
          <w:color w:val="auto"/>
        </w:rPr>
        <w:t>the</w:t>
      </w:r>
      <w:r>
        <w:rPr>
          <w:rFonts w:ascii="Arial" w:cs="Arial" w:eastAsia="Arial" w:hAnsi="Arial"/>
          <w:sz w:val="22"/>
          <w:szCs w:val="22"/>
          <w:color w:val="auto"/>
        </w:rPr>
        <w:t xml:space="preserve"> parties hereby agree </w:t>
      </w:r>
      <w:r>
        <w:rPr>
          <w:rFonts w:ascii="Arial" w:cs="Arial" w:eastAsia="Arial" w:hAnsi="Arial"/>
          <w:sz w:val="19"/>
          <w:szCs w:val="19"/>
          <w:color w:val="auto"/>
        </w:rPr>
        <w:t>to amend the</w:t>
      </w:r>
      <w:r>
        <w:rPr>
          <w:rFonts w:ascii="Arial" w:cs="Arial" w:eastAsia="Arial" w:hAnsi="Arial"/>
          <w:sz w:val="22"/>
          <w:szCs w:val="22"/>
          <w:color w:val="auto"/>
        </w:rPr>
        <w:t xml:space="preserve"> Original Agreement </w:t>
      </w:r>
      <w:r>
        <w:rPr>
          <w:rFonts w:ascii="Arial" w:cs="Arial" w:eastAsia="Arial" w:hAnsi="Arial"/>
          <w:sz w:val="19"/>
          <w:szCs w:val="19"/>
          <w:color w:val="auto"/>
        </w:rPr>
        <w:t>as</w:t>
      </w:r>
      <w:r>
        <w:rPr>
          <w:rFonts w:ascii="Arial" w:cs="Arial" w:eastAsia="Arial" w:hAnsi="Arial"/>
          <w:sz w:val="22"/>
          <w:szCs w:val="22"/>
          <w:color w:val="auto"/>
        </w:rPr>
        <w:t xml:space="preserve"> follows:</w:t>
      </w:r>
    </w:p>
    <w:p>
      <w:pPr>
        <w:spacing w:after="0" w:line="168" w:lineRule="exact"/>
        <w:rPr>
          <w:sz w:val="20"/>
          <w:szCs w:val="20"/>
          <w:color w:val="auto"/>
        </w:rPr>
      </w:pPr>
    </w:p>
    <w:p>
      <w:pPr>
        <w:ind w:left="1300" w:hanging="320"/>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2"/>
          <w:szCs w:val="22"/>
          <w:b w:val="1"/>
          <w:bCs w:val="1"/>
          <w:color w:val="auto"/>
        </w:rPr>
        <w:t>Schedule 1. Section B</w:t>
      </w:r>
      <w:r>
        <w:rPr>
          <w:rFonts w:ascii="Arial" w:cs="Arial" w:eastAsia="Arial" w:hAnsi="Arial"/>
          <w:sz w:val="22"/>
          <w:szCs w:val="22"/>
          <w:color w:val="auto"/>
        </w:rPr>
        <w:t>.</w:t>
      </w:r>
      <w:r>
        <w:rPr>
          <w:rFonts w:ascii="Arial" w:cs="Arial" w:eastAsia="Arial" w:hAnsi="Arial"/>
          <w:sz w:val="22"/>
          <w:szCs w:val="22"/>
          <w:b w:val="1"/>
          <w:bCs w:val="1"/>
          <w:color w:val="auto"/>
        </w:rPr>
        <w:t xml:space="preserve"> Term. </w:t>
      </w:r>
      <w:r>
        <w:rPr>
          <w:rFonts w:ascii="Arial" w:cs="Arial" w:eastAsia="Arial" w:hAnsi="Arial"/>
          <w:sz w:val="22"/>
          <w:szCs w:val="22"/>
          <w:color w:val="auto"/>
        </w:rPr>
        <w:t>is amended and restated in its entirety to read as follows:</w:t>
      </w:r>
    </w:p>
    <w:p>
      <w:pPr>
        <w:spacing w:after="0" w:line="235" w:lineRule="exact"/>
        <w:rPr>
          <w:sz w:val="20"/>
          <w:szCs w:val="20"/>
          <w:color w:val="auto"/>
        </w:rPr>
      </w:pPr>
    </w:p>
    <w:p>
      <w:pPr>
        <w:ind w:right="300" w:firstLine="738"/>
        <w:spacing w:after="0" w:line="265" w:lineRule="auto"/>
        <w:rPr>
          <w:sz w:val="20"/>
          <w:szCs w:val="20"/>
          <w:color w:val="auto"/>
        </w:rPr>
      </w:pPr>
      <w:r>
        <w:rPr>
          <w:rFonts w:ascii="Arial" w:cs="Arial" w:eastAsia="Arial" w:hAnsi="Arial"/>
          <w:sz w:val="22"/>
          <w:szCs w:val="22"/>
          <w:color w:val="auto"/>
        </w:rPr>
        <w:t xml:space="preserve">“The initial term of this Agreement (“Initial Term”) will commence </w:t>
      </w:r>
      <w:r>
        <w:rPr>
          <w:rFonts w:ascii="Arial" w:cs="Arial" w:eastAsia="Arial" w:hAnsi="Arial"/>
          <w:sz w:val="19"/>
          <w:szCs w:val="19"/>
          <w:color w:val="auto"/>
        </w:rPr>
        <w:t>as</w:t>
      </w:r>
      <w:r>
        <w:rPr>
          <w:rFonts w:ascii="Arial" w:cs="Arial" w:eastAsia="Arial" w:hAnsi="Arial"/>
          <w:sz w:val="22"/>
          <w:szCs w:val="22"/>
          <w:color w:val="auto"/>
        </w:rPr>
        <w:t xml:space="preserve"> of </w:t>
      </w:r>
      <w:r>
        <w:rPr>
          <w:rFonts w:ascii="Arial" w:cs="Arial" w:eastAsia="Arial" w:hAnsi="Arial"/>
          <w:sz w:val="19"/>
          <w:szCs w:val="19"/>
          <w:color w:val="auto"/>
        </w:rPr>
        <w:t>a</w:t>
      </w:r>
      <w:r>
        <w:rPr>
          <w:rFonts w:ascii="Arial" w:cs="Arial" w:eastAsia="Arial" w:hAnsi="Arial"/>
          <w:sz w:val="22"/>
          <w:szCs w:val="22"/>
          <w:color w:val="auto"/>
        </w:rPr>
        <w:t xml:space="preserve"> Commencement Date of March 12, 2001 and expiring </w:t>
      </w:r>
      <w:r>
        <w:rPr>
          <w:rFonts w:ascii="Arial" w:cs="Arial" w:eastAsia="Arial" w:hAnsi="Arial"/>
          <w:sz w:val="19"/>
          <w:szCs w:val="19"/>
          <w:color w:val="auto"/>
        </w:rPr>
        <w:t>at</w:t>
      </w:r>
      <w:r>
        <w:rPr>
          <w:rFonts w:ascii="Arial" w:cs="Arial" w:eastAsia="Arial" w:hAnsi="Arial"/>
          <w:sz w:val="22"/>
          <w:szCs w:val="22"/>
          <w:color w:val="auto"/>
        </w:rPr>
        <w:t xml:space="preserve"> </w:t>
      </w:r>
      <w:r>
        <w:rPr>
          <w:rFonts w:ascii="Arial" w:cs="Arial" w:eastAsia="Arial" w:hAnsi="Arial"/>
          <w:sz w:val="19"/>
          <w:szCs w:val="19"/>
          <w:b w:val="1"/>
          <w:bCs w:val="1"/>
          <w:color w:val="auto"/>
        </w:rPr>
        <w:t>[***]</w:t>
      </w:r>
      <w:r>
        <w:rPr>
          <w:rFonts w:ascii="Arial" w:cs="Arial" w:eastAsia="Arial" w:hAnsi="Arial"/>
          <w:sz w:val="22"/>
          <w:szCs w:val="22"/>
          <w:color w:val="auto"/>
        </w:rPr>
        <w:t xml:space="preserve"> unless sooner terminated pursuant </w:t>
      </w:r>
      <w:r>
        <w:rPr>
          <w:rFonts w:ascii="Arial" w:cs="Arial" w:eastAsia="Arial" w:hAnsi="Arial"/>
          <w:sz w:val="19"/>
          <w:szCs w:val="19"/>
          <w:color w:val="auto"/>
        </w:rPr>
        <w:t>to</w:t>
      </w:r>
      <w:r>
        <w:rPr>
          <w:rFonts w:ascii="Arial" w:cs="Arial" w:eastAsia="Arial" w:hAnsi="Arial"/>
          <w:sz w:val="22"/>
          <w:szCs w:val="22"/>
          <w:color w:val="auto"/>
        </w:rPr>
        <w:t xml:space="preserve"> this Agreement.”</w:t>
      </w:r>
    </w:p>
    <w:p>
      <w:pPr>
        <w:spacing w:after="0" w:line="168" w:lineRule="exact"/>
        <w:rPr>
          <w:sz w:val="20"/>
          <w:szCs w:val="20"/>
          <w:color w:val="auto"/>
        </w:rPr>
      </w:pPr>
    </w:p>
    <w:p>
      <w:pPr>
        <w:ind w:left="100" w:right="100" w:firstLine="880"/>
        <w:spacing w:after="0" w:line="484" w:lineRule="auto"/>
        <w:tabs>
          <w:tab w:leader="none" w:pos="1296" w:val="left"/>
        </w:tabs>
        <w:numPr>
          <w:ilvl w:val="0"/>
          <w:numId w:val="11"/>
        </w:numPr>
        <w:rPr>
          <w:rFonts w:ascii="Arial" w:cs="Arial" w:eastAsia="Arial" w:hAnsi="Arial"/>
          <w:sz w:val="19"/>
          <w:szCs w:val="19"/>
          <w:color w:val="auto"/>
        </w:rPr>
      </w:pPr>
      <w:r>
        <w:rPr>
          <w:rFonts w:ascii="Arial" w:cs="Arial" w:eastAsia="Arial" w:hAnsi="Arial"/>
          <w:sz w:val="21"/>
          <w:szCs w:val="21"/>
          <w:b w:val="1"/>
          <w:bCs w:val="1"/>
          <w:color w:val="auto"/>
        </w:rPr>
        <w:t>Schedule 1. Section E.(2)</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Ochlocknee Product</w:t>
      </w:r>
      <w:r>
        <w:rPr>
          <w:rFonts w:ascii="Arial" w:cs="Arial" w:eastAsia="Arial" w:hAnsi="Arial"/>
          <w:sz w:val="21"/>
          <w:szCs w:val="21"/>
          <w:b w:val="1"/>
          <w:bCs w:val="1"/>
          <w:color w:val="auto"/>
        </w:rPr>
        <w:t xml:space="preserve">. </w:t>
      </w:r>
      <w:r>
        <w:rPr>
          <w:rFonts w:ascii="Arial" w:cs="Arial" w:eastAsia="Arial" w:hAnsi="Arial"/>
          <w:sz w:val="21"/>
          <w:szCs w:val="21"/>
          <w:color w:val="auto"/>
        </w:rPr>
        <w:t>is amended to add the following sentence: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“Notwithstanding anything herein to the contrary, the Base Price for the product from </w:t>
      </w:r>
      <w:r>
        <w:rPr>
          <w:rFonts w:ascii="Arial" w:cs="Arial" w:eastAsia="Arial" w:hAnsi="Arial"/>
          <w:sz w:val="18"/>
          <w:szCs w:val="18"/>
          <w:b w:val="1"/>
          <w:bCs w:val="1"/>
          <w:color w:val="auto"/>
        </w:rPr>
        <w:t>[***]</w:t>
      </w:r>
      <w:r>
        <w:rPr>
          <w:rFonts w:ascii="Arial" w:cs="Arial" w:eastAsia="Arial" w:hAnsi="Arial"/>
          <w:sz w:val="21"/>
          <w:szCs w:val="21"/>
          <w:color w:val="auto"/>
        </w:rPr>
        <w:t xml:space="preserve"> through </w:t>
      </w:r>
      <w:r>
        <w:rPr>
          <w:rFonts w:ascii="Arial" w:cs="Arial" w:eastAsia="Arial" w:hAnsi="Arial"/>
          <w:sz w:val="18"/>
          <w:szCs w:val="18"/>
          <w:b w:val="1"/>
          <w:bCs w:val="1"/>
          <w:color w:val="auto"/>
        </w:rPr>
        <w:t>[***]</w:t>
      </w:r>
      <w:r>
        <w:rPr>
          <w:rFonts w:ascii="Arial" w:cs="Arial" w:eastAsia="Arial" w:hAnsi="Arial"/>
          <w:sz w:val="21"/>
          <w:szCs w:val="21"/>
          <w:color w:val="auto"/>
        </w:rPr>
        <w:t xml:space="preserve"> shall be </w:t>
      </w:r>
      <w:r>
        <w:rPr>
          <w:rFonts w:ascii="Arial" w:cs="Arial" w:eastAsia="Arial" w:hAnsi="Arial"/>
          <w:sz w:val="18"/>
          <w:szCs w:val="18"/>
          <w:b w:val="1"/>
          <w:bCs w:val="1"/>
          <w:color w:val="auto"/>
        </w:rPr>
        <w:t>[***]</w:t>
      </w:r>
      <w:r>
        <w:rPr>
          <w:rFonts w:ascii="Arial" w:cs="Arial" w:eastAsia="Arial" w:hAnsi="Arial"/>
          <w:sz w:val="21"/>
          <w:szCs w:val="21"/>
          <w:color w:val="auto"/>
        </w:rPr>
        <w:t>.”</w:t>
      </w:r>
    </w:p>
    <w:p>
      <w:pPr>
        <w:ind w:left="1300" w:right="260" w:hanging="320"/>
        <w:spacing w:after="0" w:line="262" w:lineRule="auto"/>
        <w:tabs>
          <w:tab w:leader="none" w:pos="1289" w:val="left"/>
        </w:tabs>
        <w:numPr>
          <w:ilvl w:val="0"/>
          <w:numId w:val="12"/>
        </w:numPr>
        <w:rPr>
          <w:rFonts w:ascii="Arial" w:cs="Arial" w:eastAsia="Arial" w:hAnsi="Arial"/>
          <w:sz w:val="20"/>
          <w:szCs w:val="20"/>
          <w:color w:val="auto"/>
        </w:rPr>
      </w:pPr>
      <w:r>
        <w:rPr>
          <w:rFonts w:ascii="Arial" w:cs="Arial" w:eastAsia="Arial" w:hAnsi="Arial"/>
          <w:sz w:val="20"/>
          <w:szCs w:val="20"/>
          <w:color w:val="auto"/>
        </w:rPr>
        <w:t xml:space="preserve">The </w:t>
      </w:r>
      <w:r>
        <w:rPr>
          <w:rFonts w:ascii="Arial" w:cs="Arial" w:eastAsia="Arial" w:hAnsi="Arial"/>
          <w:sz w:val="21"/>
          <w:szCs w:val="21"/>
          <w:color w:val="auto"/>
        </w:rPr>
        <w:t>terms of</w:t>
      </w:r>
      <w:r>
        <w:rPr>
          <w:rFonts w:ascii="Arial" w:cs="Arial" w:eastAsia="Arial" w:hAnsi="Arial"/>
          <w:sz w:val="20"/>
          <w:szCs w:val="20"/>
          <w:color w:val="auto"/>
        </w:rPr>
        <w:t xml:space="preserve"> the </w:t>
      </w:r>
      <w:r>
        <w:rPr>
          <w:rFonts w:ascii="Arial" w:cs="Arial" w:eastAsia="Arial" w:hAnsi="Arial"/>
          <w:sz w:val="21"/>
          <w:szCs w:val="21"/>
          <w:color w:val="auto"/>
        </w:rPr>
        <w:t>Original Agreement shall remain in</w:t>
      </w:r>
      <w:r>
        <w:rPr>
          <w:rFonts w:ascii="Arial" w:cs="Arial" w:eastAsia="Arial" w:hAnsi="Arial"/>
          <w:sz w:val="20"/>
          <w:szCs w:val="20"/>
          <w:color w:val="auto"/>
        </w:rPr>
        <w:t xml:space="preserve"> full force and </w:t>
      </w:r>
      <w:r>
        <w:rPr>
          <w:rFonts w:ascii="Arial" w:cs="Arial" w:eastAsia="Arial" w:hAnsi="Arial"/>
          <w:sz w:val="21"/>
          <w:szCs w:val="21"/>
          <w:color w:val="auto"/>
        </w:rPr>
        <w:t>effect except</w:t>
      </w:r>
      <w:r>
        <w:rPr>
          <w:rFonts w:ascii="Arial" w:cs="Arial" w:eastAsia="Arial" w:hAnsi="Arial"/>
          <w:sz w:val="20"/>
          <w:szCs w:val="20"/>
          <w:color w:val="auto"/>
        </w:rPr>
        <w:t xml:space="preserve"> as </w:t>
      </w:r>
      <w:r>
        <w:rPr>
          <w:rFonts w:ascii="Arial" w:cs="Arial" w:eastAsia="Arial" w:hAnsi="Arial"/>
          <w:sz w:val="21"/>
          <w:szCs w:val="21"/>
          <w:color w:val="auto"/>
        </w:rPr>
        <w:t>amended, modified</w:t>
      </w:r>
      <w:r>
        <w:rPr>
          <w:rFonts w:ascii="Arial" w:cs="Arial" w:eastAsia="Arial" w:hAnsi="Arial"/>
          <w:sz w:val="20"/>
          <w:szCs w:val="20"/>
          <w:color w:val="auto"/>
        </w:rPr>
        <w:t xml:space="preserve"> </w:t>
      </w:r>
      <w:r>
        <w:rPr>
          <w:rFonts w:ascii="Arial" w:cs="Arial" w:eastAsia="Arial" w:hAnsi="Arial"/>
          <w:sz w:val="21"/>
          <w:szCs w:val="21"/>
          <w:color w:val="auto"/>
        </w:rPr>
        <w:t xml:space="preserve">and superseded hereby. Capitalized terms not otherwise </w:t>
      </w:r>
      <w:r>
        <w:rPr>
          <w:rFonts w:ascii="Arial" w:cs="Arial" w:eastAsia="Arial" w:hAnsi="Arial"/>
          <w:sz w:val="19"/>
          <w:szCs w:val="19"/>
          <w:color w:val="auto"/>
        </w:rPr>
        <w:t>defined</w:t>
      </w:r>
      <w:r>
        <w:rPr>
          <w:rFonts w:ascii="Arial" w:cs="Arial" w:eastAsia="Arial" w:hAnsi="Arial"/>
          <w:sz w:val="21"/>
          <w:szCs w:val="21"/>
          <w:color w:val="auto"/>
        </w:rPr>
        <w:t xml:space="preserve"> herein shall have </w:t>
      </w:r>
      <w:r>
        <w:rPr>
          <w:rFonts w:ascii="Arial" w:cs="Arial" w:eastAsia="Arial" w:hAnsi="Arial"/>
          <w:sz w:val="19"/>
          <w:szCs w:val="19"/>
          <w:color w:val="auto"/>
        </w:rPr>
        <w:t>the</w:t>
      </w:r>
      <w:r>
        <w:rPr>
          <w:rFonts w:ascii="Arial" w:cs="Arial" w:eastAsia="Arial" w:hAnsi="Arial"/>
          <w:sz w:val="21"/>
          <w:szCs w:val="21"/>
          <w:color w:val="auto"/>
        </w:rPr>
        <w:t xml:space="preserve"> same meanings </w:t>
      </w:r>
      <w:r>
        <w:rPr>
          <w:rFonts w:ascii="Arial" w:cs="Arial" w:eastAsia="Arial" w:hAnsi="Arial"/>
          <w:sz w:val="19"/>
          <w:szCs w:val="19"/>
          <w:color w:val="auto"/>
        </w:rPr>
        <w:t xml:space="preserve">as </w:t>
      </w:r>
      <w:r>
        <w:rPr>
          <w:rFonts w:ascii="Arial" w:cs="Arial" w:eastAsia="Arial" w:hAnsi="Arial"/>
          <w:sz w:val="21"/>
          <w:szCs w:val="21"/>
          <w:color w:val="auto"/>
        </w:rPr>
        <w:t>set forth</w:t>
      </w:r>
      <w:r>
        <w:rPr>
          <w:rFonts w:ascii="Arial" w:cs="Arial" w:eastAsia="Arial" w:hAnsi="Arial"/>
          <w:sz w:val="19"/>
          <w:szCs w:val="19"/>
          <w:color w:val="auto"/>
        </w:rPr>
        <w:t xml:space="preserve"> in the </w:t>
      </w:r>
      <w:r>
        <w:rPr>
          <w:rFonts w:ascii="Arial" w:cs="Arial" w:eastAsia="Arial" w:hAnsi="Arial"/>
          <w:sz w:val="21"/>
          <w:szCs w:val="21"/>
          <w:color w:val="auto"/>
        </w:rPr>
        <w:t>Original Agreement.</w:t>
      </w:r>
    </w:p>
    <w:p>
      <w:pPr>
        <w:spacing w:after="0" w:line="181" w:lineRule="exact"/>
        <w:rPr>
          <w:sz w:val="20"/>
          <w:szCs w:val="20"/>
          <w:color w:val="auto"/>
        </w:rPr>
      </w:pPr>
    </w:p>
    <w:p>
      <w:pPr>
        <w:ind w:left="1300" w:right="60" w:hanging="320"/>
        <w:spacing w:after="0" w:line="283" w:lineRule="auto"/>
        <w:tabs>
          <w:tab w:leader="none" w:pos="1289" w:val="left"/>
        </w:tabs>
        <w:numPr>
          <w:ilvl w:val="0"/>
          <w:numId w:val="13"/>
        </w:numPr>
        <w:rPr>
          <w:rFonts w:ascii="Arial" w:cs="Arial" w:eastAsia="Arial" w:hAnsi="Arial"/>
          <w:sz w:val="20"/>
          <w:szCs w:val="20"/>
          <w:color w:val="auto"/>
        </w:rPr>
      </w:pPr>
      <w:r>
        <w:rPr>
          <w:rFonts w:ascii="Arial" w:cs="Arial" w:eastAsia="Arial" w:hAnsi="Arial"/>
          <w:sz w:val="20"/>
          <w:szCs w:val="20"/>
          <w:color w:val="auto"/>
        </w:rPr>
        <w:t xml:space="preserve">The </w:t>
      </w:r>
      <w:r>
        <w:rPr>
          <w:rFonts w:ascii="Arial" w:cs="Arial" w:eastAsia="Arial" w:hAnsi="Arial"/>
          <w:sz w:val="21"/>
          <w:szCs w:val="21"/>
          <w:color w:val="auto"/>
        </w:rPr>
        <w:t>parties represent and warrant</w:t>
      </w:r>
      <w:r>
        <w:rPr>
          <w:rFonts w:ascii="Arial" w:cs="Arial" w:eastAsia="Arial" w:hAnsi="Arial"/>
          <w:sz w:val="20"/>
          <w:szCs w:val="20"/>
          <w:color w:val="auto"/>
        </w:rPr>
        <w:t xml:space="preserve"> to </w:t>
      </w:r>
      <w:r>
        <w:rPr>
          <w:rFonts w:ascii="Arial" w:cs="Arial" w:eastAsia="Arial" w:hAnsi="Arial"/>
          <w:sz w:val="21"/>
          <w:szCs w:val="21"/>
          <w:color w:val="auto"/>
        </w:rPr>
        <w:t>each other that any person or entity purporting</w:t>
      </w:r>
      <w:r>
        <w:rPr>
          <w:rFonts w:ascii="Arial" w:cs="Arial" w:eastAsia="Arial" w:hAnsi="Arial"/>
          <w:sz w:val="20"/>
          <w:szCs w:val="20"/>
          <w:color w:val="auto"/>
        </w:rPr>
        <w:t xml:space="preserve"> to </w:t>
      </w:r>
      <w:r>
        <w:rPr>
          <w:rFonts w:ascii="Arial" w:cs="Arial" w:eastAsia="Arial" w:hAnsi="Arial"/>
          <w:sz w:val="21"/>
          <w:szCs w:val="21"/>
          <w:color w:val="auto"/>
        </w:rPr>
        <w:t>have</w:t>
      </w:r>
      <w:r>
        <w:rPr>
          <w:rFonts w:ascii="Arial" w:cs="Arial" w:eastAsia="Arial" w:hAnsi="Arial"/>
          <w:sz w:val="20"/>
          <w:szCs w:val="20"/>
          <w:color w:val="auto"/>
        </w:rPr>
        <w:t xml:space="preserve"> the </w:t>
      </w:r>
      <w:r>
        <w:rPr>
          <w:rFonts w:ascii="Arial" w:cs="Arial" w:eastAsia="Arial" w:hAnsi="Arial"/>
          <w:sz w:val="21"/>
          <w:szCs w:val="21"/>
          <w:color w:val="auto"/>
        </w:rPr>
        <w:t>authority</w:t>
      </w:r>
      <w:r>
        <w:rPr>
          <w:rFonts w:ascii="Arial" w:cs="Arial" w:eastAsia="Arial" w:hAnsi="Arial"/>
          <w:sz w:val="20"/>
          <w:szCs w:val="20"/>
          <w:color w:val="auto"/>
        </w:rPr>
        <w:t xml:space="preserve"> to </w:t>
      </w:r>
      <w:r>
        <w:rPr>
          <w:rFonts w:ascii="Arial" w:cs="Arial" w:eastAsia="Arial" w:hAnsi="Arial"/>
          <w:sz w:val="21"/>
          <w:szCs w:val="21"/>
          <w:color w:val="auto"/>
        </w:rPr>
        <w:t>enter into this Amendment</w:t>
      </w:r>
      <w:r>
        <w:rPr>
          <w:rFonts w:ascii="Arial" w:cs="Arial" w:eastAsia="Arial" w:hAnsi="Arial"/>
          <w:sz w:val="20"/>
          <w:szCs w:val="20"/>
          <w:color w:val="auto"/>
        </w:rPr>
        <w:t xml:space="preserve"> on </w:t>
      </w:r>
      <w:r>
        <w:rPr>
          <w:rFonts w:ascii="Arial" w:cs="Arial" w:eastAsia="Arial" w:hAnsi="Arial"/>
          <w:sz w:val="21"/>
          <w:szCs w:val="21"/>
          <w:color w:val="auto"/>
        </w:rPr>
        <w:t>behalf of or</w:t>
      </w:r>
      <w:r>
        <w:rPr>
          <w:rFonts w:ascii="Arial" w:cs="Arial" w:eastAsia="Arial" w:hAnsi="Arial"/>
          <w:sz w:val="20"/>
          <w:szCs w:val="20"/>
          <w:color w:val="auto"/>
        </w:rPr>
        <w:t xml:space="preserve"> for the </w:t>
      </w:r>
      <w:r>
        <w:rPr>
          <w:rFonts w:ascii="Arial" w:cs="Arial" w:eastAsia="Arial" w:hAnsi="Arial"/>
          <w:sz w:val="21"/>
          <w:szCs w:val="21"/>
          <w:color w:val="auto"/>
        </w:rPr>
        <w:t>benefit of</w:t>
      </w:r>
      <w:r>
        <w:rPr>
          <w:rFonts w:ascii="Arial" w:cs="Arial" w:eastAsia="Arial" w:hAnsi="Arial"/>
          <w:sz w:val="20"/>
          <w:szCs w:val="20"/>
          <w:color w:val="auto"/>
        </w:rPr>
        <w:t xml:space="preserve"> a </w:t>
      </w:r>
      <w:r>
        <w:rPr>
          <w:rFonts w:ascii="Arial" w:cs="Arial" w:eastAsia="Arial" w:hAnsi="Arial"/>
          <w:sz w:val="21"/>
          <w:szCs w:val="21"/>
          <w:color w:val="auto"/>
        </w:rPr>
        <w:t>party has such authority.</w:t>
      </w:r>
    </w:p>
    <w:p>
      <w:pPr>
        <w:sectPr>
          <w:pgSz w:w="11900" w:h="16838" w:orient="portrait"/>
          <w:cols w:equalWidth="0" w:num="1">
            <w:col w:w="11240"/>
          </w:cols>
          <w:pgMar w:left="320" w:top="1414" w:right="339" w:bottom="1440" w:gutter="0" w:footer="0" w:header="0"/>
        </w:sectPr>
      </w:pPr>
    </w:p>
    <w:bookmarkStart w:id="35" w:name="page36"/>
    <w:bookmarkEnd w:id="35"/>
    <w:p>
      <w:pPr>
        <w:spacing w:after="0" w:line="213" w:lineRule="exact"/>
        <w:rPr>
          <w:sz w:val="20"/>
          <w:szCs w:val="20"/>
          <w:color w:val="auto"/>
        </w:rPr>
      </w:pPr>
    </w:p>
    <w:p>
      <w:pPr>
        <w:ind w:left="1300" w:hanging="320"/>
        <w:spacing w:after="0" w:line="242" w:lineRule="auto"/>
        <w:tabs>
          <w:tab w:leader="none" w:pos="1289" w:val="left"/>
        </w:tabs>
        <w:numPr>
          <w:ilvl w:val="0"/>
          <w:numId w:val="14"/>
        </w:numPr>
        <w:rPr>
          <w:rFonts w:ascii="Arial" w:cs="Arial" w:eastAsia="Arial" w:hAnsi="Arial"/>
          <w:sz w:val="20"/>
          <w:szCs w:val="20"/>
          <w:color w:val="auto"/>
        </w:rPr>
      </w:pPr>
      <w:r>
        <w:rPr>
          <w:rFonts w:ascii="Arial" w:cs="Arial" w:eastAsia="Arial" w:hAnsi="Arial"/>
          <w:sz w:val="22"/>
          <w:szCs w:val="22"/>
          <w:color w:val="auto"/>
        </w:rPr>
        <w:t xml:space="preserve">This Amendment </w:t>
      </w:r>
      <w:r>
        <w:rPr>
          <w:rFonts w:ascii="Arial" w:cs="Arial" w:eastAsia="Arial" w:hAnsi="Arial"/>
          <w:sz w:val="19"/>
          <w:szCs w:val="19"/>
          <w:color w:val="auto"/>
        </w:rPr>
        <w:t>may be</w:t>
      </w:r>
      <w:r>
        <w:rPr>
          <w:rFonts w:ascii="Arial" w:cs="Arial" w:eastAsia="Arial" w:hAnsi="Arial"/>
          <w:sz w:val="22"/>
          <w:szCs w:val="22"/>
          <w:color w:val="auto"/>
        </w:rPr>
        <w:t xml:space="preserve"> executed </w:t>
      </w:r>
      <w:r>
        <w:rPr>
          <w:rFonts w:ascii="Arial" w:cs="Arial" w:eastAsia="Arial" w:hAnsi="Arial"/>
          <w:sz w:val="19"/>
          <w:szCs w:val="19"/>
          <w:color w:val="auto"/>
        </w:rPr>
        <w:t>by use</w:t>
      </w:r>
      <w:r>
        <w:rPr>
          <w:rFonts w:ascii="Arial" w:cs="Arial" w:eastAsia="Arial" w:hAnsi="Arial"/>
          <w:sz w:val="22"/>
          <w:szCs w:val="22"/>
          <w:color w:val="auto"/>
        </w:rPr>
        <w:t xml:space="preserve"> of electronic signature </w:t>
      </w:r>
      <w:r>
        <w:rPr>
          <w:rFonts w:ascii="Arial" w:cs="Arial" w:eastAsia="Arial" w:hAnsi="Arial"/>
          <w:sz w:val="19"/>
          <w:szCs w:val="19"/>
          <w:color w:val="auto"/>
        </w:rPr>
        <w:t>and may be</w:t>
      </w:r>
      <w:r>
        <w:rPr>
          <w:rFonts w:ascii="Arial" w:cs="Arial" w:eastAsia="Arial" w:hAnsi="Arial"/>
          <w:sz w:val="22"/>
          <w:szCs w:val="22"/>
          <w:color w:val="auto"/>
        </w:rPr>
        <w:t xml:space="preserve"> executed in counterparts, each of which shall </w:t>
      </w:r>
      <w:r>
        <w:rPr>
          <w:rFonts w:ascii="Arial" w:cs="Arial" w:eastAsia="Arial" w:hAnsi="Arial"/>
          <w:sz w:val="19"/>
          <w:szCs w:val="19"/>
          <w:color w:val="auto"/>
        </w:rPr>
        <w:t>be</w:t>
      </w:r>
      <w:r>
        <w:rPr>
          <w:rFonts w:ascii="Arial" w:cs="Arial" w:eastAsia="Arial" w:hAnsi="Arial"/>
          <w:sz w:val="22"/>
          <w:szCs w:val="22"/>
          <w:color w:val="auto"/>
        </w:rPr>
        <w:t xml:space="preserve"> deemed </w:t>
      </w:r>
      <w:r>
        <w:rPr>
          <w:rFonts w:ascii="Arial" w:cs="Arial" w:eastAsia="Arial" w:hAnsi="Arial"/>
          <w:sz w:val="19"/>
          <w:szCs w:val="19"/>
          <w:color w:val="auto"/>
        </w:rPr>
        <w:t>to be an</w:t>
      </w:r>
      <w:r>
        <w:rPr>
          <w:rFonts w:ascii="Arial" w:cs="Arial" w:eastAsia="Arial" w:hAnsi="Arial"/>
          <w:sz w:val="22"/>
          <w:szCs w:val="22"/>
          <w:color w:val="auto"/>
        </w:rPr>
        <w:t xml:space="preserve"> original, but all of which, taken together, shall constitute one and </w:t>
      </w:r>
      <w:r>
        <w:rPr>
          <w:rFonts w:ascii="Arial" w:cs="Arial" w:eastAsia="Arial" w:hAnsi="Arial"/>
          <w:sz w:val="19"/>
          <w:szCs w:val="19"/>
          <w:color w:val="auto"/>
        </w:rPr>
        <w:t xml:space="preserve">the same </w:t>
      </w:r>
      <w:r>
        <w:rPr>
          <w:rFonts w:ascii="Arial" w:cs="Arial" w:eastAsia="Arial" w:hAnsi="Arial"/>
          <w:sz w:val="21"/>
          <w:szCs w:val="21"/>
          <w:color w:val="auto"/>
        </w:rPr>
        <w:t>agreement. Delivery of</w:t>
      </w:r>
      <w:r>
        <w:rPr>
          <w:rFonts w:ascii="Arial" w:cs="Arial" w:eastAsia="Arial" w:hAnsi="Arial"/>
          <w:sz w:val="19"/>
          <w:szCs w:val="19"/>
          <w:color w:val="auto"/>
        </w:rPr>
        <w:t xml:space="preserve"> an </w:t>
      </w:r>
      <w:r>
        <w:rPr>
          <w:rFonts w:ascii="Arial" w:cs="Arial" w:eastAsia="Arial" w:hAnsi="Arial"/>
          <w:sz w:val="21"/>
          <w:szCs w:val="21"/>
          <w:color w:val="auto"/>
        </w:rPr>
        <w:t>executed counterpart of this agreement</w:t>
      </w:r>
      <w:r>
        <w:rPr>
          <w:rFonts w:ascii="Arial" w:cs="Arial" w:eastAsia="Arial" w:hAnsi="Arial"/>
          <w:sz w:val="19"/>
          <w:szCs w:val="19"/>
          <w:color w:val="auto"/>
        </w:rPr>
        <w:t xml:space="preserve"> by </w:t>
      </w:r>
      <w:r>
        <w:rPr>
          <w:rFonts w:ascii="Arial" w:cs="Arial" w:eastAsia="Arial" w:hAnsi="Arial"/>
          <w:sz w:val="21"/>
          <w:szCs w:val="21"/>
          <w:color w:val="auto"/>
        </w:rPr>
        <w:t>electronic means,</w:t>
      </w:r>
      <w:r>
        <w:rPr>
          <w:rFonts w:ascii="Arial" w:cs="Arial" w:eastAsia="Arial" w:hAnsi="Arial"/>
          <w:sz w:val="19"/>
          <w:szCs w:val="19"/>
          <w:color w:val="auto"/>
        </w:rPr>
        <w:t xml:space="preserve"> </w:t>
      </w:r>
      <w:r>
        <w:rPr>
          <w:rFonts w:ascii="Arial" w:cs="Arial" w:eastAsia="Arial" w:hAnsi="Arial"/>
          <w:sz w:val="21"/>
          <w:szCs w:val="21"/>
          <w:color w:val="auto"/>
        </w:rPr>
        <w:t xml:space="preserve">including </w:t>
      </w:r>
      <w:r>
        <w:rPr>
          <w:rFonts w:ascii="Arial" w:cs="Arial" w:eastAsia="Arial" w:hAnsi="Arial"/>
          <w:sz w:val="19"/>
          <w:szCs w:val="19"/>
          <w:color w:val="auto"/>
        </w:rPr>
        <w:t>by an</w:t>
      </w:r>
      <w:r>
        <w:rPr>
          <w:rFonts w:ascii="Arial" w:cs="Arial" w:eastAsia="Arial" w:hAnsi="Arial"/>
          <w:sz w:val="21"/>
          <w:szCs w:val="21"/>
          <w:color w:val="auto"/>
        </w:rPr>
        <w:t xml:space="preserve"> electronic signature service provider complying with </w:t>
      </w:r>
      <w:r>
        <w:rPr>
          <w:rFonts w:ascii="Arial" w:cs="Arial" w:eastAsia="Arial" w:hAnsi="Arial"/>
          <w:sz w:val="19"/>
          <w:szCs w:val="19"/>
          <w:color w:val="auto"/>
        </w:rPr>
        <w:t>the</w:t>
      </w:r>
      <w:r>
        <w:rPr>
          <w:rFonts w:ascii="Arial" w:cs="Arial" w:eastAsia="Arial" w:hAnsi="Arial"/>
          <w:sz w:val="21"/>
          <w:szCs w:val="21"/>
          <w:color w:val="auto"/>
        </w:rPr>
        <w:t xml:space="preserve"> provisions of </w:t>
      </w:r>
      <w:r>
        <w:rPr>
          <w:rFonts w:ascii="Arial" w:cs="Arial" w:eastAsia="Arial" w:hAnsi="Arial"/>
          <w:sz w:val="19"/>
          <w:szCs w:val="19"/>
          <w:color w:val="auto"/>
        </w:rPr>
        <w:t>the</w:t>
      </w:r>
      <w:r>
        <w:rPr>
          <w:rFonts w:ascii="Arial" w:cs="Arial" w:eastAsia="Arial" w:hAnsi="Arial"/>
          <w:sz w:val="21"/>
          <w:szCs w:val="21"/>
          <w:color w:val="auto"/>
        </w:rPr>
        <w:t xml:space="preserve"> federal </w:t>
      </w:r>
      <w:r>
        <w:rPr>
          <w:rFonts w:ascii="Arial" w:cs="Arial" w:eastAsia="Arial" w:hAnsi="Arial"/>
          <w:sz w:val="19"/>
          <w:szCs w:val="19"/>
          <w:color w:val="auto"/>
        </w:rPr>
        <w:t>E-SIGN</w:t>
      </w:r>
      <w:r>
        <w:rPr>
          <w:rFonts w:ascii="Arial" w:cs="Arial" w:eastAsia="Arial" w:hAnsi="Arial"/>
          <w:sz w:val="21"/>
          <w:szCs w:val="21"/>
          <w:color w:val="auto"/>
        </w:rPr>
        <w:t xml:space="preserve"> Act, </w:t>
      </w:r>
      <w:r>
        <w:rPr>
          <w:rFonts w:ascii="Arial" w:cs="Arial" w:eastAsia="Arial" w:hAnsi="Arial"/>
          <w:sz w:val="19"/>
          <w:szCs w:val="19"/>
          <w:color w:val="auto"/>
        </w:rPr>
        <w:t>the</w:t>
      </w:r>
      <w:r>
        <w:rPr>
          <w:rFonts w:ascii="Arial" w:cs="Arial" w:eastAsia="Arial" w:hAnsi="Arial"/>
          <w:sz w:val="21"/>
          <w:szCs w:val="21"/>
          <w:color w:val="auto"/>
        </w:rPr>
        <w:t xml:space="preserve"> Uniform Electronic Transactions Act and/or other applicable law, portable document format (PDF) </w:t>
      </w:r>
      <w:r>
        <w:rPr>
          <w:rFonts w:ascii="Arial" w:cs="Arial" w:eastAsia="Arial" w:hAnsi="Arial"/>
          <w:sz w:val="19"/>
          <w:szCs w:val="19"/>
          <w:color w:val="auto"/>
        </w:rPr>
        <w:t>or by</w:t>
      </w:r>
      <w:r>
        <w:rPr>
          <w:rFonts w:ascii="Arial" w:cs="Arial" w:eastAsia="Arial" w:hAnsi="Arial"/>
          <w:sz w:val="21"/>
          <w:szCs w:val="21"/>
          <w:color w:val="auto"/>
        </w:rPr>
        <w:t xml:space="preserve"> other electronic means shall be equally </w:t>
      </w:r>
      <w:r>
        <w:rPr>
          <w:rFonts w:ascii="Arial" w:cs="Arial" w:eastAsia="Arial" w:hAnsi="Arial"/>
          <w:sz w:val="19"/>
          <w:szCs w:val="19"/>
          <w:color w:val="auto"/>
        </w:rPr>
        <w:t>effective as</w:t>
      </w:r>
      <w:r>
        <w:rPr>
          <w:rFonts w:ascii="Arial" w:cs="Arial" w:eastAsia="Arial" w:hAnsi="Arial"/>
          <w:sz w:val="21"/>
          <w:szCs w:val="21"/>
          <w:color w:val="auto"/>
        </w:rPr>
        <w:t xml:space="preserve"> delivery of </w:t>
      </w:r>
      <w:r>
        <w:rPr>
          <w:rFonts w:ascii="Arial" w:cs="Arial" w:eastAsia="Arial" w:hAnsi="Arial"/>
          <w:sz w:val="19"/>
          <w:szCs w:val="19"/>
          <w:color w:val="auto"/>
        </w:rPr>
        <w:t>an</w:t>
      </w:r>
      <w:r>
        <w:rPr>
          <w:rFonts w:ascii="Arial" w:cs="Arial" w:eastAsia="Arial" w:hAnsi="Arial"/>
          <w:sz w:val="21"/>
          <w:szCs w:val="21"/>
          <w:color w:val="auto"/>
        </w:rPr>
        <w:t xml:space="preserve"> original </w:t>
      </w:r>
      <w:r>
        <w:rPr>
          <w:rFonts w:ascii="Arial" w:cs="Arial" w:eastAsia="Arial" w:hAnsi="Arial"/>
          <w:sz w:val="19"/>
          <w:szCs w:val="19"/>
          <w:color w:val="auto"/>
        </w:rPr>
        <w:t>by</w:t>
      </w:r>
      <w:r>
        <w:rPr>
          <w:rFonts w:ascii="Arial" w:cs="Arial" w:eastAsia="Arial" w:hAnsi="Arial"/>
          <w:sz w:val="21"/>
          <w:szCs w:val="21"/>
          <w:color w:val="auto"/>
        </w:rPr>
        <w:t xml:space="preserve"> mail.</w:t>
      </w:r>
    </w:p>
    <w:p>
      <w:pPr>
        <w:spacing w:after="0" w:line="192" w:lineRule="exact"/>
        <w:rPr>
          <w:sz w:val="20"/>
          <w:szCs w:val="20"/>
          <w:color w:val="auto"/>
        </w:rPr>
      </w:pPr>
    </w:p>
    <w:p>
      <w:pPr>
        <w:ind w:left="22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The remainder of this page is intentionally left blank. Signature page follows.</w:t>
      </w:r>
      <w:r>
        <w:rPr>
          <w:rFonts w:ascii="Arial" w:cs="Arial" w:eastAsia="Arial" w:hAnsi="Arial"/>
          <w:sz w:val="22"/>
          <w:szCs w:val="22"/>
          <w:color w:val="auto"/>
        </w:rPr>
        <w:t>]</w:t>
      </w:r>
    </w:p>
    <w:p>
      <w:pPr>
        <w:spacing w:after="0" w:line="233" w:lineRule="exact"/>
        <w:rPr>
          <w:sz w:val="20"/>
          <w:szCs w:val="20"/>
          <w:color w:val="auto"/>
        </w:rPr>
      </w:pPr>
    </w:p>
    <w:p>
      <w:pPr>
        <w:ind w:right="260" w:firstLine="737"/>
        <w:spacing w:after="0" w:line="283" w:lineRule="auto"/>
        <w:rPr>
          <w:sz w:val="20"/>
          <w:szCs w:val="20"/>
          <w:color w:val="auto"/>
        </w:rPr>
      </w:pPr>
      <w:r>
        <w:rPr>
          <w:rFonts w:ascii="Arial" w:cs="Arial" w:eastAsia="Arial" w:hAnsi="Arial"/>
          <w:sz w:val="20"/>
          <w:szCs w:val="20"/>
          <w:color w:val="auto"/>
        </w:rPr>
        <w:t xml:space="preserve">IN </w:t>
      </w:r>
      <w:r>
        <w:rPr>
          <w:rFonts w:ascii="Arial" w:cs="Arial" w:eastAsia="Arial" w:hAnsi="Arial"/>
          <w:sz w:val="21"/>
          <w:szCs w:val="21"/>
          <w:color w:val="auto"/>
        </w:rPr>
        <w:t>WITNESS WHEREOF,</w:t>
      </w:r>
      <w:r>
        <w:rPr>
          <w:rFonts w:ascii="Arial" w:cs="Arial" w:eastAsia="Arial" w:hAnsi="Arial"/>
          <w:sz w:val="20"/>
          <w:szCs w:val="20"/>
          <w:color w:val="auto"/>
        </w:rPr>
        <w:t xml:space="preserve"> the </w:t>
      </w:r>
      <w:r>
        <w:rPr>
          <w:rFonts w:ascii="Arial" w:cs="Arial" w:eastAsia="Arial" w:hAnsi="Arial"/>
          <w:sz w:val="21"/>
          <w:szCs w:val="21"/>
          <w:color w:val="auto"/>
        </w:rPr>
        <w:t>undersigned have caused this Amendment</w:t>
      </w:r>
      <w:r>
        <w:rPr>
          <w:rFonts w:ascii="Arial" w:cs="Arial" w:eastAsia="Arial" w:hAnsi="Arial"/>
          <w:sz w:val="20"/>
          <w:szCs w:val="20"/>
          <w:color w:val="auto"/>
        </w:rPr>
        <w:t xml:space="preserve"> to be </w:t>
      </w:r>
      <w:r>
        <w:rPr>
          <w:rFonts w:ascii="Arial" w:cs="Arial" w:eastAsia="Arial" w:hAnsi="Arial"/>
          <w:sz w:val="21"/>
          <w:szCs w:val="21"/>
          <w:color w:val="auto"/>
        </w:rPr>
        <w:t>signed, all</w:t>
      </w:r>
      <w:r>
        <w:rPr>
          <w:rFonts w:ascii="Arial" w:cs="Arial" w:eastAsia="Arial" w:hAnsi="Arial"/>
          <w:sz w:val="20"/>
          <w:szCs w:val="20"/>
          <w:color w:val="auto"/>
        </w:rPr>
        <w:t xml:space="preserve"> as </w:t>
      </w:r>
      <w:r>
        <w:rPr>
          <w:rFonts w:ascii="Arial" w:cs="Arial" w:eastAsia="Arial" w:hAnsi="Arial"/>
          <w:sz w:val="21"/>
          <w:szCs w:val="21"/>
          <w:color w:val="auto"/>
        </w:rPr>
        <w:t>of</w:t>
      </w:r>
      <w:r>
        <w:rPr>
          <w:rFonts w:ascii="Arial" w:cs="Arial" w:eastAsia="Arial" w:hAnsi="Arial"/>
          <w:sz w:val="20"/>
          <w:szCs w:val="20"/>
          <w:color w:val="auto"/>
        </w:rPr>
        <w:t xml:space="preserve"> the </w:t>
      </w:r>
      <w:r>
        <w:rPr>
          <w:rFonts w:ascii="Arial" w:cs="Arial" w:eastAsia="Arial" w:hAnsi="Arial"/>
          <w:sz w:val="21"/>
          <w:szCs w:val="21"/>
          <w:color w:val="auto"/>
        </w:rPr>
        <w:t>date first</w:t>
      </w:r>
      <w:r>
        <w:rPr>
          <w:rFonts w:ascii="Arial" w:cs="Arial" w:eastAsia="Arial" w:hAnsi="Arial"/>
          <w:sz w:val="20"/>
          <w:szCs w:val="20"/>
          <w:color w:val="auto"/>
        </w:rPr>
        <w:t xml:space="preserve"> </w:t>
      </w:r>
      <w:r>
        <w:rPr>
          <w:rFonts w:ascii="Arial" w:cs="Arial" w:eastAsia="Arial" w:hAnsi="Arial"/>
          <w:sz w:val="21"/>
          <w:szCs w:val="21"/>
          <w:color w:val="auto"/>
        </w:rPr>
        <w:t>written above.</w:t>
      </w:r>
    </w:p>
    <w:p>
      <w:pPr>
        <w:spacing w:after="0" w:line="387"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BUYER</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19"/>
          <w:szCs w:val="19"/>
          <w:color w:val="auto"/>
        </w:rPr>
        <w:t>A &amp; M</w:t>
      </w:r>
      <w:r>
        <w:rPr>
          <w:rFonts w:ascii="Arial" w:cs="Arial" w:eastAsia="Arial" w:hAnsi="Arial"/>
          <w:sz w:val="22"/>
          <w:szCs w:val="22"/>
          <w:b w:val="1"/>
          <w:bCs w:val="1"/>
          <w:color w:val="auto"/>
        </w:rPr>
        <w:t xml:space="preserve"> </w:t>
      </w:r>
      <w:r>
        <w:rPr>
          <w:rFonts w:ascii="Arial" w:cs="Arial" w:eastAsia="Arial" w:hAnsi="Arial"/>
          <w:sz w:val="22"/>
          <w:szCs w:val="22"/>
          <w:color w:val="auto"/>
        </w:rPr>
        <w:t>Products Manufacturing Company</w:t>
      </w:r>
    </w:p>
    <w:p>
      <w:pPr>
        <w:spacing w:after="0" w:line="200" w:lineRule="exact"/>
        <w:rPr>
          <w:sz w:val="20"/>
          <w:szCs w:val="20"/>
          <w:color w:val="auto"/>
        </w:rPr>
      </w:pPr>
    </w:p>
    <w:p>
      <w:pPr>
        <w:spacing w:after="0" w:line="265" w:lineRule="exact"/>
        <w:rPr>
          <w:sz w:val="20"/>
          <w:szCs w:val="20"/>
          <w:color w:val="auto"/>
        </w:rPr>
      </w:pPr>
    </w:p>
    <w:p>
      <w:pPr>
        <w:ind w:left="2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19"/>
          <w:szCs w:val="19"/>
          <w:u w:val="single" w:color="auto"/>
          <w:color w:val="auto"/>
        </w:rPr>
        <w:t>/s/</w:t>
      </w:r>
      <w:r>
        <w:rPr>
          <w:rFonts w:ascii="Arial" w:cs="Arial" w:eastAsia="Arial" w:hAnsi="Arial"/>
          <w:sz w:val="22"/>
          <w:szCs w:val="22"/>
          <w:color w:val="auto"/>
        </w:rPr>
        <w:t xml:space="preserve"> </w:t>
      </w:r>
      <w:r>
        <w:rPr>
          <w:rFonts w:ascii="Arial" w:cs="Arial" w:eastAsia="Arial" w:hAnsi="Arial"/>
          <w:sz w:val="17"/>
          <w:szCs w:val="17"/>
          <w:u w:val="single" w:color="auto"/>
          <w:color w:val="auto"/>
        </w:rPr>
        <w:t>Brian Medeiros</w:t>
      </w:r>
    </w:p>
    <w:p>
      <w:pPr>
        <w:spacing w:after="0" w:line="23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SELLER</w:t>
      </w:r>
      <w:r>
        <w:rPr>
          <w:rFonts w:ascii="Arial" w:cs="Arial" w:eastAsia="Arial" w:hAnsi="Arial"/>
          <w:sz w:val="22"/>
          <w:szCs w:val="22"/>
          <w:color w:val="auto"/>
        </w:rPr>
        <w:t>: Oil Dri Corporation of America</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19"/>
          <w:szCs w:val="19"/>
          <w:u w:val="single" w:color="auto"/>
          <w:color w:val="auto"/>
        </w:rPr>
        <w:t>/s/ Dan Jaffee</w:t>
      </w:r>
    </w:p>
    <w:p>
      <w:pPr>
        <w:sectPr>
          <w:pgSz w:w="11900" w:h="16838" w:orient="portrait"/>
          <w:cols w:equalWidth="0" w:num="1">
            <w:col w:w="11180"/>
          </w:cols>
          <w:pgMar w:left="320" w:top="1440" w:right="3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b w:val="1"/>
          <w:bCs w:val="1"/>
          <w:color w:val="auto"/>
        </w:rPr>
        <w:t>Exhibit 31: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 RULE 13A-14(A)/15D-14(A) UNDER THE SECURITIES EXCHANGE ACT OF 1934, AS AMENDED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0" w:lineRule="exact"/>
        <w:rPr>
          <w:sz w:val="20"/>
          <w:szCs w:val="20"/>
          <w:color w:val="auto"/>
        </w:rPr>
      </w:pPr>
    </w:p>
    <w:p>
      <w:pPr>
        <w:spacing w:after="0" w:line="358"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Daniel S. Jaffee, certify that:</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Oil-Dri Corporation of America (the “registrant”);</w:t>
      </w:r>
    </w:p>
    <w:p>
      <w:pPr>
        <w:spacing w:after="0" w:line="17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52" w:lineRule="exact"/>
        <w:rPr>
          <w:rFonts w:ascii="Times New Roman" w:cs="Times New Roman" w:eastAsia="Times New Roman" w:hAnsi="Times New Roman"/>
          <w:sz w:val="18"/>
          <w:szCs w:val="18"/>
          <w:color w:val="auto"/>
        </w:rPr>
      </w:pPr>
    </w:p>
    <w:p>
      <w:pPr>
        <w:jc w:val="both"/>
        <w:ind w:left="1960" w:hanging="427"/>
        <w:spacing w:after="0" w:line="266" w:lineRule="auto"/>
        <w:tabs>
          <w:tab w:leader="none" w:pos="1960" w:val="left"/>
        </w:tabs>
        <w:numPr>
          <w:ilvl w:val="3"/>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960" w:right="20" w:hanging="477"/>
        <w:spacing w:after="0" w:line="266" w:lineRule="auto"/>
        <w:tabs>
          <w:tab w:leader="none" w:pos="1960" w:val="left"/>
        </w:tabs>
        <w:numPr>
          <w:ilvl w:val="3"/>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960" w:hanging="526"/>
        <w:spacing w:after="0" w:line="266" w:lineRule="auto"/>
        <w:tabs>
          <w:tab w:leader="none" w:pos="1960" w:val="left"/>
        </w:tabs>
        <w:numPr>
          <w:ilvl w:val="3"/>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960" w:hanging="517"/>
        <w:spacing w:after="0" w:line="266" w:lineRule="auto"/>
        <w:tabs>
          <w:tab w:leader="none" w:pos="1948"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jc w:val="both"/>
        <w:ind w:left="1960" w:hanging="427"/>
        <w:spacing w:after="0" w:line="266" w:lineRule="auto"/>
        <w:tabs>
          <w:tab w:leader="none" w:pos="1960" w:val="left"/>
        </w:tabs>
        <w:numPr>
          <w:ilvl w:val="3"/>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60" w:hanging="477"/>
        <w:spacing w:after="0" w:line="273" w:lineRule="auto"/>
        <w:tabs>
          <w:tab w:leader="none" w:pos="1960" w:val="left"/>
        </w:tabs>
        <w:numPr>
          <w:ilvl w:val="3"/>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March 7, 2024</w:t>
            </w:r>
          </w:p>
        </w:tc>
      </w:tr>
      <w:tr>
        <w:trPr>
          <w:trHeight w:val="22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Daniel S. Jaffee</w:t>
            </w:r>
          </w:p>
        </w:tc>
      </w:tr>
      <w:tr>
        <w:trPr>
          <w:trHeight w:val="178"/>
        </w:trPr>
        <w:tc>
          <w:tcPr>
            <w:tcW w:w="840" w:type="dxa"/>
            <w:vAlign w:val="bottom"/>
          </w:tcPr>
          <w:p>
            <w:pPr>
              <w:spacing w:after="0"/>
              <w:rPr>
                <w:sz w:val="15"/>
                <w:szCs w:val="15"/>
                <w:color w:val="auto"/>
              </w:rPr>
            </w:pPr>
          </w:p>
        </w:tc>
        <w:tc>
          <w:tcPr>
            <w:tcW w:w="422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Daniel S. Jaffee</w:t>
            </w:r>
          </w:p>
        </w:tc>
      </w:tr>
      <w:tr>
        <w:trPr>
          <w:trHeight w:val="234"/>
        </w:trPr>
        <w:tc>
          <w:tcPr>
            <w:tcW w:w="84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9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b w:val="1"/>
          <w:bCs w:val="1"/>
          <w:color w:val="auto"/>
        </w:rPr>
        <w:t>Exhibit 31 (continued):</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a Principal Financial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0" w:lineRule="exact"/>
        <w:rPr>
          <w:sz w:val="20"/>
          <w:szCs w:val="20"/>
          <w:color w:val="auto"/>
        </w:rPr>
      </w:pPr>
    </w:p>
    <w:p>
      <w:pPr>
        <w:spacing w:after="0" w:line="358"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Susan M. Kreh, certify that:</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Oil-Dri Corporation of America (the “registrant”);</w:t>
      </w:r>
    </w:p>
    <w:p>
      <w:pPr>
        <w:spacing w:after="0" w:line="17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52" w:lineRule="exact"/>
        <w:rPr>
          <w:rFonts w:ascii="Times New Roman" w:cs="Times New Roman" w:eastAsia="Times New Roman" w:hAnsi="Times New Roman"/>
          <w:sz w:val="18"/>
          <w:szCs w:val="18"/>
          <w:color w:val="auto"/>
        </w:rPr>
      </w:pPr>
    </w:p>
    <w:p>
      <w:pPr>
        <w:jc w:val="both"/>
        <w:ind w:left="1960" w:hanging="332"/>
        <w:spacing w:after="0" w:line="266" w:lineRule="auto"/>
        <w:tabs>
          <w:tab w:leader="none" w:pos="195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960" w:right="20" w:hanging="332"/>
        <w:spacing w:after="0" w:line="266" w:lineRule="auto"/>
        <w:tabs>
          <w:tab w:leader="none" w:pos="196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960" w:hanging="332"/>
        <w:spacing w:after="0" w:line="266" w:lineRule="auto"/>
        <w:tabs>
          <w:tab w:leader="none" w:pos="195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960" w:hanging="332"/>
        <w:spacing w:after="0" w:line="266" w:lineRule="auto"/>
        <w:tabs>
          <w:tab w:leader="none" w:pos="196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jc w:val="both"/>
        <w:ind w:left="1960" w:hanging="332"/>
        <w:spacing w:after="0" w:line="266" w:lineRule="auto"/>
        <w:tabs>
          <w:tab w:leader="none" w:pos="195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60" w:hanging="332"/>
        <w:spacing w:after="0" w:line="282" w:lineRule="auto"/>
        <w:tabs>
          <w:tab w:leader="none" w:pos="196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March 7, 2024</w:t>
            </w:r>
          </w:p>
        </w:tc>
      </w:tr>
      <w:tr>
        <w:trPr>
          <w:trHeight w:val="22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Susan M. Kreh</w:t>
            </w:r>
          </w:p>
        </w:tc>
      </w:tr>
      <w:tr>
        <w:trPr>
          <w:trHeight w:val="169"/>
        </w:trPr>
        <w:tc>
          <w:tcPr>
            <w:tcW w:w="900" w:type="dxa"/>
            <w:vAlign w:val="bottom"/>
          </w:tcPr>
          <w:p>
            <w:pPr>
              <w:spacing w:after="0"/>
              <w:rPr>
                <w:sz w:val="14"/>
                <w:szCs w:val="14"/>
                <w:color w:val="auto"/>
              </w:rPr>
            </w:pPr>
          </w:p>
        </w:tc>
        <w:tc>
          <w:tcPr>
            <w:tcW w:w="49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Susan M. Kreh</w:t>
            </w:r>
          </w:p>
        </w:tc>
      </w:tr>
      <w:tr>
        <w:trPr>
          <w:trHeight w:val="234"/>
        </w:trPr>
        <w:tc>
          <w:tcPr>
            <w:tcW w:w="90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2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 PURSUANT TO 18 U.S.C. SECTION 1350 AS ADOPTED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SARBANES-OXLEY ACT OF 2002 CERTIFICATION</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Oil-Dri Corporation of America (the “Company”) hereby certifies that to the best of my knowledge the Company’s Quarterly Report on Form 10-Q for the quarter ended January 31, 2024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4"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8"/>
          <w:szCs w:val="18"/>
          <w:color w:val="auto"/>
        </w:rPr>
        <w:t>Dated:</w:t>
        <w:tab/>
        <w:t>March 7, 2024</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833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Daniel S. Jaffee</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Chairman, President and Chief Executive Officer</w:t>
      </w: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Oil-Dri Corporation of America (the “Company”) hereby certifies that to the best of my knowledge the Company’s Quarterly Report on Form 10-Q for the quarter ended January 31, 2024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4"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8"/>
          <w:szCs w:val="18"/>
          <w:color w:val="auto"/>
        </w:rPr>
        <w:t>Dated:</w:t>
        <w:tab/>
        <w:t>March 7, 2024</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Susan M. Kreh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833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Name: Susan M. Kreh</w:t>
      </w:r>
    </w:p>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3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3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Exhibit 95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 SAFETY DISCLOSURES</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section 1503(a) of the Dodd-Frank Wall Street Reform and Consumer Protection Act and Item 104 of Regulation S-K, each operator of a coal or other mine is required to include certain mine safety information in its periodic reports filed with the Securities and Exchange Commission. The table below includes this mine safety information for each mine facility owned and operated by Oil-Dri Corporation of America, or its subsidiaries, for the quarter ended January 31, 2024. Due to timing and other factors, our data may not agree with the mine data retrieval system maintained by the Mine Safety and Health Administration (“MSHA”). The columns in the table represent the total number of, and the proposed dollar assessment for, violations, citations and orders issued by MSHA during the period upon periodic inspection of our mine facilities in accordance with the referenced sections of the Federal Mine Safety and Health Act of 1977, as amended (the “Mine Act”), described as follows:</w:t>
      </w:r>
    </w:p>
    <w:p>
      <w:pPr>
        <w:spacing w:after="0" w:line="216"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Section 104 Significant and Substantial Violations: Total number of violations of mandatory health or safety standards that could significantly and substantially contribute to the cause and effect of a coal or other mine safety or health hazard.</w:t>
      </w:r>
    </w:p>
    <w:p>
      <w:pPr>
        <w:spacing w:after="0" w:line="189"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spacing w:after="0" w:line="18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spacing w:after="0" w:line="203"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203"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Section 107(a) Imminent Danger Orders: Total number of orders issued when an imminent danger is identified which requires all persons to be withdrawn from area(s) in the mine until the imminent danger and the conditions that caused it cease to exist.</w:t>
      </w:r>
    </w:p>
    <w:p>
      <w:pPr>
        <w:spacing w:after="0" w:line="189"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Total Dollar Value of Proposed MSHA Assessments: Each issuance of a citation or order by MSHA results in the assessment of a monetary penalty. The total dollar value presented includes any contested penalties.</w:t>
      </w:r>
    </w:p>
    <w:p>
      <w:pPr>
        <w:spacing w:after="0" w:line="189"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Legal Actions Pending, Initiated or Resolved: Total number of cases pending legal action before the Federal Mine Safety and Health Review Commission (the "Commission") as of the last day of the reporting period or the number of such cases initiated or resolved during the reporting period.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Legal Actions</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80" w:type="dxa"/>
            <w:vAlign w:val="bottom"/>
            <w:vMerge w:val="restart"/>
          </w:tcPr>
          <w:p>
            <w:pPr>
              <w:jc w:val="center"/>
              <w:spacing w:after="0" w:line="159" w:lineRule="exact"/>
              <w:rPr>
                <w:sz w:val="20"/>
                <w:szCs w:val="20"/>
                <w:color w:val="auto"/>
              </w:rPr>
            </w:pPr>
            <w:r>
              <w:rPr>
                <w:rFonts w:ascii="Times New Roman" w:cs="Times New Roman" w:eastAsia="Times New Roman" w:hAnsi="Times New Roman"/>
                <w:sz w:val="14"/>
                <w:szCs w:val="14"/>
                <w:color w:val="auto"/>
              </w:rPr>
              <w:t>Section 104</w:t>
            </w: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80" w:type="dxa"/>
            <w:vAlign w:val="bottom"/>
            <w:vMerge w:val="restart"/>
          </w:tcPr>
          <w:p>
            <w:pPr>
              <w:jc w:val="center"/>
              <w:spacing w:after="0" w:line="159" w:lineRule="exact"/>
              <w:rPr>
                <w:sz w:val="20"/>
                <w:szCs w:val="20"/>
                <w:color w:val="auto"/>
              </w:rPr>
            </w:pPr>
            <w:r>
              <w:rPr>
                <w:rFonts w:ascii="Times New Roman" w:cs="Times New Roman" w:eastAsia="Times New Roman" w:hAnsi="Times New Roman"/>
                <w:sz w:val="14"/>
                <w:szCs w:val="14"/>
                <w:color w:val="auto"/>
              </w:rPr>
              <w:t>Total Dollar</w:t>
            </w:r>
          </w:p>
        </w:tc>
        <w:tc>
          <w:tcPr>
            <w:tcW w:w="7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7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Section</w:t>
            </w:r>
          </w:p>
        </w:tc>
        <w:tc>
          <w:tcPr>
            <w:tcW w:w="102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Section 104(d)</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Section 110(b)(2)</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Section 107(a)</w:t>
            </w:r>
          </w:p>
        </w:tc>
        <w:tc>
          <w:tcPr>
            <w:tcW w:w="1180" w:type="dxa"/>
            <w:vAlign w:val="bottom"/>
            <w:vMerge w:val="continue"/>
          </w:tcPr>
          <w:p>
            <w:pPr>
              <w:spacing w:after="0"/>
              <w:rPr>
                <w:sz w:val="10"/>
                <w:szCs w:val="10"/>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Mining</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Pending as</w:t>
            </w:r>
          </w:p>
        </w:tc>
        <w:tc>
          <w:tcPr>
            <w:tcW w:w="9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“Significant and</w:t>
            </w:r>
          </w:p>
        </w:tc>
        <w:tc>
          <w:tcPr>
            <w:tcW w:w="66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Value of Proposed</w:t>
            </w:r>
          </w:p>
        </w:tc>
        <w:tc>
          <w:tcPr>
            <w:tcW w:w="7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Resolved</w:t>
            </w:r>
          </w:p>
        </w:tc>
        <w:tc>
          <w:tcPr>
            <w:tcW w:w="0" w:type="dxa"/>
            <w:vAlign w:val="bottom"/>
          </w:tcPr>
          <w:p>
            <w:pPr>
              <w:spacing w:after="0"/>
              <w:rPr>
                <w:sz w:val="1"/>
                <w:szCs w:val="1"/>
                <w:color w:val="auto"/>
              </w:rPr>
            </w:pPr>
          </w:p>
        </w:tc>
      </w:tr>
      <w:tr>
        <w:trPr>
          <w:trHeight w:val="149"/>
        </w:trPr>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Mine ID</w:t>
            </w:r>
          </w:p>
        </w:tc>
        <w:tc>
          <w:tcPr>
            <w:tcW w:w="11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Mine Location</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Substantial”</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104(b)</w:t>
            </w:r>
          </w:p>
        </w:tc>
        <w:tc>
          <w:tcPr>
            <w:tcW w:w="102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Citations and</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Flagrant</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Imminent</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MSHA</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Related</w:t>
            </w:r>
          </w:p>
        </w:tc>
        <w:tc>
          <w:tcPr>
            <w:tcW w:w="17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of Last Day Initiated During</w:t>
            </w: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76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Violations</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Orders</w:t>
            </w:r>
          </w:p>
        </w:tc>
        <w:tc>
          <w:tcPr>
            <w:tcW w:w="10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Orders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Violations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Danger Orders</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Assessments</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Fatalities</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of Period</w:t>
            </w:r>
          </w:p>
        </w:tc>
        <w:tc>
          <w:tcPr>
            <w:tcW w:w="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Period</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During Period</w:t>
            </w:r>
          </w:p>
        </w:tc>
        <w:tc>
          <w:tcPr>
            <w:tcW w:w="0" w:type="dxa"/>
            <w:vAlign w:val="bottom"/>
          </w:tcPr>
          <w:p>
            <w:pPr>
              <w:spacing w:after="0"/>
              <w:rPr>
                <w:sz w:val="1"/>
                <w:szCs w:val="1"/>
                <w:color w:val="auto"/>
              </w:rPr>
            </w:pPr>
          </w:p>
        </w:tc>
      </w:tr>
      <w:tr>
        <w:trPr>
          <w:trHeight w:val="193"/>
        </w:trPr>
        <w:tc>
          <w:tcPr>
            <w:tcW w:w="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10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80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7"/>
              </w:rPr>
              <w:t>(#)</w:t>
            </w:r>
          </w:p>
        </w:tc>
        <w:tc>
          <w:tcPr>
            <w:tcW w:w="9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w w:val="97"/>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7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76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0900114</w:t>
            </w:r>
          </w:p>
        </w:tc>
        <w:tc>
          <w:tcPr>
            <w:tcW w:w="1120" w:type="dxa"/>
            <w:vAlign w:val="bottom"/>
            <w:shd w:val="clear" w:color="auto" w:fill="CCEEFF"/>
          </w:tcPr>
          <w:p>
            <w:pPr>
              <w:ind w:left="100"/>
              <w:spacing w:after="0" w:line="115" w:lineRule="exact"/>
              <w:rPr>
                <w:sz w:val="20"/>
                <w:szCs w:val="20"/>
                <w:color w:val="auto"/>
              </w:rPr>
            </w:pPr>
            <w:r>
              <w:rPr>
                <w:rFonts w:ascii="Times New Roman" w:cs="Times New Roman" w:eastAsia="Times New Roman" w:hAnsi="Times New Roman"/>
                <w:sz w:val="13"/>
                <w:szCs w:val="13"/>
                <w:color w:val="auto"/>
              </w:rPr>
              <w:t>Ochlocknee,</w:t>
            </w:r>
          </w:p>
        </w:tc>
        <w:tc>
          <w:tcPr>
            <w:tcW w:w="1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6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vMerge w:val="restart"/>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vMerge w:val="restart"/>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12"/>
        </w:trPr>
        <w:tc>
          <w:tcPr>
            <w:tcW w:w="760" w:type="dxa"/>
            <w:vAlign w:val="bottom"/>
            <w:vMerge w:val="continue"/>
            <w:shd w:val="clear" w:color="auto" w:fill="CCEEFF"/>
          </w:tcPr>
          <w:p>
            <w:pPr>
              <w:spacing w:after="0"/>
              <w:rPr>
                <w:sz w:val="9"/>
                <w:szCs w:val="9"/>
                <w:color w:val="auto"/>
              </w:rPr>
            </w:pPr>
          </w:p>
        </w:tc>
        <w:tc>
          <w:tcPr>
            <w:tcW w:w="11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Georgia</w:t>
            </w:r>
          </w:p>
        </w:tc>
        <w:tc>
          <w:tcPr>
            <w:tcW w:w="1080" w:type="dxa"/>
            <w:vAlign w:val="bottom"/>
            <w:vMerge w:val="continue"/>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120" w:type="dxa"/>
            <w:vAlign w:val="bottom"/>
            <w:vMerge w:val="continue"/>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1180" w:type="dxa"/>
            <w:vAlign w:val="bottom"/>
            <w:vMerge w:val="continue"/>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8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760" w:type="dxa"/>
            <w:vAlign w:val="bottom"/>
            <w:shd w:val="clear" w:color="auto" w:fill="CCEEFF"/>
          </w:tcPr>
          <w:p>
            <w:pPr>
              <w:spacing w:after="0"/>
              <w:rPr>
                <w:sz w:val="7"/>
                <w:szCs w:val="7"/>
                <w:color w:val="auto"/>
              </w:rPr>
            </w:pPr>
          </w:p>
        </w:tc>
        <w:tc>
          <w:tcPr>
            <w:tcW w:w="1120" w:type="dxa"/>
            <w:vAlign w:val="bottom"/>
            <w:vMerge w:val="continue"/>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7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2200035</w:t>
            </w:r>
          </w:p>
        </w:tc>
        <w:tc>
          <w:tcPr>
            <w:tcW w:w="1120" w:type="dxa"/>
            <w:vAlign w:val="bottom"/>
          </w:tcPr>
          <w:p>
            <w:pPr>
              <w:ind w:left="100"/>
              <w:spacing w:after="0" w:line="135" w:lineRule="exact"/>
              <w:rPr>
                <w:sz w:val="20"/>
                <w:szCs w:val="20"/>
                <w:color w:val="auto"/>
              </w:rPr>
            </w:pPr>
            <w:r>
              <w:rPr>
                <w:rFonts w:ascii="Times New Roman" w:cs="Times New Roman" w:eastAsia="Times New Roman" w:hAnsi="Times New Roman"/>
                <w:sz w:val="14"/>
                <w:szCs w:val="14"/>
                <w:color w:val="auto"/>
              </w:rPr>
              <w:t>Ripley,</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12"/>
        </w:trPr>
        <w:tc>
          <w:tcPr>
            <w:tcW w:w="760" w:type="dxa"/>
            <w:vAlign w:val="bottom"/>
            <w:vMerge w:val="continue"/>
          </w:tcPr>
          <w:p>
            <w:pPr>
              <w:spacing w:after="0"/>
              <w:rPr>
                <w:sz w:val="9"/>
                <w:szCs w:val="9"/>
                <w:color w:val="auto"/>
              </w:rPr>
            </w:pPr>
          </w:p>
        </w:tc>
        <w:tc>
          <w:tcPr>
            <w:tcW w:w="11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Mississippi</w:t>
            </w:r>
          </w:p>
        </w:tc>
        <w:tc>
          <w:tcPr>
            <w:tcW w:w="10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76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7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1102403</w:t>
            </w:r>
          </w:p>
        </w:tc>
        <w:tc>
          <w:tcPr>
            <w:tcW w:w="1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Mounds, Illinois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15,102</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1"/>
              </w:rPr>
              <w:t>5</w:t>
            </w:r>
            <w:r>
              <w:rPr>
                <w:rFonts w:ascii="Times New Roman" w:cs="Times New Roman" w:eastAsia="Times New Roman" w:hAnsi="Times New Roman"/>
                <w:sz w:val="18"/>
                <w:szCs w:val="18"/>
                <w:color w:val="auto"/>
                <w:w w:val="91"/>
                <w:vertAlign w:val="superscript"/>
              </w:rPr>
              <w:t>1</w:t>
            </w:r>
          </w:p>
        </w:tc>
        <w:tc>
          <w:tcPr>
            <w:tcW w:w="94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35"/>
        </w:trPr>
        <w:tc>
          <w:tcPr>
            <w:tcW w:w="7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2200582</w:t>
            </w:r>
          </w:p>
        </w:tc>
        <w:tc>
          <w:tcPr>
            <w:tcW w:w="1120" w:type="dxa"/>
            <w:vAlign w:val="bottom"/>
          </w:tcPr>
          <w:p>
            <w:pPr>
              <w:ind w:left="100"/>
              <w:spacing w:after="0" w:line="135" w:lineRule="exact"/>
              <w:rPr>
                <w:sz w:val="20"/>
                <w:szCs w:val="20"/>
                <w:color w:val="auto"/>
              </w:rPr>
            </w:pPr>
            <w:r>
              <w:rPr>
                <w:rFonts w:ascii="Times New Roman" w:cs="Times New Roman" w:eastAsia="Times New Roman" w:hAnsi="Times New Roman"/>
                <w:sz w:val="14"/>
                <w:szCs w:val="14"/>
                <w:color w:val="auto"/>
              </w:rPr>
              <w:t>Blue Mountain,</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12"/>
        </w:trPr>
        <w:tc>
          <w:tcPr>
            <w:tcW w:w="760" w:type="dxa"/>
            <w:vAlign w:val="bottom"/>
            <w:vMerge w:val="continue"/>
          </w:tcPr>
          <w:p>
            <w:pPr>
              <w:spacing w:after="0"/>
              <w:rPr>
                <w:sz w:val="9"/>
                <w:szCs w:val="9"/>
                <w:color w:val="auto"/>
              </w:rPr>
            </w:pPr>
          </w:p>
        </w:tc>
        <w:tc>
          <w:tcPr>
            <w:tcW w:w="11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Mississippi</w:t>
            </w:r>
          </w:p>
        </w:tc>
        <w:tc>
          <w:tcPr>
            <w:tcW w:w="10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76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7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0402964</w:t>
            </w:r>
          </w:p>
        </w:tc>
        <w:tc>
          <w:tcPr>
            <w:tcW w:w="1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Taft, California</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634365</wp:posOffset>
            </wp:positionV>
            <wp:extent cx="17145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40" w:firstLine="8"/>
        <w:spacing w:after="0" w:line="229" w:lineRule="auto"/>
        <w:tabs>
          <w:tab w:leader="none" w:pos="103"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the last day of the quarter ended January 31, 2024 there were five pending legal actions. All five of these pending legal actions were initiated during the quarter ended October 31, 2023.</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87" w:right="339" w:bottom="1440" w:gutter="0" w:footer="0" w:header="0"/>
        </w:sectPr>
      </w:pPr>
    </w:p>
    <w:bookmarkStart w:id="40" w:name="page41"/>
    <w:bookmarkEnd w:id="40"/>
    <w:p>
      <w:pPr>
        <w:jc w:val="both"/>
        <w:spacing w:after="0" w:line="250" w:lineRule="auto"/>
        <w:rPr>
          <w:sz w:val="20"/>
          <w:szCs w:val="20"/>
          <w:color w:val="auto"/>
        </w:rPr>
      </w:pPr>
      <w:r>
        <w:rPr>
          <w:rFonts w:ascii="Times New Roman" w:cs="Times New Roman" w:eastAsia="Times New Roman" w:hAnsi="Times New Roman"/>
          <w:sz w:val="18"/>
          <w:szCs w:val="18"/>
          <w:color w:val="auto"/>
        </w:rPr>
        <w:t>During this period we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w:t>
      </w:r>
    </w:p>
    <w:p>
      <w:pPr>
        <w:spacing w:after="0" w:line="204" w:lineRule="exact"/>
        <w:rPr>
          <w:sz w:val="20"/>
          <w:szCs w:val="20"/>
          <w:color w:val="auto"/>
        </w:rPr>
      </w:pPr>
    </w:p>
    <w:p>
      <w:pPr>
        <w:jc w:val="both"/>
        <w:ind w:right="360"/>
        <w:spacing w:after="0" w:line="236" w:lineRule="auto"/>
        <w:rPr>
          <w:sz w:val="20"/>
          <w:szCs w:val="20"/>
          <w:color w:val="auto"/>
        </w:rPr>
      </w:pPr>
      <w:r>
        <w:rPr>
          <w:rFonts w:ascii="Times New Roman" w:cs="Times New Roman" w:eastAsia="Times New Roman" w:hAnsi="Times New Roman"/>
          <w:sz w:val="18"/>
          <w:szCs w:val="18"/>
          <w:color w:val="auto"/>
        </w:rPr>
        <w:t>Legal actions pending before the Commission may involve, among other questions, challenges by operators to citations, orders and penalties they have received from MSHA or complaints of discrimination by miners under section 105 of the Mine Act. The following is a brief description of the types of legal actions that may be brought before the Commission.</w:t>
      </w:r>
    </w:p>
    <w:p>
      <w:pPr>
        <w:spacing w:after="0" w:line="213" w:lineRule="exact"/>
        <w:rPr>
          <w:sz w:val="20"/>
          <w:szCs w:val="20"/>
          <w:color w:val="auto"/>
        </w:rPr>
      </w:pPr>
    </w:p>
    <w:p>
      <w:pPr>
        <w:ind w:left="120" w:right="260"/>
        <w:spacing w:after="0" w:line="250" w:lineRule="auto"/>
        <w:rPr>
          <w:sz w:val="20"/>
          <w:szCs w:val="20"/>
          <w:color w:val="auto"/>
        </w:rPr>
      </w:pPr>
      <w:r>
        <w:rPr>
          <w:rFonts w:ascii="Times New Roman" w:cs="Times New Roman" w:eastAsia="Times New Roman" w:hAnsi="Times New Roman"/>
          <w:sz w:val="18"/>
          <w:szCs w:val="18"/>
          <w:color w:val="auto"/>
        </w:rPr>
        <w:t>Contests of Citations and Orders: A contest proceeding may be filed with the Commission by operators, miners or miners’ representatives to challenge the issuance of a citation or order issued by MSHA.</w:t>
      </w:r>
    </w:p>
    <w:p>
      <w:pPr>
        <w:spacing w:after="0" w:line="203" w:lineRule="exact"/>
        <w:rPr>
          <w:sz w:val="20"/>
          <w:szCs w:val="20"/>
          <w:color w:val="auto"/>
        </w:rPr>
      </w:pPr>
    </w:p>
    <w:p>
      <w:pPr>
        <w:ind w:left="120"/>
        <w:spacing w:after="0" w:line="250" w:lineRule="auto"/>
        <w:rPr>
          <w:sz w:val="20"/>
          <w:szCs w:val="20"/>
          <w:color w:val="auto"/>
        </w:rPr>
      </w:pPr>
      <w:r>
        <w:rPr>
          <w:rFonts w:ascii="Times New Roman" w:cs="Times New Roman" w:eastAsia="Times New Roman" w:hAnsi="Times New Roman"/>
          <w:sz w:val="18"/>
          <w:szCs w:val="18"/>
          <w:color w:val="auto"/>
        </w:rPr>
        <w:t>Contests of Proposed Penalties (Petitions for Assessment of Penalties): A contest of a proposed penalty is an administrative proceeding before the Commission challenging a civil penalty that MSHA has proposed for the alleged violation contained in a citation or order. The validity of the citation may also be challenged in this proceeding as well.</w:t>
      </w:r>
    </w:p>
    <w:p>
      <w:pPr>
        <w:spacing w:after="0" w:line="204" w:lineRule="exact"/>
        <w:rPr>
          <w:sz w:val="20"/>
          <w:szCs w:val="20"/>
          <w:color w:val="auto"/>
        </w:rPr>
      </w:pPr>
    </w:p>
    <w:p>
      <w:pPr>
        <w:jc w:val="both"/>
        <w:ind w:left="120" w:right="380"/>
        <w:spacing w:after="0" w:line="250" w:lineRule="auto"/>
        <w:rPr>
          <w:sz w:val="20"/>
          <w:szCs w:val="20"/>
          <w:color w:val="auto"/>
        </w:rPr>
      </w:pPr>
      <w:r>
        <w:rPr>
          <w:rFonts w:ascii="Times New Roman" w:cs="Times New Roman" w:eastAsia="Times New Roman" w:hAnsi="Times New Roman"/>
          <w:sz w:val="18"/>
          <w:szCs w:val="18"/>
          <w:color w:val="auto"/>
        </w:rPr>
        <w:t>Complaints for Compensation: A complaint for compensation may be filed with the Commission by miners entitled to compensation when a mine is closed by certain withdrawal orders issued by MSHA. The purpose of the proceeding is to determine the amount of compensation, if any, due miners idled by the orders.</w:t>
      </w:r>
    </w:p>
    <w:p>
      <w:pPr>
        <w:spacing w:after="0" w:line="204" w:lineRule="exact"/>
        <w:rPr>
          <w:sz w:val="20"/>
          <w:szCs w:val="20"/>
          <w:color w:val="auto"/>
        </w:rPr>
      </w:pPr>
    </w:p>
    <w:p>
      <w:pPr>
        <w:ind w:left="120" w:right="300"/>
        <w:spacing w:after="0" w:line="296" w:lineRule="auto"/>
        <w:rPr>
          <w:sz w:val="20"/>
          <w:szCs w:val="20"/>
          <w:color w:val="auto"/>
        </w:rPr>
      </w:pPr>
      <w:r>
        <w:rPr>
          <w:rFonts w:ascii="Times New Roman" w:cs="Times New Roman" w:eastAsia="Times New Roman" w:hAnsi="Times New Roman"/>
          <w:sz w:val="17"/>
          <w:szCs w:val="17"/>
          <w:color w:val="auto"/>
        </w:rPr>
        <w:t>Complaints of Discharge, Discrimination or Interference: A discrimination proceeding is a case that involves a miner’s allegation that he or she has suffered a wrong by the operator because he or she engaged in some type of activity protected under the Mine Act, such as making a safety complaint.</w:t>
      </w:r>
    </w:p>
    <w:p>
      <w:pPr>
        <w:spacing w:after="0" w:line="166"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Applications for Temporary Relief: An application for temporary relief from any modification or termination of any order or from any order issued under section 104 of the Mine Act.</w:t>
      </w:r>
    </w:p>
    <w:p>
      <w:pPr>
        <w:spacing w:after="0" w:line="189" w:lineRule="exact"/>
        <w:rPr>
          <w:sz w:val="20"/>
          <w:szCs w:val="20"/>
          <w:color w:val="auto"/>
        </w:rPr>
      </w:pPr>
    </w:p>
    <w:p>
      <w:pPr>
        <w:ind w:left="120" w:right="160"/>
        <w:spacing w:after="0" w:line="250" w:lineRule="auto"/>
        <w:rPr>
          <w:sz w:val="20"/>
          <w:szCs w:val="20"/>
          <w:color w:val="auto"/>
        </w:rPr>
      </w:pPr>
      <w:r>
        <w:rPr>
          <w:rFonts w:ascii="Times New Roman" w:cs="Times New Roman" w:eastAsia="Times New Roman" w:hAnsi="Times New Roman"/>
          <w:sz w:val="18"/>
          <w:szCs w:val="18"/>
          <w:color w:val="auto"/>
        </w:rPr>
        <w:t>Appeals of Judges’ Decisions or Orders to the Commission: A filing with the Commission of a petition for discretionary review of a Judge’s decision or order by a person who has been adversely affected or aggrieved by such decision or order.</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4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rPr>
              <w:t>Contests of</w:t>
            </w:r>
          </w:p>
        </w:tc>
        <w:tc>
          <w:tcPr>
            <w:tcW w:w="134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Complaints of</w:t>
            </w:r>
          </w:p>
        </w:tc>
        <w:tc>
          <w:tcPr>
            <w:tcW w:w="12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9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Contests of Citations</w:t>
            </w:r>
          </w:p>
        </w:tc>
        <w:tc>
          <w:tcPr>
            <w:tcW w:w="1040" w:type="dxa"/>
            <w:vAlign w:val="bottom"/>
            <w:vMerge w:val="continue"/>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Complaints for</w:t>
            </w:r>
          </w:p>
        </w:tc>
        <w:tc>
          <w:tcPr>
            <w:tcW w:w="14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Discharge,</w:t>
            </w:r>
          </w:p>
        </w:tc>
        <w:tc>
          <w:tcPr>
            <w:tcW w:w="128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Applications for</w:t>
            </w:r>
          </w:p>
        </w:tc>
        <w:tc>
          <w:tcPr>
            <w:tcW w:w="178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Appeals of Judges Decisions</w:t>
            </w:r>
          </w:p>
        </w:tc>
        <w:tc>
          <w:tcPr>
            <w:tcW w:w="0" w:type="dxa"/>
            <w:vAlign w:val="bottom"/>
          </w:tcPr>
          <w:p>
            <w:pPr>
              <w:spacing w:after="0"/>
              <w:rPr>
                <w:sz w:val="1"/>
                <w:szCs w:val="1"/>
                <w:color w:val="auto"/>
              </w:rPr>
            </w:pPr>
          </w:p>
        </w:tc>
      </w:tr>
      <w:tr>
        <w:trPr>
          <w:trHeight w:val="148"/>
        </w:trPr>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Mine ID</w:t>
            </w:r>
          </w:p>
        </w:tc>
        <w:tc>
          <w:tcPr>
            <w:tcW w:w="160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Mine location</w:t>
            </w:r>
          </w:p>
        </w:tc>
        <w:tc>
          <w:tcPr>
            <w:tcW w:w="1480" w:type="dxa"/>
            <w:vAlign w:val="bottom"/>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Proposed</w:t>
            </w:r>
          </w:p>
        </w:tc>
        <w:tc>
          <w:tcPr>
            <w:tcW w:w="1340" w:type="dxa"/>
            <w:vAlign w:val="bottom"/>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Discrimination or</w:t>
            </w:r>
          </w:p>
        </w:tc>
        <w:tc>
          <w:tcPr>
            <w:tcW w:w="1280" w:type="dxa"/>
            <w:vAlign w:val="bottom"/>
            <w:vMerge w:val="continue"/>
          </w:tcPr>
          <w:p>
            <w:pPr>
              <w:spacing w:after="0"/>
              <w:rPr>
                <w:sz w:val="12"/>
                <w:szCs w:val="12"/>
                <w:color w:val="auto"/>
              </w:rPr>
            </w:pPr>
          </w:p>
        </w:tc>
        <w:tc>
          <w:tcPr>
            <w:tcW w:w="1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900" w:type="dxa"/>
            <w:vAlign w:val="bottom"/>
            <w:tcBorders>
              <w:bottom w:val="single" w:sz="8" w:color="CCEEFF"/>
            </w:tcBorders>
            <w:vMerge w:val="continue"/>
          </w:tcPr>
          <w:p>
            <w:pPr>
              <w:spacing w:after="0"/>
              <w:rPr>
                <w:sz w:val="17"/>
                <w:szCs w:val="17"/>
                <w:color w:val="auto"/>
              </w:rPr>
            </w:pPr>
          </w:p>
        </w:tc>
        <w:tc>
          <w:tcPr>
            <w:tcW w:w="1600" w:type="dxa"/>
            <w:vAlign w:val="bottom"/>
            <w:tcBorders>
              <w:bottom w:val="single" w:sz="8" w:color="CCEEFF"/>
            </w:tcBorders>
            <w:vMerge w:val="continue"/>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and Orders</w:t>
            </w:r>
          </w:p>
        </w:tc>
        <w:tc>
          <w:tcPr>
            <w:tcW w:w="10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Penalties</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Compensation</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Interference</w:t>
            </w:r>
          </w:p>
        </w:tc>
        <w:tc>
          <w:tcPr>
            <w:tcW w:w="128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rPr>
              <w:t>Temporary Relief</w:t>
            </w:r>
          </w:p>
        </w:tc>
        <w:tc>
          <w:tcPr>
            <w:tcW w:w="178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or Orders to the Commission</w:t>
            </w:r>
          </w:p>
        </w:tc>
        <w:tc>
          <w:tcPr>
            <w:tcW w:w="0" w:type="dxa"/>
            <w:vAlign w:val="bottom"/>
          </w:tcPr>
          <w:p>
            <w:pPr>
              <w:spacing w:after="0"/>
              <w:rPr>
                <w:sz w:val="1"/>
                <w:szCs w:val="1"/>
                <w:color w:val="auto"/>
              </w:rPr>
            </w:pPr>
          </w:p>
        </w:tc>
      </w:tr>
      <w:tr>
        <w:trPr>
          <w:trHeight w:val="201"/>
        </w:trPr>
        <w:tc>
          <w:tcPr>
            <w:tcW w:w="90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0900114</w:t>
            </w:r>
          </w:p>
        </w:tc>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Ochlocknee, Georgia</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80" w:type="dxa"/>
            <w:vAlign w:val="bottom"/>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178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5"/>
        </w:trPr>
        <w:tc>
          <w:tcPr>
            <w:tcW w:w="9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2200035</w:t>
            </w:r>
          </w:p>
        </w:tc>
        <w:tc>
          <w:tcPr>
            <w:tcW w:w="1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Ripley, Mississippi</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17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10"/>
        </w:trPr>
        <w:tc>
          <w:tcPr>
            <w:tcW w:w="90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1102403</w:t>
            </w:r>
          </w:p>
        </w:tc>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Mounds, Illinois</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2</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1280" w:type="dxa"/>
            <w:vAlign w:val="bottom"/>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85"/>
              </w:rPr>
              <w:t>1</w:t>
            </w:r>
          </w:p>
        </w:tc>
        <w:tc>
          <w:tcPr>
            <w:tcW w:w="178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39"/>
        </w:trPr>
        <w:tc>
          <w:tcPr>
            <w:tcW w:w="90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2200582</w:t>
            </w:r>
          </w:p>
        </w:tc>
        <w:tc>
          <w:tcPr>
            <w:tcW w:w="160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Blue Mountain,</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8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178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07"/>
        </w:trPr>
        <w:tc>
          <w:tcPr>
            <w:tcW w:w="900" w:type="dxa"/>
            <w:vAlign w:val="bottom"/>
            <w:vMerge w:val="continue"/>
          </w:tcPr>
          <w:p>
            <w:pPr>
              <w:spacing w:after="0"/>
              <w:rPr>
                <w:sz w:val="9"/>
                <w:szCs w:val="9"/>
                <w:color w:val="auto"/>
              </w:rPr>
            </w:pP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Mississippi</w:t>
            </w:r>
          </w:p>
        </w:tc>
        <w:tc>
          <w:tcPr>
            <w:tcW w:w="14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1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900" w:type="dxa"/>
            <w:vAlign w:val="bottom"/>
          </w:tcPr>
          <w:p>
            <w:pPr>
              <w:spacing w:after="0"/>
              <w:rPr>
                <w:sz w:val="7"/>
                <w:szCs w:val="7"/>
                <w:color w:val="auto"/>
              </w:rPr>
            </w:pPr>
          </w:p>
        </w:tc>
        <w:tc>
          <w:tcPr>
            <w:tcW w:w="1600" w:type="dxa"/>
            <w:vAlign w:val="bottom"/>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1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90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0402964</w:t>
            </w:r>
          </w:p>
        </w:tc>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Taft, California</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80" w:type="dxa"/>
            <w:vAlign w:val="bottom"/>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178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240"/>
      </w:cols>
      <w:pgMar w:left="320" w:top="8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bullet"/>
      <w:start w:val="1"/>
    </w:lvl>
  </w:abstractNum>
  <w:abstractNum w:abstractNumId="4">
    <w:nsid w:val="1F16E9E8"/>
    <w:multiLevelType w:val="hybridMultilevel"/>
    <w:lvl w:ilvl="0">
      <w:lvlJc w:val="left"/>
      <w:lvlText w:val="2"/>
      <w:numFmt w:val="bullet"/>
      <w:start w:val="1"/>
    </w:lvl>
  </w:abstractNum>
  <w:abstractNum w:abstractNumId="5">
    <w:nsid w:val="1190CDE7"/>
    <w:multiLevelType w:val="hybridMultilevel"/>
    <w:lvl w:ilvl="0">
      <w:lvlJc w:val="left"/>
      <w:lvlText w:val="3"/>
      <w:numFmt w:val="bullet"/>
      <w:start w:val="1"/>
    </w:lvl>
  </w:abstractNum>
  <w:abstractNum w:abstractNumId="6">
    <w:nsid w:val="66EF438D"/>
    <w:multiLevelType w:val="hybridMultilevel"/>
    <w:lvl w:ilvl="0">
      <w:lvlJc w:val="left"/>
      <w:lvlText w:val="4"/>
      <w:numFmt w:val="bullet"/>
      <w:start w:val="1"/>
    </w:lvl>
  </w:abstractNum>
  <w:abstractNum w:abstractNumId="7">
    <w:nsid w:val="140E0F76"/>
    <w:multiLevelType w:val="hybridMultilevel"/>
    <w:lvl w:ilvl="0">
      <w:lvlJc w:val="left"/>
      <w:lvlText w:val="%1."/>
      <w:numFmt w:val="upperLetter"/>
      <w:start w:val="1"/>
    </w:lvl>
  </w:abstractNum>
  <w:abstractNum w:abstractNumId="8">
    <w:nsid w:val="3352255A"/>
    <w:multiLevelType w:val="hybridMultilevel"/>
    <w:lvl w:ilvl="0">
      <w:lvlJc w:val="left"/>
      <w:lvlText w:val="%1."/>
      <w:numFmt w:val="upperLetter"/>
      <w:start w:val="1"/>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upperLetter"/>
      <w:start w:val="9"/>
    </w:lvl>
    <w:lvl w:ilvl="1">
      <w:lvlJc w:val="left"/>
      <w:lvlText w:val="%2."/>
      <w:numFmt w:val="lowerLetter"/>
      <w:start w:val="1"/>
    </w:lvl>
    <w:lvl w:ilvl="2">
      <w:lvlJc w:val="left"/>
      <w:lvlText w:val="%3."/>
      <w:numFmt w:val="lowerRoman"/>
      <w:start w:val="3"/>
    </w:lvl>
    <w:lvl w:ilvl="3">
      <w:lvlJc w:val="left"/>
      <w:lvlText w:val="%4."/>
      <w:numFmt w:val="lowerRoman"/>
      <w:start w:val="1"/>
    </w:lvl>
  </w:abstractNum>
  <w:abstractNum w:abstractNumId="15">
    <w:nsid w:val="4E6AFB66"/>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16">
    <w:nsid w:val="25E45D32"/>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2024-03-07T15:28:44Z</dcterms:created>
  <dcterms:modified xsi:type="dcterms:W3CDTF">2024-03-07T15:28:44Z</dcterms:modified>
</cp:coreProperties>
</file>