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3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 the fiscal year ended July 31, 2025</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240" w:hanging="200"/>
        <w:spacing w:after="0"/>
        <w:tabs>
          <w:tab w:leader="none" w:pos="2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TRANSITION REPORT PURSUANT TO SECTION 13 OR 15 (d) OF THE SECURITIES EXCHANGE ACT OF 1934</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 to _____</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001-12622</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ectPr>
          <w:pgSz w:w="11900" w:h="16838" w:orient="portrait"/>
          <w:cols w:equalWidth="0" w:num="1">
            <w:col w:w="11280"/>
          </w:cols>
          <w:pgMar w:left="300" w:top="807" w:right="319" w:bottom="1440" w:gutter="0" w:footer="0" w:header="0"/>
        </w:sectPr>
      </w:pPr>
    </w:p>
    <w:p>
      <w:pPr>
        <w:spacing w:after="0" w:line="41"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4"/>
          <w:szCs w:val="14"/>
          <w:color w:val="auto"/>
        </w:rPr>
        <w:t>Delaware</w:t>
      </w:r>
    </w:p>
    <w:p>
      <w:pPr>
        <w:spacing w:after="0" w:line="104"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104"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4"/>
          <w:szCs w:val="14"/>
          <w:color w:val="auto"/>
        </w:rPr>
        <w:t>410 North Michigan Avenue, Suite 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-4445</wp:posOffset>
            </wp:positionV>
            <wp:extent cx="1437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3"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4"/>
          <w:szCs w:val="14"/>
          <w:u w:val="single" w:color="auto"/>
          <w:color w:val="auto"/>
        </w:rPr>
        <w:t>Chicago, Illinois</w:t>
      </w:r>
    </w:p>
    <w:p>
      <w:pPr>
        <w:spacing w:after="0" w:line="19"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The registrant's telephone number, including area code: (312) 321-1515</w:t>
      </w:r>
    </w:p>
    <w:p>
      <w:pPr>
        <w:spacing w:after="0" w:line="23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36-2048898</w:t>
      </w:r>
    </w:p>
    <w:p>
      <w:pPr>
        <w:spacing w:after="0" w:line="2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66" w:lineRule="exact"/>
        <w:rPr>
          <w:sz w:val="24"/>
          <w:szCs w:val="24"/>
          <w:color w:val="auto"/>
        </w:rPr>
      </w:pPr>
    </w:p>
    <w:p>
      <w:pPr>
        <w:jc w:val="right"/>
        <w:ind w:right="1980"/>
        <w:spacing w:after="0"/>
        <w:rPr>
          <w:sz w:val="20"/>
          <w:szCs w:val="20"/>
          <w:color w:val="auto"/>
        </w:rPr>
      </w:pPr>
      <w:r>
        <w:rPr>
          <w:rFonts w:ascii="Times New Roman" w:cs="Times New Roman" w:eastAsia="Times New Roman" w:hAnsi="Times New Roman"/>
          <w:sz w:val="14"/>
          <w:szCs w:val="14"/>
          <w:color w:val="auto"/>
        </w:rPr>
        <w:t>60611-4213</w:t>
      </w:r>
    </w:p>
    <w:p>
      <w:pPr>
        <w:spacing w:after="0" w:line="23" w:lineRule="exact"/>
        <w:rPr>
          <w:sz w:val="24"/>
          <w:szCs w:val="24"/>
          <w:color w:val="auto"/>
        </w:rPr>
      </w:pPr>
    </w:p>
    <w:p>
      <w:pPr>
        <w:jc w:val="right"/>
        <w:ind w:right="1980"/>
        <w:spacing w:after="0"/>
        <w:rPr>
          <w:sz w:val="20"/>
          <w:szCs w:val="20"/>
          <w:color w:val="auto"/>
        </w:rPr>
      </w:pPr>
      <w:r>
        <w:rPr>
          <w:rFonts w:ascii="Times New Roman" w:cs="Times New Roman" w:eastAsia="Times New Roman" w:hAnsi="Times New Roman"/>
          <w:sz w:val="14"/>
          <w:szCs w:val="14"/>
          <w:color w:val="auto"/>
        </w:rPr>
        <w:t>(Zip Code)</w:t>
      </w:r>
    </w:p>
    <w:p>
      <w:pPr>
        <w:spacing w:after="0" w:line="694" w:lineRule="exact"/>
        <w:rPr>
          <w:sz w:val="24"/>
          <w:szCs w:val="24"/>
          <w:color w:val="auto"/>
        </w:rPr>
      </w:pPr>
    </w:p>
    <w:p>
      <w:pPr>
        <w:sectPr>
          <w:pgSz w:w="11900" w:h="16838" w:orient="portrait"/>
          <w:cols w:equalWidth="0" w:num="2">
            <w:col w:w="7680" w:space="240"/>
            <w:col w:w="3360"/>
          </w:cols>
          <w:pgMar w:left="300" w:top="807"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48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5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7"/>
        </w:trPr>
        <w:tc>
          <w:tcPr>
            <w:tcW w:w="348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Common Stock, par value $0.10 per share</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ODC</w:t>
            </w:r>
          </w:p>
        </w:tc>
        <w:tc>
          <w:tcPr>
            <w:tcW w:w="35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429"/>
        </w:trPr>
        <w:tc>
          <w:tcPr>
            <w:tcW w:w="3480" w:type="dxa"/>
            <w:vAlign w:val="bottom"/>
          </w:tcPr>
          <w:p>
            <w:pPr>
              <w:spacing w:after="0"/>
              <w:rPr>
                <w:sz w:val="24"/>
                <w:szCs w:val="24"/>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500" w:type="dxa"/>
            <w:vAlign w:val="bottom"/>
          </w:tcPr>
          <w:p>
            <w:pPr>
              <w:spacing w:after="0"/>
              <w:rPr>
                <w:sz w:val="24"/>
                <w:szCs w:val="24"/>
                <w:color w:val="auto"/>
              </w:rPr>
            </w:pPr>
          </w:p>
        </w:tc>
      </w:tr>
    </w:tbl>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p>
    <w:p>
      <w:pPr>
        <w:ind w:left="5240"/>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9"/>
          <w:szCs w:val="19"/>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p>
    <w:p>
      <w:pPr>
        <w:ind w:left="5260"/>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9"/>
          <w:szCs w:val="19"/>
          <w:color w:val="auto"/>
        </w:rPr>
        <w:t>☒</w:t>
      </w:r>
    </w:p>
    <w:p>
      <w:pPr>
        <w:spacing w:after="0" w:line="17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jc w:val="center"/>
        <w:ind w:right="-19"/>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type w:val="continuous"/>
        </w:sectPr>
      </w:pPr>
    </w:p>
    <w:bookmarkStart w:id="1" w:name="page2"/>
    <w:bookmarkEnd w:id="1"/>
    <w:p>
      <w:pPr>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4"/>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Accelerated filer</w:t>
            </w:r>
          </w:p>
        </w:tc>
        <w:tc>
          <w:tcPr>
            <w:tcW w:w="3260" w:type="dxa"/>
            <w:vAlign w:val="bottom"/>
          </w:tcPr>
          <w:p>
            <w:pPr>
              <w:ind w:left="1460"/>
              <w:spacing w:after="0" w:line="201" w:lineRule="exact"/>
              <w:rPr>
                <w:sz w:val="20"/>
                <w:szCs w:val="20"/>
                <w:color w:val="auto"/>
              </w:rPr>
            </w:pPr>
            <w:r>
              <w:rPr>
                <w:rFonts w:ascii="MS PGothic" w:cs="MS PGothic" w:eastAsia="MS PGothic" w:hAnsi="MS PGothic"/>
                <w:sz w:val="20"/>
                <w:szCs w:val="20"/>
                <w:color w:val="auto"/>
              </w:rPr>
              <w:t>☒</w:t>
            </w:r>
          </w:p>
        </w:tc>
        <w:tc>
          <w:tcPr>
            <w:tcW w:w="368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6"/>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30" w:lineRule="exact"/>
        <w:rPr>
          <w:sz w:val="20"/>
          <w:szCs w:val="20"/>
          <w:color w:val="auto"/>
        </w:rPr>
      </w:pPr>
    </w:p>
    <w:p>
      <w:pPr>
        <w:ind w:firstLine="42"/>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45"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140"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0"/>
          <w:szCs w:val="20"/>
          <w:color w:val="auto"/>
        </w:rPr>
      </w:pPr>
    </w:p>
    <w:p>
      <w:pPr>
        <w:ind w:left="5240"/>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9"/>
          <w:szCs w:val="19"/>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registrant’s Common Stock, par value $0.10 per share ("Common Stock") owned by non-affiliates as of January 31, 2025 was $413,766,024.</w:t>
      </w:r>
    </w:p>
    <w:p>
      <w:pPr>
        <w:spacing w:after="0" w:line="1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As of September 30, 2025, 10,373,180 shares of the registrant's Common Stock and 4,269,856 shares of the registrant's Class B Stock, par value $0.10 per share ("Class B Stock") were outstanding.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(“Proxy Statement”), which will be filed with the U.S. Securities and Exchange Commission (“SEC”) not later than November 28, 2025 (120 days after the fiscal year to which this report relates), are incorporated into Part III of this Annual Report on Form 10-K where indicated.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8240" w:type="dxa"/>
            <w:vAlign w:val="bottom"/>
          </w:tcPr>
          <w:p>
            <w:pPr>
              <w:jc w:val="center"/>
              <w:ind w:left="1910"/>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28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Item</w:t>
            </w:r>
          </w:p>
        </w:tc>
        <w:tc>
          <w:tcPr>
            <w:tcW w:w="2260" w:type="dxa"/>
            <w:vAlign w:val="bottom"/>
            <w:tcBorders>
              <w:bottom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1"/>
                <w:szCs w:val="11"/>
                <w:color w:val="auto"/>
              </w:rPr>
              <w:t>Page</w:t>
            </w:r>
          </w:p>
        </w:tc>
      </w:tr>
      <w:tr>
        <w:trPr>
          <w:trHeight w:val="180"/>
        </w:trPr>
        <w:tc>
          <w:tcPr>
            <w:tcW w:w="280" w:type="dxa"/>
            <w:vAlign w:val="bottom"/>
            <w:shd w:val="clear" w:color="auto" w:fill="CCEEFF"/>
          </w:tcPr>
          <w:p>
            <w:pPr>
              <w:spacing w:after="0"/>
              <w:rPr>
                <w:sz w:val="15"/>
                <w:szCs w:val="15"/>
                <w:color w:val="auto"/>
              </w:rPr>
            </w:pPr>
          </w:p>
        </w:tc>
        <w:tc>
          <w:tcPr>
            <w:tcW w:w="8240" w:type="dxa"/>
            <w:vAlign w:val="bottom"/>
            <w:shd w:val="clear" w:color="auto" w:fill="CCEEFF"/>
          </w:tcPr>
          <w:p>
            <w:pPr>
              <w:jc w:val="center"/>
              <w:ind w:left="191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r>
      <w:tr>
        <w:trPr>
          <w:trHeight w:val="159"/>
        </w:trPr>
        <w:tc>
          <w:tcPr>
            <w:tcW w:w="28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5</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1A.</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14</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1B.</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27</w:t>
            </w:r>
          </w:p>
        </w:tc>
      </w:tr>
      <w:tr>
        <w:trPr>
          <w:trHeight w:val="127"/>
        </w:trPr>
        <w:tc>
          <w:tcPr>
            <w:tcW w:w="280" w:type="dxa"/>
            <w:vAlign w:val="bottom"/>
            <w:tcBorders>
              <w:top w:val="single" w:sz="8" w:color="CCEEFF"/>
            </w:tcBorders>
          </w:tcPr>
          <w:p>
            <w:pPr>
              <w:spacing w:after="0"/>
              <w:rPr>
                <w:sz w:val="11"/>
                <w:szCs w:val="11"/>
                <w:color w:val="auto"/>
              </w:rPr>
            </w:pPr>
          </w:p>
        </w:tc>
        <w:tc>
          <w:tcPr>
            <w:tcW w:w="82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1C.</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Cybersecurity</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27</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Properties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28</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33</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Mine Safety Disclosure</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33</w:t>
            </w:r>
          </w:p>
        </w:tc>
      </w:tr>
      <w:tr>
        <w:trPr>
          <w:trHeight w:val="159"/>
        </w:trPr>
        <w:tc>
          <w:tcPr>
            <w:tcW w:w="280" w:type="dxa"/>
            <w:vAlign w:val="bottom"/>
            <w:tcBorders>
              <w:top w:val="single" w:sz="8" w:color="CCEEFF"/>
            </w:tcBorders>
          </w:tcPr>
          <w:p>
            <w:pPr>
              <w:spacing w:after="0"/>
              <w:rPr>
                <w:sz w:val="13"/>
                <w:szCs w:val="13"/>
                <w:color w:val="auto"/>
              </w:rPr>
            </w:pPr>
          </w:p>
        </w:tc>
        <w:tc>
          <w:tcPr>
            <w:tcW w:w="8240" w:type="dxa"/>
            <w:vAlign w:val="bottom"/>
            <w:tcBorders>
              <w:top w:val="single" w:sz="8" w:color="CCEEFF"/>
            </w:tcBorders>
          </w:tcPr>
          <w:p>
            <w:pPr>
              <w:spacing w:after="0"/>
              <w:rPr>
                <w:sz w:val="13"/>
                <w:szCs w:val="13"/>
                <w:color w:val="auto"/>
              </w:rPr>
            </w:pPr>
          </w:p>
        </w:tc>
        <w:tc>
          <w:tcPr>
            <w:tcW w:w="216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180"/>
        </w:trPr>
        <w:tc>
          <w:tcPr>
            <w:tcW w:w="280" w:type="dxa"/>
            <w:vAlign w:val="bottom"/>
            <w:shd w:val="clear" w:color="auto" w:fill="CCEEFF"/>
          </w:tcPr>
          <w:p>
            <w:pPr>
              <w:spacing w:after="0"/>
              <w:rPr>
                <w:sz w:val="15"/>
                <w:szCs w:val="15"/>
                <w:color w:val="auto"/>
              </w:rPr>
            </w:pPr>
          </w:p>
        </w:tc>
        <w:tc>
          <w:tcPr>
            <w:tcW w:w="8240" w:type="dxa"/>
            <w:vAlign w:val="bottom"/>
            <w:shd w:val="clear" w:color="auto" w:fill="CCEEFF"/>
          </w:tcPr>
          <w:p>
            <w:pPr>
              <w:jc w:val="center"/>
              <w:ind w:left="189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2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r>
      <w:tr>
        <w:trPr>
          <w:trHeight w:val="159"/>
        </w:trPr>
        <w:tc>
          <w:tcPr>
            <w:tcW w:w="28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34</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[Reserved]</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35</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36</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44</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rPr>
                <w:sz w:val="13"/>
                <w:szCs w:val="13"/>
                <w:color w:val="auto"/>
              </w:rPr>
            </w:pP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Management's Report on Internal Control Over Financial Reporting</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72</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rPr>
                <w:sz w:val="13"/>
                <w:szCs w:val="13"/>
                <w:color w:val="auto"/>
              </w:rPr>
            </w:pP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w:t>
            </w:r>
            <w:r>
              <w:rPr>
                <w:rFonts w:ascii="Times New Roman" w:cs="Times New Roman" w:eastAsia="Times New Roman" w:hAnsi="Times New Roman"/>
                <w:sz w:val="14"/>
                <w:szCs w:val="14"/>
                <w:color w:val="000000"/>
              </w:rPr>
              <w:t>, PCAOB ID: 248</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73</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75</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9A.</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75</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9B.</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75</w:t>
            </w:r>
          </w:p>
        </w:tc>
      </w:tr>
      <w:tr>
        <w:trPr>
          <w:trHeight w:val="127"/>
        </w:trPr>
        <w:tc>
          <w:tcPr>
            <w:tcW w:w="280" w:type="dxa"/>
            <w:vAlign w:val="bottom"/>
            <w:tcBorders>
              <w:top w:val="single" w:sz="8" w:color="CCEEFF"/>
            </w:tcBorders>
          </w:tcPr>
          <w:p>
            <w:pPr>
              <w:spacing w:after="0"/>
              <w:rPr>
                <w:sz w:val="11"/>
                <w:szCs w:val="11"/>
                <w:color w:val="auto"/>
              </w:rPr>
            </w:pPr>
          </w:p>
        </w:tc>
        <w:tc>
          <w:tcPr>
            <w:tcW w:w="82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9C.</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75</w:t>
            </w:r>
          </w:p>
        </w:tc>
      </w:tr>
      <w:tr>
        <w:trPr>
          <w:trHeight w:val="159"/>
        </w:trPr>
        <w:tc>
          <w:tcPr>
            <w:tcW w:w="280" w:type="dxa"/>
            <w:vAlign w:val="bottom"/>
            <w:tcBorders>
              <w:top w:val="single" w:sz="8" w:color="CCEEFF"/>
            </w:tcBorders>
          </w:tcPr>
          <w:p>
            <w:pPr>
              <w:spacing w:after="0"/>
              <w:rPr>
                <w:sz w:val="13"/>
                <w:szCs w:val="13"/>
                <w:color w:val="auto"/>
              </w:rPr>
            </w:pPr>
          </w:p>
        </w:tc>
        <w:tc>
          <w:tcPr>
            <w:tcW w:w="8240" w:type="dxa"/>
            <w:vAlign w:val="bottom"/>
            <w:tcBorders>
              <w:top w:val="single" w:sz="8" w:color="CCEEFF"/>
            </w:tcBorders>
          </w:tcPr>
          <w:p>
            <w:pPr>
              <w:spacing w:after="0"/>
              <w:rPr>
                <w:sz w:val="13"/>
                <w:szCs w:val="13"/>
                <w:color w:val="auto"/>
              </w:rPr>
            </w:pPr>
          </w:p>
        </w:tc>
        <w:tc>
          <w:tcPr>
            <w:tcW w:w="216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180"/>
        </w:trPr>
        <w:tc>
          <w:tcPr>
            <w:tcW w:w="280" w:type="dxa"/>
            <w:vAlign w:val="bottom"/>
            <w:shd w:val="clear" w:color="auto" w:fill="CCEEFF"/>
          </w:tcPr>
          <w:p>
            <w:pPr>
              <w:spacing w:after="0"/>
              <w:rPr>
                <w:sz w:val="15"/>
                <w:szCs w:val="15"/>
                <w:color w:val="auto"/>
              </w:rPr>
            </w:pPr>
          </w:p>
        </w:tc>
        <w:tc>
          <w:tcPr>
            <w:tcW w:w="8240" w:type="dxa"/>
            <w:vAlign w:val="bottom"/>
            <w:shd w:val="clear" w:color="auto" w:fill="CCEEFF"/>
          </w:tcPr>
          <w:p>
            <w:pPr>
              <w:jc w:val="center"/>
              <w:ind w:left="189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2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r>
      <w:tr>
        <w:trPr>
          <w:trHeight w:val="159"/>
        </w:trPr>
        <w:tc>
          <w:tcPr>
            <w:tcW w:w="28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76</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Executive Compensation</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76</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76</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77</w:t>
            </w:r>
          </w:p>
        </w:tc>
      </w:tr>
      <w:tr>
        <w:trPr>
          <w:trHeight w:val="180"/>
        </w:trPr>
        <w:tc>
          <w:tcPr>
            <w:tcW w:w="280" w:type="dxa"/>
            <w:vAlign w:val="bottom"/>
            <w:tcBorders>
              <w:top w:val="single" w:sz="8" w:color="CCEEFF"/>
            </w:tcBorders>
          </w:tcPr>
          <w:p>
            <w:pPr>
              <w:spacing w:after="0"/>
              <w:rPr>
                <w:sz w:val="15"/>
                <w:szCs w:val="15"/>
                <w:color w:val="auto"/>
              </w:rPr>
            </w:pPr>
          </w:p>
        </w:tc>
        <w:tc>
          <w:tcPr>
            <w:tcW w:w="8240" w:type="dxa"/>
            <w:vAlign w:val="bottom"/>
            <w:tcBorders>
              <w:top w:val="single" w:sz="8" w:color="CCEEFF"/>
            </w:tcBorders>
          </w:tcPr>
          <w:p>
            <w:pPr>
              <w:spacing w:after="0"/>
              <w:rPr>
                <w:sz w:val="15"/>
                <w:szCs w:val="15"/>
                <w:color w:val="auto"/>
              </w:rPr>
            </w:pP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77</w:t>
            </w:r>
          </w:p>
        </w:tc>
      </w:tr>
      <w:tr>
        <w:trPr>
          <w:trHeight w:val="127"/>
        </w:trPr>
        <w:tc>
          <w:tcPr>
            <w:tcW w:w="280" w:type="dxa"/>
            <w:vAlign w:val="bottom"/>
            <w:tcBorders>
              <w:top w:val="single" w:sz="8" w:color="CCEEFF"/>
            </w:tcBorders>
          </w:tcPr>
          <w:p>
            <w:pPr>
              <w:spacing w:after="0"/>
              <w:rPr>
                <w:sz w:val="11"/>
                <w:szCs w:val="11"/>
                <w:color w:val="auto"/>
              </w:rPr>
            </w:pPr>
          </w:p>
        </w:tc>
        <w:tc>
          <w:tcPr>
            <w:tcW w:w="82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180"/>
        </w:trPr>
        <w:tc>
          <w:tcPr>
            <w:tcW w:w="280" w:type="dxa"/>
            <w:vAlign w:val="bottom"/>
            <w:shd w:val="clear" w:color="auto" w:fill="CCEEFF"/>
          </w:tcPr>
          <w:p>
            <w:pPr>
              <w:spacing w:after="0"/>
              <w:rPr>
                <w:sz w:val="15"/>
                <w:szCs w:val="15"/>
                <w:color w:val="auto"/>
              </w:rPr>
            </w:pPr>
          </w:p>
        </w:tc>
        <w:tc>
          <w:tcPr>
            <w:tcW w:w="8240" w:type="dxa"/>
            <w:vAlign w:val="bottom"/>
            <w:shd w:val="clear" w:color="auto" w:fill="CCEEFF"/>
          </w:tcPr>
          <w:p>
            <w:pPr>
              <w:jc w:val="center"/>
              <w:ind w:left="1890"/>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2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r>
      <w:tr>
        <w:trPr>
          <w:trHeight w:val="127"/>
        </w:trPr>
        <w:tc>
          <w:tcPr>
            <w:tcW w:w="28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Exhibits and Financial Statement Schedule</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78</w:t>
            </w:r>
          </w:p>
        </w:tc>
      </w:tr>
      <w:tr>
        <w:trPr>
          <w:trHeight w:val="127"/>
        </w:trPr>
        <w:tc>
          <w:tcPr>
            <w:tcW w:w="280" w:type="dxa"/>
            <w:vAlign w:val="bottom"/>
            <w:tcBorders>
              <w:top w:val="single" w:sz="8" w:color="CCEEFF"/>
            </w:tcBorders>
          </w:tcPr>
          <w:p>
            <w:pPr>
              <w:spacing w:after="0"/>
              <w:rPr>
                <w:sz w:val="11"/>
                <w:szCs w:val="11"/>
                <w:color w:val="auto"/>
              </w:rPr>
            </w:pPr>
          </w:p>
        </w:tc>
        <w:tc>
          <w:tcPr>
            <w:tcW w:w="82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160"/>
        </w:trPr>
        <w:tc>
          <w:tcPr>
            <w:tcW w:w="280" w:type="dxa"/>
            <w:vAlign w:val="bottom"/>
            <w:shd w:val="clear" w:color="auto" w:fill="CCEEFF"/>
          </w:tcPr>
          <w:p>
            <w:pPr>
              <w:spacing w:after="0"/>
              <w:rPr>
                <w:sz w:val="13"/>
                <w:szCs w:val="13"/>
                <w:color w:val="auto"/>
              </w:rPr>
            </w:pP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83</w:t>
            </w:r>
          </w:p>
        </w:tc>
      </w:tr>
      <w:tr>
        <w:trPr>
          <w:trHeight w:val="127"/>
        </w:trPr>
        <w:tc>
          <w:tcPr>
            <w:tcW w:w="280" w:type="dxa"/>
            <w:vAlign w:val="bottom"/>
            <w:tcBorders>
              <w:top w:val="single" w:sz="8" w:color="CCEEFF"/>
            </w:tcBorders>
          </w:tcPr>
          <w:p>
            <w:pPr>
              <w:spacing w:after="0"/>
              <w:rPr>
                <w:sz w:val="11"/>
                <w:szCs w:val="11"/>
                <w:color w:val="auto"/>
              </w:rPr>
            </w:pPr>
          </w:p>
        </w:tc>
        <w:tc>
          <w:tcPr>
            <w:tcW w:w="82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149"/>
        </w:trPr>
        <w:tc>
          <w:tcPr>
            <w:tcW w:w="280" w:type="dxa"/>
            <w:vAlign w:val="bottom"/>
            <w:shd w:val="clear" w:color="auto" w:fill="CCEEFF"/>
          </w:tcPr>
          <w:p>
            <w:pPr>
              <w:spacing w:after="0"/>
              <w:rPr>
                <w:sz w:val="12"/>
                <w:szCs w:val="12"/>
                <w:color w:val="auto"/>
              </w:rPr>
            </w:pPr>
          </w:p>
        </w:tc>
        <w:tc>
          <w:tcPr>
            <w:tcW w:w="824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0000FF"/>
              </w:rPr>
              <w:t>Schedule II - Valuation and Qualifying Accounts</w:t>
            </w:r>
          </w:p>
        </w:tc>
        <w:tc>
          <w:tcPr>
            <w:tcW w:w="22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85</w:t>
            </w:r>
          </w:p>
        </w:tc>
      </w:tr>
      <w:tr>
        <w:trPr>
          <w:trHeight w:val="32"/>
        </w:trPr>
        <w:tc>
          <w:tcPr>
            <w:tcW w:w="280" w:type="dxa"/>
            <w:vAlign w:val="bottom"/>
            <w:shd w:val="clear" w:color="auto" w:fill="CCEEFF"/>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2160" w:type="dxa"/>
            <w:vAlign w:val="bottom"/>
            <w:tcBorders>
              <w:right w:val="single" w:sz="8" w:color="0000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560" w:top="728"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12" w:lineRule="exact"/>
        <w:rPr>
          <w:sz w:val="20"/>
          <w:szCs w:val="20"/>
          <w:color w:val="auto"/>
        </w:rPr>
      </w:pPr>
    </w:p>
    <w:p>
      <w:pPr>
        <w:jc w:val="both"/>
        <w:ind w:firstLine="170"/>
        <w:spacing w:after="0" w:line="256" w:lineRule="auto"/>
        <w:rPr>
          <w:sz w:val="20"/>
          <w:szCs w:val="20"/>
          <w:color w:val="auto"/>
        </w:rPr>
      </w:pPr>
      <w:r>
        <w:rPr>
          <w:rFonts w:ascii="Times New Roman" w:cs="Times New Roman" w:eastAsia="Times New Roman" w:hAnsi="Times New Roman"/>
          <w:sz w:val="14"/>
          <w:szCs w:val="14"/>
          <w:color w:val="auto"/>
        </w:rPr>
        <w:t>Certain statements in this report, including, but not limited to, under the heading "Management’s Discussion and Analysis of Financial Condition and Results of Operations," and elsewhere in this report and in other documents that we file with the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spacing w:after="0" w:line="17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Item 1A "Risk Factors" and elsewhere herein and from time to time in our other filings with the SEC. We believe that these factors include, but are not limited to:</w:t>
      </w:r>
    </w:p>
    <w:p>
      <w:pPr>
        <w:spacing w:after="0" w:line="15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and ability to be profitable;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highly competitive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our growth at or near historical rates;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events on the United States (“U.S.”) and global economies, our business, our employees, our results of operations, our financial condition, demand for our products, sales and implementation cycles, and the health of our clients’ and partners’ businesses;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assimilation or integration of the businesses, technologies, services, products, personnel or operations of acquired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supply or logistics disruptions;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operate our production facilities;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quality of the clay we mine;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 rights;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talent;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new, and our ability to effectively manage current, legal and regulatory obligations;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and respond to technology failures, data breaches, unauthorized access to client data or other disruptions of our solutions.</w:t>
      </w:r>
    </w:p>
    <w:p>
      <w:pPr>
        <w:spacing w:after="0" w:line="185"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212" w:lineRule="exact"/>
        <w:rPr>
          <w:sz w:val="20"/>
          <w:szCs w:val="20"/>
          <w:color w:val="auto"/>
        </w:rPr>
      </w:pPr>
    </w:p>
    <w:p>
      <w:pPr>
        <w:jc w:val="both"/>
        <w:ind w:firstLine="170"/>
        <w:spacing w:after="0" w:line="263" w:lineRule="auto"/>
        <w:rPr>
          <w:sz w:val="20"/>
          <w:szCs w:val="20"/>
          <w:color w:val="auto"/>
        </w:rPr>
      </w:pPr>
      <w:r>
        <w:rPr>
          <w:rFonts w:ascii="Times New Roman" w:cs="Times New Roman" w:eastAsia="Times New Roman" w:hAnsi="Times New Roman"/>
          <w:sz w:val="14"/>
          <w:szCs w:val="14"/>
          <w:color w:val="auto"/>
        </w:rPr>
        <w:t>This report contains references to trademarks, trade names and service marks belonging to us or other companies. We do not intend our use or display of other companies’ trade names, trademarks or service marks to imply a relationship with, or endorsement or sponsorship of us by, any other companies. Agsorb, Ambio, Amlan, Calibrin, Cat’s Pride, Flo-Fre, Jonny Cat, KatKit, Litter Pearls, MD-09, Metal-X, Metal-Z, NeoPrime, Oil-Dri, Pel-Unite, Perform, Pro Mound, Pro's Choice Sports Field Products, Pure-Flo, Rapid Dry, Saular, Select, Sorbiam, Ultra, Ultra-Clear, Varium and Verge are registered or common law trade names, trademarks or service marks of Oil-Dri Corporation of America or of its subsidiaries. Fresh Step is a registered trademark of The Clorox Pet Products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VERVIEW</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USINESS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Except as otherwise indicated herein or as the context otherwise requires, references to “Oil-Dri,” the “Company,” “we,” “us” or “our” refer to Oil-Dri Corporation of America and its subsidiaries.</w:t>
      </w:r>
    </w:p>
    <w:p>
      <w:pPr>
        <w:spacing w:after="0" w:line="14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include Ultra-Clear, Pure-Flo, Supreme, Perform, Select, Metal-X and Metal-Z which act as purification mediums for edible and non-edible oils. We also sell nonclay-based products, such as our Oil-Dri synthetic sorbents used for automotive, industrial and marine cleanup, silica gel-based crystal cat litter, and plastic cat litter box liners. Our principal products are described in more detail below.</w:t>
      </w:r>
    </w:p>
    <w:p>
      <w:pPr>
        <w:spacing w:after="0" w:line="170" w:lineRule="exact"/>
        <w:rPr>
          <w:sz w:val="20"/>
          <w:szCs w:val="20"/>
          <w:color w:val="auto"/>
        </w:rPr>
      </w:pPr>
    </w:p>
    <w:p>
      <w:pPr>
        <w:jc w:val="both"/>
        <w:ind w:firstLine="165"/>
        <w:spacing w:after="0" w:line="270" w:lineRule="auto"/>
        <w:rPr>
          <w:sz w:val="20"/>
          <w:szCs w:val="20"/>
          <w:color w:val="auto"/>
        </w:rPr>
      </w:pPr>
      <w:r>
        <w:rPr>
          <w:rFonts w:ascii="Times New Roman" w:cs="Times New Roman" w:eastAsia="Times New Roman" w:hAnsi="Times New Roman"/>
          <w:sz w:val="14"/>
          <w:szCs w:val="14"/>
          <w:color w:val="auto"/>
        </w:rPr>
        <w:t>Oil-Dri Corporation of America was incorporated in Delaware in 1969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PERATING</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EGMENTS</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the farm &amp; fleet channel, drugstore chains, pet specialty retail outlets, dollar stores, retail grocery stores, online retailers, co-packaged products customers, distributors of industrial cleanup and automotive products, environmental service companies and users of sports field products and sports turf materials. The Business to Business Products Group customers include processors and refiners of edible oils, renewable diesel, petroleum-based oils and biodiesel fuel; manufacturers of animal feed and agricultural chemicals; and distributors of animal health and nutrition products. Certain financial information on both segments is contained in Note 3 of the Notes to the Consolidated Financial Statements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RINCIPAL</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RODUCTS</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Y</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PERATING</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EGMENT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Retail and Wholesale Products Group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Cat Litter</w:t>
      </w:r>
    </w:p>
    <w:p>
      <w:pPr>
        <w:spacing w:after="0" w:line="185" w:lineRule="exact"/>
        <w:rPr>
          <w:sz w:val="20"/>
          <w:szCs w:val="20"/>
          <w:color w:val="auto"/>
        </w:rPr>
      </w:pPr>
    </w:p>
    <w:p>
      <w:pPr>
        <w:jc w:val="both"/>
        <w:ind w:firstLine="152"/>
        <w:spacing w:after="0" w:line="264" w:lineRule="auto"/>
        <w:rPr>
          <w:sz w:val="20"/>
          <w:szCs w:val="20"/>
          <w:color w:val="auto"/>
        </w:rPr>
      </w:pPr>
      <w:r>
        <w:rPr>
          <w:rFonts w:ascii="Times New Roman" w:cs="Times New Roman" w:eastAsia="Times New Roman" w:hAnsi="Times New Roman"/>
          <w:sz w:val="14"/>
          <w:szCs w:val="14"/>
          <w:color w:val="auto"/>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high performance with the added convenience of being lighter to carry and pour. All of our cat litter products are sold both domestically and internationally.</w:t>
      </w:r>
    </w:p>
    <w:p>
      <w:pPr>
        <w:spacing w:after="0" w:line="16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Branded products</w:t>
      </w:r>
      <w:r>
        <w:rPr>
          <w:rFonts w:ascii="Times New Roman" w:cs="Times New Roman" w:eastAsia="Times New Roman" w:hAnsi="Times New Roman"/>
          <w:sz w:val="14"/>
          <w:szCs w:val="14"/>
          <w:color w:val="auto"/>
        </w:rPr>
        <w:t>. Our scoopable and non-clumping litters are sold under our Cat’s Pride and Jonny Cat brand names. Our Cat's Pride litters created the lightweight segment of the scoopable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litter market. In fiscal year 2023, we launched Cat’s Pride Antibacterial Clumping Litter which is the first and only Environmental Protection Agency (“EPA”) approved antibacterial cat litter in the United States. In addition, we offer our non-clumping litter in a pre-packaged, disposable tray under the Cat’s Pride KatKit brand. Moreover, we offer litter box liners under the Cat's Pride and Jonny Cat product lines. These products are sold through independent food brokers and by our sales force to major grocery, drug, dollar store, mass-merchandiser, farm &amp; fleet, and pet outlets, as well as through online retailers.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Private label products. </w:t>
      </w:r>
      <w:r>
        <w:rPr>
          <w:rFonts w:ascii="Times New Roman" w:cs="Times New Roman" w:eastAsia="Times New Roman" w:hAnsi="Times New Roman"/>
          <w:sz w:val="14"/>
          <w:szCs w:val="14"/>
          <w:color w:val="auto"/>
        </w:rPr>
        <w:t>We produce private label scoopable and non-clumping cat litters. Our lightweight scoopable litters lead our private label cat litter offerings.</w:t>
      </w:r>
    </w:p>
    <w:p>
      <w:pPr>
        <w:spacing w:after="0" w:line="20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Co-packaged products. </w:t>
      </w:r>
      <w:r>
        <w:rPr>
          <w:rFonts w:ascii="Times New Roman" w:cs="Times New Roman" w:eastAsia="Times New Roman" w:hAnsi="Times New Roman"/>
          <w:sz w:val="14"/>
          <w:szCs w:val="14"/>
          <w:color w:val="auto"/>
        </w:rPr>
        <w:t>We have a long-term supply agreement with A&amp;M Products Manufacturing Company, a subsidiary of The Clorox Company ("Clorox"), under which we manufacture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branded non-clumping litters. Under this agreement, the marketer controls all aspects of sales, marketing, and distribution, as well as the odor control formula, and we are responsible for manufacturing. This long-term supply agreement with Clorox grants us the exclusive right to supply Clorox’s requirements for Fresh Step coarse cat litter up to certain levels.</w:t>
      </w:r>
    </w:p>
    <w:p>
      <w:pPr>
        <w:spacing w:after="0" w:line="1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Crystal litter products. </w:t>
      </w:r>
      <w:r>
        <w:rPr>
          <w:rFonts w:ascii="Times New Roman" w:cs="Times New Roman" w:eastAsia="Times New Roman" w:hAnsi="Times New Roman"/>
          <w:sz w:val="14"/>
          <w:szCs w:val="14"/>
          <w:color w:val="auto"/>
        </w:rPr>
        <w:t>Additionally, effective May 1, 2024, as a result of our acquisition of Ultra Pet Company, Inc. ("Ultra Pet"), we began selling crystal cat litter made of synthetic silica-gel granules. Similar to Oil-Dri’s clay-based lightweight litter, Ultra Pet’s crystal litter products are lightweight with superior odor control. Crystals are 99.9% dust free and absorb up to 90% of their weight in liquid. The acquired product portfolio includes brands such as Ultra, Litter Pearls, and Cat's Pride, as well as many private label offerings. These products are sold to consumers both domestically and internationally through e-commerce and brick and mortar retail stores.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Industrial and Automotive</w:t>
      </w:r>
    </w:p>
    <w:p>
      <w:pPr>
        <w:spacing w:after="0" w:line="20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manufacture and/or sell products made from clay, polypropylene and recycled materials that absorb oil, acid, paint, ink, water and other liquids. These products have industrial, automotive, marine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spacing w:after="0" w:line="1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Industrial and automotive sorbent products are sold through distribution networks that include industrial, auto parts, safety, sanitary supply, chemical and paper distributors. These products are also sold both domestically and internationally through environmental service companies, mass-merchandisers, catalogs and e-commerce.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Sports</w:t>
      </w:r>
    </w:p>
    <w:p>
      <w:pPr>
        <w:spacing w:after="0" w:line="20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manufacture and sell both branded and private label sports products. Pro’s Choice Sports Field Products are used on baseball, softball, football, cricket,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domestically through distributors of sport turf materials as well as directly to sports field product users.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Business to Business Products Group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Fluids Purification</w:t>
      </w:r>
    </w:p>
    <w:p>
      <w:pPr>
        <w:spacing w:after="0" w:line="20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produce an array of adsorbent products for bleaching, purification and filtration applications that are used around the world by edible oil processors, as well as by refiners of renewable diesel, jet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market.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Agricultural and Horticultural</w:t>
      </w:r>
    </w:p>
    <w:p>
      <w:pPr>
        <w:spacing w:after="0" w:line="2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Animal Health and Nutrition</w:t>
      </w:r>
    </w:p>
    <w:p>
      <w:pPr>
        <w:spacing w:after="0" w:line="20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produce, or use contract processors to produce, Amlan brand name and private label products that support good health and productivity of species in livestock industries. For example, our products, including our Calibrin, Varium and NeoPrime products in our international markets, and Sorbiam, Ambio P and Ambio S products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subsidiaries located in China, Mexico and Indonesia also sell these products, as further described in Foreign Operations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OREIGN</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PERATIONS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foreign operations located in Canada and the Netherlands are included in the Retail and Wholesale Products Group, while operations in the United Kingdom, China, Switzerland, Mexico and Indonesia are included in the Business to Business Products Group.</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wholly-owned subsidiary, Oil-Dri Canada ULC, located in Canada,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wholly-owned subsidiary, MBA Pet BV, located in the Netherlands, which was acquired on May 1, 2024 as part of the acquisition of Ultra Pet, is a distributor of silica gel-based cat litter to the Europe region.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wholly-owned subsidiary, Oil-Dri (U.K.) Limited, located in the United Kingdom, is a manufacturer, distributor and marketer of bleaching earth, industrial floor absorbents and cat litter.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products are marketed in the United Kingdom and Western Europe. Oil-Dri (U.K.) Limited also sells synthetic polypropylene sorbent materials and plastic containment products.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wholly-owned subsidiary, Amlan Trading (Shenzhen) Company, Ltd., located in China, is dedicated to animal health and provides natural disease management solutions for livestock.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subsidiary sells animal health and nutrition products under our Amlan brand name and under private label arrangements.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wholly-owned subsidiary, PT Amlan Perdagangan Internasional, located in Indonesia, also distributes our animal health and nutrition products.</w:t>
      </w:r>
    </w:p>
    <w:p>
      <w:pPr>
        <w:spacing w:after="0" w:line="20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wholly-owned subsidiary, Oil-Dri SARL, located in Switzerland, performs various management, customer service and administrative functions for some of the international customers of our domestic operations.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wholly-owned subsidiary, Agromex Importaciones, S.A de C.V, located in Mexico, sells our international animal health and nutrition products.</w:t>
      </w:r>
    </w:p>
    <w:p>
      <w:pPr>
        <w:spacing w:after="0" w:line="2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3 of the Notes to the Consolidated Financial Statements, which contains certain financial information about our foreign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USTOMERS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Walmart Inc. (“Walmart”) is a customer in our Retail and Wholesale Products Group with whom we have a long-term relationship. Sales to Walmart and its affiliates accounted for approximately 19% and 20% of our total net sales for fiscal years 2025 and 2024, respectively. Sales to Walmart are comprised of a variety of products including but not limited to, multiple scoopable, coarse, and crystal cat litter items and accessories.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The loss of any customer other than those described in this paragraph would not be expected to have a material adverse effect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OMPETITION</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six principal competitors in our Retail and Wholesale Products Group, one of which is also our customer. Two of the principal competitors relate to our Industrial and Sports products while the other four relate to our cat litter products. The overwhelming majority of all cat litter is mineral based, including both scoopable and coarse non-clumping litter. Through our acquisition of Ultra Pet, we have expanded our footprint into the silica gel-based cat litter market, which is a growing cat litter market. Cat litters based on other alternatives, such as paper and various agricultural waste products, have niche positions. Scoopable products have a majority of the cat litter market share followed by coarse non-clumping litters.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There is significant competition to attract cat litter consumers across multi-outlet channels, including grocery, mass-merchandiser, dollar, pet and drug stores, as well as through online retailers. Competition for the scoopable litter market continues to be impacted by new product offerings and increased advertising and promotions by our competitors and by us. We provide our customers with product innovation, a nation-wide distribution network and strong customer service. Our exceptional sales and research and development teams, as well as our being vertically integrated, give us a further advantage over smaller and regional manufacturers. With the acquisition of Ultra Pet and our subsequent entrance into the crystal cat litter market we continue to expand our customer offerings.</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currently have nine principal competitors in our Business to Business Products Group. Our bleaching clay and fluids purification products are sold in a highly cost competitive global marketplace. The demand for these products has grown in recent years due to the use of our products in the filtration of renewable diesel.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ESEARCH AND</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EVELOPMENT</w:t>
      </w:r>
    </w:p>
    <w:p>
      <w:pPr>
        <w:spacing w:after="0" w:line="19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We develop new products and applications and improve existing products at our research and development center, the Nick Jaffee Center for Innovation, located in Vernon Hills, Illinois. The Nick Jaffee Center for Innovation includes a pilot plant that simulates the production processes of our customers and our manufacturing plants. In addition, our microbiology lab, the Richard M. Jaffee Laboratory for Applied Microbiology, is within walking distance of the Nick Jaffee Center for Innovation and is dedicated primarily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and the animal sciences. In the past several years, our research efforts have resulted in a number of new sorbent products and processes. The Nick Jaffee Center for Innovation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EASONALITY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 Additionally, demand for our sports products fluctuates depending on the time of year that certain sports, including baseball, softball, football, cricket, and soccer are played.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Patents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our U.S. patents generally have durations of 15-20 years. The durations of patents issued outside of the United States vary from country to country, and generally have durations of 10-15 years.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Reserves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mine our clay on leased or owned land near our manufacturing facilities in Mississippi, Georgia, Illinois and California, and we also have reserves in Nevada and Tennessee. We estimate that our proven mineral reserves as of July 31, 2025, were approximately 92.3 million tons in aggregate and our probable mineral reserves were approximately 115.3 million tons in aggregate, for a total of 207.6 million tons of mineral reserves. Based on our rate of consumption during fiscal year 2025, and without regard to any of our reserves in Nevada or Tennessee, we consider our proven and probable reserves adequate to supply our needs for over forty years. Although we consider these reserves to be extremely valuable to our business, we do not believe they have inherent value and only become valuable through the mining and manufacturing methods as further described in Item 2 "Properties".</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It is our policy to attempt to maintain a minimum of forty years of proven and probable reserves of each type of clay 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2025, we utilized these reserves to produce substantially all of the sorbent products that we sold.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Mining Operations</w:t>
      </w:r>
    </w:p>
    <w:p>
      <w:pPr>
        <w:spacing w:after="0" w:line="20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eleven miles from the related processing plants. Processing facilities are generally accessed from the mining areas by private and public roads and in some instances by public highways. Each of our processing facilities maintains inventories of unprocessed clay for approximately one week of production requirements. All material permits have either been obtained by us, or approval is expected to be received in the normal course of business. See Item 2 “Properties” below for additional information regarding our mining properties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9" w:name="page10"/>
    <w:bookmarkEnd w:id="9"/>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schedule summarizes the net book value of land, mining assets and other plant and equipment for each of our manufacturing facilities as of July 31, 2025 (in thousands). Of the mining assets, $0.8 million relates to mineral rights. Mineral rights as of July 31, 2025, were $0.3 million and $0.5 million for our properties in Illinois and California, respectively.</w:t>
      </w:r>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20" w:type="dxa"/>
            <w:vAlign w:val="bottom"/>
          </w:tcPr>
          <w:p>
            <w:pPr>
              <w:spacing w:after="0"/>
              <w:rPr>
                <w:sz w:val="13"/>
                <w:szCs w:val="13"/>
                <w:color w:val="auto"/>
              </w:rPr>
            </w:pPr>
          </w:p>
        </w:tc>
        <w:tc>
          <w:tcPr>
            <w:tcW w:w="1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Mining Assets, Net</w:t>
            </w:r>
          </w:p>
        </w:tc>
        <w:tc>
          <w:tcPr>
            <w:tcW w:w="260" w:type="dxa"/>
            <w:vAlign w:val="bottom"/>
          </w:tcPr>
          <w:p>
            <w:pPr>
              <w:spacing w:after="0"/>
              <w:rPr>
                <w:sz w:val="13"/>
                <w:szCs w:val="13"/>
                <w:color w:val="auto"/>
              </w:rPr>
            </w:pPr>
          </w:p>
        </w:tc>
        <w:tc>
          <w:tcPr>
            <w:tcW w:w="15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Equipment, Net</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Ochlocknee, Georgia</w:t>
            </w: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8,183</w:t>
            </w:r>
          </w:p>
        </w:tc>
        <w:tc>
          <w:tcPr>
            <w:tcW w:w="26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26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47,843</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Ripley, Mississippi</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22,542</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Mounds, Illinois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6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6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18,706</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Blue Mountain, Mississippi</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13,690</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Taft, California</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6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Energy</w:t>
      </w:r>
    </w:p>
    <w:p>
      <w:pPr>
        <w:spacing w:after="0" w:line="2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primarily use natural gas in the processing kilns to dry our clay products. We monitor gas market trends, and we may contract for a portion of our anticipated fuel needs using forward purchase contracts to mitigate the volatility of our kiln fuel prices. During fiscal years 2025 and 2024, we purchased several forward fuel contracts in Georgia and California which will cover a portion of our needs through fiscal year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1"/>
          <w:szCs w:val="11"/>
          <w:b w:val="1"/>
          <w:bCs w:val="1"/>
          <w:color w:val="auto"/>
        </w:rPr>
        <w:t>UMAN CAPITAL MANAGEMENT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Overview</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part of our efforts to drive continued growth and increased profitability, we are keenly focused on building an organization that attracts and retains top talent and develops the skills necessary to drive differentiation for our business. As of July 31, 2025, we had approximately 928 employees globally, who we refer to as our teammates, of which 893 are based in the U.S and 35 are located internationally. We believe our corporate offices, research and development center and manufacturing facilities are currently adequately staffed but there is no guarantee that this will always be possible. Approximately 58 of our teammates in the U.S. and approximately 15 of our teammates in Canada are represented by labor unions, with whom we have entered into separate collective bargaining agreements. We consider our employee relations with our teammates represented by labor unions to be satisfactory.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Culture</w:t>
      </w:r>
    </w:p>
    <w:p>
      <w:pPr>
        <w:spacing w:after="0" w:line="18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Oil-Dri’s culture and values, along with its teammates, are our most valuable assets. We take pride in building a culture that emphasizes high moral and ethical values and conducts business with honesty, integrity and a passion for excellence. Our approach is centered on collaboration, communication, and transparency, and we believe in the value of an open and accessible corporate structure. We expect all our teammates to conduct business in an ethical and fair manner using our “WE CARE” values framework.</w:t>
      </w:r>
    </w:p>
    <w:p>
      <w:pPr>
        <w:spacing w:after="0" w:line="15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Oil-Dri's culture and the objectives that we focus on in managing our business are based on our “WE CARE” values. “WE CARE” is an acronym for remembering our core values, which is the moral standard that we endeavor to apply to our teammates, customers, vendors, and other stakeholders. We continuously work to reinforce these values through leading by example, training, and rewarding positive behaviors. We use “WE CARE” values as a moral compass to constantly strive for continuous improvement. These values are embedded into everything we do and are reflected in our Code of Ethics and Business Conduct, formal policies and procedures, continuous training including training on workplace harassment, and a strong governance structure. Our "WE CARE" values are also the basis of our formal teammate recognition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2093595</wp:posOffset>
            </wp:positionH>
            <wp:positionV relativeFrom="page">
              <wp:posOffset>473075</wp:posOffset>
            </wp:positionV>
            <wp:extent cx="3361690" cy="2411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361690"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Our Code of Ethics and Business Conduct details how we act in accordance with these fundamental standards. The first “E” in "WE CARE" represents Ethics. Oil-Dri’s ethical culture is one of our greatest strengths and areas of emphasis by our Board of Directors ("Board") and management team. Our Chief Executive Officer ("CEO") has been asked to speak on this topic at local business schools, including the Kellogg School of Management at Northwestern and Marquette University. Our CEO’s continued messaging to all Oil-Dri teammates about the importance of our ethical culture helps maintain a strong tone at the top for our entire organization.</w:t>
      </w:r>
    </w:p>
    <w:p>
      <w:pPr>
        <w:spacing w:after="0" w:line="17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codified our compliance and ethics requirements through our Code of Ethics and Business Conduct, the Human Rights Policy, Supplier Code of Conduct and Whistleblower Response Policy.</w:t>
      </w:r>
    </w:p>
    <w:p>
      <w:pPr>
        <w:spacing w:after="0" w:line="14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Under the direction of the Vice President of Compliance, the Company’s compliance program ensures adherence to the highest ethical standards and regulatory requirements, including but not limited to the Foreign Corrupt Practices Act (FCPA), the Company’s Code of Ethics and Business Conduct, Whistleblower Protection, and other applicable public company standards.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also annually attests to Oil-Dri’s Code of Ethics and Business Conduct. The Vice President of Compliance also conducts a thorough third-party due diligence process for new third-parties that includes the use of compliance software. In addition, our distributor and agent agreements include a mandatory anti-corruption regulatory compliance section.</w:t>
      </w:r>
    </w:p>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Oil-Dri has strong policies and procedures in place for anti-corruption and conflicts of interest. This includes training and attestation requirements where appropriate. Oil-Dri is committed to whistleblower protection and uses a third-party anonymous hotline available on our website, where teammates or third parties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 This training is given within the first few months of hire to new teammates with sales and/or leadership roles that interact with customers and/or teammates outside the U.S. Additionally, anti-corruption training is repeated annually at our Global Sales Meeting for all attending teammates; including sales teams across the globe as well as all Oil-Dri leadership personnel and other teammates in roles that support sales.</w:t>
      </w:r>
    </w:p>
    <w:p>
      <w:pPr>
        <w:spacing w:after="0" w:line="16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individual hotline cases are investigated, the Company's Vice President of Compliance works with Human Resources and any other teammates involved in the investigation to ensure confidentiality is maintained and whistleblowers are protected; our compliance training emphasizes that this is not only required by law, but clearly fits with our "WE CARE"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values. All cases are investigated to conclusion, with follow up provided, where possible, on an anonymous basis back to the whistleblower through the anonymous third-party hotline.</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CARE" for all. Our strength as a company comes from leveraging the uniqueness of all teammates and those in our communities. We strive to promote a diverse and inclusive workforce for all. We are committed to fostering a safe, collaborative, supporting and respectful environment that values diverse perspectives, mitigates unconscious bias and enables a culture where teammates can bring their authentic self to work. We believe that Oil-Dri’s success is enhanced by endeavoring to attract and retain a workforce that reflects the diversity of the communities and countries in which we live and work. We embrace all people, regardless of race, sex, gender identity, age, religion, nationality, physical ability or sexual orientation. We are committed to cultivating and preserving a culture of inclusion.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Compensation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believe our success largely depends upon our continued ability to attract and retain highly skilled teammates. We have demonstrated a history of investing in our teammates by providing market competitive salaries and bonuses at all levels of the Company that are consistent with similar roles, skill levels, experience, knowledge and geographic locations where we operate. Our executive compensation programs include a deferred compensation plan and executive deferred bonuses, as well as opportunities for equity ownership through our restricted stock program under our long-term incentive plan. We believe this aligns the interests of our executives with those of our shareholders. We also provide access to training and development and an attractive employment package that promotes well-being, including health care, retirement plans, and paid time off. In the U.S., we support our teammates’ desire to save for retirement by providing a 401(k) savings plan in which we contribute 100% of every employee dollar contributed, up to six percent (6%) of earnings and for which employees are fully vested after two (2) years of employment. Outside of the U.S., employees are eligible for a variety of supplemental benefits based on local market practices. The competitive compensation and benefit package have been key to the strong retention of our employees.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Teammate Health and Wellness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success of our business is fundamentally connected to the well-being of our teammates. As such, the health and wellness of our teammates is a top priority. We offer robust and generous benefit programs to those who qualify, which include, but are not limited to, health, prescription drug, dental, life insurance and disability insurance. We also offer wellness programs to those who qualify, to help our teammates live healthy lives. Smoking cessation programs are offered to teammates at no cost. We also offer gym and weight loss reimbursement in order to encourage a healthy lifestyle. Our employee assistance program provides face-to-face, telephonic and online counseling services for a variety of potential needs that our teammates may have. Our commitment to the wellness of our teammates is further evidenced by our paid time off and sick days program, which are part of the work/life balance component of our "WE CARE" values framework.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Workplace Flexibility</w:t>
      </w:r>
    </w:p>
    <w:p>
      <w:pPr>
        <w:spacing w:after="0" w:line="18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fiscal year 2025, Oil-Dri continued a hybrid work environment for many of our non-manufacturing teammates, with the option for some positions to be 100% remote. Oil-Dri offers a wide range of employment opportunities including full and part-time positions which support our Work/Life Balance values. By providing these flexible work options, among other initiatives, we are able to attract and retain diverse talent throughout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Continuous Teammate Development</w:t>
      </w:r>
    </w:p>
    <w:p>
      <w:pPr>
        <w:spacing w:after="0" w:line="200"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We encourage our teammates to reach their potential with continuous learning and improvement. All teammates have access to our online training and development library for on-demand courses, webinars, books and podcasts. Teammates may attend conferences and programs and/or obtain certifications that relate to their positions at no cost. For teammates looking to further their education, we offer varying levels of tuition reimbursement programs after one year of employment. This is designed to provide financial support to help teammates reach their educational goals, while also providing a way to support academic activities that directly relate to the organization’s identified knowledge, skills, and behaviors which support the mission, vision, and values of the Company.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Teammate Engagement</w:t>
      </w:r>
    </w:p>
    <w:p>
      <w:pPr>
        <w:spacing w:after="0" w:line="2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4"/>
          <w:szCs w:val="14"/>
          <w:color w:val="auto"/>
        </w:rPr>
        <w:t>Oil-Dri maintains an open-door policy that encourages conversations between teammates at all levels. Communication goes both ways - ideas are shared and feedback is encouraged. We engage with teammates on a regular basis through newsletters, townhalls, video announcements, meetings, and new hire luncheons with our CEO. On occasion, anonymous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online surveys are issued to solicit feedback on various work-related topics. We come together to celebrate work anniversaries, birthdays, retirements and other special occasions.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Safety</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believe that safety must be the first and foremost consideration in the decisions made by and on behalf of the Company. We believe safety is everyone’s responsibility - from senior management to frontline workers. As part of our company-wide safety policies, it is expected that all teammates identify safety risks and take action by implementing interim controls, ensuring that controls are maintained, and recommending permanent solutions. Additionally, as part of our annual budget and capital planning process, our businesses identify additional safety investments required for training, education, equipment, and processes. We are committed to operating in a manner that protects the health and safety of our workforce and our communities and ensures decisions are consistent with a long-term view of sustainability and stewardship.</w:t>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Through our corporate safety department, we implemented a safety auditing program for adherence to local, state and federal safety standards and regulations including those of the Mine Safety and Health Administration ("MSHA") and the Occupational Safety and Health Administration ("OSHA"). These audits are conducted annually for global operations by third-party consultants enforcing a rigorous assessment of regulatory standards, internal procedures and program performance. Audit assessments and inspections are scored and are currently indicating high levels of compliance in our operations. The auditing program confirms the Company’s commitment to best management practices and principles. We continually increase the rigor and level of scrutiny to drive continuous improvement in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1"/>
          <w:szCs w:val="11"/>
          <w:b w:val="1"/>
          <w:bCs w:val="1"/>
          <w:color w:val="auto"/>
        </w:rPr>
        <w:t>OVERNMENT AND</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NVIRONMENTAL</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EGULATION AND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OMPLIANCE</w:t>
      </w:r>
    </w:p>
    <w:p>
      <w:pPr>
        <w:spacing w:after="0" w:line="2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the workplace safety requirements of the MSHA. These domestic locations and our Canadian operations are subject to various federal, state, provincial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controls and regulations. As a result, compliance with the various statutes, regulations, ordinances, codes, and other requirements have required continuing management efforts and the expenditures relating to such compliance have varied over the years; however, these expenditures have not had a material adverse effect on our capital expenditures, earnings, or competitive position. As part of our ongoing environmental compliance activities, we incur expenses in connection with reclaiming mining sites. Historically, reclamation expenses have not had a material effect on our cost of goods sold.</w:t>
      </w:r>
    </w:p>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addition to the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("FDA"), the Consumer Product Safety Commission ("CPSC"), OSHA, MSHA, EPA and the Federal Trade Commission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to assist our customers in that compliance.</w:t>
      </w:r>
    </w:p>
    <w:p>
      <w:pPr>
        <w:spacing w:after="0" w:line="1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cannot provide assurance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The imposition of more stringent standards or requirements under such regulations could result in increased expenditures. Additionally, we could be required to alter our operations in order to comply with any new standards or requirements under environmental laws or regulations. See Item 1A “Risk Factors - Risks Related to Regulatory Compliance” below for a discussion of the impact of government regulations on our business and other risks to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VAILABLE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19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This Annual Report on Form 10-K, as well as our Quarterly Reports on Form 10-Q, Current Reports on Form 8-K and any amendments to all of the foregoing reports, are made available free of charge on or through the “Investors”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“Investors” section of our website at www.oildri.com. The information on our website is not included as a part of, nor incorporated by reference into, this Annual Report on Form 10-K. The SEC also maintains a website, www.sec.gov, that contains reports, proxy and information statements and other information regarding issuers that file electronically with the SEC.</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and financial performance are meaningfully impacted by successful new product introductions.</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A significant portion of our net sales comes from the sale of products in mature categories, some of which have,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contractual and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Further, new product lines acquired as a result of business combinations may not produce the boost in profitability we initially expected. Even in the case of a successful launch of a new product, the ultimate benefit we realize may be uncertain if the new product “cannibalizes” sales of our existing products beyond</w:t>
      </w:r>
    </w:p>
    <w:p>
      <w:pPr>
        <w:spacing w:after="0" w:line="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expected levels. See “</w:t>
      </w:r>
      <w:r>
        <w:rPr>
          <w:rFonts w:ascii="Times New Roman" w:cs="Times New Roman" w:eastAsia="Times New Roman" w:hAnsi="Times New Roman"/>
          <w:sz w:val="14"/>
          <w:szCs w:val="14"/>
          <w:i w:val="1"/>
          <w:iCs w:val="1"/>
          <w:color w:val="auto"/>
        </w:rPr>
        <w:t>Government regulation imposes significant costs on us, and future regulatory changes (or related customer responses to regulatory changes) could increase those costs or limit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our ability to produce and sell our products</w:t>
      </w:r>
      <w:r>
        <w:rPr>
          <w:rFonts w:ascii="Times New Roman" w:cs="Times New Roman" w:eastAsia="Times New Roman" w:hAnsi="Times New Roman"/>
          <w:sz w:val="14"/>
          <w:szCs w:val="14"/>
          <w:color w:val="auto"/>
        </w:rPr>
        <w:t>” for a discussion of additional risks associated with new product development and launches.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in our markets.</w:t>
      </w:r>
    </w:p>
    <w:p>
      <w:pPr>
        <w:spacing w:after="0" w:line="1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We also face competition between our product lines, as some of our products are considered alternatives to other products that we offer. This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periodic results may be volatile.</w:t>
      </w:r>
    </w:p>
    <w:p>
      <w:pPr>
        <w:spacing w:after="0" w:line="181" w:lineRule="exact"/>
        <w:rPr>
          <w:sz w:val="20"/>
          <w:szCs w:val="20"/>
          <w:color w:val="auto"/>
        </w:rPr>
      </w:pPr>
    </w:p>
    <w:p>
      <w:pPr>
        <w:jc w:val="both"/>
        <w:ind w:firstLine="163"/>
        <w:spacing w:after="0" w:line="270" w:lineRule="auto"/>
        <w:rPr>
          <w:sz w:val="20"/>
          <w:szCs w:val="20"/>
          <w:color w:val="auto"/>
        </w:rPr>
      </w:pPr>
      <w:r>
        <w:rPr>
          <w:rFonts w:ascii="Times New Roman" w:cs="Times New Roman" w:eastAsia="Times New Roman" w:hAnsi="Times New Roman"/>
          <w:sz w:val="14"/>
          <w:szCs w:val="14"/>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line="287" w:lineRule="auto"/>
        <w:rPr>
          <w:sz w:val="20"/>
          <w:szCs w:val="20"/>
          <w:color w:val="auto"/>
        </w:rPr>
      </w:pPr>
      <w:r>
        <w:rPr>
          <w:rFonts w:ascii="Times New Roman" w:cs="Times New Roman" w:eastAsia="Times New Roman" w:hAnsi="Times New Roman"/>
          <w:sz w:val="14"/>
          <w:szCs w:val="14"/>
          <w:color w:val="auto"/>
        </w:rPr>
        <w:t>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 but are not limited to:</w:t>
      </w:r>
    </w:p>
    <w:p>
      <w:pPr>
        <w:spacing w:after="0" w:line="145" w:lineRule="exact"/>
        <w:rPr>
          <w:sz w:val="20"/>
          <w:szCs w:val="20"/>
          <w:color w:val="auto"/>
        </w:rPr>
      </w:pPr>
    </w:p>
    <w:p>
      <w:pPr>
        <w:ind w:left="80" w:hanging="75"/>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fluctuating demand for our products and services;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and timing of sales of our products and services;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products with varying profitability sold in a given quarter;</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and adapt to rapidly changing consumer behavior or other market conditions;</w:t>
      </w:r>
    </w:p>
    <w:p>
      <w:pPr>
        <w:spacing w:after="0" w:line="51"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price increases and surcharges, particularly in a timely manner that corresponds with cost increases, as well as other changes in our pricing policies;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purchasing patterns by our customers, including due to weather conditions, inventory planning, or other factors outside of our control;</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major customers and other debtors to meet their obligations to us as they come due;</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supply chains;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costs and availability of labor;</w:t>
      </w:r>
    </w:p>
    <w:p>
      <w:pPr>
        <w:spacing w:after="0" w:line="51"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tariff rates and trade policies;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restructuring, impairment or other charges; and</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specific economic conditions in our industry and the industries of our customers.</w:t>
      </w:r>
    </w:p>
    <w:p>
      <w:pPr>
        <w:spacing w:after="0" w:line="189" w:lineRule="exact"/>
        <w:rPr>
          <w:sz w:val="20"/>
          <w:szCs w:val="20"/>
          <w:color w:val="auto"/>
        </w:rPr>
      </w:pPr>
    </w:p>
    <w:p>
      <w:pPr>
        <w:jc w:val="both"/>
        <w:ind w:firstLine="127"/>
        <w:spacing w:after="0" w:line="254" w:lineRule="auto"/>
        <w:rPr>
          <w:sz w:val="20"/>
          <w:szCs w:val="20"/>
          <w:color w:val="auto"/>
        </w:rPr>
      </w:pPr>
      <w:r>
        <w:rPr>
          <w:rFonts w:ascii="Times New Roman" w:cs="Times New Roman" w:eastAsia="Times New Roman" w:hAnsi="Times New Roman"/>
          <w:sz w:val="14"/>
          <w:szCs w:val="14"/>
          <w:color w:val="auto"/>
        </w:rPr>
        <w:t>To the extent these factors slow or change, consumer demand for our products may not be sustained or may decrease, and our results could be adversely affected. This variability and unpredictability could result in our failure to meet the expectations of research analysts or investors for any period, which could cause our stock price to decline. We believe that quarter-to-quarter comparisons of our operating results are not necessarily meaningful and encourage investors to not rely on the results of one quarter as an indication of our future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Uncertainties in economic conditions and their impact on consumer spending patterns could adversely impact our business, financial condition, and results of operations.</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United States has from time to time experienced challenging economic conditions and the global financial markets have recently undergone and may continue to experience significant volatility and disruption. Our business, financial condition and results of operations may be materially adversely affected by factors beyond our control, including changes in consumer confidence, levels of unemployment, consumer debt levels, inflation, interest rates, tax rates, tariffs, adverse weather conditions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or have a negative impact on our retail customers and suppliers, our business, financial condition and results of operations may be materially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involve a number of risks, any of which could cause us not to realize the anticipated benefits.</w:t>
      </w:r>
    </w:p>
    <w:p>
      <w:pPr>
        <w:spacing w:after="0" w:line="202" w:lineRule="exact"/>
        <w:rPr>
          <w:sz w:val="20"/>
          <w:szCs w:val="20"/>
          <w:color w:val="auto"/>
        </w:rPr>
      </w:pPr>
    </w:p>
    <w:p>
      <w:pPr>
        <w:jc w:val="both"/>
        <w:ind w:firstLine="573"/>
        <w:spacing w:after="0" w:line="264" w:lineRule="auto"/>
        <w:rPr>
          <w:sz w:val="20"/>
          <w:szCs w:val="20"/>
          <w:color w:val="auto"/>
        </w:rPr>
      </w:pPr>
      <w:r>
        <w:rPr>
          <w:rFonts w:ascii="Times New Roman" w:cs="Times New Roman" w:eastAsia="Times New Roman" w:hAnsi="Times New Roman"/>
          <w:sz w:val="14"/>
          <w:szCs w:val="14"/>
          <w:color w:val="auto"/>
        </w:rPr>
        <w:t>As part of our business strategy we completed the Ultra Pet acquisition in May 2024 and intend, from time to time, to strategically explore potential additional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 but not limited to:</w:t>
      </w:r>
    </w:p>
    <w:p>
      <w:pPr>
        <w:spacing w:after="0" w:line="193" w:lineRule="exact"/>
        <w:rPr>
          <w:sz w:val="20"/>
          <w:szCs w:val="20"/>
          <w:color w:val="auto"/>
        </w:rPr>
      </w:pPr>
    </w:p>
    <w:p>
      <w:pPr>
        <w:ind w:left="140" w:hanging="135"/>
        <w:spacing w:after="0" w:line="276" w:lineRule="auto"/>
        <w:tabs>
          <w:tab w:leader="none" w:pos="10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spacing w:after="0" w:line="1"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customers, suppliers, management and employees of an acquired business;</w:t>
      </w:r>
    </w:p>
    <w:p>
      <w:pPr>
        <w:spacing w:after="0" w:line="40" w:lineRule="exact"/>
        <w:rPr>
          <w:rFonts w:ascii="Times New Roman" w:cs="Times New Roman" w:eastAsia="Times New Roman" w:hAnsi="Times New Roman"/>
          <w:sz w:val="14"/>
          <w:szCs w:val="14"/>
          <w:color w:val="auto"/>
        </w:rPr>
      </w:pPr>
    </w:p>
    <w:p>
      <w:pPr>
        <w:ind w:left="100" w:hanging="95"/>
        <w:spacing w:after="0"/>
        <w:tabs>
          <w:tab w:leader="none" w:pos="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achieve identified operating and financial synergies anticipated to result from an acquisition;</w:t>
      </w:r>
    </w:p>
    <w:p>
      <w:pPr>
        <w:spacing w:after="0" w:line="2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from other business concerns;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ind w:left="120" w:hanging="115"/>
        <w:spacing w:after="0"/>
        <w:tabs>
          <w:tab w:leader="none" w:pos="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other significant charges, such as impairment of goodwill or other intangible assets, asset devaluation or restructuring charges;</w:t>
      </w:r>
    </w:p>
    <w:p>
      <w:pPr>
        <w:spacing w:after="0" w:line="2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difficulties encountered in operating in new geographic areas or other new markets;</w:t>
      </w:r>
    </w:p>
    <w:p>
      <w:pPr>
        <w:spacing w:after="0" w:line="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that could arise from the integration of the acquired business, its management or other unanticipated problems or liabilities;</w:t>
      </w:r>
    </w:p>
    <w:p>
      <w:pPr>
        <w:spacing w:after="0" w:line="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business, industry or general economic conditions that affect the assumptions underlying our rationale for pursuing the acquisition; and</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cash outflows or additional indebtedness required to complete acquisitions, which could raise liquidity concerns.</w:t>
      </w:r>
    </w:p>
    <w:p>
      <w:pPr>
        <w:spacing w:after="0" w:line="18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Any one or more of these factors could cause us not to realize the benefits we anticipate to result from an acquisition. Moreover, acquisition opportunities we pursue could materially affect our liquidity and capital resources and may require us to use a significant portion of our available cash, incur indebtedness, seek equity capital or a combination of these options, and there can be no assurances that we can obtain indebtedness or equity capital on terms acceptable to the Company. Using available cash and incurring indebtedness would result in a corresponding decrease in our liquidity.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a limited number of customers for a large portion of our net sales.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15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large customers also have significant purchasing leverage. Customers may demand lower pricing, special packaging, shorter lead times for the delivery of products or impose other requirements on product suppliers like us. These business demands may relate to inventory practices, logistics or other aspects of the customer-supplier relationship. If we do not effectively respond to the demands of our customers, they could decrease or eliminate their purchases from us. These risks could be exacerbated if such large customers consolidate, or if our smaller customers consolidate to become larger customers, which would increase their purchasing leverage. A reduction in the purchases of our products by customers or the costs of complying with customer business demands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Price or trade concessions, or the failure to make them to retain customers, could adversely affect our sales and profitability.</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products we sell are subject to significant price competition and the prices of our products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us. These business demands may relate to inventory practices, logistics or other aspects of the customer-supplier relationship. To the extent we provide these concessions, our profit margins are reduced. Further, if we are unable to maintain terms that 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acceptable to our customers, these customers could reduce purchases of our products and increase purchases of products from our competitors, which would harm our sales and profitability.</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Increases in energy, commodity, transportation, labor and other costs would increase our operating costs, and we may be unable to pass all these increases on to our customers in the form of higher prices and surcharges.</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our energy, commodity, transportation, labor and/or other costs increase disproportionately to our net sales, our earnings could be significantly reduced. Increases in our operating costs may reduce our profitability if we are unable to pass them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volatility in the price and availability of natural gas, as well as other sources of energy. Such volatility could be intensified by geopolitical tensions, including war and terrorism, as well as other disruptions and market reactions to such events. In fiscal year 2025 and 2024 we purchased several forward fuel contracts to cover a portion of our fuel needs in Georgia and California and from time to time, we may use additional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global weather patterns.</w:t>
      </w:r>
    </w:p>
    <w:p>
      <w:pPr>
        <w:spacing w:after="0" w:line="1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prices of other commodities such as paper, plastic resins, synthetic rubber, lumber, and steel significantly influence the costs of packaging, replacement parts and equipment we use in the manufacture of our products and the maintenance of our facilities. Prices of other non-commodity materials purchased also influence our costs of goods sold.</w:t>
      </w:r>
    </w:p>
    <w:p>
      <w:pPr>
        <w:spacing w:after="0" w:line="14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Increasingly competitive labor markets, changes in the availability of our workers, and labor shortages in our supply chain, could result in increased costs, such as increased wage rates to attract and retain employees, and could negatively affect our ability to efficiently operate our facilities and overall business.</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Fluctuations in the availability of transportation options within the United States and internationally, including trucking and ocean freight, could increase costs. These could be exacerbated by volatile oil and gas markets as well as other global factors which could impact both the availability and cost of transportation. Additionally, issues in transportation could result in delayed customer shipments and increased customer deductions for late shipments, ultimately impacting our profitability.</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the extent that we experience increased costs in any of these areas, we may increase our prices, pass the increases along to customers, or otherwise take actions to offset the impact. However, competitive pressures and other factors may limit our ability to quickly raise prices in response to increased costs. Accordingly, we may not be able to timely offset increased costs fully or at all, and there can be no assurances that increasing prices will fully mitigate the impact of these increases, which could adversely impact our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affected by supply, labor, logistics and other disruptions or the costs incurred to avoid these disruptions.</w:t>
      </w:r>
    </w:p>
    <w:p>
      <w:pPr>
        <w:spacing w:after="0" w:line="21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Supply and logistics disruptions (which may be caused by a variety of factors, including public health crises such as outbreaks of diseases or illnesses, weather conditions, governmental controls, tariffs, national emergencies, natural or man-made disasters, other force majeure events, abrupt political change or other political, civil or social unrest or instability, mass or other physical</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violence (or threats thereof), including terrorist activity and armed conflict, or other similar events) or our failure to mitigate such disruptions could adversely affect our ability to manufacture, package or transport our products or require additional resources to maintain or restore our supply chain. Some of our products require raw materials and/or packaging that are provided by a limited number of suppliers and/or service providers, are demanded by other industries or are simply not available at times. The loss of any of these suppliers and/or service providers, or problems or delays experienced by these suppliers and/or service providers as a result of labor shortages or other events could lead to shortages in our production capacity, which could impact our ability to meet customer demand. In addition, as we grow or experience increased customer demand, our existing suppliers and/or service providers may not be able to meet our increasing demand, and we may need to find additional suppliers and/or service providers. We may not be able to secure suppliers and/or service providers who provide materials at, or services to, the specification, quantity and quality levels that we demand (or at all) or be able to negotiate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4"/>
          <w:szCs w:val="14"/>
          <w:color w:val="auto"/>
        </w:rPr>
        <w:t>acceptable fees and terms of services with any such suppliers and/or service providers. Additionally, such disruptions have resulted in challenges in addressing our backlogs and further backlog could develop in the event of continued disruptions. Disruptions arising from the foregoing or other events could adversely impact our results. See “</w:t>
      </w:r>
      <w:r>
        <w:rPr>
          <w:rFonts w:ascii="Times New Roman" w:cs="Times New Roman" w:eastAsia="Times New Roman" w:hAnsi="Times New Roman"/>
          <w:sz w:val="14"/>
          <w:szCs w:val="14"/>
          <w:i w:val="1"/>
          <w:iCs w:val="1"/>
          <w:color w:val="auto"/>
        </w:rPr>
        <w:t>Increases in energy, commodity, transportation, labor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other costs would increase our operating costs, and we may be unable to pass all these increases on to our customers in the form of higher prices and surcharges</w:t>
      </w:r>
      <w:r>
        <w:rPr>
          <w:rFonts w:ascii="Times New Roman" w:cs="Times New Roman" w:eastAsia="Times New Roman" w:hAnsi="Times New Roman"/>
          <w:sz w:val="14"/>
          <w:szCs w:val="14"/>
          <w:color w:val="auto"/>
        </w:rPr>
        <w:t>” for additional risks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transportation costs and logistics disruptions.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production facilities are subject to operating risks and capacity limitations that may adversely affect our financial condition or results of operations.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dependent on the continued operation of our production facilities. Production facilities are subject to hazards associated with the manufacturing, handling, storage, and transportation of products, including fires, inclement weather and natural disasters, mechanical failure, unscheduled downtime, labor difficulties, transportation interruptions, and environmental risks. Production facilities are also subject to governmental requirements that may, and during the Covid-19 pandemic did, affect our ability to operate.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w:t>
      </w:r>
    </w:p>
    <w:p>
      <w:pPr>
        <w:spacing w:after="0" w:line="16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Further, some of our products are manufactured on equipment at or near its capacity thus limiting our ability to sell additional volumes of such products until more capacity is obtained. As with all manufacturing facilities, equipment and infrastructure age and become subject to increasing maintenance and repair costs which may be significant. We have experienced increased costs and shortages in repair parts. Our ability to procure components to repair equipment essential for our manufacturing processes could be negatively impacted by various restrictions or disruptions in supply chains. The disruption of our supply of components or services, or the extension of our lead times, could have a material adverse effect on our business, results of operations, or financial condition. In addition, if we are unable to effectively forecast our customers’ demand, it could affect our ability to successfully manage operating capacity limitations. These hazards, limitations, disruptions in supply and capacity constraints could adversely affect financial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mining operations, and quality of the clay mined, for a majority of our supply of sorbent minerals.</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events and natural disasters,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6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Additionally, we are impacted by the clay quality in our mines. Although we use drilling and surveying to assess the expected composition of our clay, we cannot always predict with certainty the clay quality. Poor quality or unexpected differences in our clay composition could increase our processing costs, reduce production, or impact product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acquiring adequate additional reserves in the future.</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by others to be used either for mining or other uses,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or other regulatory compliance may restrict exploration or use of lands that might otherwise be utilized as a source of reserves.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rely on intellectual property rights based on trademark, trade secret, patent and copyright laws to protect our brands, products and packaging for our products. Although we maintain an enforcement program for the protection of our intellectual property rights,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asserted that products sold by our competitors infringe patents owned or licensed by us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 Trade secret protection requires specific agreements, policies and procedures to ensure the secrecy of information classified as a trade secret. If such agreements, policies and procedures are not effective to maintain the secrecy of our trade secrets, the loss of trade secret protection could have a material adverse effect on our business, financial condition or results of operations.</w:t>
      </w:r>
    </w:p>
    <w:p>
      <w:pPr>
        <w:spacing w:after="0" w:line="1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any key member of our senior management team and other key personnel may impede the implementation of our business plans in a timely manner.</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execution of our business plans depends in part upon the continued service of our senior management team and other key personnel, who possess unique and extensive industry knowledge and experience. Competition for management and key personnel is intense, and the pool of qualified candidates is limited. The loss or other unavailability of one or more of the key members of our senior management team or other key personnel could adversely impact our ability to manage our operations effectively, pursue our business strategy and/or lead to higher labor costs or the use of less-qualified personnel. Our operations also rely on skilled laborers using modern techniques and equipment to mine efficiently. We may be unable to train or attract the necessary number of skilled laborers to maintain our operating costs. No Company-owned life insurance coverage has been obtained on current team members.</w:t>
      </w: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Compliance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matters create potential compliance and other liability risks.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These laws and regulations have had, and will continue to have, a significant effect on our business. We believe we have obtained all material permits and licenses required to conduct our present operations. However, we will need additional permits and renewals of permits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 w:name="page20"/>
    <w:bookmarkEnd w:id="19"/>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Environmental requirements and the interpretation and enforcement of these requirements, change frequently and, in recent years, there has been an increase in regulation and enforcement of environmental, health and safety matters,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site modification (such as the modification to address capacity issues at our sole landfill located in Ochlocknee, Georgia),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17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laws and regulation impose significant costs on us, and future legal or regulatory changes (or related customer responses to such changes) could increase those costs or limit our ability to produce and sell our products.</w:t>
      </w:r>
    </w:p>
    <w:p>
      <w:pPr>
        <w:spacing w:after="0" w:line="14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FDA, CPSC, OSHA, MSHA, EPA and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products. Accordingly, there can be no assurance that we will be able to obtain or renew required governmental permits and registrations in the future. Further, there can be no assurance that current or future legislation, governmental regulation or other rule-making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spacing w:after="0" w:line="15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the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to our domestic and international sales and business operations due to political, regulatory, economic and other conditions.</w:t>
      </w:r>
    </w:p>
    <w:p>
      <w:pPr>
        <w:spacing w:after="0" w:line="23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Unstable economic, political, regulatory and other conditions could adversely affect demand for our products or disrupt our operations in the United States and in international markets. The international nature of our operations subjects the Company to numerous risks, including political, civil and/or instability (including acts of terrorism, civil or social unrest, labor unrest, violence in connection with political or social events, trade tensions and reciprocal tariffs, outbreaks of war and pandemics or other disease outbreaks). Specifically, our reliance on certain suppliers based in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China has resulted in additional risks concerning the country's current trade relations with the U.S.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U.S. politics and government have introduced greater uncertainty with respect to tax policies, trade relations, tariffs and government regulations affecting trade between the U.S. and other countries. For instance domestic sales may be impacted by changes in government issued incentives, such as tax rebates and credits, for renewable diesel producers. In addition to considerations around U.S. politics and government, geopolitical concerns may also impact our business; for instance, international conflicts could increase the cost of raw and packaging materials and commodities (including the prices of oil and natural gas), supply chain and logistics challenges and foreign currency volatility, and it is not possible to predict the broader or longer-term consequences of such conflicts. These developments, as well as the risks outlined above, could have a material adverse effect on the Company’s business, financial condition and results of operations.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our international sales and operations are subject to various economic-related risks. 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 Our financial results are negatively impacted when the foreign currencies in which our subsidiary offices operate weaken relative to the U.S. Dollar. We do not currently use instruments to hedge foreign currency risks, and thus are not protected against foreign currency fluctuations. Accordingly,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adverse safety events or product liability claims that may be costly, create adverse publicity and may result in regulatory action.</w:t>
      </w:r>
    </w:p>
    <w:p>
      <w:pPr>
        <w:spacing w:after="0" w:line="20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Product liability claims could result in negative publicity that could harm our sales and operating results. In addition, any such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recall our products or change our product formulations in response to governmental action. If successful claims are asserted by regulatory agencies or third parties against us for non-compliance or uninsured liabilities or liabilities more than applicable limits of insurance coverage, our business, financial condition and results of operations may be adversely affected.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 Additionally, our products may be associated with competitor products or other products in the same category that may be alleged to have caused harm to consumers. As a result of this association, we may be named in unwarranted legal actions. The potential costs to defend such claims may materially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long-lived, and other intangible assets recorded as a result of our acquisitions could become impaired.</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review goodwill and other long-lived assets, including property, plant and equipment and identifiable amortizing intangible assets, for impairment whenever changes in circumstances or events may indicate that the carrying amounts are not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4"/>
          <w:szCs w:val="14"/>
          <w:color w:val="auto"/>
        </w:rPr>
        <w:t>recoverable. Factors which may cause an impairment of long-lived assets include lower share trading prices and the adverse impact of rising costs and additional expenses to mitigate supply chain disruptions, among other factors. We assess all existing goodwill at least annually for impairment on a reporting unit basis. The techniques used in our qualitative assessment and goodwill impairment tests incorporate a number of estimates and assumptions, including macroeconomic conditions, overall category growth rates, sales growth rates, cost containment and margin expansion and expense levels for advertising and promotions and general overhead,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subjected to increased taxes or fluctuating tax rates, which could adversely affect our results of operations and/or cash flows.</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 the taxability of certain revenues or the deductibility of certain expenses, thereby affecting our income tax expense and profitability. 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Furthermore, new accounting pronouncements or new interpretations of existing accounting pronouncements, and/or any internal restructuring initiatives we may implement from time to time to streamline our operations, can have a material impact on our effective income tax rate. We could experience an effective tax rate significantly different from that of prior periods or current expectations, which could have an adverse effect on our results of operations or cash flows.</w:t>
      </w:r>
    </w:p>
    <w:p>
      <w:pPr>
        <w:spacing w:after="0" w:line="17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also subject to potential reviews, examinations, and audits by the Internal Revenue Service (the "IRS")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spacing w:after="0" w:line="1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that our share repurchases will enhance long-term shareholder value.</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Board has previously authorized a share repurchase programs for our Common Stock and our Class B Stock. Under these authorizations, the Company has authority to repurchase up to 750,000 shares of our Common Stock and up to 300,000 shares of our Class B Stock. The Company has undertaken repurchases of Common Stock on the open market (including pursuant to a 10b5-1 plan or otherwise)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these share repurchase authorizations could cause our stock price to be higher than it would be in the absence of such a program and could potentially reduce the market liquidity for our stock or otherwise affect stock price and/or volatility. Additionally, our share repurchase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authorizations could diminish our cash reserves, which may impact our ability to otherwise deploy such cash. There can be no assurance that these share repurchases will enhance shareholder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principal stockholders have the ability to control matters requiring a stockholder vote and could delay, deter or prevent a change in control of our company.</w:t>
      </w:r>
    </w:p>
    <w:p>
      <w:pPr>
        <w:spacing w:after="0" w:line="20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CEO and Chairman of the Board) provides them with the ability to control the election of our Board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 It is possible that the interests of our principal stockholders may in some circumstances conflict with our interests and the interests of our other stockholders. For example, the principal stockholders may have different tax positions or other differing incentives from other stockholders that could influence their decisions regarding whether and when to cause us to dispose of assets, incur new or refinance existing indebtedness, issue additional stock, or take other actions. Additionally, the holders of our Class B Stock may cause us to make strategic decisions or pursue acquisitions that could involve risks to holders of our Common Stock or may not be in the best interests of holders of our Common Stock.</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a “controlled company” under the New York Stock Exchange Corporate Governance Standards. As a controlled company, we may from time to time rely on exemptions from certain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NYSE corporate governance requirements that otherwise would be applicable, including the requirements:</w:t>
      </w:r>
    </w:p>
    <w:p>
      <w:pPr>
        <w:spacing w:after="0" w:line="185"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majority of the board of directors consists of independent directors;</w:t>
      </w:r>
    </w:p>
    <w:p>
      <w:pPr>
        <w:spacing w:after="0" w:line="2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we have a nominating and governance committee comprised entirely of independent directors with a written charter addressing the committee’s purpose and responsibilities; and</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we have a compensation committee comprised entirely of independent directors with a written charter addressing the committee’s purpose and responsibilities.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previously relied on these exemptions (although we are not currently relying on the first exemption listed above), and we intend to continue to rely on them in the future, as applicable. As a result, our stockholders do not have the same protections afforded stockholders of NYSE-listed companies that are subject to all of the NYSE corporate governance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market price of our Common Stock could fluctuate substantially in the future in response to a number of factors, including, but not limited to, the following:</w:t>
      </w:r>
    </w:p>
    <w:p>
      <w:pPr>
        <w:spacing w:after="0" w:line="200"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operating results or the operating results of our competitors;</w:t>
      </w:r>
    </w:p>
    <w:p>
      <w:pPr>
        <w:spacing w:after="0" w:line="2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conditions in the economy, the financial markets, or the industries in which we operate;</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alliances or joint ventures by us, our customers, suppliers or competitors;</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the Company, our officers or directors or unaffiliated third-party investors;</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price of energy sources and other raw materials;</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 of key management;</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political developments; and</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developments affecting us, our industries, customers or competitors.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the stock market may experience extreme price and volume fluctuations that have a significant effect on the market prices of securities issued by many companies, including the Company,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could depress its market price.</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Furthermore, in response to recent public focus on dual class capital structures, certain stock index providers are implementing limitations on the inclusion of dual class share structures in their indices. If these restrictions increase, they may impact who buys and holds our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dividends on our Common Stock may be restricted or eliminated.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Dividends are declared at the discretion of our Board,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spacing w:after="0" w:line="16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Technology failures or cyber security breaches or other unauthorized access to our information technology systems or sensitive or proprietary information could have an adverse effect on the Company's business and operations.</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rely on information technology systems to process, transmit, store, and protect electronic information. For example, a significant portion of the communications between the Company's personnel, customers, suppliers and vendors depends on information technology and we rely on access to such information systems for our operations. Additionally, we rely on third-party service vendors to execute certain business processes and maintain certain information technology systems and infrastructure. We cannot guarantee that the security measures in place will prevent disruptions, failures, computer viruses or other malicious codes, malware or ransomware incidents, unauthorized access attempts, theft of intellectual property, trade secrets, or other corporate assets,</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denial of service attacks, phishing, hacking by common hackers, criminal groups or nation-state organizations or social activist organizations,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error or malfeasance of our employees, vendors, or other third parties, or other catastrophic events could similarly cause interruptions, disruptions or shutdowns, or exacerbate the risk of the failures described above. Increased use of remote working arrangements has further exacerbated these risks. We may not have the resources or technical sophistication to anticipate, prevent or detect rapidly-evolving types of cyber-attacks and other security risks. Attacks may be targeted at us, our customers, suppliers or vendors, or others who have entrusted us with information. Our co-packaged litter sales were impacted by a cyberattack on our customer which prevented it from placing and receiving orders during the first quarter of fiscal year 2024. To date, the Company has not experienced any material impacts to our business or operations resulting from that cyberattack or any other information or cybersecurity attacks. Because of the frequently changing attack techniques, including through the use of artificial intelligence, along with the increased volume, persistence and sophistication of the attacks, there is the potential for the Company to be adversely impacted. Because such techniques change frequently or may be designed to remain dormant until a predetermined event and often are not recognized until launched against a target, we may be unable to anticipate these techniques or implement sufficient control measures to defend against these techniques. Once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4"/>
          <w:szCs w:val="14"/>
          <w:color w:val="auto"/>
        </w:rPr>
        <w:t>a security incident is identified, we may be unable to remediate or otherwise respond to such an incident in a timely manner. While the Company has implemented a cybersecurity framework of policies, procedures, and tools, and has documented plans for incident response, disaster recovery, and business continuity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brands or reputation, subject the Company to legal claims and proceedings or remedial actions,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brands and reputation. There can be no assurance that the costs, potential monetary damages, and operational</w:t>
      </w:r>
    </w:p>
    <w:p>
      <w:pPr>
        <w:spacing w:after="0" w:line="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consequences of responding to cyber incidents and implementing remediation measures would be covered by any insurance that we may carry from time to time. We cannot predict the degree of any impact that increased monitoring, assessing, or reporting of cybersecurity matters would have on operations, financial conditions and results.</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in connection with our global operations, we, from time to time, transmit data across national borders to conduct our business and, consequently, are subject to a variety of laws and regulations regarding privacy, data protection, and data security, including those related to the collection, processing, storage, handling, use, disclosure, transfer, and security of personal data, including the European Union General Data Protection Regulation, Canadian Personal Information Protection and Electronic Documents Act, Quebec Private Sector Act,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spacing w:after="0" w:line="1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in human and financial resources, which may cause increased costs and other</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difficulties. In addition, 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Technology failures or cyber security breaches or other unauthorized access to information technology systems of our customers, suppliers or vendors could have an adverse effect on the Company's business and operations.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rely on direct electronic interfaces with some of our key customers, suppliers and vendors. Cyber security breaches or technology failures at our customers could result in changes to timing and volume of orders. Additionally cyber security breaches or technology failures at our suppliers or vendors could impact the timing or availability of key materials that could negatively impact our ability to deliver products. We work closely with our key customers, suppliers and vendors to manage and mitigate the impact of any known threats once identified.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adversely affected by a widespread threat to public health.</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Public health crises may create significant uncertainty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response to widespread public health threats, such as pandemics, countries and local governments may again implement quarantine or similar orders that restrict workforce and/or require closures of “non-essential” businesses along with restrictions on travel. Such restrictions could create significant volatility, uncertainty, and economic disruption to our business. There can be no assurances that we will not have to close facilities or experience other disruption in the future due to concerns over the health and well-being of our employees, or as a result of government directives. While historically widespread threats to public health had limited disruption and impact to our third party business partners, suppliers, service providers,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customers, no assurances can be made that future threats to public health will not have a more significant impact on our operations or results.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various legal and regulatory proceedings, including litigation in the ordinary course of business, which may adversely impact our business, financial condition and results of operations.</w:t>
      </w:r>
    </w:p>
    <w:p>
      <w:pPr>
        <w:spacing w:after="0" w:line="14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 consuming (and could divert management’s attention and resources) to resolve and may result in substantial liability to us, which liability and related costs and expenses may not be recoverable through insurance or any other forms of</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reimbursement and could also result in higher insurance costs, the loss of insurance coverage, or the inability to obtain insurance at an acceptable cost. 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effective internal control over financial reporting could have a material adverse effect on our business, operating results and stock price.</w:t>
      </w:r>
    </w:p>
    <w:p>
      <w:pPr>
        <w:spacing w:after="0" w:line="2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2025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provide assurance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be negatively impacted.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a level of corporate social responsibility could damage our reputation and could adversely affect our business, financial condition or results of operations.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have historically resulted in legislative and regulatory efforts to impose</w:t>
      </w:r>
    </w:p>
    <w:p>
      <w:pPr>
        <w:spacing w:after="0" w:line="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increased regulations and require further disclosure and may do so in the future. 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adversely affected by labor disputes and an inability to renew collective bargaining agreements at acceptable terms.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 portion of our teammates in the U.S. and Canada are represented by labor unions, with whom we have entered into separate collective bargaining agreements. See “Item 1 – Business – Human Capital Management – Overview” above. We may experience labor disputes in the future, including protests and strikes, which could disrupt our business operations, increase wage rates and other costs of labor and have an adverse effect on our business and results of operation. We may also be unable to renegotiate collective bargaining agreements at acceptable terms, or we may be unable to maintain a satisfactory working relationship with our employees in the future. We may also be adversely affected by strikes and other labor disputes by the employees of our suppliers, customers, and other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implement additional finance and accounting systems, procedures and controls as we grow our business and organization and to satisfy new reporting requirements.</w:t>
      </w:r>
    </w:p>
    <w:p>
      <w:pPr>
        <w:spacing w:after="0" w:line="2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systems, procedures and controls are still developing to match the complexity of our business. We are required to comply with a variety of reporting, accounting and other rules and regulations. Compliance with existing requirements is expensive. As a public company, we are required to comply with additional regulations and other requirements. These and future requirements may increase our costs and require additional management time and resources. We may need to implement additional finance and accounting systems, procedures and controls to satisfy our reporting requirements. If our internal control over financial reporting is determined to be ineffective, such failure could cause investors to lose confidence in our reported financial information, negatively affect the value of our business, subject us to regulatory investigations and penalties, and could have a material adverse effect on our business. In addition, as a result of our recent growth we no longer qualify as a smaller reporting company and, therefore, can no longer take advantage of scaled disclosure requirements and are subject to shorter filing deadlines. Complying with such requirements will require us to expend additional resources and to enhance the capabilities of our finance and accounting departments. If we are unable to comply with such requirements, our business and stock price may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We have implemented cybersecurity processes, technologies, and controls to aid in our efforts to assess, identify, and manage such material risks.</w:t>
      </w:r>
    </w:p>
    <w:p>
      <w:pPr>
        <w:spacing w:after="0" w:line="15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cybersecurity risk management program is integrated into our overall enterprise risk management program, and shares common methodologies, reporting channels and governance processes that apply across the enterprise risk management program to other risk areas. We have also implemented a specific cybersecurity program which adopts a risk management approach to information security, requiring the identification, assessment, and appropriate mitigation of vulnerabilities and threats that can adversely impact our information assets. Our cybersecurity program is aligned with recognized industry standards and frameworks such as NIST SP 800-53, NIST SP 800-82, and the NIST Cybersecurity Framework 2.0. Our cybersecurity program includes:</w:t>
      </w:r>
    </w:p>
    <w:p>
      <w:pPr>
        <w:spacing w:after="0" w:line="17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Information Security Charter and supporting policies outline governance, define responsibilities, and help enforce our cybersecurity program;</w:t>
      </w:r>
    </w:p>
    <w:p>
      <w:pPr>
        <w:spacing w:after="0" w:line="23" w:lineRule="exact"/>
        <w:rPr>
          <w:rFonts w:ascii="Times New Roman" w:cs="Times New Roman" w:eastAsia="Times New Roman" w:hAnsi="Times New Roman"/>
          <w:sz w:val="14"/>
          <w:szCs w:val="14"/>
          <w:color w:val="auto"/>
        </w:rPr>
      </w:pPr>
    </w:p>
    <w:p>
      <w:pPr>
        <w:ind w:left="480" w:hanging="220"/>
        <w:spacing w:after="0" w:line="221" w:lineRule="auto"/>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risk assessment process designed to help identify material cybersecurity risks to our critical systems, information, services, and our broader enterprise IT environment;</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 information security team principally responsible for managing (1) our cybersecurity risk assessment processes, (2) our security controls, and (3) our response to cybersecurity incidents;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controls;</w:t>
      </w:r>
    </w:p>
    <w:p>
      <w:pPr>
        <w:spacing w:after="0" w:line="1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Cybersecurity awareness training of our employees, incident response personnel, and senior management;</w:t>
      </w:r>
    </w:p>
    <w:p>
      <w:pPr>
        <w:spacing w:after="0" w:line="7"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7" w:name="page28"/>
    <w:bookmarkEnd w:id="27"/>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third-party risk management process for customers, service providers, suppliers, and vendors.</w:t>
      </w:r>
    </w:p>
    <w:p>
      <w:pPr>
        <w:spacing w:after="0" w:line="17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evaluating the risks identified as a part of the annual assessment process, the Company’s information security team considers the likelihood and severity of the respective risk and the potential impact of the risk on the Company, its customers, and its employees. These risks are then prioritized and monitored by the information security team.</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conducts periodic testing of software, hardware, defensive capabilities, and other information security systems to assess its cybersecurity readiness and maturity of the cybersecurity program. Tests are conducted by the information security team and reputable third-party consultants and auditors. In developing and evaluating the testing procedures, the Company considers both its individual risks and industry standards.</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cybersecurity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the date of this report, the Company is not aware of any risks from cybersecurity threats, including as a result of any previous cybersecurity incidents, that have materially affected or are reasonably likely to materially affect the Company, including its business strategy, results of operations, or financial condition that are required to be reported in this Form 10-K. For further discussion of the risks associated with cybersecurity incidents and potential impact to the Company, see the cybersecurity risk factors within “Item 1A. Risk Factors” in this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management, including leaders from our information security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6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cybersecurity risk management and strategy processes are overseen by leaders from our information security team, such as our Chief Information Officer, Director, Applications Delivery, and our Director of Information Technology. Such individuals have nearly 40, over 30, and over 20 years of experience, respectively, in various roles involving information technology, including infrastructure and operations, security, auditing, compliance, and application development.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corporate headquarters are located at 410 N. Michigan Avenue, Suite 400, Chicago, Illinois 60611. The lease for this location expires in 2036. In addition to our corporate headquarters, we operate two research and development facilities in Vernon Hills, IL, one of which we own and the other of which we lease with a term expiring in 2027. We operate clay manufacturing and non-clay production facilities on the properties listed in “Mining Properties and Operations” below. We have no mortgages on any of the real property we own. We consider our properties to generally be in good condition, well maintained and suitable and adequate to carry on our business. As used in this Form 10-K, the terms “mineral resource,” “mineral reserve,” “proven mineral reserve” and “probable mineral reserve” are defined and used in accordance with Item 1300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Mining Properties and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Facility Locations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operate clay manufacturing and non-clay production facilities on property owned or leased by us as shown on the map and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14605</wp:posOffset>
            </wp:positionV>
            <wp:extent cx="2978150" cy="2479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8150" cy="247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230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608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Function</w:t>
            </w:r>
          </w:p>
        </w:tc>
      </w:tr>
      <w:tr>
        <w:trPr>
          <w:trHeight w:val="22"/>
        </w:trPr>
        <w:tc>
          <w:tcPr>
            <w:tcW w:w="7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Blue Mountain, Mississippi</w:t>
            </w:r>
          </w:p>
        </w:tc>
        <w:tc>
          <w:tcPr>
            <w:tcW w:w="186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Manufacturing and packaging</w:t>
            </w:r>
          </w:p>
        </w:tc>
      </w:tr>
      <w:tr>
        <w:trPr>
          <w:trHeight w:val="210"/>
        </w:trPr>
        <w:tc>
          <w:tcPr>
            <w:tcW w:w="78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Laval, Quebec, Canada</w:t>
            </w:r>
          </w:p>
        </w:tc>
        <w:tc>
          <w:tcPr>
            <w:tcW w:w="186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Non-clay manufacturing and clay and non-clay packaging, sales</w:t>
            </w:r>
          </w:p>
        </w:tc>
      </w:tr>
      <w:tr>
        <w:trPr>
          <w:trHeight w:val="193"/>
        </w:trPr>
        <w:tc>
          <w:tcPr>
            <w:tcW w:w="78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Mounds, Illinois</w:t>
            </w:r>
          </w:p>
        </w:tc>
        <w:tc>
          <w:tcPr>
            <w:tcW w:w="186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Manufacturing and packaging</w:t>
            </w:r>
          </w:p>
        </w:tc>
      </w:tr>
      <w:tr>
        <w:trPr>
          <w:trHeight w:val="210"/>
        </w:trPr>
        <w:tc>
          <w:tcPr>
            <w:tcW w:w="78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Ochlocknee, Georgia</w:t>
            </w:r>
          </w:p>
        </w:tc>
        <w:tc>
          <w:tcPr>
            <w:tcW w:w="186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Manufacturing and packaging</w:t>
            </w:r>
          </w:p>
        </w:tc>
      </w:tr>
      <w:tr>
        <w:trPr>
          <w:trHeight w:val="193"/>
        </w:trPr>
        <w:tc>
          <w:tcPr>
            <w:tcW w:w="78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Ripley, Mississippi</w:t>
            </w:r>
          </w:p>
        </w:tc>
        <w:tc>
          <w:tcPr>
            <w:tcW w:w="186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Manufacturing and packaging</w:t>
            </w:r>
          </w:p>
        </w:tc>
      </w:tr>
      <w:tr>
        <w:trPr>
          <w:trHeight w:val="210"/>
        </w:trPr>
        <w:tc>
          <w:tcPr>
            <w:tcW w:w="78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Taft, California</w:t>
            </w:r>
          </w:p>
        </w:tc>
        <w:tc>
          <w:tcPr>
            <w:tcW w:w="186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rPr>
              <w:t>Owned</w:t>
            </w:r>
          </w:p>
        </w:tc>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Manufacturing and packaging</w:t>
            </w:r>
          </w:p>
        </w:tc>
      </w:tr>
      <w:tr>
        <w:trPr>
          <w:trHeight w:val="240"/>
        </w:trPr>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Wisbech, United Kingdom</w:t>
            </w:r>
          </w:p>
        </w:tc>
        <w:tc>
          <w:tcPr>
            <w:tcW w:w="186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6"/>
              </w:rPr>
              <w:t>Leased</w:t>
            </w:r>
            <w:r>
              <w:rPr>
                <w:rFonts w:ascii="Times New Roman" w:cs="Times New Roman" w:eastAsia="Times New Roman" w:hAnsi="Times New Roman"/>
                <w:sz w:val="18"/>
                <w:szCs w:val="18"/>
                <w:color w:val="auto"/>
                <w:w w:val="96"/>
                <w:vertAlign w:val="superscript"/>
              </w:rPr>
              <w:t>*</w:t>
            </w:r>
          </w:p>
        </w:tc>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Non-clay manufacturing and clay and non-clay packaging, sales, customer service</w:t>
            </w:r>
          </w:p>
        </w:tc>
      </w:tr>
      <w:tr>
        <w:trPr>
          <w:trHeight w:val="195"/>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The Wisbech lease expires in 2032.</w:t>
            </w:r>
          </w:p>
        </w:tc>
        <w:tc>
          <w:tcPr>
            <w:tcW w:w="1860" w:type="dxa"/>
            <w:vAlign w:val="bottom"/>
          </w:tcPr>
          <w:p>
            <w:pPr>
              <w:spacing w:after="0"/>
              <w:rPr>
                <w:sz w:val="16"/>
                <w:szCs w:val="16"/>
                <w:color w:val="auto"/>
              </w:rPr>
            </w:pPr>
          </w:p>
        </w:tc>
        <w:tc>
          <w:tcPr>
            <w:tcW w:w="60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auto"/>
        </w:rPr>
        <w:t>Overview of Mining Properties and Operations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CLAY RESOURCES AND RESERVES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real property holdings and tons produced for each of the three fiscal years ended July 31, are as follows:</w:t>
      </w:r>
    </w:p>
    <w:p>
      <w:pPr>
        <w:spacing w:after="0" w:line="293" w:lineRule="exact"/>
        <w:rPr>
          <w:sz w:val="20"/>
          <w:szCs w:val="20"/>
          <w:color w:val="auto"/>
        </w:rPr>
      </w:pPr>
    </w:p>
    <w:tbl>
      <w:tblPr>
        <w:tblLayout w:type="fixed"/>
        <w:tblInd w:w="640" w:type="dxa"/>
        <w:tblCellMar>
          <w:top w:w="0" w:type="dxa"/>
          <w:left w:w="0" w:type="dxa"/>
          <w:bottom w:w="0" w:type="dxa"/>
          <w:right w:w="0" w:type="dxa"/>
        </w:tblCellMar>
      </w:tblPr>
      <w:tr>
        <w:trPr>
          <w:trHeight w:val="180"/>
        </w:trPr>
        <w:tc>
          <w:tcPr>
            <w:tcW w:w="1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Real Property Holdings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Tons Produced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Land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w:t>
            </w:r>
          </w:p>
        </w:tc>
        <w:tc>
          <w:tcPr>
            <w:tcW w:w="96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Unpatented</w:t>
            </w: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4"/>
        </w:trPr>
        <w:tc>
          <w:tcPr>
            <w:tcW w:w="1880" w:type="dxa"/>
            <w:vAlign w:val="bottom"/>
            <w:vMerge w:val="continue"/>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Claims</w:t>
            </w:r>
          </w:p>
        </w:tc>
        <w:tc>
          <w:tcPr>
            <w:tcW w:w="108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8"/>
              </w:rPr>
              <w:t>(acres)</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 of tons)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Mississippi</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Nevada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Tennessee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With the exception of our research and development center in Illinois, all of the properties that we own contain clay mineral reserves or are used in the processing of our clay. We mine sorbent minerals primarily consisting of calcium bentonite, attapulgite and diatomaceous shale which we refer to in the aggregate as “clay,” “minerals,” or “Fuller’s Earth.” We use certified professional geologists and mineral specialists who prepared the estimated reserves of these minerals in the table above. See also Item 1 “Business” above for further information about our reserves. We, or our wholly owned subsidiaries, are the sole operators of our mines. We have a total of 68 mining properties in all stages of operation (exploration, development and production), with 3 mining properties in California, 37 mining properties in Georgia, 3 mining properties in Illinois, 23 mining properties in Mississippi, 1 mining property in Nevada, and 1 mining property in Tennessee. Our properties in production, located in Mississippi, Georgia, California and Illinois, collectively produced approximately 781 thousand and 793 thousand tons of finished product in fiscal years 2025, and 2024, respectively. Parcels of such land are also sites of manufacturing facilities operated by us. In addition, we own approximately one acre of land in Laval, Quebec, Canada, which is the site of the processing, packaging and distribution facility for our Canadian subsidiary. While we have reserves at our mining properties in Nevada and Tennessee, we are not actively mining these properties.</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2122.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6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auto"/>
        </w:rPr>
        <w:t>Summary of Mineral Resources and Mineral Reserves</w:t>
      </w:r>
    </w:p>
    <w:p>
      <w:pPr>
        <w:spacing w:after="0" w:line="20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summary of mineral reserves as of July 31, 2025, have been prepared and certified by an employee of the Company who is a certified professional geologist who qualifies as a "qualified person" as such term is defined in Item 1300 of Regulation S-K. The reference point for our mineral reserves is in-situ, or in-place, material. Item 1303 of Regulation S-K requires the disclosure of mineral resources;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 Item 1303 of Regulation S-K also requires the disclosure of the grades/qualities of our mineral reserves; however, because there is no single size, chemical, or physical specification of our clay that fits all requirements for our various products, it is not practical or possible for us to provide information related to grades/qualities. Our summary of proven and probable reserves as of July 31, 2025, is as follows:</w:t>
      </w:r>
    </w:p>
    <w:p>
      <w:pPr>
        <w:spacing w:after="0" w:line="205"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Mineral Reserves</w:t>
            </w:r>
            <w:r>
              <w:rPr>
                <w:rFonts w:ascii="Times New Roman" w:cs="Times New Roman" w:eastAsia="Times New Roman" w:hAnsi="Times New Roman"/>
                <w:sz w:val="18"/>
                <w:szCs w:val="18"/>
                <w:b w:val="1"/>
                <w:bCs w:val="1"/>
                <w:color w:val="auto"/>
                <w:w w:val="99"/>
                <w:vertAlign w:val="superscript"/>
              </w:rPr>
              <w:t>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200" w:type="dxa"/>
            <w:vAlign w:val="bottom"/>
          </w:tcPr>
          <w:p>
            <w:pPr>
              <w:jc w:val="right"/>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Proven Mineral</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Probable</w:t>
            </w:r>
          </w:p>
        </w:tc>
        <w:tc>
          <w:tcPr>
            <w:tcW w:w="10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12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Mineral Reserves</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 of tons)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14,395</w:t>
            </w: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39,630</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w:t>
            </w: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Mississippi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82,425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115,110</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Nevada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26,292</w:t>
            </w: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Tennessee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96"/>
        </w:trPr>
        <w:tc>
          <w:tcPr>
            <w:tcW w:w="206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207,626</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100" w:hanging="95"/>
        <w:spacing w:after="0"/>
        <w:tabs>
          <w:tab w:leader="none" w:pos="1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Mineral reserves are based on the fiscal year 2025 average price of $564 per ton of our clay-based products.</w:t>
      </w:r>
    </w:p>
    <w:p>
      <w:pPr>
        <w:spacing w:after="0" w:line="1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assess the economic viability of clay by conducting industry standard in-situ tests in order to determine reserves. The minimum quality threshold used in our determination of reserves is whether the clay could be used in one of our products. Once a determination is made, based on in-situ testing by exploratory drilling, that a measured resource of clay is usable in one of our products, we determine economic viability based on a variety of factors. These factors can differ from mine to mine but generally include the amount of clay at the mine; projected costs related to operating the mine; demand for the type or types of product the clay meets the specifications for; other geographical factors such as proximity to permanent structures or bodies of water; and environmental factors and regulations.</w:t>
      </w:r>
    </w:p>
    <w:p>
      <w:pPr>
        <w:spacing w:after="0" w:line="16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Based on our rate of consumption during fiscal year 2025, and without regard to any of our reserves in Nevada and Tennessee, where we do not actively mine, we consider our proven and probable reserves adequate to supply our needs for over forty years. Although we consider these reserves to be extremely valuable to our business, we consider our in-situ clay to have no inherent value and to only become valuable through the mining and manufacturing methods described below.</w:t>
      </w:r>
    </w:p>
    <w:p>
      <w:pPr>
        <w:spacing w:after="0" w:line="18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It is our policy to attempt to maintain a minimum of forty years of proven and probable reserves of each type of clay 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2025, we utilized these reserves to produce substantially all of the sorbent products that we sold.</w:t>
      </w:r>
    </w:p>
    <w:p>
      <w:pPr>
        <w:spacing w:after="0" w:line="1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spacing w:after="0" w:line="270" w:lineRule="auto"/>
        <w:rPr>
          <w:sz w:val="20"/>
          <w:szCs w:val="20"/>
          <w:color w:val="auto"/>
        </w:rPr>
      </w:pPr>
      <w:r>
        <w:rPr>
          <w:rFonts w:ascii="Times New Roman" w:cs="Times New Roman" w:eastAsia="Times New Roman" w:hAnsi="Times New Roman"/>
          <w:sz w:val="14"/>
          <w:szCs w:val="14"/>
          <w:color w:val="auto"/>
        </w:rPr>
        <w:t>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to estimate and evaluate existing and potential reserves in terms of quality, quantity and availability.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Internal Controls</w:t>
      </w:r>
    </w:p>
    <w:p>
      <w:pPr>
        <w:spacing w:after="0" w:line="20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internal controls for reviewing and documenting the information supporting the mineral reserve estimates and ensuring the validity of the estimates. Information that is utilized to compile mineral reserves is prepared and certified by a qualified person and is subject to internal review by our management.</w:t>
      </w:r>
    </w:p>
    <w:p>
      <w:pPr>
        <w:spacing w:after="0" w:line="14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Management also assesses risks inherent in mineral resource and reserve estimates, such as the accuracy of geological data that is used to support mine planning, identify hazards and inform operations of the presence of mineable deposits. Also, management is aware of risks associated with potential gaps in assessing the completeness of mineral extraction licenses, entitlements or rights, or changes in laws or regulations that could directly impact the ability to assess mineral resources and reserves or impact production levels. Risks inherent in overestimated reserves can impact financial performance when revealed, such as changes in amortization that are based on life of mine estimates. Our analysis of risks related to our reserves is integrated into our overall enterprise risk management program, and shares common methodologies, reporting channels and governance processes that apply across the enterprise risk management program to other risk areas. Refer to Item 1A “Risk Factors” for further discussion of risks associated with our mineral reserves.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1"/>
          <w:szCs w:val="11"/>
          <w:b w:val="1"/>
          <w:bCs w:val="1"/>
          <w:color w:val="auto"/>
        </w:rPr>
        <w:t>INING AND</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ANUFACTURING</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ETHODS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Mining and Hauling</w:t>
      </w:r>
    </w:p>
    <w:p>
      <w:pPr>
        <w:spacing w:after="0" w:line="17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We consider overburden to be waste, and it is generally visually distinguishable from the clay that we mine and process. Portions of clay or other materials within a mine that are unusable by us to produce our products are also considered waste and are not included in our calculation of mineral reserves. In addition to being visually distinguishable, the dividing line between the overburden and the clay is confirmed with survey-grade GPS equipment and verification testing is used to confirm whether clay is usable to produce our products. Verification testing is initially conducted on the samples of clay, overburden and other materials extracted through the process of exploratory drilling, and then on an on-going basis once extraction begins as we conduct regular application-specific testing on clay as it is mined.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eleven miles.</w:t>
      </w:r>
    </w:p>
    <w:p>
      <w:pPr>
        <w:spacing w:after="0" w:line="14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At our California mines, the clay is excavated and hauled to a hopper. An initial crushing and screening operation is performed at the mine site before the trucks are loaded for delivery to the processing plant.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Processing</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processing of our clay varies depending on the level of moisture desired in the clay after the drying process. The moisture level is referred to as regular volatile moisture (“RVM”) or low volatile moisture (“LVM”).</w:t>
      </w:r>
    </w:p>
    <w:p>
      <w:pPr>
        <w:spacing w:after="0" w:line="12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LVM Clay: RVM clay is fed from storage tanks into the LVM kiln where the moisture content is further reduced. The clay then proceeds to a screening circuit which separates the clay into the desired particle sizes.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certain other products may go through further processing or the application of fragrances and additives. For example, certain fluids purification and animal health products are processed into a powder form. We also use a proprietary process for our engineered granules to create spherical, uniform-sized granules.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Packaging</w:t>
      </w:r>
    </w:p>
    <w:p>
      <w:pPr>
        <w:spacing w:after="0" w:line="1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81" w:lineRule="exact"/>
        <w:rPr>
          <w:sz w:val="20"/>
          <w:szCs w:val="20"/>
          <w:color w:val="auto"/>
        </w:rPr>
      </w:pPr>
    </w:p>
    <w:p>
      <w:pPr>
        <w:jc w:val="both"/>
        <w:ind w:firstLine="152"/>
        <w:spacing w:after="0" w:line="287" w:lineRule="auto"/>
        <w:rPr>
          <w:sz w:val="20"/>
          <w:szCs w:val="20"/>
          <w:color w:val="auto"/>
        </w:rPr>
      </w:pPr>
      <w:r>
        <w:rPr>
          <w:rFonts w:ascii="Times New Roman" w:cs="Times New Roman" w:eastAsia="Times New Roman" w:hAnsi="Times New Roman"/>
          <w:sz w:val="14"/>
          <w:szCs w:val="14"/>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w:t>
      </w:r>
    </w:p>
    <w:p>
      <w:pPr>
        <w:spacing w:after="0" w:line="202" w:lineRule="exact"/>
        <w:rPr>
          <w:sz w:val="20"/>
          <w:szCs w:val="20"/>
          <w:color w:val="auto"/>
        </w:rPr>
      </w:pPr>
    </w:p>
    <w:p>
      <w:pPr>
        <w:jc w:val="both"/>
        <w:ind w:firstLine="204"/>
        <w:spacing w:after="0" w:line="270" w:lineRule="auto"/>
        <w:rPr>
          <w:sz w:val="20"/>
          <w:szCs w:val="20"/>
          <w:color w:val="auto"/>
        </w:rPr>
      </w:pPr>
      <w:r>
        <w:rPr>
          <w:rFonts w:ascii="Times New Roman" w:cs="Times New Roman" w:eastAsia="Times New Roman" w:hAnsi="Times New Roman"/>
          <w:sz w:val="14"/>
          <w:szCs w:val="14"/>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2025 were 734 and 24, respectively, as reported by our transfer agent. In the last three fiscal years, we have not sold any securities which were not registered under the Securities Act of 1933, as amended (the “Securities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jc w:val="both"/>
        <w:ind w:firstLine="148"/>
        <w:spacing w:after="0" w:line="259" w:lineRule="auto"/>
        <w:rPr>
          <w:sz w:val="20"/>
          <w:szCs w:val="20"/>
          <w:color w:val="auto"/>
        </w:rPr>
      </w:pPr>
      <w:r>
        <w:rPr>
          <w:rFonts w:ascii="Times New Roman" w:cs="Times New Roman" w:eastAsia="Times New Roman" w:hAnsi="Times New Roman"/>
          <w:sz w:val="14"/>
          <w:szCs w:val="14"/>
          <w:color w:val="auto"/>
        </w:rPr>
        <w:t>Our Board determines the timing and amount of any dividends. Our Board may change its dividend practice at any time. The declaration and payment of future dividends, if any, will depend upon, among other things, our future earnings, capital requirements, financial condition, legal requirements, contractual restrictions and other factors that our Board deems relevant. Our Credit Agreement, dated as of January 27, 2006 (as previously amended, the "Credit Agreement"), with BMO Harris Bank N.A (“BMO Harris”), and certain of our domestic subsidiaries, and our Amended and Restated Note Purchase and Private Shelf Agreement (as amended, the "Note Agreement") with PGIM, Inc. ("Prudential") requires that we maintain a maximum debt to earnings ratio and a minimum fixed charge coverage ratio. To the extent that these balances are not attained, our ability to pay dividends may be impaired. See Note 4 of the Notes to the Consolidated Financial Statements for further information about our debt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Repurchase of Equity Securities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chart summarizes our Common Stock purchases during the three months ended July 31, 2025.</w:t>
      </w:r>
    </w:p>
    <w:p>
      <w:pPr>
        <w:spacing w:after="0" w:line="8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 xml:space="preserve">ISSUER PURCHASES OF EQUITY SECURITIES </w:t>
      </w:r>
      <w:r>
        <w:rPr>
          <w:rFonts w:ascii="Times New Roman" w:cs="Times New Roman" w:eastAsia="Times New Roman" w:hAnsi="Times New Roman"/>
          <w:sz w:val="18"/>
          <w:szCs w:val="18"/>
          <w:b w:val="1"/>
          <w:bCs w:val="1"/>
          <w:color w:val="auto"/>
          <w:vertAlign w:val="superscript"/>
        </w:rPr>
        <w:t>1,2</w:t>
      </w:r>
    </w:p>
    <w:tbl>
      <w:tblPr>
        <w:tblLayout w:type="fixed"/>
        <w:tblInd w:w="0" w:type="dxa"/>
        <w:tblCellMar>
          <w:top w:w="0" w:type="dxa"/>
          <w:left w:w="0" w:type="dxa"/>
          <w:bottom w:w="0" w:type="dxa"/>
          <w:right w:w="0" w:type="dxa"/>
        </w:tblCellMar>
      </w:tblPr>
      <w:tr>
        <w:trPr>
          <w:trHeight w:val="165"/>
        </w:trPr>
        <w:tc>
          <w:tcPr>
            <w:tcW w:w="1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t>
            </w:r>
          </w:p>
        </w:tc>
        <w:tc>
          <w:tcPr>
            <w:tcW w:w="23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23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w:t>
            </w: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9"/>
        </w:trPr>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44"/>
        </w:trPr>
        <w:tc>
          <w:tcPr>
            <w:tcW w:w="21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3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1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may yet be Purchased Under Plans</w:t>
            </w:r>
          </w:p>
        </w:tc>
        <w:tc>
          <w:tcPr>
            <w:tcW w:w="0" w:type="dxa"/>
            <w:vAlign w:val="bottom"/>
          </w:tcPr>
          <w:p>
            <w:pPr>
              <w:spacing w:after="0"/>
              <w:rPr>
                <w:sz w:val="1"/>
                <w:szCs w:val="1"/>
                <w:color w:val="auto"/>
              </w:rPr>
            </w:pPr>
          </w:p>
        </w:tc>
      </w:tr>
      <w:tr>
        <w:trPr>
          <w:trHeight w:val="180"/>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2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3</w:t>
            </w:r>
          </w:p>
        </w:tc>
        <w:tc>
          <w:tcPr>
            <w:tcW w:w="2320" w:type="dxa"/>
            <w:vAlign w:val="bottom"/>
            <w:gridSpan w:val="2"/>
            <w:vMerge w:val="continue"/>
          </w:tcPr>
          <w:p>
            <w:pPr>
              <w:spacing w:after="0"/>
              <w:rPr>
                <w:sz w:val="15"/>
                <w:szCs w:val="15"/>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216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7"/>
              </w:rPr>
              <w:t>or Programs</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71"/>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 2025 to May 31, 2025</w:t>
            </w:r>
          </w:p>
        </w:tc>
        <w:tc>
          <w:tcPr>
            <w:tcW w:w="16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362,938</w:t>
            </w:r>
          </w:p>
        </w:tc>
        <w:tc>
          <w:tcPr>
            <w:tcW w:w="0" w:type="dxa"/>
            <w:vAlign w:val="bottom"/>
          </w:tcPr>
          <w:p>
            <w:pPr>
              <w:spacing w:after="0"/>
              <w:rPr>
                <w:sz w:val="1"/>
                <w:szCs w:val="1"/>
                <w:color w:val="auto"/>
              </w:rPr>
            </w:pPr>
          </w:p>
        </w:tc>
      </w:tr>
      <w:tr>
        <w:trPr>
          <w:trHeight w:val="18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1, 2025 to June 30, 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1,992</w:t>
            </w:r>
          </w:p>
        </w:tc>
        <w:tc>
          <w:tcPr>
            <w:tcW w:w="1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$57.91</w:t>
            </w:r>
          </w:p>
        </w:tc>
        <w:tc>
          <w:tcPr>
            <w:tcW w:w="200" w:type="dxa"/>
            <w:vAlign w:val="bottom"/>
          </w:tcPr>
          <w:p>
            <w:pPr>
              <w:spacing w:after="0"/>
              <w:rPr>
                <w:sz w:val="15"/>
                <w:szCs w:val="15"/>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360,946</w:t>
            </w:r>
          </w:p>
        </w:tc>
        <w:tc>
          <w:tcPr>
            <w:tcW w:w="0" w:type="dxa"/>
            <w:vAlign w:val="bottom"/>
          </w:tcPr>
          <w:p>
            <w:pPr>
              <w:spacing w:after="0"/>
              <w:rPr>
                <w:sz w:val="1"/>
                <w:szCs w:val="1"/>
                <w:color w:val="auto"/>
              </w:rPr>
            </w:pPr>
          </w:p>
        </w:tc>
      </w:tr>
      <w:tr>
        <w:trPr>
          <w:trHeight w:val="18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2025 to July 31, 2025</w:t>
            </w:r>
          </w:p>
        </w:tc>
        <w:tc>
          <w:tcPr>
            <w:tcW w:w="2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2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360,946</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1"/>
          <w:szCs w:val="11"/>
          <w:color w:val="auto"/>
        </w:rPr>
        <w:t>1 The table summarizes repurchases of (and remaining authority to repurchase) shares of our Common Stock. Our Board authorized the repurchase of 300,000 shares of Class B Stock on March 21, 2018, however, there have been no repurchases of Class B Stock for the three months ended July 31, 2025 and the authorized Class B Stock is not included in the table above. Of this amount, 244,113 shares of Class B Stock remain authorized for repurchase as of July 31, 2025. No shares of our Class A Common Stock are currently outstanding. Descriptions of our Common Stock, Class B Stock and Class A Common Stock are contained in Exhibit 4.1 of this Annual Report on Form 10-K for the fiscal year ended July 31, 2025.</w:t>
      </w:r>
    </w:p>
    <w:p>
      <w:pPr>
        <w:spacing w:after="0" w:line="10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2 The figures in the table reflect transactions according to the settlement dates. For purposes of our consolidated financial statements included in this Annual Report on Form 10-K, the impact of these repurchases is recorded according to the settlement dates.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All shares of Common Stock were surrendered by employees to pay taxes related to restricted stock awards. No shares of Common Stock or Class B Stock were repurchased pursuant to publicly announced programs.</w:t>
      </w:r>
    </w:p>
    <w:p>
      <w:pPr>
        <w:spacing w:after="0" w:line="1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1"/>
          <w:szCs w:val="11"/>
          <w:color w:val="auto"/>
        </w:rPr>
        <w:t>4 Our Board of Directors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and number of shares of Common Stock repurchased will be determined by our management.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annual cumulative total stockholders’ returns for the five years ending July 31, 2025 on an assumed investment of $100 on July 31, 2020 in our Common Stock, the Russell 2000 Index and the Dow Jones US Basic Materials Index. Our Common Stock is included in the Russell 2000 Index, and we consider the Dow Jones US Basic Materials Index to be our peer group. The graph assumes all dividends were reinvested. The historical stock price performance of our Common Stock is not necessarily indicative of future stock performance, and we do not make or endorse any predictions as to future stockholder returns.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Comparative Five-Year Total Returns</w:t>
      </w:r>
    </w:p>
    <w:p>
      <w:pPr>
        <w:spacing w:after="0" w:line="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(Performance results through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5715</wp:posOffset>
            </wp:positionV>
            <wp:extent cx="4594860" cy="3234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486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160" w:type="dxa"/>
        <w:tblCellMar>
          <w:top w:w="0" w:type="dxa"/>
          <w:left w:w="0" w:type="dxa"/>
          <w:bottom w:w="0" w:type="dxa"/>
          <w:right w:w="0" w:type="dxa"/>
        </w:tblCellMar>
      </w:tblPr>
      <w:tr>
        <w:trPr>
          <w:trHeight w:val="202"/>
        </w:trPr>
        <w:tc>
          <w:tcPr>
            <w:tcW w:w="27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Oil-Dri Corp. of America Total Return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369.65</w:t>
            </w:r>
          </w:p>
        </w:tc>
      </w:tr>
      <w:tr>
        <w:trPr>
          <w:trHeight w:val="19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Russell 2000 Total Return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159.69</w:t>
            </w:r>
          </w:p>
        </w:tc>
      </w:tr>
      <w:tr>
        <w:trPr>
          <w:trHeight w:val="212"/>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Dow Jones US Basic Materials Index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17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This performance graph and accompanying disclosure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RESULTS OF OPERATIONS</w:t>
      </w:r>
    </w:p>
    <w:p>
      <w:pPr>
        <w:spacing w:after="0" w:line="20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VERVIEW</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13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3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RESULTS OF OPERATIONS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4"/>
          <w:szCs w:val="14"/>
          <w:b w:val="1"/>
          <w:bCs w:val="1"/>
          <w:color w:val="auto"/>
        </w:rPr>
        <w:t xml:space="preserve"> 2025 C</w:t>
      </w:r>
      <w:r>
        <w:rPr>
          <w:rFonts w:ascii="Times New Roman" w:cs="Times New Roman" w:eastAsia="Times New Roman" w:hAnsi="Times New Roman"/>
          <w:sz w:val="11"/>
          <w:szCs w:val="11"/>
          <w:b w:val="1"/>
          <w:bCs w:val="1"/>
          <w:color w:val="auto"/>
        </w:rPr>
        <w:t>OMPARED</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4"/>
          <w:szCs w:val="14"/>
          <w:b w:val="1"/>
          <w:bCs w:val="1"/>
          <w:color w:val="auto"/>
        </w:rPr>
        <w:t xml:space="preserve">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OVERVIEW &amp; CONSOLIDATED RESULTS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For the Year Ended July 31,</w:t>
            </w:r>
          </w:p>
        </w:tc>
        <w:tc>
          <w:tcPr>
            <w:tcW w:w="11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0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769"/>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1"/>
        </w:trPr>
        <w:tc>
          <w:tcPr>
            <w:tcW w:w="740" w:type="dxa"/>
            <w:vAlign w:val="bottom"/>
          </w:tcPr>
          <w:p>
            <w:pPr>
              <w:spacing w:after="0"/>
              <w:rPr>
                <w:sz w:val="13"/>
                <w:szCs w:val="13"/>
                <w:color w:val="auto"/>
              </w:rPr>
            </w:pP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Results</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485,572</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437,587</w:t>
            </w:r>
          </w:p>
        </w:tc>
        <w:tc>
          <w:tcPr>
            <w:tcW w:w="1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47,985</w:t>
            </w:r>
          </w:p>
        </w:tc>
        <w:tc>
          <w:tcPr>
            <w:tcW w:w="11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3"/>
              </w:rPr>
              <w:t>11%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143,083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125,094</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17,989</w:t>
            </w:r>
          </w:p>
        </w:tc>
        <w:tc>
          <w:tcPr>
            <w:tcW w:w="11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14%</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68,220</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51,645</w:t>
            </w:r>
          </w:p>
        </w:tc>
        <w:tc>
          <w:tcPr>
            <w:tcW w:w="1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16,575</w:t>
            </w: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32%</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53,996</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14,570</w:t>
            </w:r>
          </w:p>
        </w:tc>
        <w:tc>
          <w:tcPr>
            <w:tcW w:w="118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37%</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to Business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182,596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150,471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32,125</w:t>
            </w:r>
          </w:p>
        </w:tc>
        <w:tc>
          <w:tcPr>
            <w:tcW w:w="11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21%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59,796</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14,207</w:t>
            </w:r>
          </w:p>
        </w:tc>
        <w:tc>
          <w:tcPr>
            <w:tcW w:w="11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Retail &amp; Wholesale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302,976</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287,116</w:t>
            </w:r>
          </w:p>
        </w:tc>
        <w:tc>
          <w:tcPr>
            <w:tcW w:w="1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15,860</w:t>
            </w:r>
          </w:p>
        </w:tc>
        <w:tc>
          <w:tcPr>
            <w:tcW w:w="11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4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44,137</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43,804</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333</w:t>
            </w:r>
          </w:p>
        </w:tc>
        <w:tc>
          <w:tcPr>
            <w:tcW w:w="1180" w:type="dxa"/>
            <w:vAlign w:val="bottom"/>
            <w:tcBorders>
              <w:bottom w:val="single" w:sz="8" w:color="auto"/>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0"/>
        </w:trPr>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40" w:type="dxa"/>
            <w:vAlign w:val="bottom"/>
            <w:tcBorders>
              <w:bottom w:val="single" w:sz="8" w:color="9A9A9A"/>
            </w:tcBorders>
          </w:tcPr>
          <w:p>
            <w:pPr>
              <w:spacing w:after="0"/>
              <w:rPr>
                <w:sz w:val="7"/>
                <w:szCs w:val="7"/>
                <w:color w:val="auto"/>
              </w:rPr>
            </w:pPr>
          </w:p>
        </w:tc>
        <w:tc>
          <w:tcPr>
            <w:tcW w:w="4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Oil-Dri experienced another record-breaking year with consolidated net sales, gross profit and net income reaching all-time highs. Consolidated net sales in fiscal year 2025 were $485.6 million, an 11% increase from net sales of $437.6 million in fiscal year 2024. Record revenues were recognized by both operating segments, with net sales growth across all principal product groups. Net sales for the Business to Business Products Group grew primarily due to fluids purification products used in the renewable diesel business and higher sales from agricultural and horticultural products. Net sales for the Retail and Wholesale Products Group increased primarily due to the introduction of silica-gel crystal cat litter as a result of the acquisition of Ultra Pet in May 2024.</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Despite higher cost of goods sold and selling, general and administrative expenses ("SG&amp;A"), our gross profit and consolidated income from operations increased in fiscal year 2025 when compared to fiscal year 2024. Consolidated gross profit in fiscal year 2025 was $143.1 million, an increase of $18.0 million, or 14%, from consolidated gross profit of $125.1 million in the prior fiscal year. Gross margin (defined as gross profit as a percentage of net sales) of 29.5% in fiscal year 2025 increased from 28.6% in fiscal year 2024. Cost of goods sold increased $30.0 million, or 10% in fiscal year 2025 compared to fiscal year 2024, primarily due to domestic per ton cost of goods sold which increased 5% compared to fiscal year 2024. This increase was primarily driven by our product mix which resulted in higher overall per ton material and transportation costs, which increased 7% and 5%, respectively. These increases were slightly offset by a 3% decrease in packaging costs for fiscal year 2025, compared to fiscal year 2024.</w:t>
      </w:r>
    </w:p>
    <w:p>
      <w:pPr>
        <w:spacing w:after="0" w:line="16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Total SG&amp;A increased $1.4 million, or 2% in fiscal year 2025 compared to fiscal year 2024. The increase was primarily driven by operating segment SG&amp;A, which increased by $3.4 million, partially offset by a $2.0 million reduction in corporate unallocated expenses. SG&amp;A expenses at the operating segments level are discussed below in the discussion of our segments' operating income. The decrease in corporate unallocated fiscal year 2025, was primarily due to a decrease in acquisition-related expenses compared to fiscal year 2024.</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other expenses, net for fiscal year 2025 remained flat compared to fiscal year 2024 at $2.0 million.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Tax expense for fiscal year 2025 was $12.2 million with an effective tax rate of 18% compared to $10.2 million with an effective tax rate of 21% in fiscal year 2024. The increase in tax expense was driven by higher net income. Favorable return to provision adjustments for returns filed in 2025 drove a decrease in the 2025 effective tax rate. Tax credits and a change in timing of deductions drove the lower 2024 tax return rate. See Note 6 of the Notes to the Consolidated Financial Statements for additional information about our income taxes.</w:t>
      </w:r>
    </w:p>
    <w:p>
      <w:pPr>
        <w:spacing w:after="0" w:line="16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Consolidated net income for fiscal year 2025 was $54.0 million, or $3.70 per share of diluted Common Stock, compared to $39.4 million, or $2.72 per share of diluted Common Stock in fiscal year 2024. This increase was primarily due to the increase in net sales which more than offset the increase in operating expenses, interest expenses and income tax.</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Consolidated Balance Sheets as of July 31, 2025, and our Consolidated Statements of Cash Flows for fiscal year 2025 show an increase in total cash and cash equivalents from fiscal year-end 2024. The increase is mainly due to cash flows from operating activities. Refer to the "Liquidity and Capital Resources" section below for additional information about our cash and cash equivalents.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TO BUSINESS PRODUCTS GROUP</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July 31,</w:t>
            </w:r>
          </w:p>
        </w:tc>
        <w:tc>
          <w:tcPr>
            <w:tcW w:w="14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71"/>
        </w:trPr>
        <w:tc>
          <w:tcPr>
            <w:tcW w:w="4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30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Pr>
          <w:p>
            <w:pPr>
              <w:spacing w:after="0"/>
              <w:rPr>
                <w:sz w:val="14"/>
                <w:szCs w:val="14"/>
                <w:color w:val="auto"/>
              </w:rPr>
            </w:pP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44,338</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w:t>
            </w:r>
          </w:p>
        </w:tc>
        <w:tc>
          <w:tcPr>
            <w:tcW w:w="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400" w:type="dxa"/>
            <w:vAlign w:val="bottom"/>
          </w:tcPr>
          <w:p>
            <w:pPr>
              <w:spacing w:after="0"/>
              <w:rPr>
                <w:sz w:val="14"/>
                <w:szCs w:val="14"/>
                <w:color w:val="auto"/>
              </w:rPr>
            </w:pPr>
          </w:p>
        </w:tc>
      </w:tr>
      <w:tr>
        <w:trPr>
          <w:trHeight w:val="180"/>
        </w:trPr>
        <w:tc>
          <w:tcPr>
            <w:tcW w:w="4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Fluids Purification</w:t>
            </w:r>
          </w:p>
        </w:tc>
        <w:tc>
          <w:tcPr>
            <w:tcW w:w="30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110,105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40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Animal Health &amp; Nutrition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28,153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400" w:type="dxa"/>
            <w:vAlign w:val="bottom"/>
          </w:tcPr>
          <w:p>
            <w:pPr>
              <w:spacing w:after="0"/>
              <w:rPr>
                <w:sz w:val="15"/>
                <w:szCs w:val="15"/>
                <w:color w:val="auto"/>
              </w:rPr>
            </w:pP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182,596</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150,471</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32,125</w:t>
            </w:r>
          </w:p>
        </w:tc>
        <w:tc>
          <w:tcPr>
            <w:tcW w:w="1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400" w:type="dxa"/>
            <w:vAlign w:val="bottom"/>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(106,691)</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(89,789)</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(16,902)</w:t>
            </w:r>
          </w:p>
        </w:tc>
        <w:tc>
          <w:tcPr>
            <w:tcW w:w="16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400" w:type="dxa"/>
            <w:vAlign w:val="bottom"/>
          </w:tcPr>
          <w:p>
            <w:pPr>
              <w:spacing w:after="0"/>
              <w:rPr>
                <w:sz w:val="14"/>
                <w:szCs w:val="14"/>
                <w:color w:val="auto"/>
              </w:rPr>
            </w:pPr>
          </w:p>
        </w:tc>
      </w:tr>
      <w:tr>
        <w:trPr>
          <w:trHeight w:val="171"/>
        </w:trPr>
        <w:tc>
          <w:tcPr>
            <w:tcW w:w="4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75,905</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60,682</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15,223</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400" w:type="dxa"/>
            <w:vAlign w:val="bottom"/>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SG&amp;A</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(16,109)</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6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0" w:type="dxa"/>
            <w:vAlign w:val="bottom"/>
          </w:tcPr>
          <w:p>
            <w:pPr>
              <w:spacing w:after="0"/>
              <w:rPr>
                <w:sz w:val="14"/>
                <w:szCs w:val="14"/>
                <w:color w:val="auto"/>
              </w:rPr>
            </w:pPr>
          </w:p>
        </w:tc>
      </w:tr>
      <w:tr>
        <w:trPr>
          <w:trHeight w:val="171"/>
        </w:trPr>
        <w:tc>
          <w:tcPr>
            <w:tcW w:w="4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59,796</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14,207</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400" w:type="dxa"/>
            <w:vAlign w:val="bottom"/>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52"/>
        </w:trPr>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42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Net sales of the Business to Business Products Group for fiscal year 2025 were $182.6 million, an increase of $32.1 million, or 21%, from net sales of $150.5 million in fiscal year 2024, driven primarily by sales of our fluids purification products and, to a lesser extent, agricultural and animal health products. Net sales of fluids purification products increased $17.6 million or 19% in fiscal year 2025 compared with fiscal year 2024, driven primarily by the increase in demand for our products used in renewable diesel filtration. Net sales of our agricultural and horticultural chemical carrier products increased $10.8 million, or 32%, for fiscal year 2025 compared to fiscal year 2024 mainly as a result of stronger demand, primarily as key customers resumed purchasing after working through inventory surpluses. Net sales of our animal health and nutrition products increased $3.7 million, or 15%, in fiscal year 2025 compared to the fiscal year 2024, primarily due to higher sales volumes.</w:t>
      </w:r>
    </w:p>
    <w:p>
      <w:pPr>
        <w:spacing w:after="0" w:line="16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Gross profit and operating income increased in fiscal year 2025 compared to fiscal year 2024, despite higher cost of goods sold and SG&amp;A expenses. Cost of goods sold increased 16.9 million, or 19%, mainly due to per ton cost of goods sold which increased 5% in the fiscal year 2025 compared to fiscal year 2024. This increase was primarily due to higher transportation costs. SG&amp;A expenses for the Business to Business Products Group increased $1.0 million, or 7%, for fiscal year 2025 compared to fiscal year 2024. The increase was mainly driven by higher research and development costs and a foreign value-added tax ("VAT") assessment, partially offset by cost reductions across other general and administrative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93"/>
        </w:trPr>
        <w:tc>
          <w:tcPr>
            <w:tcW w:w="4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July 31,</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71"/>
        </w:trPr>
        <w:tc>
          <w:tcPr>
            <w:tcW w:w="4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171"/>
        </w:trPr>
        <w:tc>
          <w:tcPr>
            <w:tcW w:w="420" w:type="dxa"/>
            <w:vAlign w:val="bottom"/>
          </w:tcPr>
          <w:p>
            <w:pPr>
              <w:spacing w:after="0"/>
              <w:rPr>
                <w:sz w:val="14"/>
                <w:szCs w:val="14"/>
                <w:color w:val="auto"/>
              </w:rPr>
            </w:pPr>
          </w:p>
        </w:tc>
        <w:tc>
          <w:tcPr>
            <w:tcW w:w="4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Cat Litter</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255,926</w:t>
            </w: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241,884</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14,042</w:t>
            </w:r>
          </w:p>
        </w:tc>
        <w:tc>
          <w:tcPr>
            <w:tcW w:w="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0" w:type="dxa"/>
            <w:vAlign w:val="bottom"/>
          </w:tcPr>
          <w:p>
            <w:pPr>
              <w:spacing w:after="0"/>
              <w:rPr>
                <w:sz w:val="15"/>
                <w:szCs w:val="15"/>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Industrial and Sports</w:t>
            </w:r>
          </w:p>
        </w:tc>
        <w:tc>
          <w:tcPr>
            <w:tcW w:w="30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47,050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Pr>
          <w:p>
            <w:pPr>
              <w:spacing w:after="0"/>
              <w:rPr>
                <w:sz w:val="16"/>
                <w:szCs w:val="16"/>
                <w:color w:val="auto"/>
              </w:rPr>
            </w:pPr>
          </w:p>
        </w:tc>
        <w:tc>
          <w:tcPr>
            <w:tcW w:w="4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302,976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287,116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15,860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6 %</w:t>
            </w:r>
          </w:p>
        </w:tc>
      </w:tr>
      <w:tr>
        <w:trPr>
          <w:trHeight w:val="20"/>
        </w:trPr>
        <w:tc>
          <w:tcPr>
            <w:tcW w:w="420" w:type="dxa"/>
            <w:vAlign w:val="bottom"/>
          </w:tcPr>
          <w:p>
            <w:pPr>
              <w:spacing w:after="0" w:line="20" w:lineRule="exact"/>
              <w:rPr>
                <w:sz w:val="1"/>
                <w:szCs w:val="1"/>
                <w:color w:val="auto"/>
              </w:rPr>
            </w:pPr>
          </w:p>
        </w:tc>
        <w:tc>
          <w:tcPr>
            <w:tcW w:w="44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426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(235,798)</w:t>
            </w: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(222,704)</w:t>
            </w: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(13,094)</w:t>
            </w:r>
          </w:p>
        </w:tc>
        <w:tc>
          <w:tcPr>
            <w:tcW w:w="16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67,178</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64,412</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2,766</w:t>
            </w: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r>
      <w:tr>
        <w:trPr>
          <w:trHeight w:val="20"/>
        </w:trPr>
        <w:tc>
          <w:tcPr>
            <w:tcW w:w="420" w:type="dxa"/>
            <w:vAlign w:val="bottom"/>
          </w:tcPr>
          <w:p>
            <w:pPr>
              <w:spacing w:after="0" w:line="20" w:lineRule="exact"/>
              <w:rPr>
                <w:sz w:val="1"/>
                <w:szCs w:val="1"/>
                <w:color w:val="auto"/>
              </w:rPr>
            </w:pPr>
          </w:p>
        </w:tc>
        <w:tc>
          <w:tcPr>
            <w:tcW w:w="44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426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SG&amp;A</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(23,041)</w:t>
            </w: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(20,608)</w:t>
            </w: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(2,433)</w:t>
            </w:r>
          </w:p>
        </w:tc>
        <w:tc>
          <w:tcPr>
            <w:tcW w:w="16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44,137</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43,804</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w:t>
            </w: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r>
      <w:tr>
        <w:trPr>
          <w:trHeight w:val="20"/>
        </w:trPr>
        <w:tc>
          <w:tcPr>
            <w:tcW w:w="420" w:type="dxa"/>
            <w:vAlign w:val="bottom"/>
          </w:tcPr>
          <w:p>
            <w:pPr>
              <w:spacing w:after="0" w:line="20" w:lineRule="exact"/>
              <w:rPr>
                <w:sz w:val="1"/>
                <w:szCs w:val="1"/>
                <w:color w:val="auto"/>
              </w:rPr>
            </w:pPr>
          </w:p>
        </w:tc>
        <w:tc>
          <w:tcPr>
            <w:tcW w:w="4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Net sales of the Retail and Wholesale Products Group for fiscal year 2025 were $303.0 million, an increase of $15.9 million, or 6%, from net sales of $287.1 million in fiscal year 2024, primarily driven by sales of our cat litter products. Domestic cat litter net sales, excluding co-packaged cat litter, were $225.9 million for fiscal year 2025, an increase of $13.1 million, or 6%, when compared to fiscal year 2024. Crystal cat litter sales represented $14.9 million of the increase, partially offset by a net decrease in clay-based litter. $3.7 million of the decrease was due to the loss of a private label account and $3.2 million due to customer bankruptcies. These losses were offset by other revenue gains within coarse and branded light-weight cat litter products due to new distribution with both existing and new customers. Net sales of co-packaged products increased by $0.9 million in fiscal year 2025 compared to fiscal year 2024, mainly due to higher prices. Net sales of our domestic industrial and sports products increased by $1.9 million, or 4%, compared to fiscal year 2024, primarily driven by higher pricing to offset elevated costs. Net sales by our subsidiary in Canada remained flat in fiscal year 2025 compared to fiscal year 2024.</w:t>
      </w:r>
    </w:p>
    <w:p>
      <w:pPr>
        <w:spacing w:after="0" w:line="168" w:lineRule="exact"/>
        <w:rPr>
          <w:sz w:val="20"/>
          <w:szCs w:val="20"/>
          <w:color w:val="auto"/>
        </w:rPr>
      </w:pPr>
    </w:p>
    <w:p>
      <w:pPr>
        <w:jc w:val="both"/>
        <w:ind w:firstLine="146"/>
        <w:spacing w:after="0" w:line="264" w:lineRule="auto"/>
        <w:rPr>
          <w:sz w:val="20"/>
          <w:szCs w:val="20"/>
          <w:color w:val="auto"/>
        </w:rPr>
      </w:pPr>
      <w:r>
        <w:rPr>
          <w:rFonts w:ascii="Times New Roman" w:cs="Times New Roman" w:eastAsia="Times New Roman" w:hAnsi="Times New Roman"/>
          <w:sz w:val="14"/>
          <w:szCs w:val="14"/>
          <w:color w:val="auto"/>
        </w:rPr>
        <w:t>Gross profit and operating income increased in fiscal year 2025 compared to fiscal year 2024, despite higher cost of goods sold and SG&amp;A expenses. Cost of goods sold increased $13.1 million, or 6%, driven by the per ton cost of good sold which increased 5% in the fiscal year 2025 compared to fiscal year 2024. This increase was primarily due to product mix. SG&amp;A expenses for the Retail and Wholesale Products Group increased $2.4 million in fiscal year 2025 compared to fiscal year 2024, primarily due to incremental SG&amp;A expenses related to the recently acquired crystal cat litter business. These elevated costs were partially offset by lower advertising expenses compared to fiscal year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SUBSIDIARIES</w:t>
      </w:r>
    </w:p>
    <w:p>
      <w:pPr>
        <w:spacing w:after="0" w:line="14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Foreign operations include our subsidiaries in Canada and the Netherlands, which are included in the Retail and Wholesale Products Group, and our subsidiaries in the United Kingdom, China, Mexico and Indonesia, which are included in the Business to Business Products Group. Net sales by our foreign subsidiaries during fiscal year 2025 were $20.1 million, a decrease of $0.9 million, or 4%, from net sales of $21.0 million during fiscal year 2024. The decrease in net sales was driven mainly by our subsidiary in China offset by increases in Mexico and the United Kingdom. Net sales of our subsidiary in China decreased $1.7 million, or 100%, during fiscal year 2025 compared to fiscal year 2024 primarily due to the sale of all existing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4"/>
          <w:szCs w:val="14"/>
          <w:color w:val="auto"/>
        </w:rPr>
        <w:t>inventory to a new master distributor in the first quarter of fiscal year 2024. Beginning in January 2023, sales to China went directly through Oil-Dri Corporation of America and not through our subsidiary in China. Net sales of our subsidiary in Mexico increased $0.5 million, or 27% during fiscal year 2025 compared to fiscal year 2024, due to higher volume. Net sales of our subsidiary in the United Kingdom in fiscal year 2025 increased by $0.4 million, or 13%, compared to net sales in fiscal year 2024, driven by higher prices. Total net sales of our subsidiary in Canada during fiscal year 2025 remained flat compared to fiscal year 2024. Net sales by our foreign subsidiaries represented 4% of our consolidated net sales in fiscal year 2025, and 5% of consolidated net sales in fiscal year 2024.</w:t>
      </w:r>
    </w:p>
    <w:p>
      <w:pPr>
        <w:spacing w:after="0" w:line="1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fiscal year 2025, our foreign subsidiaries reported a pre-tax net loss of $0.1 million, compared to $0.7 million of net income in fiscal year 2024. The decrease in net income was primarily driven by the foreign VAT assessment.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Identifiable assets of our foreign subsidiaries as of July 31, 2025, were $9.0 million compared to $8.7 million as of July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4"/>
          <w:szCs w:val="14"/>
          <w:b w:val="1"/>
          <w:bCs w:val="1"/>
          <w:color w:val="auto"/>
        </w:rPr>
        <w:t xml:space="preserve"> 2024 C</w:t>
      </w:r>
      <w:r>
        <w:rPr>
          <w:rFonts w:ascii="Times New Roman" w:cs="Times New Roman" w:eastAsia="Times New Roman" w:hAnsi="Times New Roman"/>
          <w:sz w:val="11"/>
          <w:szCs w:val="11"/>
          <w:b w:val="1"/>
          <w:bCs w:val="1"/>
          <w:color w:val="auto"/>
        </w:rPr>
        <w:t>OMPARED</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4"/>
          <w:szCs w:val="14"/>
          <w:b w:val="1"/>
          <w:bCs w:val="1"/>
          <w:color w:val="auto"/>
        </w:rPr>
        <w:t xml:space="preserve"> 2023</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a discussion of our fiscal year 2023 Results of Operations, including a discussion of our financial results for the fiscal year ended July 31, 2024 compared to the fiscal year ended July 31, 2023, refer to Part I, Item 7 of our annual report on Form 10-K filed with the SEC on October 10,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IQUIDITY AND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APITAL</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ESOURCES</w:t>
      </w:r>
    </w:p>
    <w:p>
      <w:pPr>
        <w:spacing w:after="0" w:line="19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fiscal year 2025, we principally funded these short and long-term capital requirements using cash from current operations as well as cash generated from previous borrowings under our Credit Agreement and the Series B, C and D Senior Notes issued under the Note Agreement. On September 30, 2024, we amended the Credit Agreement to, among other things, increase our line of credit from $45 million to $75 million, providing more financial flexibility. See Note 4 of the Notes to the Consolidated Financial Statements in this Annual Report on Form 10-K for further information relating to our existing borrowings.</w:t>
      </w:r>
    </w:p>
    <w:p>
      <w:pPr>
        <w:spacing w:after="0" w:line="17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and cash equivalents, including restricted cash, totaled $50.5 million and $24.5 million as of July 31, 2025, and 2024, respectively. The following table sets forth certain elements of our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for the fiscal year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12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80,183</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60,313</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(76,116)</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25,977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(7,273)</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20" w:type="dxa"/>
            <w:vAlign w:val="bottom"/>
            <w:vMerge w:val="restart"/>
          </w:tcPr>
          <w:p>
            <w:pPr>
              <w:jc w:val="right"/>
              <w:ind w:right="1689"/>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1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8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color w:val="auto"/>
        </w:rPr>
        <w:t>Net cash provided by operating activities</w:t>
      </w:r>
    </w:p>
    <w:p>
      <w:pPr>
        <w:spacing w:after="0" w:line="202" w:lineRule="exact"/>
        <w:rPr>
          <w:sz w:val="20"/>
          <w:szCs w:val="20"/>
          <w:color w:val="auto"/>
        </w:rPr>
      </w:pPr>
    </w:p>
    <w:p>
      <w:pPr>
        <w:jc w:val="both"/>
        <w:ind w:firstLine="171"/>
        <w:spacing w:after="0" w:line="287" w:lineRule="auto"/>
        <w:rPr>
          <w:sz w:val="20"/>
          <w:szCs w:val="20"/>
          <w:color w:val="auto"/>
        </w:rPr>
      </w:pPr>
      <w:r>
        <w:rPr>
          <w:rFonts w:ascii="Times New Roman" w:cs="Times New Roman" w:eastAsia="Times New Roman" w:hAnsi="Times New Roman"/>
          <w:sz w:val="14"/>
          <w:szCs w:val="14"/>
          <w:color w:val="auto"/>
        </w:rPr>
        <w:t>In addition to net income, as adjusted for depreciation and amortization and other non-cash operating activities, the primary sources and uses of operating cash flow for fiscal year 2025 were as follows:</w:t>
      </w:r>
    </w:p>
    <w:p>
      <w:pPr>
        <w:spacing w:after="0" w:line="14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Accounts receivables, less allowance for credit losses and cash discounts, were $7.8 million higher at fiscal year-end 2025 compared to fiscal year-end 2024. The variation in accounts receivable balances reflects differences in the level and timing of collections as well as the payment terms provided to various customers.</w:t>
      </w:r>
    </w:p>
    <w:p>
      <w:pPr>
        <w:spacing w:after="0" w:line="14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Inventories were $2.3 million lower at fiscal year-end 2025 compared to fiscal year-end 2024. The decrease is primarily due to timing and scheduled plant outages for maintenance in the fourth quarter of fiscal year 2025. See Note 1 of the Notes to the Consolidated Financial Statements for further information regarding our inventory.</w:t>
      </w:r>
    </w:p>
    <w:p>
      <w:pPr>
        <w:spacing w:after="0" w:line="145" w:lineRule="exact"/>
        <w:rPr>
          <w:sz w:val="20"/>
          <w:szCs w:val="20"/>
          <w:color w:val="auto"/>
        </w:rPr>
      </w:pPr>
    </w:p>
    <w:p>
      <w:pPr>
        <w:jc w:val="both"/>
        <w:ind w:firstLine="145"/>
        <w:spacing w:after="0" w:line="264" w:lineRule="auto"/>
        <w:rPr>
          <w:sz w:val="20"/>
          <w:szCs w:val="20"/>
          <w:color w:val="auto"/>
        </w:rPr>
      </w:pPr>
      <w:r>
        <w:rPr>
          <w:rFonts w:ascii="Times New Roman" w:cs="Times New Roman" w:eastAsia="Times New Roman" w:hAnsi="Times New Roman"/>
          <w:sz w:val="14"/>
          <w:szCs w:val="14"/>
          <w:color w:val="auto"/>
        </w:rPr>
        <w:t>Excluding the impact of payments related to capital expenditures, accounts payable were $0.9 million higher at fiscal year-end 2025 compared to fiscal year-end 2024. The increase is due to higher trade payables mainly due to timing. Changes in trade accounts payable in all periods are subject to normal fluctuations in the timing of payments, the cost of goods and services we purchased, production volume levels and vendor payment terms. In fiscal year 2025, there was a $0.9 million increase in accounts payable related to capital expenditures which reduced the cash used in investing activities as compared to fiscal year 2024.</w:t>
      </w:r>
    </w:p>
    <w:p>
      <w:pPr>
        <w:spacing w:after="0" w:line="1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Excluding the impact of payments related to capital expenditures, accrued expenses were $2.4 million higher at fiscal year-end 2025 compared to fiscal year-end 2024. The increase in accrued expenses during fiscal year 2025 was driven by higher accrued payables, accrued taxes, and trade promotions and advertising accruals, which fluctuate due to timing, cost of goods and services, and payment terms. In fiscal year 2025, there was a $1.6 million decrease in accrued expenses related to capital expenditures recognized as cash used in investing activities as compared to the fiscal year 2024. See Note 10 of the Notes to the Consolidated Financial Statements for further information regarding our accrued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was $32.5 million in fiscal year 2025. Cash used in investing activities primarily related to capital expenditures to expand our plant equipment and improve our facilities in order to support increased demand for our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financing activities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used in financing activities was $21.7 million in fiscal year 2025, primarily driven by $11 million in payment of our debt, including the full repayment of the borrowings under the Credit Agreement, as well as $8.4 million used for dividend payments and $2.3 million used for share repurchases.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Total cash and investment balances held by our foreign subsidiaries were $4.7 million as of July 31, 2025, and $4.5 million as of July 31, 2024. See further discussion in the “Foreign Subsidiaries” section above.</w:t>
      </w:r>
    </w:p>
    <w:p>
      <w:pPr>
        <w:spacing w:after="0" w:line="14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July 31, 2025, we had remaining authority to repurchase 360,946 shares of Common Stock and 244,113 shares of Class B Stock under a repurchase plan approved by our Board. Repurchases may be made on the open market (pursuant to Rule 10b5-1 plans or otherwise) or in negotiated transactions. The timing and number of shares repurchased will be determined by our management pursuant to the repurchase plan approved by our Board. In fiscal years 2025 and 2024, we made repurchases of stock as further discussed in Item 5 "Market for Registrant's Common Equity, Related Stockholders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FF</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ALANCE</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HEET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RRANGEMENTS</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do not have any unconsolidated special purpose entities. As of July 31, 2025,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RITICAL</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OLICIES AND</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STIMATES</w:t>
      </w:r>
    </w:p>
    <w:p>
      <w:pPr>
        <w:spacing w:after="0" w:line="14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See Note 1 of the Notes to the Consolidated Financial Statements for a discussion of our significant accounting policies.</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U.S. GAAP requires management to make estimates and assumptions that have had, or are reasonably likely to have, a material impact on the reported amounts. The critical accounting policies that reflect our more significant estimates include income taxes, trade promotion, reclamation, impairment of goodwill and other intangible assets, valuation of acquired goodwill and other intangible assets. Actual results could differ from these estimates.</w:t>
      </w:r>
    </w:p>
    <w:p>
      <w:pPr>
        <w:spacing w:after="0" w:line="10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Our effective tax rate on earnings was based on income, statutory tax rates and tax planning opportunities available to us in various jurisdictions in which we operate.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Significant judgment was required in determining our effective tax rate and in evaluating our tax positions, and in the calculation of tax credits, benefits, and deductions, and in the calculation of certain tax assets and liabilities that arise from differences in the timing of expenses for tax and financial statement purposes. Significant changes in these estimates may result in an increase or decrease to our tax provision in a subsequent period.</w:t>
      </w:r>
    </w:p>
    <w:p>
      <w:pPr>
        <w:spacing w:after="0" w:line="9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We determine our current and deferred taxes in accordance with Accounting Standards Codification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tax effect of the expected reversal of tax differences was recorded at rates currently enacted for each jurisdiction in which we operate. To the extent that temporary differences will result in future tax benefits, we must estimate the timing of their reversal and whether taxable operating income in future periods will be sufficient to fully recognize any deferred tax assets.</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A change in the assessment of the realizability of deferred tax assets may materially impact our tax provision in the period in which a change of assessment occurs.</w:t>
      </w:r>
    </w:p>
    <w:p>
      <w:pPr>
        <w:spacing w:after="0" w:line="1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recorded valuation allowances of $2.8 million and $2.5 million for the amount of the deferred tax benefit related to our foreign net operating loss carryforwards and certain state net operating loss carryforwards as of July 31, 2025 and 2024, respectively, because we believe it is unlikely we will realize the benefit of these tax attributes in the future.</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2025, or 2024. See Note 6 of the Notes to the Consolidated Financial Statements for further discussion.</w:t>
      </w:r>
    </w:p>
    <w:p>
      <w:pPr>
        <w:spacing w:after="0" w:line="15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Trade Promotions. </w:t>
      </w:r>
      <w:r>
        <w:rPr>
          <w:rFonts w:ascii="Times New Roman" w:cs="Times New Roman" w:eastAsia="Times New Roman" w:hAnsi="Times New Roman"/>
          <w:sz w:val="14"/>
          <w:szCs w:val="14"/>
          <w:color w:val="auto"/>
        </w:rPr>
        <w:t>We routinely commit to one-time or ongoing trade promotion programs in our Retail and Wholesale Products Group. Promotional reserves are provided for sales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$3.1 million and $2.7 million for trade promotions as of July 31, 2025, and 2024, respectively.</w:t>
      </w:r>
    </w:p>
    <w:p>
      <w:pPr>
        <w:spacing w:after="0" w:line="16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Reclamation. </w:t>
      </w:r>
      <w:r>
        <w:rPr>
          <w:rFonts w:ascii="Times New Roman" w:cs="Times New Roman" w:eastAsia="Times New Roman" w:hAnsi="Times New Roman"/>
          <w:sz w:val="14"/>
          <w:szCs w:val="14"/>
          <w:color w:val="auto"/>
        </w:rPr>
        <w:t>During the normal course of our mining process, we remove overburden and perform on-going reclamation activities. As overburden is removed from a mine site, it is hauled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accordance with ASC 410, </w:t>
      </w:r>
      <w:r>
        <w:rPr>
          <w:rFonts w:ascii="Times New Roman" w:cs="Times New Roman" w:eastAsia="Times New Roman" w:hAnsi="Times New Roman"/>
          <w:sz w:val="14"/>
          <w:szCs w:val="14"/>
          <w:i w:val="1"/>
          <w:iCs w:val="1"/>
          <w:color w:val="auto"/>
        </w:rPr>
        <w:t>Asset Retirement and Environmental Obligations</w:t>
      </w:r>
      <w:r>
        <w:rPr>
          <w:rFonts w:ascii="Times New Roman" w:cs="Times New Roman" w:eastAsia="Times New Roman" w:hAnsi="Times New Roman"/>
          <w:sz w:val="14"/>
          <w:szCs w:val="14"/>
          <w:color w:val="auto"/>
        </w:rPr>
        <w:t>. We have recorded an estimated net reclamation asset of $3.1 million as of July 31, 2025, and $2.2 million, as of July 31, 2024, and a corresponding estimated reclamation liability of $5.9 million as of July 31, 2025, and $4.8 million as of July 31, 2024. These values represent the discounted present value of the estimated future mining reclamation and landfill closure and monitoring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Accounting for reclamation obligations requires that we make estimates unique to each mine site of the future costs we will incur to complete the reclamation work required to comply with existing laws and regulations. These estimates are based on a variety of factors for each mine site such as, but not limited to, the size and unique nature of each property including the acreage and depth of our mines, costs for leveling, filling, and reseeding land, and the applicable laws and regulations the mine site is subject to. Actual future costs incurred could significantly differ from estimated amounts. Future changes to environmental laws and the length of the period between the estimate and incurrence of actual costs could increase the extent of reclamation work required. Any such increases in future costs could materially impact the amount incurred for reclamation costs.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Impairment of goodwill and other intangible assets. </w:t>
      </w:r>
      <w:r>
        <w:rPr>
          <w:rFonts w:ascii="Times New Roman" w:cs="Times New Roman" w:eastAsia="Times New Roman" w:hAnsi="Times New Roman"/>
          <w:sz w:val="14"/>
          <w:szCs w:val="14"/>
          <w:color w:val="auto"/>
        </w:rPr>
        <w:t>We review carrying values of goodwill, trademarks and other indefinite-lived intangible assets periodically for possible impairment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accordance with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xml:space="preserve"> We first consider qualitative factors which include macro-economic conditions, industry-specific and company-specific considerations, legal and regulatory environments and historical performance. If it is determined that further quantitative assessment is required, it would be based on cash flow considerations and other approaches that would require significant judgment with respect to factors such as volume, revenue and expenses. Impairment occurs when the carrying value exceeds the fair value. Our impairment analysis is performed in the third quarter of the fiscal year and may be re-performed during the year when indicators such as unexpected adverse economic factors, unanticipated technological changes, competitive activities and acts by governments and courts indicate that an asset may become impaired. In fiscal year 2025 we had goodwill associated with both our Business to Business and Retail and Wholesale operating segments. Based on our qualitative assessment there were no indicators that required us to perform further quantitative assessment of the fair value of our goodwill or other indefinite-lived assets. Accordingly, no impairment of goodwill was identified in fiscal year 2025, however this could change in the future, as outlined under Item 1A "Risk Factors."</w:t>
      </w:r>
    </w:p>
    <w:p>
      <w:pPr>
        <w:spacing w:after="0" w:line="16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Valuation of acquired goodwill and intangible assets. </w:t>
      </w:r>
      <w:r>
        <w:rPr>
          <w:rFonts w:ascii="Times New Roman" w:cs="Times New Roman" w:eastAsia="Times New Roman" w:hAnsi="Times New Roman"/>
          <w:sz w:val="14"/>
          <w:szCs w:val="14"/>
          <w:color w:val="auto"/>
        </w:rPr>
        <w:t>We account for business combinations using the acquisition method of accounting in accordance with ASC 805,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Combinations. </w:t>
      </w:r>
      <w:r>
        <w:rPr>
          <w:rFonts w:ascii="Times New Roman" w:cs="Times New Roman" w:eastAsia="Times New Roman" w:hAnsi="Times New Roman"/>
          <w:sz w:val="14"/>
          <w:szCs w:val="14"/>
          <w:color w:val="auto"/>
        </w:rPr>
        <w:t>The identifiable assets acquired, and liabilities assumed are recorded at their fair values on the date of acquisition. The difference in the fair value of consideration transferred over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values of the assets and liabilities is recorded as goodwill. We make significant estimates and assumptions when determining the fair values of assets and liabilities obtained through a business combination, especially regarding intangible assets. We utilize various approaches to establish the fair value of intangible assets acquired. The Company believes its estimates of the fair value of intangible assets to be reasonable. However, actual financial results may differ from the estimates because of the inherent uncertainty involved.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EW</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RONOUNCEMENTS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recent accounting pronouncements, see Note 1 to our consolidated financial statements in Part II, Item 8 of this Annual Report on Form 10-K.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These risks primarily include changes in commodity prices, interest rates, foreign currency exchange rates, and duties and tariffs, along with the impact of inflation. We do not engage in financial transactions for trading or speculative purposes.</w:t>
      </w:r>
    </w:p>
    <w:p>
      <w:pPr>
        <w:spacing w:after="0" w:line="14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Commodity Prices Risk. </w:t>
      </w:r>
      <w:r>
        <w:rPr>
          <w:rFonts w:ascii="Times New Roman" w:cs="Times New Roman" w:eastAsia="Times New Roman" w:hAnsi="Times New Roman"/>
          <w:sz w:val="14"/>
          <w:szCs w:val="14"/>
          <w:color w:val="auto"/>
        </w:rPr>
        <w:t>We are primarily exposed to fluctuations in market prices with respect to the commodities necessary for producing, packaging, and shipping our products,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particular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During fiscal years 2025 and 2024, we purchased several forward fuel contracts in Georgia and California which will cover a portion of our needs through fiscal year 2026. These contracts totaled approximately $3.1 million in fiscal year 2025, and a 10% change in the market price for fuel would have resulted in an additional pretax gain or loss of approximately $0.3 million as the related inventory containing those inputs was sold.</w:t>
      </w:r>
    </w:p>
    <w:p>
      <w:pPr>
        <w:spacing w:after="0" w:line="16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Interest Rate Risk. </w:t>
      </w:r>
      <w:r>
        <w:rPr>
          <w:rFonts w:ascii="Times New Roman" w:cs="Times New Roman" w:eastAsia="Times New Roman" w:hAnsi="Times New Roman"/>
          <w:sz w:val="14"/>
          <w:szCs w:val="14"/>
          <w:color w:val="auto"/>
        </w:rPr>
        <w:t>The interest payable on amounts borrowed pursuant to our Credit Agreement is based on variable interest rates and is therefore affected by changes in interest rates.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 we have investments consisting of cash, cash equivalents and short-term investments which are also affected by changes in interest rates. Based on our current and expected levels of borrowing and investing, we do not expect changes in interest rates to have a material impact on our results of operations or financial position.</w:t>
      </w:r>
    </w:p>
    <w:p>
      <w:pPr>
        <w:spacing w:after="0" w:line="15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Foreign Currency Risk. </w:t>
      </w:r>
      <w:r>
        <w:rPr>
          <w:rFonts w:ascii="Times New Roman" w:cs="Times New Roman" w:eastAsia="Times New Roman" w:hAnsi="Times New Roman"/>
          <w:sz w:val="14"/>
          <w:szCs w:val="14"/>
          <w:color w:val="auto"/>
        </w:rPr>
        <w:t>We are exposed to foreign currency risk, primarily the U.S. dollar relative to the local currency in the foreign markets we do business in. This risk is related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net sales of our products may be influenced by the relative strength of the U.S. dollar compared to various other currencies, which makes our products relatively more or less expensive than our foreign competitors' products in local marketplaces. We do not enter into any hedge contracts to offset any adverse effect of changes in currency exchange rates. Foreign currency fluctuations did not have a material impact on our results of operations or financial position during any of the fiscal periods presented, and we do not expect changes in foreign currency rates to have a material impact on our results of operations or financial position.</w:t>
      </w:r>
    </w:p>
    <w:p>
      <w:pPr>
        <w:spacing w:after="0" w:line="16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Duties and Tariffs Market Risk. </w:t>
      </w:r>
      <w:r>
        <w:rPr>
          <w:rFonts w:ascii="Times New Roman" w:cs="Times New Roman" w:eastAsia="Times New Roman" w:hAnsi="Times New Roman"/>
          <w:sz w:val="14"/>
          <w:szCs w:val="14"/>
          <w:color w:val="auto"/>
        </w:rPr>
        <w:t>We are exposed to market risk with respect to duties and tariffs assessed on raw materials, component parts, and finished goods we import. Additionally,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exposed to duties and tariffs on our finished goods that we export from our manufacturing plants. As these tariffs and duties increase, we determine whether a price increase to our customers to offset these costs is warranted. To the extent that an increase in these costs would have a material impact on our results of operations, we believe that our competitors would experience a similar impact.</w:t>
      </w:r>
    </w:p>
    <w:p>
      <w:pPr>
        <w:spacing w:after="0" w:line="33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Inflation Risk</w:t>
      </w:r>
      <w:r>
        <w:rPr>
          <w:rFonts w:ascii="Times New Roman" w:cs="Times New Roman" w:eastAsia="Times New Roman" w:hAnsi="Times New Roman"/>
          <w:sz w:val="14"/>
          <w:szCs w:val="14"/>
          <w:color w:val="auto"/>
        </w:rPr>
        <w:t>. Our results of operations and financial condition are presented based on historical cost. While it is difficult to accurately measure the impact of inflationary pressure,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believe any inflationary impact on our product and operating costs would be offset by our ability to increase selling prices, create operational efficiencies and seek lower cost alternatives.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jc w:val="right"/>
              <w:ind w:right="3909"/>
              <w:spacing w:after="0"/>
              <w:rPr>
                <w:sz w:val="20"/>
                <w:szCs w:val="20"/>
                <w:color w:val="auto"/>
              </w:rPr>
            </w:pPr>
            <w:r>
              <w:rPr>
                <w:rFonts w:ascii="Times New Roman" w:cs="Times New Roman" w:eastAsia="Times New Roman" w:hAnsi="Times New Roman"/>
                <w:sz w:val="14"/>
                <w:szCs w:val="14"/>
                <w:b w:val="1"/>
                <w:bCs w:val="1"/>
                <w:color w:val="auto"/>
                <w:w w:val="99"/>
              </w:rPr>
              <w:t>ITEM 8 – FINANCIAL STATEMENTS AND SUPPLEMENTARY DATA</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8400" w:type="dxa"/>
            <w:vAlign w:val="bottom"/>
          </w:tcPr>
          <w:p>
            <w:pPr>
              <w:jc w:val="center"/>
              <w:ind w:left="274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400" w:type="dxa"/>
            <w:vAlign w:val="bottom"/>
          </w:tcPr>
          <w:p>
            <w:pPr>
              <w:jc w:val="center"/>
              <w:ind w:left="272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tcPr>
          <w:p>
            <w:pPr>
              <w:jc w:val="right"/>
              <w:ind w:right="390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172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50,458</w:t>
            </w:r>
          </w:p>
        </w:tc>
        <w:tc>
          <w:tcPr>
            <w:tcW w:w="8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23,481</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40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Accounts receivable, less allowance of $1,493 and $934</w:t>
            </w: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69,370</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 2025 and 2024, respectively</w:t>
            </w: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51,594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5,961</w:t>
            </w:r>
          </w:p>
        </w:tc>
        <w:tc>
          <w:tcPr>
            <w:tcW w:w="2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177,383</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147,158</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Land</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13,549</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43,529</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Machinery and equipment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205,675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192,788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22,521</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Vehicles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25,902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25,149</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Mining assets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10,893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parts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8,861</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(206,375)</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(195,765)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149,704</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137,796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16,017</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15,443</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40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Trademarks, trade names and patents, net of accumulated amortization</w:t>
            </w: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6,603</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of $693 and $625 in 2025 and 2024, respectively</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840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Customer list, net of accumulated amortization</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18,907</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of $9,278 and $8,149 in 2025 and 2024, respectively</w:t>
            </w: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14,219</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7,553</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Other Assets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64,590</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69,651</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391,677</w:t>
            </w: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354,605</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jc w:val="center"/>
              <w:ind w:left="2789"/>
              <w:spacing w:after="0"/>
              <w:rPr>
                <w:sz w:val="20"/>
                <w:szCs w:val="20"/>
                <w:color w:val="auto"/>
              </w:rPr>
            </w:pPr>
            <w:r>
              <w:rPr>
                <w:rFonts w:ascii="Times New Roman" w:cs="Times New Roman" w:eastAsia="Times New Roman" w:hAnsi="Times New Roman"/>
                <w:sz w:val="14"/>
                <w:szCs w:val="14"/>
                <w:color w:val="auto"/>
                <w:w w:val="99"/>
              </w:rPr>
              <w:t>44</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8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8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jc w:val="right"/>
              <w:ind w:right="2629"/>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Pr>
          <w:p>
            <w:pPr>
              <w:spacing w:after="0"/>
              <w:rPr>
                <w:sz w:val="14"/>
                <w:szCs w:val="14"/>
                <w:color w:val="auto"/>
              </w:rPr>
            </w:pPr>
          </w:p>
        </w:tc>
        <w:tc>
          <w:tcPr>
            <w:tcW w:w="17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maturities of notes payable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8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16,808</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payable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4,071</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44,864</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69,187</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debt, net of unamortized debt issuance costs of $183 and $226 in 2025 and 2024, respectively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38,817</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compensation</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5,777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11,296</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7,540</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63,430</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132,617</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11)</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 par value $.10 per share, issued 15,276,261 shares in 2025 and 15,172,186 shares in 2024</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Class B Stock, convertible, par value $.10 per share, issued 4,650,484 shares in 2025 and 4,652,984 shares in 2024</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66,138</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277,500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w:t>
            </w:r>
          </w:p>
        </w:tc>
        <w:tc>
          <w:tcPr>
            <w:tcW w:w="2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color w:val="auto"/>
              </w:rPr>
              <w:t>Less treasury stock, at cost (4,902,881 Common and 380,628 Class B shares in 2025 and 4,867,880 Common and 362,649 Class B shares in</w:t>
            </w: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(87,540)</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259,060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391,677</w:t>
            </w:r>
          </w:p>
        </w:tc>
        <w:tc>
          <w:tcPr>
            <w:tcW w:w="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3429"/>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8420" w:type="dxa"/>
            <w:vAlign w:val="bottom"/>
            <w:gridSpan w:val="2"/>
          </w:tcPr>
          <w:p>
            <w:pPr>
              <w:jc w:val="right"/>
              <w:ind w:right="2629"/>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July 31,</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7"/>
        </w:trPr>
        <w:tc>
          <w:tcPr>
            <w:tcW w:w="6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60" w:type="dxa"/>
            <w:vAlign w:val="bottom"/>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485,572</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437,587</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413,021</w:t>
            </w:r>
          </w:p>
        </w:tc>
        <w:tc>
          <w:tcPr>
            <w:tcW w:w="0" w:type="dxa"/>
            <w:vAlign w:val="bottom"/>
          </w:tcPr>
          <w:p>
            <w:pPr>
              <w:spacing w:after="0"/>
              <w:rPr>
                <w:sz w:val="1"/>
                <w:szCs w:val="1"/>
                <w:color w:val="auto"/>
              </w:rPr>
            </w:pPr>
          </w:p>
        </w:tc>
      </w:tr>
      <w:tr>
        <w:trPr>
          <w:trHeight w:val="18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(342,489)</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(312,493)</w:t>
            </w: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(309,794)</w:t>
            </w:r>
          </w:p>
        </w:tc>
        <w:tc>
          <w:tcPr>
            <w:tcW w:w="0" w:type="dxa"/>
            <w:vAlign w:val="bottom"/>
          </w:tcPr>
          <w:p>
            <w:pPr>
              <w:spacing w:after="0"/>
              <w:rPr>
                <w:sz w:val="1"/>
                <w:szCs w:val="1"/>
                <w:color w:val="auto"/>
              </w:rPr>
            </w:pPr>
          </w:p>
        </w:tc>
      </w:tr>
      <w:tr>
        <w:trPr>
          <w:trHeight w:val="17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143,083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125,094</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103,227</w:t>
            </w:r>
          </w:p>
        </w:tc>
        <w:tc>
          <w:tcPr>
            <w:tcW w:w="0" w:type="dxa"/>
            <w:vAlign w:val="bottom"/>
          </w:tcPr>
          <w:p>
            <w:pPr>
              <w:spacing w:after="0"/>
              <w:rPr>
                <w:sz w:val="1"/>
                <w:szCs w:val="1"/>
                <w:color w:val="auto"/>
              </w:rPr>
            </w:pPr>
          </w:p>
        </w:tc>
      </w:tr>
      <w:tr>
        <w:trPr>
          <w:trHeight w:val="18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(74,863)</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(73,449)</w:t>
            </w: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(62,187)</w:t>
            </w:r>
          </w:p>
        </w:tc>
        <w:tc>
          <w:tcPr>
            <w:tcW w:w="0" w:type="dxa"/>
            <w:vAlign w:val="bottom"/>
          </w:tcPr>
          <w:p>
            <w:pPr>
              <w:spacing w:after="0"/>
              <w:rPr>
                <w:sz w:val="1"/>
                <w:szCs w:val="1"/>
                <w:color w:val="auto"/>
              </w:rPr>
            </w:pPr>
          </w:p>
        </w:tc>
      </w:tr>
      <w:tr>
        <w:trPr>
          <w:trHeight w:val="17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68,220</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51,645</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41,040</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pension termination</w:t>
            </w: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0" w:type="dxa"/>
            <w:vAlign w:val="bottom"/>
          </w:tcPr>
          <w:p>
            <w:pPr>
              <w:spacing w:after="0"/>
              <w:rPr>
                <w:sz w:val="1"/>
                <w:szCs w:val="1"/>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exchange (loss) gain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Other Expense, Net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17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66,211</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49,651</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34,678</w:t>
            </w:r>
          </w:p>
        </w:tc>
        <w:tc>
          <w:tcPr>
            <w:tcW w:w="0" w:type="dxa"/>
            <w:vAlign w:val="bottom"/>
          </w:tcPr>
          <w:p>
            <w:pPr>
              <w:spacing w:after="0"/>
              <w:rPr>
                <w:sz w:val="1"/>
                <w:szCs w:val="1"/>
                <w:color w:val="auto"/>
              </w:rPr>
            </w:pPr>
          </w:p>
        </w:tc>
      </w:tr>
      <w:tr>
        <w:trPr>
          <w:trHeight w:val="18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(12,215)</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0" w:type="dxa"/>
            <w:vAlign w:val="bottom"/>
          </w:tcPr>
          <w:p>
            <w:pPr>
              <w:spacing w:after="0"/>
              <w:rPr>
                <w:sz w:val="1"/>
                <w:szCs w:val="1"/>
                <w:color w:val="auto"/>
              </w:rPr>
            </w:pPr>
          </w:p>
        </w:tc>
      </w:tr>
      <w:tr>
        <w:trPr>
          <w:trHeight w:val="17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53,996</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29,483</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Noncontrolling Interest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Oil-Dri</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53,996</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Common Stock</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Class B Stock</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Diluted Common Stock</w:t>
            </w: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3.70</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2.72</w:t>
            </w:r>
          </w:p>
        </w:tc>
        <w:tc>
          <w:tcPr>
            <w:tcW w:w="200" w:type="dxa"/>
            <w:vAlign w:val="bottom"/>
          </w:tcPr>
          <w:p>
            <w:pPr>
              <w:spacing w:after="0"/>
              <w:rPr>
                <w:sz w:val="12"/>
                <w:szCs w:val="12"/>
                <w:color w:val="auto"/>
              </w:rPr>
            </w:pPr>
          </w:p>
        </w:tc>
        <w:tc>
          <w:tcPr>
            <w:tcW w:w="440" w:type="dxa"/>
            <w:vAlign w:val="bottom"/>
            <w:tcBorders>
              <w:bottom w:val="single" w:sz="8" w:color="auto"/>
            </w:tcBorders>
          </w:tcPr>
          <w:p>
            <w:pPr>
              <w:jc w:val="right"/>
              <w:ind w:right="2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Class B Stock</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Common Stock</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9,889</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9,771</w:t>
            </w: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Basic Class B Stock</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3,994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3,952</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Common Stock</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13,883</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Diluted Class B Stock</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3,994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3,952</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0.645</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0.590</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0.565</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B Stock</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0.485</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0.444</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1"/>
        </w:trPr>
        <w:tc>
          <w:tcPr>
            <w:tcW w:w="69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7"/>
        </w:trPr>
        <w:tc>
          <w:tcPr>
            <w:tcW w:w="6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11"/>
        </w:trPr>
        <w:tc>
          <w:tcPr>
            <w:tcW w:w="6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Oil-Dri</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53,996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29,551</w:t>
            </w:r>
          </w:p>
        </w:tc>
      </w:tr>
      <w:tr>
        <w:trPr>
          <w:trHeight w:val="212"/>
        </w:trPr>
        <w:tc>
          <w:tcPr>
            <w:tcW w:w="6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Pension and postretirement benefits, net of tax</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r>
      <w:tr>
        <w:trPr>
          <w:trHeight w:val="18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71"/>
        </w:trPr>
        <w:tc>
          <w:tcPr>
            <w:tcW w:w="6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w:t>
            </w:r>
          </w:p>
        </w:tc>
      </w:tr>
      <w:tr>
        <w:trPr>
          <w:trHeight w:val="196"/>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54,196</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39,447</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1840" w:type="dxa"/>
            <w:vAlign w:val="bottom"/>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94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9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&amp; Class B</w:t>
            </w: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&amp; Class B</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63"/>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26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3"/>
                <w:szCs w:val="13"/>
                <w:color w:val="auto"/>
              </w:rPr>
            </w:pP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19,547,265</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(5,127,274)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1,954</w:t>
            </w: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51,621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178,754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(79,428)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(2,183)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150,349</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29,551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29,483</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(7,509)</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Issuance of Stock Under Long-Term Incentive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63,455</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(23,996)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695</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Restricted Stock</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3,147</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Contributions from noncontrolling interests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19,610,720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(5,176,325)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54,778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200,796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(81,207)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177,076</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39,426</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(2,778)</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issuance of stock under long-term incentive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214,450</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restricted stock</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4,819</w:t>
            </w:r>
          </w:p>
        </w:tc>
        <w:tc>
          <w:tcPr>
            <w:tcW w:w="0" w:type="dxa"/>
            <w:vAlign w:val="bottom"/>
          </w:tcPr>
          <w:p>
            <w:pPr>
              <w:spacing w:after="0"/>
              <w:rPr>
                <w:sz w:val="1"/>
                <w:szCs w:val="1"/>
                <w:color w:val="auto"/>
              </w:rPr>
            </w:pPr>
          </w:p>
        </w:tc>
      </w:tr>
      <w:tr>
        <w:trPr>
          <w:trHeight w:val="15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19,825,170</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(5,230,529)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1,982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60,031</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232,247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(84,441)</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769</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210,588</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53,996</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(8,743)</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issuance of stock under long-term incentive 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101,575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restricted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5,368</w:t>
            </w:r>
          </w:p>
        </w:tc>
        <w:tc>
          <w:tcPr>
            <w:tcW w:w="0" w:type="dxa"/>
            <w:vAlign w:val="bottom"/>
          </w:tcPr>
          <w:p>
            <w:pPr>
              <w:spacing w:after="0"/>
              <w:rPr>
                <w:sz w:val="1"/>
                <w:szCs w:val="1"/>
                <w:color w:val="auto"/>
              </w:rPr>
            </w:pPr>
          </w:p>
        </w:tc>
      </w:tr>
      <w:tr>
        <w:trPr>
          <w:trHeight w:val="181"/>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2025</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19,926,745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(5,283,509)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66,138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277,500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(87,540)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259,060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Year-Ended July 31,</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1"/>
        </w:trPr>
        <w:tc>
          <w:tcPr>
            <w:tcW w:w="7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53,996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39,426</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29,483</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22,042</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19,281</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15,528</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Non-cash stock compensation expense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pension termination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income tax expense (provision)</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increase (decrease) to provision for bad debts and cash discounts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Loss on impairment of patent applications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for asset retirement obligation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(Gain) loss on sale of fixed assets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(Increase) decrease in: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75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(7,789)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r>
      <w:tr>
        <w:trPr>
          <w:trHeight w:val="180"/>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r>
      <w:tr>
        <w:trPr>
          <w:trHeight w:val="180"/>
        </w:trPr>
        <w:tc>
          <w:tcPr>
            <w:tcW w:w="75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180"/>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0"/>
        </w:trPr>
        <w:tc>
          <w:tcPr>
            <w:tcW w:w="75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4,095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Increase (decrease) in: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75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r>
      <w:tr>
        <w:trPr>
          <w:trHeight w:val="180"/>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2,384</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r>
      <w:tr>
        <w:trPr>
          <w:trHeight w:val="180"/>
        </w:trPr>
        <w:tc>
          <w:tcPr>
            <w:tcW w:w="75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Deferred compensation</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(4,514)</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71"/>
        </w:trPr>
        <w:tc>
          <w:tcPr>
            <w:tcW w:w="7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Adjustments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26,187</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20,281</w:t>
            </w:r>
          </w:p>
        </w:tc>
      </w:tr>
      <w:tr>
        <w:trPr>
          <w:trHeight w:val="171"/>
        </w:trPr>
        <w:tc>
          <w:tcPr>
            <w:tcW w:w="75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80,183</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60,313</w:t>
            </w:r>
          </w:p>
        </w:tc>
        <w:tc>
          <w:tcPr>
            <w:tcW w:w="2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49,764</w:t>
            </w:r>
          </w:p>
        </w:tc>
      </w:tr>
      <w:tr>
        <w:trPr>
          <w:trHeight w:val="17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(32,562)</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(24,368)</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Acquisition of business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(44,298)</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Acquisition of equity in Agromex</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71"/>
        </w:trPr>
        <w:tc>
          <w:tcPr>
            <w:tcW w:w="754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(32,526)</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(76,116)</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(24,567)</w:t>
            </w:r>
          </w:p>
        </w:tc>
      </w:tr>
      <w:tr>
        <w:trPr>
          <w:trHeight w:val="17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7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(8,395)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r>
      <w:tr>
        <w:trPr>
          <w:trHeight w:val="18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(2,349)</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r>
      <w:tr>
        <w:trPr>
          <w:trHeight w:val="171"/>
        </w:trPr>
        <w:tc>
          <w:tcPr>
            <w:tcW w:w="754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(21,744)</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8,326</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(9,518)</w:t>
            </w:r>
          </w:p>
        </w:tc>
      </w:tr>
      <w:tr>
        <w:trPr>
          <w:trHeight w:val="17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25,977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15,456</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24,481</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31,754</w:t>
            </w: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r>
      <w:tr>
        <w:trPr>
          <w:trHeight w:val="17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Year</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50,458</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24,481</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31,754</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9" w:name="page50"/>
    <w:bookmarkEnd w:id="49"/>
    <w:tbl>
      <w:tblPr>
        <w:tblLayout w:type="fixed"/>
        <w:tblInd w:w="24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4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658"/>
        </w:trPr>
        <w:tc>
          <w:tcPr>
            <w:tcW w:w="3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Year-Ended July 31,</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324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2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4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Beginning balance</w:t>
            </w:r>
          </w:p>
        </w:tc>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(Decrease) increase to restricted cash</w:t>
            </w:r>
          </w:p>
        </w:tc>
        <w:tc>
          <w:tcPr>
            <w:tcW w:w="4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Final settlement of acquisition of Ultra Pet</w:t>
            </w:r>
          </w:p>
        </w:tc>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Ending balance</w:t>
            </w:r>
          </w:p>
        </w:tc>
        <w:tc>
          <w:tcPr>
            <w:tcW w:w="4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cash flows:</w:t>
            </w: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payments, net of amounts capitalized</w:t>
            </w:r>
          </w:p>
        </w:tc>
        <w:tc>
          <w:tcPr>
            <w:tcW w:w="4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1,089</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r>
      <w:tr>
        <w:trPr>
          <w:trHeight w:val="180"/>
        </w:trPr>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payments</w:t>
            </w:r>
          </w:p>
        </w:tc>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12,598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10,006</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7,367</w:t>
            </w: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capital expenditures in accounts payable</w:t>
            </w:r>
          </w:p>
        </w:tc>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876</w:t>
            </w:r>
          </w:p>
        </w:tc>
        <w:tc>
          <w:tcPr>
            <w:tcW w:w="22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80"/>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Change in capital expenditures in accrued expenses</w:t>
            </w:r>
          </w:p>
        </w:tc>
        <w:tc>
          <w:tcPr>
            <w:tcW w:w="4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3,380</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0"/>
        </w:trPr>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dividends declared and accrued, but not paid</w:t>
            </w:r>
          </w:p>
        </w:tc>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2,096</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18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Increase in reclamation asset and liability</w:t>
            </w:r>
          </w:p>
        </w:tc>
        <w:tc>
          <w:tcPr>
            <w:tcW w:w="4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728" w:right="5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ATURE OF</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PERATIONS</w:t>
      </w:r>
    </w:p>
    <w:p>
      <w:pPr>
        <w:spacing w:after="0" w:line="202" w:lineRule="exact"/>
        <w:rPr>
          <w:sz w:val="20"/>
          <w:szCs w:val="20"/>
          <w:color w:val="auto"/>
        </w:rPr>
      </w:pPr>
    </w:p>
    <w:p>
      <w:pPr>
        <w:jc w:val="both"/>
        <w:ind w:firstLine="157"/>
        <w:spacing w:after="0" w:line="270" w:lineRule="auto"/>
        <w:rPr>
          <w:sz w:val="20"/>
          <w:szCs w:val="20"/>
          <w:color w:val="auto"/>
        </w:rPr>
      </w:pPr>
      <w:r>
        <w:rPr>
          <w:rFonts w:ascii="Times New Roman" w:cs="Times New Roman" w:eastAsia="Times New Roman" w:hAnsi="Times New Roman"/>
          <w:sz w:val="14"/>
          <w:szCs w:val="14"/>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pre-treatment of renewable diesel, and for purification of petroleum-based oils. We also sell synthetic sorbents, which are used for industrial cleanup and cat litter.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RINCIPLES OF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ONSOLIDATION</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ECLASSIFICATION</w:t>
      </w:r>
    </w:p>
    <w:p>
      <w:pPr>
        <w:spacing w:after="0" w:line="202" w:lineRule="exact"/>
        <w:rPr>
          <w:sz w:val="20"/>
          <w:szCs w:val="20"/>
          <w:color w:val="auto"/>
        </w:rPr>
      </w:pPr>
    </w:p>
    <w:p>
      <w:pPr>
        <w:jc w:val="both"/>
        <w:ind w:firstLine="166"/>
        <w:spacing w:after="0" w:line="287" w:lineRule="auto"/>
        <w:rPr>
          <w:sz w:val="20"/>
          <w:szCs w:val="20"/>
          <w:color w:val="auto"/>
        </w:rPr>
      </w:pPr>
      <w:r>
        <w:rPr>
          <w:rFonts w:ascii="Times New Roman" w:cs="Times New Roman" w:eastAsia="Times New Roman" w:hAnsi="Times New Roman"/>
          <w:sz w:val="14"/>
          <w:szCs w:val="14"/>
          <w:color w:val="auto"/>
        </w:rPr>
        <w:t>Certain amounts in the prior period financial statements have been reclassified to conform to the presentation of the current period financial statements. These immaterial reclassifications had no effect on the previously reported net income or net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1"/>
          <w:szCs w:val="11"/>
          <w:b w:val="1"/>
          <w:bCs w:val="1"/>
          <w:color w:val="auto"/>
        </w:rPr>
        <w:t>ANAGEMENT'S</w:t>
      </w:r>
      <w:r>
        <w:rPr>
          <w:rFonts w:ascii="Times New Roman" w:cs="Times New Roman" w:eastAsia="Times New Roman" w:hAnsi="Times New Roman"/>
          <w:sz w:val="14"/>
          <w:szCs w:val="14"/>
          <w:b w:val="1"/>
          <w:bCs w:val="1"/>
          <w:color w:val="auto"/>
        </w:rPr>
        <w:t xml:space="preserve"> U</w:t>
      </w:r>
      <w:r>
        <w:rPr>
          <w:rFonts w:ascii="Times New Roman" w:cs="Times New Roman" w:eastAsia="Times New Roman" w:hAnsi="Times New Roman"/>
          <w:sz w:val="11"/>
          <w:szCs w:val="11"/>
          <w:b w:val="1"/>
          <w:bCs w:val="1"/>
          <w:color w:val="auto"/>
        </w:rPr>
        <w:t>SE OF</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STIMATES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QUIVALENTS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ESTRICTED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ASH</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equivalents are highly liquid investments with maturities of three months or less.</w:t>
      </w:r>
    </w:p>
    <w:p>
      <w:pPr>
        <w:spacing w:after="0" w:line="20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as of July 31, 2025, and 2024 reported within the Consolidated Balance Sheets that sum to the total of the same such amounts shown in the Consolidated Statement of Cash Flows (in thousands):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50,458</w:t>
            </w:r>
          </w:p>
        </w:tc>
        <w:tc>
          <w:tcPr>
            <w:tcW w:w="16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23,481</w:t>
            </w:r>
          </w:p>
        </w:tc>
        <w:tc>
          <w:tcPr>
            <w:tcW w:w="12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31,754</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assets</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50,458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24,481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31,754</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RADE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ECEIVABLES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recognize trade receivables when control of finished products is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NVENTORIES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0"/>
        </w:trPr>
        <w:tc>
          <w:tcPr>
            <w:tcW w:w="6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composition of inventories was as follows as of July 31 (in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300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29,401</w:t>
            </w:r>
          </w:p>
        </w:tc>
        <w:tc>
          <w:tcPr>
            <w:tcW w:w="16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31,772</w:t>
            </w:r>
          </w:p>
        </w:tc>
      </w:tr>
      <w:tr>
        <w:trPr>
          <w:trHeight w:val="180"/>
        </w:trPr>
        <w:tc>
          <w:tcPr>
            <w:tcW w:w="3000" w:type="dxa"/>
            <w:vAlign w:val="bottom"/>
          </w:tcPr>
          <w:p>
            <w:pPr>
              <w:spacing w:after="0"/>
              <w:rPr>
                <w:sz w:val="15"/>
                <w:szCs w:val="15"/>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Packaging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180"/>
        </w:trPr>
        <w:tc>
          <w:tcPr>
            <w:tcW w:w="3000" w:type="dxa"/>
            <w:vAlign w:val="bottom"/>
          </w:tcPr>
          <w:p>
            <w:pPr>
              <w:spacing w:after="0"/>
              <w:rPr>
                <w:sz w:val="15"/>
                <w:szCs w:val="15"/>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Spare parts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6,822</w:t>
            </w:r>
          </w:p>
        </w:tc>
        <w:tc>
          <w:tcPr>
            <w:tcW w:w="1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w:t>
            </w:r>
          </w:p>
        </w:tc>
      </w:tr>
      <w:tr>
        <w:trPr>
          <w:trHeight w:val="180"/>
        </w:trPr>
        <w:tc>
          <w:tcPr>
            <w:tcW w:w="3000" w:type="dxa"/>
            <w:vAlign w:val="bottom"/>
          </w:tcPr>
          <w:p>
            <w:pPr>
              <w:spacing w:after="0"/>
              <w:rPr>
                <w:sz w:val="15"/>
                <w:szCs w:val="15"/>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7,257</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w:t>
            </w:r>
          </w:p>
        </w:tc>
      </w:tr>
      <w:tr>
        <w:trPr>
          <w:trHeight w:val="171"/>
        </w:trPr>
        <w:tc>
          <w:tcPr>
            <w:tcW w:w="300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51,594</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54,236</w:t>
            </w:r>
          </w:p>
        </w:tc>
      </w:tr>
      <w:tr>
        <w:trPr>
          <w:trHeight w:val="20"/>
        </w:trPr>
        <w:tc>
          <w:tcPr>
            <w:tcW w:w="3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considers specific items but also takes into consideration the overall value of the inventory as of the balance sheet date. We recorded inventory reserves of $3.7 million as of July 31, 2025, and $3.8 million as of July 31, 2024. The other category of inventories includes a variety of items including clay, additives, fragrances and other supplies. Spare parts in inventory are recorded net of a valuation reserve based on aging.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RANSLATION OF</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OREIGN</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URRENCIES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NTANGIBLES AND</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OODWILL</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intangible assets are mainly comprised of customer lists, patents, trademarks, trade names and goodwill. We amortize customer lists and patents on a straight-line basis over periods ranging from 18 to 20 years. During fiscal year 2024 we recorded additions of intangible assets of $37.4 million related to the acquisition of Ultra Pet, the components of which were customer list of $20.4 million amortized over a useful life of 18 years, $5.2 million of trade name and $11.8 million of goodwill. During fiscal year 2025, certain measurement period adjustments were made to goodwill resulting in a $0.6 million increase to goodwill.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amortization was $1.2 million, $0.5 million, and $0.3 million in fiscal years 2025, 2024, and 2023 respectively.</w:t>
      </w:r>
    </w:p>
    <w:p>
      <w:pPr>
        <w:spacing w:after="0" w:line="179"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9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Our estimated intangible amortization expense for the next five fiscal years is as follows (in thousands):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4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40" w:type="dxa"/>
            <w:vAlign w:val="bottom"/>
            <w:vMerge w:val="continue"/>
          </w:tcPr>
          <w:p>
            <w:pPr>
              <w:spacing w:after="0"/>
              <w:rPr>
                <w:sz w:val="15"/>
                <w:szCs w:val="15"/>
                <w:color w:val="auto"/>
              </w:rPr>
            </w:pPr>
          </w:p>
        </w:tc>
        <w:tc>
          <w:tcPr>
            <w:tcW w:w="9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99"/>
              </w:rPr>
              <w:t>2026</w:t>
            </w:r>
          </w:p>
        </w:tc>
        <w:tc>
          <w:tcPr>
            <w:tcW w:w="11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9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99"/>
              </w:rPr>
              <w:t>2027</w:t>
            </w: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9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99"/>
              </w:rPr>
              <w:t>2028</w:t>
            </w:r>
          </w:p>
        </w:tc>
        <w:tc>
          <w:tcPr>
            <w:tcW w:w="11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9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99"/>
              </w:rPr>
              <w:t>2029</w:t>
            </w: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9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99"/>
              </w:rPr>
              <w:t>2030</w:t>
            </w:r>
          </w:p>
        </w:tc>
        <w:tc>
          <w:tcPr>
            <w:tcW w:w="11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remaining weighted average amortization period of our intangibles subject to amortization is as follows (in years):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3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Weighted Average Amortization</w:t>
            </w:r>
          </w:p>
        </w:tc>
      </w:tr>
      <w:tr>
        <w:trPr>
          <w:trHeight w:val="184"/>
        </w:trPr>
        <w:tc>
          <w:tcPr>
            <w:tcW w:w="2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w w:val="98"/>
              </w:rPr>
              <w:t>Period</w:t>
            </w:r>
          </w:p>
        </w:tc>
      </w:tr>
      <w:tr>
        <w:trPr>
          <w:trHeight w:val="171"/>
        </w:trPr>
        <w:tc>
          <w:tcPr>
            <w:tcW w:w="2120" w:type="dxa"/>
            <w:vAlign w:val="bottom"/>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Patents</w:t>
            </w:r>
          </w:p>
        </w:tc>
        <w:tc>
          <w:tcPr>
            <w:tcW w:w="184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8.8</w:t>
            </w:r>
          </w:p>
        </w:tc>
        <w:tc>
          <w:tcPr>
            <w:tcW w:w="2100" w:type="dxa"/>
            <w:vAlign w:val="bottom"/>
          </w:tcPr>
          <w:p>
            <w:pPr>
              <w:spacing w:after="0"/>
              <w:rPr>
                <w:sz w:val="14"/>
                <w:szCs w:val="14"/>
                <w:color w:val="auto"/>
              </w:rPr>
            </w:pPr>
          </w:p>
        </w:tc>
      </w:tr>
      <w:tr>
        <w:trPr>
          <w:trHeight w:val="180"/>
        </w:trPr>
        <w:tc>
          <w:tcPr>
            <w:tcW w:w="21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Customer list</w:t>
            </w:r>
          </w:p>
        </w:tc>
        <w:tc>
          <w:tcPr>
            <w:tcW w:w="4040" w:type="dxa"/>
            <w:vAlign w:val="bottom"/>
            <w:gridSpan w:val="2"/>
          </w:tcPr>
          <w:p>
            <w:pPr>
              <w:jc w:val="center"/>
              <w:ind w:left="1769"/>
              <w:spacing w:after="0"/>
              <w:rPr>
                <w:sz w:val="20"/>
                <w:szCs w:val="20"/>
                <w:color w:val="auto"/>
              </w:rPr>
            </w:pPr>
            <w:r>
              <w:rPr>
                <w:rFonts w:ascii="Times New Roman" w:cs="Times New Roman" w:eastAsia="Times New Roman" w:hAnsi="Times New Roman"/>
                <w:sz w:val="14"/>
                <w:szCs w:val="14"/>
                <w:color w:val="auto"/>
                <w:w w:val="97"/>
              </w:rPr>
              <w:t>16.8</w:t>
            </w:r>
          </w:p>
        </w:tc>
        <w:tc>
          <w:tcPr>
            <w:tcW w:w="2100" w:type="dxa"/>
            <w:vAlign w:val="bottom"/>
          </w:tcPr>
          <w:p>
            <w:pPr>
              <w:spacing w:after="0"/>
              <w:rPr>
                <w:sz w:val="15"/>
                <w:szCs w:val="15"/>
                <w:color w:val="auto"/>
              </w:rPr>
            </w:pPr>
          </w:p>
        </w:tc>
      </w:tr>
      <w:tr>
        <w:trPr>
          <w:trHeight w:val="180"/>
        </w:trPr>
        <w:tc>
          <w:tcPr>
            <w:tcW w:w="21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4040" w:type="dxa"/>
            <w:vAlign w:val="bottom"/>
            <w:gridSpan w:val="2"/>
            <w:shd w:val="clear" w:color="auto" w:fill="CCEEFF"/>
          </w:tcPr>
          <w:p>
            <w:pPr>
              <w:jc w:val="center"/>
              <w:ind w:left="1769"/>
              <w:spacing w:after="0"/>
              <w:rPr>
                <w:sz w:val="20"/>
                <w:szCs w:val="20"/>
                <w:color w:val="auto"/>
              </w:rPr>
            </w:pPr>
            <w:r>
              <w:rPr>
                <w:rFonts w:ascii="Times New Roman" w:cs="Times New Roman" w:eastAsia="Times New Roman" w:hAnsi="Times New Roman"/>
                <w:sz w:val="14"/>
                <w:szCs w:val="14"/>
                <w:color w:val="auto"/>
                <w:w w:val="97"/>
              </w:rPr>
              <w:t>16.6</w:t>
            </w:r>
          </w:p>
        </w:tc>
        <w:tc>
          <w:tcPr>
            <w:tcW w:w="2100" w:type="dxa"/>
            <w:vAlign w:val="bottom"/>
          </w:tcPr>
          <w:p>
            <w:pPr>
              <w:spacing w:after="0"/>
              <w:rPr>
                <w:sz w:val="15"/>
                <w:szCs w:val="15"/>
                <w:color w:val="auto"/>
              </w:rPr>
            </w:pPr>
          </w:p>
        </w:tc>
      </w:tr>
      <w:tr>
        <w:trPr>
          <w:trHeight w:val="870"/>
        </w:trPr>
        <w:tc>
          <w:tcPr>
            <w:tcW w:w="2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4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52</w:t>
            </w:r>
          </w:p>
        </w:tc>
        <w:tc>
          <w:tcPr>
            <w:tcW w:w="2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87"/>
        </w:trPr>
        <w:tc>
          <w:tcPr>
            <w:tcW w:w="21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Trademarks and trade names acquired through acquisitions were determined to have indefinite lives. We had $5.6 million in indefinite life trademarks and trade names as of both July 31, 2025, and 2024.</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by operating segment was as follows as of July 31 (in thousands):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2"/>
        </w:trPr>
        <w:tc>
          <w:tcPr>
            <w:tcW w:w="2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274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to Business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r>
      <w:tr>
        <w:trPr>
          <w:trHeight w:val="180"/>
        </w:trPr>
        <w:tc>
          <w:tcPr>
            <w:tcW w:w="2740" w:type="dxa"/>
            <w:vAlign w:val="bottom"/>
          </w:tcPr>
          <w:p>
            <w:pPr>
              <w:spacing w:after="0"/>
              <w:rPr>
                <w:sz w:val="15"/>
                <w:szCs w:val="15"/>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and Wholesale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12,399</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11,825</w:t>
            </w:r>
          </w:p>
        </w:tc>
      </w:tr>
      <w:tr>
        <w:trPr>
          <w:trHeight w:val="171"/>
        </w:trPr>
        <w:tc>
          <w:tcPr>
            <w:tcW w:w="274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16,017</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15,443</w:t>
            </w:r>
          </w:p>
        </w:tc>
      </w:tr>
      <w:tr>
        <w:trPr>
          <w:trHeight w:val="20"/>
        </w:trPr>
        <w:tc>
          <w:tcPr>
            <w:tcW w:w="2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review indefinite-lived intangibles and goodwill to assess for impairment on the first day of our fiscal fourth quarter, or more frequently if an event occurs or circumstances change that would more likely than not reduce the fair value of a reporting unit below its carrying value. We also perform a review for indicators of impairment each quarter to assess whether an interim impairment review is required for any reporting unit. Our review entails a qualitative analysis of triggering events and, if identified, a further analysis is performed based on cash flow considerations and other approaches that require significant judgment with respect to volume, revenue, expenses and allocations. Impairment occurs when the carrying value exceeds the fair value. We performed our impairment assessment and identified no triggering events that indicate the need for impairment of indefinite intangible assets or goodwill in either 2025 or 2024.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ROPERTY</w:t>
      </w:r>
      <w:r>
        <w:rPr>
          <w:rFonts w:ascii="Times New Roman" w:cs="Times New Roman" w:eastAsia="Times New Roman" w:hAnsi="Times New Roman"/>
          <w:sz w:val="14"/>
          <w:szCs w:val="14"/>
          <w:b w:val="1"/>
          <w:bCs w:val="1"/>
          <w:color w:val="auto"/>
        </w:rPr>
        <w:t>, P</w:t>
      </w:r>
      <w:r>
        <w:rPr>
          <w:rFonts w:ascii="Times New Roman" w:cs="Times New Roman" w:eastAsia="Times New Roman" w:hAnsi="Times New Roman"/>
          <w:sz w:val="11"/>
          <w:szCs w:val="11"/>
          <w:b w:val="1"/>
          <w:bCs w:val="1"/>
          <w:color w:val="auto"/>
        </w:rPr>
        <w:t>LANT AND</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QUIPMENT</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Property, plant and equipment are depreciated using the straight-line method over their estimated useful lives. The useful lives for most of our depreciable assets range from 2 to 25 years, with some buildings ranging up to 30 years. Depreciation expense was $20.8 million, $18.8 million, and $15.3 million in fiscal years 2025, 2024, and 2023 respectively. Major improvements and betterments are capitalized, while maintenance and repairs that do not extend the useful life or increase functionality of the applicable assets are expensed as incurred. Interest expense may also be capitalized for assets that require a period of time to get them ready for their intended use. There was no capitalized interest in fiscal years 2025 and 2024.</w:t>
      </w:r>
    </w:p>
    <w:p>
      <w:pPr>
        <w:spacing w:after="0" w:line="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Property, plant and equipment are carried at cost on the Consolidated Balance Sheets and are reviewed for possible impairment when circumstances indicate that an asset may be impaired. We take into consideration idle and underutilized equipment and review business plans for possible impairment. When impairment is indicated, an impairment charge is recorded for the difference between the carrying value of the asset and its fair market value. In fiscal year 2025, we recognized no impairment for fixed assets no longer in use. We recognized impairment for fixed assets of $0.1 million in fiscal year 2024 and $0.9 million in fiscal year 2023. Impairment is included in cost of goods sold on the Consolidated Statement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AND AND</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INING</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SSETS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mining assets include mining properties, mineral rights and reclamation assets. We surface mine sorbent minerals on property that we either own or lease. A significant part of our mining cost is incurred during the process of removing the overburden from the mine site, thus exposing the sorbent material used in a majority of our production processes. Pre-production overburden removal costs associated with opening a new mine during the development phase are deferred. There was no capitalized pre-production costs incurred in either fiscal year 2025 or 2024. Capitalized development costs are amortized when the sorbent material is removed from the mine and used to produce product for sale. At the end of fiscal year 2025, the amount of development costs that are being amortized is $3.5 million. Stripping costs incurred during production are treated as a variable inventory production cost and are included in cost of goods sold. Stripping costs included in cost of goods sold were approximately $4.7 million, $5.4 million, and $4.0 million for fiscal years 2025, 2024, and 2023, respectively.</w:t>
      </w:r>
    </w:p>
    <w:p>
      <w:pPr>
        <w:spacing w:after="0" w:line="16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Additionally, it is our policy to capitalize the purchase cost of land and mineral rights, including associated legal, survey, and real estate fees. The costs of obtaining mineral rights, including legal fees and drilling expenses, are also capitalized. As of both fiscal years ending July 31, 2025, and July 31, 2024, we had $13.5 million of land and $2.2 million of gross mineral rights. Any prepaid royalties that may be offset against future royalties due upon extraction of the mineral are also capitalized. Prepaid royalties included in current prepaid expenses and in non-current other assets on the Consolidated Balance Sheets were approximately $2.4 million as of July 31, 2025, and $2.3 million as of July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ECLAMATION</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perform ongoing reclamation activities during the normal course of our overburden removal. As overburden is removed from a mine site, it is hauled to previously mined sites and is used to refill the older sites. This process allows us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continuously reclaim older mine sites and dispose of overburden simultaneously, therefore minimizing the costs associated with the reclamation process.</w:t>
      </w:r>
    </w:p>
    <w:p>
      <w:pPr>
        <w:spacing w:after="0" w:line="17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On an annual basis we evaluate our potential reclamation liability in accordance with ASC 410, </w:t>
      </w:r>
      <w:r>
        <w:rPr>
          <w:rFonts w:ascii="Times New Roman" w:cs="Times New Roman" w:eastAsia="Times New Roman" w:hAnsi="Times New Roman"/>
          <w:sz w:val="14"/>
          <w:szCs w:val="14"/>
          <w:i w:val="1"/>
          <w:iCs w:val="1"/>
          <w:color w:val="auto"/>
        </w:rPr>
        <w:t>Asset Retirement and Environmental Obligations.</w:t>
      </w:r>
      <w:r>
        <w:rPr>
          <w:rFonts w:ascii="Times New Roman" w:cs="Times New Roman" w:eastAsia="Times New Roman" w:hAnsi="Times New Roman"/>
          <w:sz w:val="14"/>
          <w:szCs w:val="14"/>
          <w:color w:val="auto"/>
        </w:rPr>
        <w:t xml:space="preserve"> Reclamation assets are depreciated over the estimated useful lives of the various mines. Reclamation liabilities are increased based on a yearly accretion charge over the estimated useful lives of the mines.</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recorded an estimated net reclamation asset of $3.1 million as of July 31, 2025, and $2.2 million as of July 31, 2024, and a corresponding estimated reclamation liability of $5.9 million as of July 31, 2025, and $4.8 million as of July 31, 2024. These values represent the discounted present value of the estimated future mining reclamation and landfill closure costs at the production plants. Additional mining activity, disturbance of land, and higher costs account for a majority of the increase in the reclamation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RADE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ROMOTIONS</w:t>
      </w:r>
    </w:p>
    <w:p>
      <w:pPr>
        <w:spacing w:after="0" w:line="202" w:lineRule="exact"/>
        <w:rPr>
          <w:sz w:val="20"/>
          <w:szCs w:val="20"/>
          <w:color w:val="auto"/>
        </w:rPr>
      </w:pPr>
    </w:p>
    <w:p>
      <w:pPr>
        <w:jc w:val="both"/>
        <w:ind w:firstLine="142"/>
        <w:spacing w:after="0" w:line="264" w:lineRule="auto"/>
        <w:rPr>
          <w:sz w:val="20"/>
          <w:szCs w:val="20"/>
          <w:color w:val="auto"/>
        </w:rPr>
      </w:pPr>
      <w:r>
        <w:rPr>
          <w:rFonts w:ascii="Times New Roman" w:cs="Times New Roman" w:eastAsia="Times New Roman" w:hAnsi="Times New Roman"/>
          <w:sz w:val="14"/>
          <w:szCs w:val="14"/>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including slotting, discounts based on sales volume, cooperative marketing programs and other arrangements. We rely on our historical experience of trade spending patterns and that of the industry, current trends and forecast data to record estimates of our trade spending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 OF</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INANCIAL</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NSTRUMENTS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Non-derivative financial instruments included in the Consolidated Balance Sheets are cash and cash equivalents, short-term investments, credit facilities, and notes payable. These instruments, except for debt, were carried at amounts approximating fair value as of July 31, 2025, and 2024. See Note 5 of the Notes to the Consolidated Financial Statements for additional information regarding the fair value of our financial instruments, including notes payable.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EVENUE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ECOGNITION</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recognize revenue when performance obligations under the terms of the contracts with customers are satisfied. Our performance obligation generally consists of the promise to sell finished products to wholesalers, distributors,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spacing w:after="0" w:line="162" w:lineRule="exact"/>
        <w:rPr>
          <w:sz w:val="20"/>
          <w:szCs w:val="20"/>
          <w:color w:val="auto"/>
        </w:rPr>
      </w:pPr>
    </w:p>
    <w:p>
      <w:pPr>
        <w:jc w:val="both"/>
        <w:ind w:firstLine="175"/>
        <w:spacing w:after="0" w:line="264" w:lineRule="auto"/>
        <w:rPr>
          <w:sz w:val="20"/>
          <w:szCs w:val="20"/>
          <w:color w:val="auto"/>
        </w:rPr>
      </w:pPr>
      <w:r>
        <w:rPr>
          <w:rFonts w:ascii="Times New Roman" w:cs="Times New Roman" w:eastAsia="Times New Roman" w:hAnsi="Times New Roman"/>
          <w:sz w:val="14"/>
          <w:szCs w:val="14"/>
          <w:color w:val="auto"/>
        </w:rPr>
        <w:t>We have an unconditional right to consideration under the payment terms specified in the contract upon completion of the performance obligation. We may require certain customers to provide payment in advance of product shipment. We recorded a liability of $0.3 million as of July 31, 2025, for these advance payments. There is $0.2 million liability for advance payments as of July 31, 2024. This liability is reported in Other Accrued Expenses on the Consolidated Balance Sheets. There is $0.2 million revenue recognized during fiscal year 2025 that was included in the liability for advance payments at the beginning of the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OST OF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OODS</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OLD</w:t>
      </w:r>
    </w:p>
    <w:p>
      <w:pPr>
        <w:spacing w:after="0" w:line="1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Cost of goods sold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 Natural gas forward contracts are accounted for as normal purchases.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HIPPING AND</w:t>
      </w:r>
      <w:r>
        <w:rPr>
          <w:rFonts w:ascii="Times New Roman" w:cs="Times New Roman" w:eastAsia="Times New Roman" w:hAnsi="Times New Roman"/>
          <w:sz w:val="14"/>
          <w:szCs w:val="14"/>
          <w:b w:val="1"/>
          <w:bCs w:val="1"/>
          <w:color w:val="auto"/>
        </w:rPr>
        <w:t xml:space="preserve"> H</w:t>
      </w:r>
      <w:r>
        <w:rPr>
          <w:rFonts w:ascii="Times New Roman" w:cs="Times New Roman" w:eastAsia="Times New Roman" w:hAnsi="Times New Roman"/>
          <w:sz w:val="11"/>
          <w:szCs w:val="11"/>
          <w:b w:val="1"/>
          <w:bCs w:val="1"/>
          <w:color w:val="auto"/>
        </w:rPr>
        <w:t>ANDLING</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OSTS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Shipping and handling costs are included in cost of goods sold and were approximately $64.9 million, $59.2 million, and $57.4 million for fiscal years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ELLING</w:t>
      </w:r>
      <w:r>
        <w:rPr>
          <w:rFonts w:ascii="Times New Roman" w:cs="Times New Roman" w:eastAsia="Times New Roman" w:hAnsi="Times New Roman"/>
          <w:sz w:val="14"/>
          <w:szCs w:val="14"/>
          <w:b w:val="1"/>
          <w:bCs w:val="1"/>
          <w:color w:val="auto"/>
        </w:rPr>
        <w:t>, G</w:t>
      </w:r>
      <w:r>
        <w:rPr>
          <w:rFonts w:ascii="Times New Roman" w:cs="Times New Roman" w:eastAsia="Times New Roman" w:hAnsi="Times New Roman"/>
          <w:sz w:val="11"/>
          <w:szCs w:val="11"/>
          <w:b w:val="1"/>
          <w:bCs w:val="1"/>
          <w:color w:val="auto"/>
        </w:rPr>
        <w:t>ENERAL AND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DMINISTRATIVE</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1"/>
          <w:szCs w:val="11"/>
          <w:b w:val="1"/>
          <w:bCs w:val="1"/>
          <w:color w:val="auto"/>
        </w:rPr>
        <w:t>XPENSES</w:t>
      </w:r>
    </w:p>
    <w:p>
      <w:pPr>
        <w:spacing w:after="0" w:line="138" w:lineRule="exact"/>
        <w:rPr>
          <w:sz w:val="20"/>
          <w:szCs w:val="20"/>
          <w:color w:val="auto"/>
        </w:rPr>
      </w:pPr>
    </w:p>
    <w:p>
      <w:pPr>
        <w:jc w:val="both"/>
        <w:ind w:firstLine="187"/>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DVERTISING</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Advertising costs for the development of printed materials, television commercials, web-based digital banners, web-based social media and sales videos are deferred and expensed upon the first use of the materials.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$7.6 million, $9.0 million, $7.3 million in fiscal years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ESEARCH AND</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EVELOPMENT</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Research and development costs of approximately $2.4 million, $2.1 million, and $1.2 million were charged to expense as incurred for fiscal years 2025, 2024, and 2023, respectively, and are recorded in selling,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ASED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OMPENSATION</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We account for stock options and restricted stock issued under our long-term incentive plans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The fair value of stock-based compensation is determined at the grant date. The related compensation expense is recognized over the appropriate vesting period. Forfeitures are recognized as they occur. See Note 8 of the Notes to the Consolidated Financial Statements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NCOME</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AXES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 addition to existing valuation allowances, we provide for uncertain tax positions, if necessary, when such tax positions do not meet the recognition thresholds or measurement standards prescribed by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PLIT</w:t>
      </w:r>
    </w:p>
    <w:p>
      <w:pPr>
        <w:spacing w:after="0" w:line="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October 9, 2024, we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12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Unless noted, all Common Stock and Class B Stock share and per share amounts contained in the Condensed Consolidated Financial Statements have been retroactively adjusted, where applicable, to reflect the stock split. The impact on the Condensed Consolidated Balance Sheet and Condensed Consolidated Statements of Stockholders' Equity herein was an increase of $0.8 million to Common Stock and Class B Stock, with an offsetting decrease in Additional Paid-In-Capital, which has been retroactively adjusted as if the stock split had occurred at the beginning of the earliest period presented. The change in treasury shares reflects the stock split on shares held by wholly owned subsidiaries which are presented as treasury shares on a consolidated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ARNINGS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HARE</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Below is a reconciliation of the calculation of basic and diluted EPS.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2"/>
        </w:trPr>
        <w:tc>
          <w:tcPr>
            <w:tcW w:w="7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July 31, 2025</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65"/>
        </w:trPr>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6"/>
          </w:tcPr>
          <w:p>
            <w:pPr>
              <w:jc w:val="center"/>
              <w:ind w:left="129"/>
              <w:spacing w:after="0"/>
              <w:rPr>
                <w:sz w:val="20"/>
                <w:szCs w:val="20"/>
                <w:color w:val="auto"/>
              </w:rPr>
            </w:pPr>
            <w:r>
              <w:rPr>
                <w:rFonts w:ascii="Times New Roman" w:cs="Times New Roman" w:eastAsia="Times New Roman" w:hAnsi="Times New Roman"/>
                <w:sz w:val="14"/>
                <w:szCs w:val="14"/>
                <w:color w:val="auto"/>
              </w:rPr>
              <w:t>(in thousands, except for per share data)</w:t>
            </w:r>
          </w:p>
        </w:tc>
        <w:tc>
          <w:tcPr>
            <w:tcW w:w="1260" w:type="dxa"/>
            <w:vAlign w:val="bottom"/>
          </w:tcPr>
          <w:p>
            <w:pPr>
              <w:spacing w:after="0"/>
              <w:rPr>
                <w:sz w:val="14"/>
                <w:szCs w:val="14"/>
                <w:color w:val="auto"/>
              </w:rPr>
            </w:pPr>
          </w:p>
        </w:tc>
      </w:tr>
      <w:tr>
        <w:trPr>
          <w:trHeight w:val="186"/>
        </w:trPr>
        <w:tc>
          <w:tcPr>
            <w:tcW w:w="70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71"/>
        </w:trPr>
        <w:tc>
          <w:tcPr>
            <w:tcW w:w="70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53,996</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12,823</w:t>
            </w:r>
          </w:p>
        </w:tc>
      </w:tr>
      <w:tr>
        <w:trPr>
          <w:trHeight w:val="180"/>
        </w:trPr>
        <w:tc>
          <w:tcPr>
            <w:tcW w:w="700" w:type="dxa"/>
            <w:vAlign w:val="bottom"/>
          </w:tcPr>
          <w:p>
            <w:pPr>
              <w:spacing w:after="0"/>
              <w:rPr>
                <w:sz w:val="15"/>
                <w:szCs w:val="15"/>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Distributed and undistributed earnings on restricted shares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(2,580)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w:t>
            </w:r>
          </w:p>
        </w:tc>
      </w:tr>
      <w:tr>
        <w:trPr>
          <w:trHeight w:val="196"/>
        </w:trPr>
        <w:tc>
          <w:tcPr>
            <w:tcW w:w="70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available to stockholders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51,416</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39,441</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w:t>
            </w:r>
          </w:p>
        </w:tc>
      </w:tr>
      <w:tr>
        <w:trPr>
          <w:trHeight w:val="20"/>
        </w:trPr>
        <w:tc>
          <w:tcPr>
            <w:tcW w:w="70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0"/>
        </w:trPr>
        <w:tc>
          <w:tcPr>
            <w:tcW w:w="70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(Numerator)</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w:t>
            </w:r>
          </w:p>
        </w:tc>
      </w:tr>
      <w:tr>
        <w:trPr>
          <w:trHeight w:val="180"/>
        </w:trPr>
        <w:tc>
          <w:tcPr>
            <w:tcW w:w="700" w:type="dxa"/>
            <w:vAlign w:val="bottom"/>
          </w:tcPr>
          <w:p>
            <w:pPr>
              <w:spacing w:after="0"/>
              <w:rPr>
                <w:sz w:val="15"/>
                <w:szCs w:val="15"/>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Outstanding (Denominator)</w:t>
            </w:r>
          </w:p>
        </w:tc>
        <w:tc>
          <w:tcPr>
            <w:tcW w:w="10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96"/>
        </w:trPr>
        <w:tc>
          <w:tcPr>
            <w:tcW w:w="70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r>
      <w:tr>
        <w:trPr>
          <w:trHeight w:val="20"/>
        </w:trPr>
        <w:tc>
          <w:tcPr>
            <w:tcW w:w="70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0"/>
        </w:trPr>
        <w:tc>
          <w:tcPr>
            <w:tcW w:w="700" w:type="dxa"/>
            <w:vAlign w:val="bottom"/>
          </w:tcPr>
          <w:p>
            <w:pPr>
              <w:spacing w:after="0"/>
              <w:rPr>
                <w:sz w:val="15"/>
                <w:szCs w:val="15"/>
                <w:color w:val="auto"/>
              </w:rPr>
            </w:pPr>
          </w:p>
        </w:tc>
        <w:tc>
          <w:tcPr>
            <w:tcW w:w="5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Net Income </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assuming dilution (Numerator)</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51,416</w:t>
            </w:r>
          </w:p>
        </w:tc>
        <w:tc>
          <w:tcPr>
            <w:tcW w:w="2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11,975</w:t>
            </w:r>
          </w:p>
        </w:tc>
      </w:tr>
      <w:tr>
        <w:trPr>
          <w:trHeight w:val="202"/>
        </w:trPr>
        <w:tc>
          <w:tcPr>
            <w:tcW w:w="70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0"/>
        </w:trPr>
        <w:tc>
          <w:tcPr>
            <w:tcW w:w="7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Shares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2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assuming dilution (Denominator)</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13,883</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71"/>
        </w:trPr>
        <w:tc>
          <w:tcPr>
            <w:tcW w:w="70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r>
    </w:tbl>
    <w:p>
      <w:pPr>
        <w:spacing w:after="0" w:line="10" w:lineRule="exact"/>
        <w:rPr>
          <w:sz w:val="20"/>
          <w:szCs w:val="20"/>
          <w:color w:val="auto"/>
        </w:rPr>
      </w:pPr>
    </w:p>
    <w:p>
      <w:pPr>
        <w:ind w:left="700" w:right="200" w:firstLine="3"/>
        <w:spacing w:after="0" w:line="218" w:lineRule="auto"/>
        <w:tabs>
          <w:tab w:leader="none" w:pos="82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impact of 275,327 shares of unvested Common Stock and 139,484 shares of unvested Class B Stock, restricted stock was anti-dilutive therefore not included in the calculation of diluted EPS for the year ended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-178435</wp:posOffset>
            </wp:positionV>
            <wp:extent cx="21494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July 31, 2024</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5"/>
        </w:trPr>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6"/>
          </w:tcPr>
          <w:p>
            <w:pPr>
              <w:jc w:val="center"/>
              <w:ind w:left="129"/>
              <w:spacing w:after="0"/>
              <w:rPr>
                <w:sz w:val="20"/>
                <w:szCs w:val="20"/>
                <w:color w:val="auto"/>
              </w:rPr>
            </w:pPr>
            <w:r>
              <w:rPr>
                <w:rFonts w:ascii="Times New Roman" w:cs="Times New Roman" w:eastAsia="Times New Roman" w:hAnsi="Times New Roman"/>
                <w:sz w:val="14"/>
                <w:szCs w:val="14"/>
                <w:color w:val="auto"/>
              </w:rPr>
              <w:t>(in thousands, except for per share data)</w:t>
            </w:r>
          </w:p>
        </w:tc>
        <w:tc>
          <w:tcPr>
            <w:tcW w:w="1240" w:type="dxa"/>
            <w:vAlign w:val="bottom"/>
          </w:tcPr>
          <w:p>
            <w:pPr>
              <w:spacing w:after="0"/>
              <w:rPr>
                <w:sz w:val="14"/>
                <w:szCs w:val="14"/>
                <w:color w:val="auto"/>
              </w:rPr>
            </w:pPr>
          </w:p>
        </w:tc>
      </w:tr>
      <w:tr>
        <w:trPr>
          <w:trHeight w:val="186"/>
        </w:trPr>
        <w:tc>
          <w:tcPr>
            <w:tcW w:w="5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7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39,426</w:t>
            </w: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w:t>
            </w:r>
          </w:p>
        </w:tc>
      </w:tr>
      <w:tr>
        <w:trPr>
          <w:trHeight w:val="18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Distributed and undistributed earnings on restricted shares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(2,165)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19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available to stockholders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37,261</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w:t>
            </w: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(Numerator)</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r>
      <w:tr>
        <w:trPr>
          <w:trHeight w:val="18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Outstanding (Denominator)</w:t>
            </w:r>
          </w:p>
        </w:tc>
        <w:tc>
          <w:tcPr>
            <w:tcW w:w="10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9,771</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w:t>
            </w:r>
          </w:p>
        </w:tc>
      </w:tr>
      <w:tr>
        <w:trPr>
          <w:trHeight w:val="19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5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Net Income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assuming dilution (Numerator)</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37,261</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w:t>
            </w:r>
          </w:p>
        </w:tc>
      </w:tr>
      <w:tr>
        <w:trPr>
          <w:trHeight w:val="202"/>
        </w:trPr>
        <w:tc>
          <w:tcPr>
            <w:tcW w:w="5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0"/>
        </w:trPr>
        <w:tc>
          <w:tcPr>
            <w:tcW w:w="52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Shares </w:t>
            </w:r>
            <w:r>
              <w:rPr>
                <w:rFonts w:ascii="Times New Roman" w:cs="Times New Roman" w:eastAsia="Times New Roman" w:hAnsi="Times New Roman"/>
                <w:sz w:val="18"/>
                <w:szCs w:val="18"/>
                <w:color w:val="auto"/>
                <w:vertAlign w:val="superscript"/>
              </w:rPr>
              <w:t>(2)</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assuming dilution (Denominator)</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r>
    </w:tbl>
    <w:p>
      <w:pPr>
        <w:spacing w:after="0" w:line="10" w:lineRule="exact"/>
        <w:rPr>
          <w:sz w:val="20"/>
          <w:szCs w:val="20"/>
          <w:color w:val="auto"/>
        </w:rPr>
      </w:pPr>
    </w:p>
    <w:p>
      <w:pPr>
        <w:ind w:left="440" w:right="460" w:firstLine="9"/>
        <w:spacing w:after="0"/>
        <w:tabs>
          <w:tab w:leader="none" w:pos="568"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impact of 317,722 shares of unvested Common Stock and 108,740 shares of unvested Class B Stock, restricted stock was anti-dilutive therefore not included in the calculation of diluted EPS for the year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-94615</wp:posOffset>
            </wp:positionV>
            <wp:extent cx="21494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89" w:right="479" w:bottom="1440" w:gutter="0" w:footer="0" w:header="0"/>
        </w:sectPr>
      </w:pPr>
    </w:p>
    <w:bookmarkStart w:id="57" w:name="page58"/>
    <w:bookmarkEnd w:id="57"/>
    <w:tbl>
      <w:tblPr>
        <w:tblLayout w:type="fixed"/>
        <w:tblInd w:w="44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July 31, 2023</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5"/>
        </w:trPr>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6"/>
          </w:tcPr>
          <w:p>
            <w:pPr>
              <w:jc w:val="center"/>
              <w:ind w:left="129"/>
              <w:spacing w:after="0"/>
              <w:rPr>
                <w:sz w:val="20"/>
                <w:szCs w:val="20"/>
                <w:color w:val="auto"/>
              </w:rPr>
            </w:pPr>
            <w:r>
              <w:rPr>
                <w:rFonts w:ascii="Times New Roman" w:cs="Times New Roman" w:eastAsia="Times New Roman" w:hAnsi="Times New Roman"/>
                <w:sz w:val="14"/>
                <w:szCs w:val="14"/>
                <w:color w:val="auto"/>
              </w:rPr>
              <w:t>(in thousands, except for per share data)</w:t>
            </w:r>
          </w:p>
        </w:tc>
        <w:tc>
          <w:tcPr>
            <w:tcW w:w="1240" w:type="dxa"/>
            <w:vAlign w:val="bottom"/>
          </w:tcPr>
          <w:p>
            <w:pPr>
              <w:spacing w:after="0"/>
              <w:rPr>
                <w:sz w:val="14"/>
                <w:szCs w:val="14"/>
                <w:color w:val="auto"/>
              </w:rPr>
            </w:pPr>
          </w:p>
        </w:tc>
      </w:tr>
      <w:tr>
        <w:trPr>
          <w:trHeight w:val="186"/>
        </w:trPr>
        <w:tc>
          <w:tcPr>
            <w:tcW w:w="5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7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29,551</w:t>
            </w: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22,712</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r>
      <w:tr>
        <w:trPr>
          <w:trHeight w:val="18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Distributed and undistributed earnings on restricted shares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(1,518)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9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available to stockholders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28,033</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(Numerator)</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w:t>
            </w:r>
          </w:p>
        </w:tc>
      </w:tr>
      <w:tr>
        <w:trPr>
          <w:trHeight w:val="18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Outstanding (Denominator)</w:t>
            </w:r>
          </w:p>
        </w:tc>
        <w:tc>
          <w:tcPr>
            <w:tcW w:w="10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9,651</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w:t>
            </w:r>
          </w:p>
        </w:tc>
      </w:tr>
      <w:tr>
        <w:trPr>
          <w:trHeight w:val="19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5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Net Income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assuming dilution (Numerator)</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28,033</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w:t>
            </w:r>
          </w:p>
        </w:tc>
      </w:tr>
      <w:tr>
        <w:trPr>
          <w:trHeight w:val="202"/>
        </w:trPr>
        <w:tc>
          <w:tcPr>
            <w:tcW w:w="5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0"/>
        </w:trPr>
        <w:tc>
          <w:tcPr>
            <w:tcW w:w="52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dilution - Shares </w:t>
            </w:r>
            <w:r>
              <w:rPr>
                <w:rFonts w:ascii="Times New Roman" w:cs="Times New Roman" w:eastAsia="Times New Roman" w:hAnsi="Times New Roman"/>
                <w:sz w:val="18"/>
                <w:szCs w:val="18"/>
                <w:color w:val="auto"/>
                <w:vertAlign w:val="superscript"/>
              </w:rPr>
              <w:t>(2)</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assuming dilution (Denominator)</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r>
    </w:tbl>
    <w:p>
      <w:pPr>
        <w:spacing w:after="0" w:line="10" w:lineRule="exact"/>
        <w:rPr>
          <w:sz w:val="20"/>
          <w:szCs w:val="20"/>
          <w:color w:val="auto"/>
        </w:rPr>
      </w:pPr>
    </w:p>
    <w:p>
      <w:pPr>
        <w:ind w:left="440" w:right="500" w:firstLine="9"/>
        <w:spacing w:after="0"/>
        <w:tabs>
          <w:tab w:leader="none" w:pos="568"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impact of 314,064 shares of unvested Common Stock and 71,390 shares of unvested Class B Stock, restricted stock was anti-dilutive therefore not included in the calculation of diluted EPS for the year ended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-94615</wp:posOffset>
            </wp:positionV>
            <wp:extent cx="21494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EW</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7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No. 2023-07, "Segment Reporting (Topic 280): Improvements to Reportable Segment Disclosures" ("ASU 2023-07").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Refer to Note 3 - Operating Segments of this Form 10-K for the enhanced disclosures added as a result of the adoption of ASU 2023-07.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Adopted</w:t>
      </w:r>
    </w:p>
    <w:p>
      <w:pPr>
        <w:spacing w:after="0" w:line="17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3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NOTE 2 –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Ultra Pet acquisition</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May 1, 2024, pursuant to a Stock Purchase Agreement (the “Purchase Agreement”), dated April 16, 2024, we acquired all of the issued and outstanding shares of capital stock of Ultra Pet, in order to enter into the crystal cat litter segment. Ultra Pet became a wholly owned and consolidated subsidiary of Oil-Dri within the Retail and Wholesale Products Group operating segment, upon the closing of the acquisition on May 1, 2024.</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purchase was financed through cash on hand, a $10 million advance under the Credit Agreement, and the issuance of $10 million in aggregate principal amount of 6.47% Series D Senior Notes due April 30, 2033, pursuant to the shelf facility provisions of the Note Agreement. Debt issuance costs of $0.1 million were deferred and are being amortized over the life of the note. During fiscal year 2025, the 10 million advance under the Credit Agreement was repaid in full. Refer to Note 4 of the Consolidated Financial Statements for additional details regarding the debt used in funding the acquisition.</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July 31, 2025, the Company has completed the assessment to assign fair values to all tangible and intangible assets acquired and liabilities assumed. During fiscal year 2025, goodwill increased $0.6 million as a result of measurement period adjustments to inventory, accounts receivable, deferred tax and other assets and to account for the final purchase price adjustments. The following table summarizes the final consideration paid and fair value of the assets acquired, and liabilities assumed at the acquisition date.</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5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8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net of cash acquired and restricted cash</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44,413</w:t>
            </w:r>
          </w:p>
        </w:tc>
      </w:tr>
      <w:tr>
        <w:trPr>
          <w:trHeight w:val="39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6,751</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list</w:t>
            </w: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liabilities</w:t>
            </w: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liabilities</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r>
      <w:tr>
        <w:trPr>
          <w:trHeight w:val="18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w:t>
            </w:r>
          </w:p>
        </w:tc>
      </w:tr>
      <w:tr>
        <w:trPr>
          <w:trHeight w:val="17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32,014</w:t>
            </w:r>
          </w:p>
        </w:tc>
      </w:tr>
      <w:tr>
        <w:trPr>
          <w:trHeight w:val="171"/>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12,399</w:t>
            </w: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44,413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Various fair value methodologies were used for the valuation of identifiable intangibles including the 'excess earnings method' used for the valuation of the customer list and 'relief from royalty' method used for the valuation of the trade name. Our fair value was based on the projected financial information and unobservable inputs including revenue growth rate, weighted average cost of capital, royalty rate, and customer attrition rates. Finished goods inventory was valued using the net realizable value approach and approximate the selling price less disposal costs and allowance for a reasonable profit. The goodwill of $12.4 million arising from the acquisition consists largely of intangible assets that do not qualify for separate recognition and were fully assigned to our Retail and Wholesale Products Group. None of the goodwill recognized is expected to be deductible for income tax purposes.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Ultra Pet contributed net sales of $4.8 million and pre-tax income of $0.2 million for the period from May 1, 2024, to July 31, 2024, net of acquisition adjustments including non-cash inventory fair value step up amortization included in cost of goods sold and customer list amortization included in SG&amp;A. The total fair value step up adjustment to inventory was $0.8 million of which $0.4 million was amortized in fiscal year 2024 and the remainder in fiscal year 2025. The following unaudited pro forma summary presents consolidated information of Oil-Dri as if the business combination had occurred on August 1, 2022.</w:t>
      </w:r>
    </w:p>
    <w:p>
      <w:pPr>
        <w:spacing w:after="0" w:line="203"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450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Pro forma year ended July 31,</w:t>
            </w:r>
          </w:p>
        </w:tc>
      </w:tr>
      <w:tr>
        <w:trPr>
          <w:trHeight w:val="181"/>
        </w:trPr>
        <w:tc>
          <w:tcPr>
            <w:tcW w:w="3340" w:type="dxa"/>
            <w:vAlign w:val="bottom"/>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$455,139</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$435,093</w:t>
            </w: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Pre-Tax Net Income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$52,999</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$35,489</w:t>
            </w: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pro forma amounts above have been calculated after applying Oil-Dri’s accounting policies and adjusting the results of Ultra Pet, including the following adjustments:</w:t>
      </w:r>
    </w:p>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450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Pro forma year ended July 31,</w:t>
            </w:r>
          </w:p>
        </w:tc>
      </w:tr>
      <w:tr>
        <w:trPr>
          <w:trHeight w:val="181"/>
        </w:trPr>
        <w:tc>
          <w:tcPr>
            <w:tcW w:w="3340" w:type="dxa"/>
            <w:vAlign w:val="bottom"/>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related expenses (a)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(b)</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$(1,158)</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$(1,323)</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list amortization (c)</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$(850)</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$(1,133)</w:t>
            </w: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step up adjustment (d)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$449</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$(783)</w:t>
            </w:r>
          </w:p>
        </w:tc>
      </w:tr>
    </w:tbl>
    <w:p>
      <w:pPr>
        <w:spacing w:after="0" w:line="60" w:lineRule="exact"/>
        <w:rPr>
          <w:sz w:val="20"/>
          <w:szCs w:val="20"/>
          <w:color w:val="auto"/>
        </w:rPr>
      </w:pPr>
    </w:p>
    <w:p>
      <w:pPr>
        <w:ind w:left="200" w:hanging="195"/>
        <w:spacing w:after="0" w:line="263" w:lineRule="auto"/>
        <w:tabs>
          <w:tab w:leader="none" w:pos="20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for acquisition related expenses reflects the reversal of legal and other professional fees and integration costs incurred in fiscal year 2024. These expenses are included in general and administrative expense on Oil-Dri consolidated income statement.</w:t>
      </w:r>
    </w:p>
    <w:p>
      <w:pPr>
        <w:ind w:left="200" w:hanging="195"/>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adjustments reflect higher interest expense associated with financing the Ultra Pet acquisition assuming financing occurred August 1, 2022.</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list amortization adjustment reflects additional amortization assuming amortization began on August 1, 2022.</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 up adjustment reflects the reversal of the amortization recognized in fiscal year 2024 and recognition of the full step up adjustment in fiscal year 2023.</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OPERATING SEGMENTS</w:t>
      </w:r>
    </w:p>
    <w:p>
      <w:pPr>
        <w:spacing w:after="0" w:line="19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Given the similar nature of products and customers, sales of our silica gel based crystal litter are included with our cat litter products and reported as part of the Retail and Wholesale products group segment.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4"/>
          <w:szCs w:val="14"/>
          <w:color w:val="auto"/>
        </w:rPr>
        <w:t>Net sales for our principal products by segment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r>
      <w:tr>
        <w:trPr>
          <w:trHeight w:val="171"/>
        </w:trPr>
        <w:tc>
          <w:tcPr>
            <w:tcW w:w="3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71"/>
        </w:trPr>
        <w:tc>
          <w:tcPr>
            <w:tcW w:w="372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Cat Litter</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255,926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226,335</w:t>
            </w: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 and Sports</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47,050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44,291</w:t>
            </w: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Bleaching Clay and Fluids Purification</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110,105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92,464</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Animal Health and Nutrition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24,449</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182,596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150,471</w:t>
            </w:r>
          </w:p>
        </w:tc>
        <w:tc>
          <w:tcPr>
            <w:tcW w:w="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142,395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302,976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287,116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270,626</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chief operating decision maker (“CODM”) is our President and CEO. The CODM regularly reviews net sales, gross profit, and operating income by segment to assess profitability and</w:t>
      </w:r>
    </w:p>
    <w:p>
      <w:pPr>
        <w:spacing w:after="0" w:line="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benefits, and advertising. The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w:t>
      </w:r>
    </w:p>
    <w:p>
      <w:pPr>
        <w:spacing w:after="0" w:line="125" w:lineRule="exact"/>
        <w:rPr>
          <w:sz w:val="20"/>
          <w:szCs w:val="20"/>
          <w:color w:val="auto"/>
        </w:rPr>
      </w:pPr>
    </w:p>
    <w:p>
      <w:pPr>
        <w:jc w:val="both"/>
        <w:ind w:firstLine="187"/>
        <w:spacing w:after="0" w:line="262" w:lineRule="auto"/>
        <w:rPr>
          <w:sz w:val="20"/>
          <w:szCs w:val="20"/>
          <w:color w:val="auto"/>
        </w:rPr>
      </w:pPr>
      <w:r>
        <w:rPr>
          <w:rFonts w:ascii="Times New Roman" w:cs="Times New Roman" w:eastAsia="Times New Roman" w:hAnsi="Times New Roman"/>
          <w:sz w:val="14"/>
          <w:szCs w:val="14"/>
          <w:color w:val="auto"/>
        </w:rPr>
        <w:t>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 Corporate expenses also include the annual incentive plan bonus accrual.</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July 31, 2025</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3"/>
                <w:szCs w:val="13"/>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20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Business to Business Products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Retail and Wholesale Products</w:t>
            </w:r>
          </w:p>
        </w:tc>
        <w:tc>
          <w:tcPr>
            <w:tcW w:w="280" w:type="dxa"/>
            <w:vAlign w:val="bottom"/>
          </w:tcPr>
          <w:p>
            <w:pPr>
              <w:spacing w:after="0"/>
              <w:rPr>
                <w:sz w:val="13"/>
                <w:szCs w:val="13"/>
                <w:color w:val="auto"/>
              </w:rPr>
            </w:pPr>
          </w:p>
        </w:tc>
        <w:tc>
          <w:tcPr>
            <w:tcW w:w="1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182,596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302,976</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485,572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(106,691)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(235,798)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(342,489)</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75,905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67,178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143,083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6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59,796</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44,137</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103,933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16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6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68,220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66,211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(12,215)</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6"/>
                <w:szCs w:val="16"/>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53,996</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929"/>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6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61" w:name="page62"/>
    <w:bookmarkEnd w:id="61"/>
    <w:tbl>
      <w:tblPr>
        <w:tblLayout w:type="fixed"/>
        <w:tblInd w:w="8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July 31, 2024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2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Business to Business Products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Retail and Wholesale Products</w:t>
            </w:r>
          </w:p>
        </w:tc>
        <w:tc>
          <w:tcPr>
            <w:tcW w:w="300" w:type="dxa"/>
            <w:vAlign w:val="bottom"/>
          </w:tcPr>
          <w:p>
            <w:pPr>
              <w:spacing w:after="0"/>
              <w:rPr>
                <w:sz w:val="13"/>
                <w:szCs w:val="13"/>
                <w:color w:val="auto"/>
              </w:rPr>
            </w:pPr>
          </w:p>
        </w:tc>
        <w:tc>
          <w:tcPr>
            <w:tcW w:w="102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150,471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287,116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437,587</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(89,789)</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(222,704)</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(312,493)</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60,682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64,412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125,094</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w:t>
            </w: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45,589</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43,804</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89,393</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(37,748)</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51,645</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49,651</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39,426</w:t>
            </w:r>
          </w:p>
        </w:tc>
        <w:tc>
          <w:tcPr>
            <w:tcW w:w="0" w:type="dxa"/>
            <w:vAlign w:val="bottom"/>
          </w:tcPr>
          <w:p>
            <w:pPr>
              <w:spacing w:after="0"/>
              <w:rPr>
                <w:sz w:val="1"/>
                <w:szCs w:val="1"/>
                <w:color w:val="auto"/>
              </w:rPr>
            </w:pPr>
          </w:p>
        </w:tc>
      </w:tr>
      <w:tr>
        <w:trPr>
          <w:trHeight w:val="531"/>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July 31, 2023</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2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Business to Business Products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Retail and Wholesale Products</w:t>
            </w:r>
          </w:p>
        </w:tc>
        <w:tc>
          <w:tcPr>
            <w:tcW w:w="300" w:type="dxa"/>
            <w:vAlign w:val="bottom"/>
          </w:tcPr>
          <w:p>
            <w:pPr>
              <w:spacing w:after="0"/>
              <w:rPr>
                <w:sz w:val="13"/>
                <w:szCs w:val="13"/>
                <w:color w:val="auto"/>
              </w:rPr>
            </w:pPr>
          </w:p>
        </w:tc>
        <w:tc>
          <w:tcPr>
            <w:tcW w:w="102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270,626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413,021</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(89,857)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(219,937)</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(309,794)</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52,538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50,689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103,227</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w:t>
            </w: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37,677</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33,792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71,469</w:t>
            </w:r>
          </w:p>
        </w:tc>
        <w:tc>
          <w:tcPr>
            <w:tcW w:w="0" w:type="dxa"/>
            <w:vAlign w:val="bottom"/>
          </w:tcPr>
          <w:p>
            <w:pPr>
              <w:spacing w:after="0"/>
              <w:rPr>
                <w:sz w:val="1"/>
                <w:szCs w:val="1"/>
                <w:color w:val="auto"/>
              </w:rPr>
            </w:pPr>
          </w:p>
        </w:tc>
      </w:tr>
      <w:tr>
        <w:trPr>
          <w:trHeight w:val="16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14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(30,429)</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41,040</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34,678</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29,483</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Oil-Dri</w:t>
            </w:r>
          </w:p>
        </w:tc>
        <w:tc>
          <w:tcPr>
            <w:tcW w:w="14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29,551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do not rely on any operating segment asset allocations and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Business to Business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-99060</wp:posOffset>
            </wp:positionV>
            <wp:extent cx="654177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1770" cy="1143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Retail and Wholesale Products</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Unallocated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-101600</wp:posOffset>
            </wp:positionV>
            <wp:extent cx="6541770"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1770" cy="114300"/>
                    </a:xfrm>
                    <a:prstGeom prst="rect">
                      <a:avLst/>
                    </a:prstGeom>
                    <a:noFill/>
                  </pic:spPr>
                </pic:pic>
              </a:graphicData>
            </a:graphic>
          </wp:anchor>
        </w:drawing>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summary by fiscal year of financial information by geographic region (in thousands):</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8192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1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5"/>
        </w:trPr>
        <w:tc>
          <w:tcPr>
            <w:tcW w:w="300" w:type="dxa"/>
            <w:vAlign w:val="bottom"/>
          </w:tcPr>
          <w:p>
            <w:pPr>
              <w:spacing w:after="0"/>
              <w:rPr>
                <w:sz w:val="14"/>
                <w:szCs w:val="1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4"/>
                <w:szCs w:val="14"/>
                <w:color w:val="auto"/>
              </w:rPr>
            </w:pPr>
          </w:p>
        </w:tc>
      </w:tr>
      <w:tr>
        <w:trPr>
          <w:trHeight w:val="180"/>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104,857</w:t>
            </w:r>
          </w:p>
        </w:tc>
        <w:tc>
          <w:tcPr>
            <w:tcW w:w="24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92,300</w:t>
            </w:r>
          </w:p>
        </w:tc>
      </w:tr>
      <w:tr>
        <w:trPr>
          <w:trHeight w:val="180"/>
        </w:trPr>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200,644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200,187</w:t>
            </w:r>
          </w:p>
        </w:tc>
      </w:tr>
      <w:tr>
        <w:trPr>
          <w:trHeight w:val="186"/>
        </w:trPr>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86,176</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62,118</w:t>
            </w:r>
          </w:p>
        </w:tc>
      </w:tr>
      <w:tr>
        <w:trPr>
          <w:trHeight w:val="171"/>
        </w:trPr>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391,677</w:t>
            </w: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354,605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50" w:lineRule="exact"/>
        <w:rPr>
          <w:sz w:val="20"/>
          <w:szCs w:val="20"/>
          <w:color w:val="auto"/>
        </w:rPr>
      </w:pPr>
    </w:p>
    <w:p>
      <w:pPr>
        <w:sectPr>
          <w:pgSz w:w="11900" w:h="16838" w:orient="portrait"/>
          <w:cols w:equalWidth="0" w:num="2">
            <w:col w:w="7460" w:space="720"/>
            <w:col w:w="3100"/>
          </w:cols>
          <w:pgMar w:left="300" w:top="759" w:right="319" w:bottom="1440" w:gutter="0" w:footer="0" w:header="0"/>
        </w:sectPr>
      </w:pPr>
    </w:p>
    <w:tbl>
      <w:tblPr>
        <w:tblLayout w:type="fixed"/>
        <w:tblInd w:w="114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to unaffiliated customers by:</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Domestic operations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465,451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416,603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390,963</w:t>
            </w:r>
          </w:p>
        </w:tc>
      </w:tr>
      <w:tr>
        <w:trPr>
          <w:trHeight w:val="180"/>
        </w:trPr>
        <w:tc>
          <w:tcPr>
            <w:tcW w:w="4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Foreign subsidiaries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20,121</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20,984</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22,058</w:t>
            </w: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or transfers between geographic areas: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4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Domestic operations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6,534</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r>
      <w:tr>
        <w:trPr>
          <w:trHeight w:val="180"/>
        </w:trPr>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Foreign subsidiaries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Domestic operations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66,285</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48,995</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33,686</w:t>
            </w:r>
          </w:p>
        </w:tc>
      </w:tr>
      <w:tr>
        <w:trPr>
          <w:trHeight w:val="180"/>
        </w:trPr>
        <w:tc>
          <w:tcPr>
            <w:tcW w:w="4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Foreign subsidiaries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 attributable to Oil-Dri:</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4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Domestic operations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55,192</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39,729</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28,494</w:t>
            </w:r>
          </w:p>
        </w:tc>
      </w:tr>
      <w:tr>
        <w:trPr>
          <w:trHeight w:val="180"/>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Foreign subsidiaries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(1,196)</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Identifiable assets: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Domestic operations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382,634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345,934</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271,627</w:t>
            </w:r>
          </w:p>
        </w:tc>
      </w:tr>
      <w:tr>
        <w:trPr>
          <w:trHeight w:val="186"/>
        </w:trPr>
        <w:tc>
          <w:tcPr>
            <w:tcW w:w="4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Foreign subsidiaries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9,043</w:t>
            </w:r>
          </w:p>
        </w:tc>
        <w:tc>
          <w:tcPr>
            <w:tcW w:w="2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w:t>
            </w:r>
          </w:p>
        </w:tc>
        <w:tc>
          <w:tcPr>
            <w:tcW w:w="1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14,608</w:t>
            </w:r>
          </w:p>
        </w:tc>
      </w:tr>
    </w:tbl>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Included within identifiable assets for our foreign subsidiaries is cash held at foreign banks of $4.7 million and $4.5 million as of July 31, 2025, and July 31, 2024, respectively.</w:t>
      </w:r>
    </w:p>
    <w:p>
      <w:pPr>
        <w:spacing w:after="0" w:line="17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Sales to Walmart, our largest customer, are included in our Retail and Wholesale Products Group. The percentage of consolidated net sales and net accounts receivable attributed to Walmart are shown in the table below:</w:t>
      </w:r>
    </w:p>
    <w:p>
      <w:pPr>
        <w:spacing w:after="0" w:line="59"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46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for the years ended July 31</w:t>
            </w:r>
          </w:p>
        </w:tc>
        <w:tc>
          <w:tcPr>
            <w:tcW w:w="11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r>
      <w:tr>
        <w:trPr>
          <w:trHeight w:val="18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accounts receivable as of July 31</w:t>
            </w:r>
          </w:p>
        </w:tc>
        <w:tc>
          <w:tcPr>
            <w:tcW w:w="11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23%</w:t>
            </w:r>
          </w:p>
        </w:tc>
        <w:tc>
          <w:tcPr>
            <w:tcW w:w="3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r>
    </w:tbl>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are no other customers with sales equal to or greater than 10% of our total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DEBT</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The composition of long-term debt is as follows as of July 31 (in thousands):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8"/>
        </w:trPr>
        <w:tc>
          <w:tcPr>
            <w:tcW w:w="85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Amended and Restated Note Purchase and Private Shelf Agreement. Annual principal installments on May 15: $1,000 in each fiscal year 2021</w:t>
            </w:r>
          </w:p>
        </w:tc>
        <w:tc>
          <w:tcPr>
            <w:tcW w:w="760" w:type="dxa"/>
            <w:vAlign w:val="bottom"/>
            <w:vMerge w:val="restart"/>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w:t>
            </w: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through 2030. Interest is payable semi-annually at an annual rate of 3.95% [Series B]</w:t>
            </w:r>
          </w:p>
        </w:tc>
        <w:tc>
          <w:tcPr>
            <w:tcW w:w="76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38"/>
        </w:trPr>
        <w:tc>
          <w:tcPr>
            <w:tcW w:w="85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Amended and Restated Note Purchase and Private Shelf Agreement. Annual principal installments on Dec 15: $5,000 in each fiscal year 2028</w:t>
            </w:r>
          </w:p>
        </w:tc>
        <w:tc>
          <w:tcPr>
            <w:tcW w:w="7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25,000</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through 2032. Interest is payable semi-annually at an annual rate of 3.25% [Series C]</w:t>
            </w:r>
          </w:p>
        </w:tc>
        <w:tc>
          <w:tcPr>
            <w:tcW w:w="7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38"/>
        </w:trPr>
        <w:tc>
          <w:tcPr>
            <w:tcW w:w="85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Amended and Restated Note Purchase and Private Shelf Agreement. Annual principal installments on April 30: $5,000 in each fiscal year 2032</w:t>
            </w:r>
          </w:p>
        </w:tc>
        <w:tc>
          <w:tcPr>
            <w:tcW w:w="7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10,000</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through 2033. Interest is payable semi-annually at an annual rate of 6.47% [Series D]</w:t>
            </w:r>
          </w:p>
        </w:tc>
        <w:tc>
          <w:tcPr>
            <w:tcW w:w="7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Amendment to Credit Agreement. Full principal amount is due on May 1, 2026</w:t>
            </w:r>
          </w:p>
        </w:tc>
        <w:tc>
          <w:tcPr>
            <w:tcW w:w="76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maturities of notes payable</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(1,000)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38,817</w:t>
            </w: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are party to the Note Agreement with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$5 million aggregate principal amount remained outstanding as of July 31, 2025, (ii) on December 16, 2021, we issued an additional $25 million in aggregate principal amount of our 3.25% Series C Senior Notes due December 16, 2031 (the "Series C Senior Notes"), all of which remained outstanding as of July 31, 2025, and (iii) on April 30, 2024 we issued $10 million in aggregate principal amount of our 6.47% Series D Senior Notes due April 30, 2033 (the "Series D Senior Notes"), all of which remained outstanding as of July 31, 2025. The Note Agreement also provides us with the ability to request, from time to time until September 30, 2029,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schedule by fiscal year of future principal maturities of notes payable as of July 31, 2025 (in thousands):</w:t>
      </w:r>
    </w:p>
    <w:p>
      <w:pPr>
        <w:spacing w:after="0" w:line="119" w:lineRule="exact"/>
        <w:rPr>
          <w:sz w:val="20"/>
          <w:szCs w:val="20"/>
          <w:color w:val="auto"/>
        </w:rPr>
      </w:pPr>
    </w:p>
    <w:tbl>
      <w:tblPr>
        <w:tblLayout w:type="fixed"/>
        <w:tblInd w:w="3980" w:type="dxa"/>
        <w:tblCellMar>
          <w:top w:w="0" w:type="dxa"/>
          <w:left w:w="0" w:type="dxa"/>
          <w:bottom w:w="0" w:type="dxa"/>
          <w:right w:w="0" w:type="dxa"/>
        </w:tblCellMar>
      </w:tblPr>
      <w:tr>
        <w:trPr>
          <w:trHeight w:val="180"/>
        </w:trPr>
        <w:tc>
          <w:tcPr>
            <w:tcW w:w="10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99"/>
              </w:rPr>
              <w:t>2026</w:t>
            </w:r>
          </w:p>
        </w:tc>
        <w:tc>
          <w:tcPr>
            <w:tcW w:w="13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10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99"/>
              </w:rPr>
              <w:t>2027</w:t>
            </w:r>
          </w:p>
        </w:tc>
        <w:tc>
          <w:tcPr>
            <w:tcW w:w="1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10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99"/>
              </w:rPr>
              <w:t>2028</w:t>
            </w: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10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99"/>
              </w:rPr>
              <w:t>2029</w:t>
            </w:r>
          </w:p>
        </w:tc>
        <w:tc>
          <w:tcPr>
            <w:tcW w:w="1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10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99"/>
              </w:rPr>
              <w:t>2030</w:t>
            </w: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party to the Credit Agreement with BMO Harris, which provides for a $75 million unsecured revolving credit facility, including a maximum of $20 million for letters of credit.</w:t>
      </w:r>
    </w:p>
    <w:p>
      <w:pPr>
        <w:spacing w:after="0" w:line="20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Harris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July 31, 2025, and July 31, 2024, we were in compliance with the restrictive covenants under the Credit Agreement. During fiscal year 2025, there were no new borrowings; however, we elected to pay down $10 million of our borrowings under the Credit Agreement. As of July 31, 2025, we do not have any outstanding borrowings under the Credit Agreement. We had $3.0 million of letters of credit outstanding under the Credit Agreement as of July 31, 2025, and $2.9 million as of July 31, 2024.</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Credit Agreement states that we may select a variable interest rate based on either the Bank of Montreal ("BMO") prime rate or an adjusted SOFR-based rate, plus a margin that varies depending on our debt to earnings ratio, or a fixed rate as agreed between us and BMO. As of July 31, 2025, the variable rates would have been 7.50% for the BMO prime-based rate or 5.55% for the adjusted SOFR-based rate.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Unobservable inputs.</w:t>
      </w:r>
    </w:p>
    <w:p>
      <w:pPr>
        <w:spacing w:after="0" w:line="18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Cash equivalents are classified as Level 1 of the fair value hierarchy because they are valued using quoted market prices in active markets. These cash instruments are primarily money market funds and are included in cash and cash equivalents on the Consolidated Balance Sheets. We had $35.3 million cash equivalents as of July 31, 2025, and had $3.0 million cash equivalents as of July 31, 2024.</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Balances of accounts receivable, short-term investments and accounts payable approximated their fair values on July 31, 2025, and July 31, 2024, due to the short maturity and nature of those balances.</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Debt is reported at outstanding face value, less unamortized debt issuance costs. The estimated fair value of debt, including current maturities, was approximately $40.3 million as of July 31, 2025, and $51.1 million as of July 31, 2024. The fair value was estimated using the exit price notion of fair value and is classified as Level 2. See Note 4 of the Notes to the Consolidated Financial Statements for further information about such debt.</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INCOME TAXES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61"/>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provision for income tax expense by fiscal year consists of the following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17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17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1"/>
        </w:trPr>
        <w:tc>
          <w:tcPr>
            <w:tcW w:w="176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w:t>
            </w:r>
          </w:p>
        </w:tc>
      </w:tr>
      <w:tr>
        <w:trPr>
          <w:trHeight w:val="180"/>
        </w:trPr>
        <w:tc>
          <w:tcPr>
            <w:tcW w:w="176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180"/>
        </w:trPr>
        <w:tc>
          <w:tcPr>
            <w:tcW w:w="176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1760" w:type="dxa"/>
            <w:vAlign w:val="bottom"/>
          </w:tcPr>
          <w:p>
            <w:pPr>
              <w:spacing w:after="0"/>
              <w:rPr>
                <w:sz w:val="14"/>
                <w:szCs w:val="14"/>
                <w:color w:val="auto"/>
              </w:rPr>
            </w:pPr>
          </w:p>
        </w:tc>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Current Income Tax Total</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11,975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9,626</w:t>
            </w:r>
          </w:p>
        </w:tc>
      </w:tr>
      <w:tr>
        <w:trPr>
          <w:trHeight w:val="171"/>
        </w:trPr>
        <w:tc>
          <w:tcPr>
            <w:tcW w:w="1760" w:type="dxa"/>
            <w:vAlign w:val="bottom"/>
          </w:tcPr>
          <w:p>
            <w:pPr>
              <w:spacing w:after="0"/>
              <w:rPr>
                <w:sz w:val="14"/>
                <w:szCs w:val="14"/>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176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r>
      <w:tr>
        <w:trPr>
          <w:trHeight w:val="180"/>
        </w:trPr>
        <w:tc>
          <w:tcPr>
            <w:tcW w:w="176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180"/>
        </w:trPr>
        <w:tc>
          <w:tcPr>
            <w:tcW w:w="1760" w:type="dxa"/>
            <w:vAlign w:val="bottom"/>
          </w:tcPr>
          <w:p>
            <w:pPr>
              <w:spacing w:after="0"/>
              <w:rPr>
                <w:sz w:val="15"/>
                <w:szCs w:val="15"/>
                <w:color w:val="auto"/>
              </w:rPr>
            </w:pPr>
          </w:p>
        </w:tc>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760" w:type="dxa"/>
            <w:vAlign w:val="bottom"/>
          </w:tcPr>
          <w:p>
            <w:pPr>
              <w:spacing w:after="0"/>
              <w:rPr>
                <w:sz w:val="14"/>
                <w:szCs w:val="14"/>
                <w:color w:val="auto"/>
              </w:rPr>
            </w:pPr>
          </w:p>
        </w:tc>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 Total</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w:t>
            </w:r>
          </w:p>
        </w:tc>
      </w:tr>
      <w:tr>
        <w:trPr>
          <w:trHeight w:val="171"/>
        </w:trPr>
        <w:tc>
          <w:tcPr>
            <w:tcW w:w="17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12,215</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r>
      <w:tr>
        <w:trPr>
          <w:trHeight w:val="20"/>
        </w:trPr>
        <w:tc>
          <w:tcPr>
            <w:tcW w:w="1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reasons for variations between the statutory federal rate and the effective rates by fiscal year were as follows: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460" w:type="dxa"/>
            <w:vAlign w:val="bottom"/>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60" w:type="dxa"/>
            <w:vAlign w:val="bottom"/>
          </w:tcPr>
          <w:p>
            <w:pPr>
              <w:spacing w:after="0"/>
              <w:rPr>
                <w:sz w:val="14"/>
                <w:szCs w:val="14"/>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income tax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21.0 %</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4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Depletion deductions allowed for mining</w:t>
            </w: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(4.5)</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460" w:type="dxa"/>
            <w:vAlign w:val="bottom"/>
          </w:tcPr>
          <w:p>
            <w:pPr>
              <w:spacing w:after="0"/>
              <w:rPr>
                <w:sz w:val="15"/>
                <w:szCs w:val="15"/>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 expense, net of federal tax expense</w:t>
            </w:r>
          </w:p>
        </w:tc>
        <w:tc>
          <w:tcPr>
            <w:tcW w:w="11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3.6</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4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officer compensation</w:t>
            </w:r>
          </w:p>
        </w:tc>
        <w:tc>
          <w:tcPr>
            <w:tcW w:w="11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60" w:type="dxa"/>
            <w:vAlign w:val="bottom"/>
          </w:tcPr>
          <w:p>
            <w:pPr>
              <w:spacing w:after="0"/>
              <w:rPr>
                <w:sz w:val="15"/>
                <w:szCs w:val="15"/>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(1.0)</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Tax Impacts of Foreign Branch</w:t>
            </w:r>
          </w:p>
        </w:tc>
        <w:tc>
          <w:tcPr>
            <w:tcW w:w="11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0.4</w:t>
            </w:r>
          </w:p>
        </w:tc>
        <w:tc>
          <w:tcPr>
            <w:tcW w:w="2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460" w:type="dxa"/>
            <w:vAlign w:val="bottom"/>
          </w:tcPr>
          <w:p>
            <w:pPr>
              <w:spacing w:after="0"/>
              <w:rPr>
                <w:sz w:val="15"/>
                <w:szCs w:val="15"/>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4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 - foreign</w:t>
            </w:r>
          </w:p>
        </w:tc>
        <w:tc>
          <w:tcPr>
            <w:tcW w:w="11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0.5</w:t>
            </w:r>
          </w:p>
        </w:tc>
        <w:tc>
          <w:tcPr>
            <w:tcW w:w="2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460" w:type="dxa"/>
            <w:vAlign w:val="bottom"/>
          </w:tcPr>
          <w:p>
            <w:pPr>
              <w:spacing w:after="0"/>
              <w:rPr>
                <w:sz w:val="15"/>
                <w:szCs w:val="15"/>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rate change of foreign subsidiaries</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year income taxes</w:t>
            </w: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(1.7)</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460" w:type="dxa"/>
            <w:vAlign w:val="bottom"/>
          </w:tcPr>
          <w:p>
            <w:pPr>
              <w:spacing w:after="0"/>
              <w:rPr>
                <w:sz w:val="15"/>
                <w:szCs w:val="15"/>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differential</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460" w:type="dxa"/>
            <w:vAlign w:val="bottom"/>
          </w:tcPr>
          <w:p>
            <w:pPr>
              <w:spacing w:after="0"/>
              <w:rPr>
                <w:sz w:val="15"/>
                <w:szCs w:val="15"/>
                <w:color w:val="auto"/>
              </w:rPr>
            </w:pPr>
          </w:p>
        </w:tc>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(0.6)</w:t>
            </w:r>
          </w:p>
        </w:tc>
        <w:tc>
          <w:tcPr>
            <w:tcW w:w="2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460" w:type="dxa"/>
            <w:vAlign w:val="bottom"/>
          </w:tcPr>
          <w:p>
            <w:pPr>
              <w:spacing w:after="0"/>
              <w:rPr>
                <w:sz w:val="16"/>
                <w:szCs w:val="16"/>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income tax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18.4 %</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20"/>
        </w:trPr>
        <w:tc>
          <w:tcPr>
            <w:tcW w:w="46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combination of tax credits claimed in fiscal year 2025 contributed to a reduction in the effective tax rate when compared to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00" w:top="728" w:right="919" w:bottom="1440" w:gutter="0" w:footer="0" w:header="0"/>
        </w:sectPr>
      </w:pPr>
    </w:p>
    <w:bookmarkStart w:id="66" w:name="page67"/>
    <w:bookmarkEnd w:id="66"/>
    <w:p>
      <w:pPr>
        <w:ind w:left="140"/>
        <w:spacing w:after="0"/>
        <w:rPr>
          <w:sz w:val="20"/>
          <w:szCs w:val="20"/>
          <w:color w:val="auto"/>
        </w:rPr>
      </w:pPr>
      <w:r>
        <w:rPr>
          <w:rFonts w:ascii="Times New Roman" w:cs="Times New Roman" w:eastAsia="Times New Roman" w:hAnsi="Times New Roman"/>
          <w:sz w:val="14"/>
          <w:szCs w:val="14"/>
          <w:color w:val="auto"/>
        </w:rPr>
        <w:t>The Consolidated Balance Sheets included the following tax effects of cumulative temporary differences as of July 31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5,863</w:t>
            </w:r>
          </w:p>
        </w:tc>
        <w:tc>
          <w:tcPr>
            <w:tcW w:w="22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3,961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right of use assets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&amp; State NOL carryforward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NOL carryforward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R&amp;D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Reclamation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Postretirement benefits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Depletion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 foreign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(2,846)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taxes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17,610</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16,968</w:t>
            </w:r>
          </w:p>
        </w:tc>
        <w:tc>
          <w:tcPr>
            <w:tcW w:w="0" w:type="dxa"/>
            <w:vAlign w:val="bottom"/>
          </w:tcPr>
          <w:p>
            <w:pPr>
              <w:spacing w:after="0"/>
              <w:rPr>
                <w:sz w:val="1"/>
                <w:szCs w:val="1"/>
                <w:color w:val="auto"/>
              </w:rPr>
            </w:pPr>
          </w:p>
        </w:tc>
      </w:tr>
      <w:tr>
        <w:trPr>
          <w:trHeight w:val="20"/>
        </w:trPr>
        <w:tc>
          <w:tcPr>
            <w:tcW w:w="60" w:type="dxa"/>
            <w:vAlign w:val="bottom"/>
            <w:vMerge w:val="continue"/>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60" w:type="dxa"/>
            <w:vAlign w:val="bottom"/>
            <w:vMerge w:val="continue"/>
          </w:tcPr>
          <w:p>
            <w:pPr>
              <w:spacing w:after="0"/>
              <w:rPr>
                <w:sz w:val="4"/>
                <w:szCs w:val="4"/>
                <w:color w:val="auto"/>
              </w:rPr>
            </w:pPr>
          </w:p>
        </w:tc>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assets and liabilities related to leases decrease as leases expire.</w:t>
      </w:r>
    </w:p>
    <w:p>
      <w:pPr>
        <w:spacing w:after="0" w:line="2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recorded a valuation allowance of $2.8 million and $2.5 million as of July 31, 2025 and July 31, 2024, respectively, for the amount of the deferred tax benefit related to our foreign net operating loss carryforwards and certain state net operating loss carryforwards since we believe it is unlikely we will realize the benefit of these tax attributes in the future. As of July 31, 2025, we have total net operating loss carryforwards from state jurisdictions of approximately $13.0 million. The carryforward expiration dates vary by state.</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With the exception of our foreign subsidiary in Canada, none of our foreign subsidiaries have generated any untaxed foreign income, therefore we have not provided for any related income taxes for these subsidiaries.</w:t>
      </w:r>
    </w:p>
    <w:p>
      <w:pPr>
        <w:spacing w:after="0" w:line="14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had no liabilities for unrecognized tax benefits based on tax positions related to the current and prior fiscal years as of July 31, 2025 and 2024; correspondingly, no related interest and penalties were recognized as income tax expense and there were no accruals for such items in either of these fiscal years.</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U.S. federal income tax as well as income tax in multiple state and foreign jurisdictions. We were audited by the Internal Revenue Service ("IRS") for fiscal year 2020 with no adjustments upon closure of the audit. The federal tax returns for fiscal years 2021-2024 remain open for examination.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6"/>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ACCUMULATED OTHER COMPREHENSIVE INCOME (LOSS)</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61"/>
        </w:trPr>
        <w:tc>
          <w:tcPr>
            <w:tcW w:w="850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The following table summarizes the changes in accumulated other comprehensive income by component (in thousands):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Postretirement Health</w:t>
            </w:r>
          </w:p>
        </w:tc>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Cumulative Translation</w:t>
            </w:r>
          </w:p>
        </w:tc>
        <w:tc>
          <w:tcPr>
            <w:tcW w:w="140" w:type="dxa"/>
            <w:vAlign w:val="bottom"/>
          </w:tcPr>
          <w:p>
            <w:pPr>
              <w:spacing w:after="0"/>
              <w:rPr>
                <w:sz w:val="24"/>
                <w:szCs w:val="24"/>
                <w:color w:val="auto"/>
              </w:rPr>
            </w:pPr>
          </w:p>
        </w:tc>
        <w:tc>
          <w:tcPr>
            <w:tcW w:w="21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 Accumulated Other</w:t>
            </w:r>
          </w:p>
        </w:tc>
      </w:tr>
      <w:tr>
        <w:trPr>
          <w:trHeight w:val="188"/>
        </w:trPr>
        <w:tc>
          <w:tcPr>
            <w:tcW w:w="5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0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21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Comprehensive (Loss) Income</w:t>
            </w:r>
          </w:p>
        </w:tc>
      </w:tr>
      <w:tr>
        <w:trPr>
          <w:trHeight w:val="173"/>
        </w:trPr>
        <w:tc>
          <w:tcPr>
            <w:tcW w:w="54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0"/>
        </w:trPr>
        <w:tc>
          <w:tcPr>
            <w:tcW w:w="54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 net of tax</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38"/>
        </w:trPr>
        <w:tc>
          <w:tcPr>
            <w:tcW w:w="540" w:type="dxa"/>
            <w:vAlign w:val="bottom"/>
          </w:tcPr>
          <w:p>
            <w:pPr>
              <w:spacing w:after="0"/>
              <w:rPr>
                <w:sz w:val="11"/>
                <w:szCs w:val="11"/>
                <w:color w:val="auto"/>
              </w:rPr>
            </w:pPr>
          </w:p>
        </w:tc>
        <w:tc>
          <w:tcPr>
            <w:tcW w:w="4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 net</w:t>
            </w: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r>
      <w:tr>
        <w:trPr>
          <w:trHeight w:val="191"/>
        </w:trPr>
        <w:tc>
          <w:tcPr>
            <w:tcW w:w="54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1"/>
        </w:trPr>
        <w:tc>
          <w:tcPr>
            <w:tcW w:w="540" w:type="dxa"/>
            <w:vAlign w:val="bottom"/>
          </w:tcPr>
          <w:p>
            <w:pPr>
              <w:spacing w:after="0"/>
              <w:rPr>
                <w:sz w:val="14"/>
                <w:szCs w:val="14"/>
                <w:color w:val="auto"/>
              </w:rPr>
            </w:pPr>
          </w:p>
        </w:tc>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income (loss), net of tax</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540" w:type="dxa"/>
            <w:vAlign w:val="bottom"/>
          </w:tcPr>
          <w:p>
            <w:pPr>
              <w:spacing w:after="0"/>
              <w:rPr>
                <w:sz w:val="14"/>
                <w:szCs w:val="14"/>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80"/>
        </w:trPr>
        <w:tc>
          <w:tcPr>
            <w:tcW w:w="54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 net of tax</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38"/>
        </w:trPr>
        <w:tc>
          <w:tcPr>
            <w:tcW w:w="540" w:type="dxa"/>
            <w:vAlign w:val="bottom"/>
          </w:tcPr>
          <w:p>
            <w:pPr>
              <w:spacing w:after="0"/>
              <w:rPr>
                <w:sz w:val="11"/>
                <w:szCs w:val="11"/>
                <w:color w:val="auto"/>
              </w:rPr>
            </w:pPr>
          </w:p>
        </w:tc>
        <w:tc>
          <w:tcPr>
            <w:tcW w:w="4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 net</w:t>
            </w: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r>
      <w:tr>
        <w:trPr>
          <w:trHeight w:val="191"/>
        </w:trPr>
        <w:tc>
          <w:tcPr>
            <w:tcW w:w="54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1"/>
        </w:trPr>
        <w:tc>
          <w:tcPr>
            <w:tcW w:w="540" w:type="dxa"/>
            <w:vAlign w:val="bottom"/>
          </w:tcPr>
          <w:p>
            <w:pPr>
              <w:spacing w:after="0"/>
              <w:rPr>
                <w:sz w:val="14"/>
                <w:szCs w:val="14"/>
                <w:color w:val="auto"/>
              </w:rPr>
            </w:pPr>
          </w:p>
        </w:tc>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income (loss), net of tax</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6"/>
        </w:trPr>
        <w:tc>
          <w:tcPr>
            <w:tcW w:w="540" w:type="dxa"/>
            <w:vAlign w:val="bottom"/>
          </w:tcPr>
          <w:p>
            <w:pPr>
              <w:spacing w:after="0"/>
              <w:rPr>
                <w:sz w:val="16"/>
                <w:szCs w:val="16"/>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1,205</w:t>
            </w: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w:t>
            </w:r>
          </w:p>
        </w:tc>
      </w:tr>
      <w:tr>
        <w:trPr>
          <w:trHeight w:val="20"/>
        </w:trPr>
        <w:tc>
          <w:tcPr>
            <w:tcW w:w="5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July 31, 2025, there were 1,074,120 shares of Common Stock or Class B Stock available for future grants under this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RESTRICTED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TOCK</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All non-vested restricted stock as of July 31, 2025, was issued under the 2006 Plan with vesting periods generally from one to five years. The fair value of restricted stock was determined by the closing market price of our Common Stock on the date of grant multiplied by the number of shares granted. Fair value of shares vested in fiscal years 2025, 2024, and 2023 is $6.6 million, $9.8 million, and $2.2 million, respectively as of their vesting 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summary of restricted stock transactions under the plans is shown below.</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1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0" w:type="dxa"/>
            <w:vAlign w:val="bottom"/>
          </w:tcPr>
          <w:p>
            <w:pPr>
              <w:spacing w:after="0"/>
              <w:rPr>
                <w:sz w:val="1"/>
                <w:szCs w:val="1"/>
                <w:color w:val="auto"/>
              </w:rPr>
            </w:pPr>
          </w:p>
        </w:tc>
      </w:tr>
      <w:tr>
        <w:trPr>
          <w:trHeight w:val="138"/>
        </w:trPr>
        <w:tc>
          <w:tcPr>
            <w:tcW w:w="47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2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108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Term</w:t>
            </w:r>
          </w:p>
        </w:tc>
        <w:tc>
          <w:tcPr>
            <w:tcW w:w="300" w:type="dxa"/>
            <w:vAlign w:val="bottom"/>
          </w:tcPr>
          <w:p>
            <w:pPr>
              <w:spacing w:after="0"/>
              <w:rPr>
                <w:sz w:val="11"/>
                <w:szCs w:val="11"/>
                <w:color w:val="auto"/>
              </w:rPr>
            </w:pPr>
          </w:p>
        </w:tc>
        <w:tc>
          <w:tcPr>
            <w:tcW w:w="1180" w:type="dxa"/>
            <w:vAlign w:val="bottom"/>
          </w:tcPr>
          <w:p>
            <w:pPr>
              <w:jc w:val="center"/>
              <w:ind w:right="89"/>
              <w:spacing w:after="0" w:line="138"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0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300" w:type="dxa"/>
            <w:vAlign w:val="bottom"/>
          </w:tcPr>
          <w:p>
            <w:pPr>
              <w:spacing w:after="0"/>
              <w:rPr>
                <w:sz w:val="16"/>
                <w:szCs w:val="16"/>
                <w:color w:val="auto"/>
              </w:rPr>
            </w:pPr>
          </w:p>
        </w:tc>
        <w:tc>
          <w:tcPr>
            <w:tcW w:w="11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restricted stock outstanding at July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16.82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CEEFF"/>
              <w:bottom w:val="single" w:sz="8" w:color="CCEEFF"/>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14.94</w:t>
            </w: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17.53</w:t>
            </w: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14.61</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restricted stock outstanding at July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16.48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CEEFF"/>
              <w:bottom w:val="single" w:sz="8" w:color="CCEEFF"/>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31.53</w:t>
            </w: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429</w:t>
            </w:r>
          </w:p>
        </w:tc>
        <w:tc>
          <w:tcPr>
            <w:tcW w:w="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15.68</w:t>
            </w: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19.54</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restricted stock outstanding at July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24.82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CCEEFF"/>
              <w:bottom w:val="single" w:sz="8" w:color="CCEEFF"/>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38.29</w:t>
            </w: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143</w:t>
            </w:r>
          </w:p>
        </w:tc>
        <w:tc>
          <w:tcPr>
            <w:tcW w:w="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27.76</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restricted stock outstanding at July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28.52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12,713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159"/>
        <w:spacing w:after="0" w:line="287" w:lineRule="auto"/>
        <w:rPr>
          <w:sz w:val="20"/>
          <w:szCs w:val="20"/>
          <w:color w:val="auto"/>
        </w:rPr>
      </w:pPr>
      <w:r>
        <w:rPr>
          <w:rFonts w:ascii="Times New Roman" w:cs="Times New Roman" w:eastAsia="Times New Roman" w:hAnsi="Times New Roman"/>
          <w:sz w:val="14"/>
          <w:szCs w:val="14"/>
          <w:color w:val="auto"/>
        </w:rPr>
        <w:t>Stock-based compensation for restricted stock of $4.1 million, $3.7 million, and $2.4 million, net of related tax effect, was recognized in fiscal years 2025, 2024, and 2023, respectively. The total restricted stock compensation related tax benefit was $1.3 million, $1.2 million, and $0.8 million in fiscal years 2025, 2024, 2023, respectively.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DEFERRED COMPENSATION</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Oil-Dri's deferred compensation plans permit directors and certain management employees to defer portions of their compensation and to earn interest on the deferred amounts. Participants deferred $0.6 million, $0.3 million, and $0.6 million into these plans in fiscal years 2025, 2024, and 2023, respectively. We recorded interest expense of $0.3 million, $0.2 million, and $0.2 million related to these plans in fiscal years 2025, 2024, and 2023, respectively. Payments to participants were $0.2 million, $0.4 million, and $0.9 million in fiscal years 2025, 2024, and 2023, respectively, and the total liability recorded for deferred compensation was $5.6 million, $5.0 million, and $4.6 million as of July 31, 2025, 2024, and 2023, respectively.</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Oil-Dri Corporation of America Annual Incentive Plan provides certain executives with the opportunity to receive a deferred executive bonus award if certain financial goals are met. Deferred executive bonus awards of $1.4 million, $1.9 million, and $1.4 million were awarded for fiscal years 2025, 2024, and 2023, respectively as financial targets under the provisions of the plan were achieved. These awards will vest and accrue interest over a 3-year period.</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6"/>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10 - ACCRUED EXPENSES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1"/>
        </w:trPr>
        <w:tc>
          <w:tcPr>
            <w:tcW w:w="7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Accrued expenses are as follows (in thousands):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0"/>
        </w:trPr>
        <w:tc>
          <w:tcPr>
            <w:tcW w:w="19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Pr>
          <w:p>
            <w:pPr>
              <w:spacing w:after="0"/>
              <w:rPr>
                <w:sz w:val="13"/>
                <w:szCs w:val="13"/>
                <w:color w:val="auto"/>
              </w:rPr>
            </w:pPr>
          </w:p>
        </w:tc>
        <w:tc>
          <w:tcPr>
            <w:tcW w:w="1080" w:type="dxa"/>
            <w:vAlign w:val="bottom"/>
          </w:tcPr>
          <w:p>
            <w:pPr>
              <w:jc w:val="right"/>
              <w:ind w:right="349"/>
              <w:spacing w:after="0" w:line="159"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88"/>
        </w:trPr>
        <w:tc>
          <w:tcPr>
            <w:tcW w:w="1980" w:type="dxa"/>
            <w:vAlign w:val="bottom"/>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1980" w:type="dxa"/>
            <w:vAlign w:val="bottom"/>
          </w:tcPr>
          <w:p>
            <w:pPr>
              <w:spacing w:after="0"/>
              <w:rPr>
                <w:sz w:val="15"/>
                <w:szCs w:val="15"/>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Wages, Commissions and Employee Benefits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20,711</w:t>
            </w:r>
          </w:p>
        </w:tc>
      </w:tr>
      <w:tr>
        <w:trPr>
          <w:trHeight w:val="180"/>
        </w:trPr>
        <w:tc>
          <w:tcPr>
            <w:tcW w:w="198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13,036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w:t>
            </w:r>
          </w:p>
        </w:tc>
      </w:tr>
      <w:tr>
        <w:trPr>
          <w:trHeight w:val="180"/>
        </w:trPr>
        <w:tc>
          <w:tcPr>
            <w:tcW w:w="1980" w:type="dxa"/>
            <w:vAlign w:val="bottom"/>
          </w:tcPr>
          <w:p>
            <w:pPr>
              <w:spacing w:after="0"/>
              <w:rPr>
                <w:sz w:val="15"/>
                <w:szCs w:val="15"/>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promotions and advertising</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3,105</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180"/>
        </w:trPr>
        <w:tc>
          <w:tcPr>
            <w:tcW w:w="198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Freight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r>
      <w:tr>
        <w:trPr>
          <w:trHeight w:val="180"/>
        </w:trPr>
        <w:tc>
          <w:tcPr>
            <w:tcW w:w="1980" w:type="dxa"/>
            <w:vAlign w:val="bottom"/>
          </w:tcPr>
          <w:p>
            <w:pPr>
              <w:spacing w:after="0"/>
              <w:rPr>
                <w:sz w:val="15"/>
                <w:szCs w:val="15"/>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r>
      <w:tr>
        <w:trPr>
          <w:trHeight w:val="180"/>
        </w:trPr>
        <w:tc>
          <w:tcPr>
            <w:tcW w:w="198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 Landfill Modification Reserve</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r>
      <w:tr>
        <w:trPr>
          <w:trHeight w:val="180"/>
        </w:trPr>
        <w:tc>
          <w:tcPr>
            <w:tcW w:w="1980" w:type="dxa"/>
            <w:vAlign w:val="bottom"/>
          </w:tcPr>
          <w:p>
            <w:pPr>
              <w:spacing w:after="0"/>
              <w:rPr>
                <w:sz w:val="15"/>
                <w:szCs w:val="15"/>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r>
      <w:tr>
        <w:trPr>
          <w:trHeight w:val="171"/>
        </w:trPr>
        <w:tc>
          <w:tcPr>
            <w:tcW w:w="19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44,864</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44,016</w:t>
            </w:r>
          </w:p>
        </w:tc>
      </w:tr>
      <w:tr>
        <w:trPr>
          <w:trHeight w:val="20"/>
        </w:trPr>
        <w:tc>
          <w:tcPr>
            <w:tcW w:w="1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OTHER CONTINGENCIES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136" w:lineRule="exact"/>
        <w:rPr>
          <w:sz w:val="20"/>
          <w:szCs w:val="20"/>
          <w:color w:val="auto"/>
        </w:rPr>
      </w:pPr>
    </w:p>
    <w:p>
      <w:pPr>
        <w:jc w:val="both"/>
        <w:ind w:firstLine="151"/>
        <w:spacing w:after="0" w:line="259" w:lineRule="auto"/>
        <w:rPr>
          <w:sz w:val="20"/>
          <w:szCs w:val="20"/>
          <w:color w:val="auto"/>
        </w:rPr>
      </w:pPr>
      <w:r>
        <w:rPr>
          <w:rFonts w:ascii="Times New Roman" w:cs="Times New Roman" w:eastAsia="Times New Roman" w:hAnsi="Times New Roman"/>
          <w:sz w:val="14"/>
          <w:szCs w:val="14"/>
          <w:color w:val="auto"/>
        </w:rPr>
        <w:t>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resulting in a total $3.8 million expense related to this matter. The modification work is expected to be completed during fiscal year 2026. Inherent uncertainties exist in these estimates primarily due to unknown conditions, changing government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LEASES</w:t>
      </w:r>
    </w:p>
    <w:p>
      <w:pPr>
        <w:spacing w:after="0" w:line="202" w:lineRule="exact"/>
        <w:rPr>
          <w:sz w:val="20"/>
          <w:szCs w:val="20"/>
          <w:color w:val="auto"/>
        </w:rPr>
      </w:pPr>
    </w:p>
    <w:p>
      <w:pPr>
        <w:jc w:val="both"/>
        <w:ind w:firstLine="141"/>
        <w:spacing w:after="0" w:line="258" w:lineRule="auto"/>
        <w:rPr>
          <w:sz w:val="20"/>
          <w:szCs w:val="20"/>
          <w:color w:val="auto"/>
        </w:rPr>
      </w:pPr>
      <w:r>
        <w:rPr>
          <w:rFonts w:ascii="Times New Roman" w:cs="Times New Roman" w:eastAsia="Times New Roman" w:hAnsi="Times New Roman"/>
          <w:sz w:val="14"/>
          <w:szCs w:val="14"/>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Our leases for a shared warehouse, office facility,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w:t>
      </w:r>
    </w:p>
    <w:p>
      <w:pPr>
        <w:spacing w:after="0" w:line="168" w:lineRule="exact"/>
        <w:rPr>
          <w:sz w:val="20"/>
          <w:szCs w:val="20"/>
          <w:color w:val="auto"/>
        </w:rPr>
      </w:pPr>
    </w:p>
    <w:p>
      <w:pPr>
        <w:jc w:val="both"/>
        <w:ind w:firstLine="155"/>
        <w:spacing w:after="0" w:line="287" w:lineRule="auto"/>
        <w:rPr>
          <w:sz w:val="20"/>
          <w:szCs w:val="20"/>
          <w:color w:val="auto"/>
        </w:rPr>
      </w:pPr>
      <w:r>
        <w:rPr>
          <w:rFonts w:ascii="Times New Roman" w:cs="Times New Roman" w:eastAsia="Times New Roman" w:hAnsi="Times New Roman"/>
          <w:sz w:val="14"/>
          <w:szCs w:val="14"/>
          <w:color w:val="auto"/>
        </w:rPr>
        <w:t>We have no material finance leases, and variable costs for operating leases are immaterial. Operating lease costs are included in Cost of Goods Sold or SG&amp;A expenses based on the nature of the lease. The following table summarizes total lease costs for our operating leases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Twelve Months Ended July 31,</w:t>
            </w:r>
          </w:p>
        </w:tc>
        <w:tc>
          <w:tcPr>
            <w:tcW w:w="880" w:type="dxa"/>
            <w:vAlign w:val="bottom"/>
            <w:tcBorders>
              <w:bottom w:val="single" w:sz="8" w:color="auto"/>
            </w:tcBorders>
          </w:tcPr>
          <w:p>
            <w:pPr>
              <w:spacing w:after="0"/>
              <w:rPr>
                <w:sz w:val="16"/>
                <w:szCs w:val="16"/>
                <w:color w:val="auto"/>
              </w:rPr>
            </w:pPr>
          </w:p>
        </w:tc>
        <w:tc>
          <w:tcPr>
            <w:tcW w:w="2600" w:type="dxa"/>
            <w:vAlign w:val="bottom"/>
          </w:tcPr>
          <w:p>
            <w:pPr>
              <w:spacing w:after="0"/>
              <w:rPr>
                <w:sz w:val="16"/>
                <w:szCs w:val="16"/>
                <w:color w:val="auto"/>
              </w:rPr>
            </w:pPr>
          </w:p>
        </w:tc>
      </w:tr>
      <w:tr>
        <w:trPr>
          <w:trHeight w:val="192"/>
        </w:trPr>
        <w:tc>
          <w:tcPr>
            <w:tcW w:w="2620" w:type="dxa"/>
            <w:vAlign w:val="bottom"/>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0" w:type="dxa"/>
            <w:vAlign w:val="bottom"/>
          </w:tcPr>
          <w:p>
            <w:pPr>
              <w:spacing w:after="0"/>
              <w:rPr>
                <w:sz w:val="16"/>
                <w:szCs w:val="16"/>
                <w:color w:val="auto"/>
              </w:rPr>
            </w:pPr>
          </w:p>
        </w:tc>
      </w:tr>
      <w:tr>
        <w:trPr>
          <w:trHeight w:val="192"/>
        </w:trPr>
        <w:tc>
          <w:tcPr>
            <w:tcW w:w="2620" w:type="dxa"/>
            <w:vAlign w:val="bottom"/>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2,640</w:t>
            </w:r>
          </w:p>
        </w:tc>
        <w:tc>
          <w:tcPr>
            <w:tcW w:w="2600" w:type="dxa"/>
            <w:vAlign w:val="bottom"/>
          </w:tcPr>
          <w:p>
            <w:pPr>
              <w:spacing w:after="0"/>
              <w:rPr>
                <w:sz w:val="16"/>
                <w:szCs w:val="16"/>
                <w:color w:val="auto"/>
              </w:rPr>
            </w:pPr>
          </w:p>
        </w:tc>
      </w:tr>
      <w:tr>
        <w:trPr>
          <w:trHeight w:val="870"/>
        </w:trPr>
        <w:tc>
          <w:tcPr>
            <w:tcW w:w="2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87"/>
        </w:trPr>
        <w:tc>
          <w:tcPr>
            <w:tcW w:w="262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p>
      <w:pPr>
        <w:spacing w:after="0" w:line="39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For the Twelve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15875</wp:posOffset>
            </wp:positionV>
            <wp:extent cx="202120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21205" cy="6985"/>
                    </a:xfrm>
                    <a:prstGeom prst="rect">
                      <a:avLst/>
                    </a:prstGeom>
                    <a:noFill/>
                  </pic:spPr>
                </pic:pic>
              </a:graphicData>
            </a:graphic>
          </wp:anchor>
        </w:drawing>
      </w:r>
    </w:p>
    <w:p>
      <w:pPr>
        <w:spacing w:after="0" w:line="31"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138"/>
        </w:trPr>
        <w:tc>
          <w:tcPr>
            <w:tcW w:w="43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Right-of-use assets obtained in exchange for new operating lease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Operating lease ROU assets and operating lease liabilities are separately presented on the Consolidated Balance Sheets. Other supplemental balance sheet information related to leases was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Twelve Months Ended July 31,</w:t>
            </w:r>
          </w:p>
        </w:tc>
        <w:tc>
          <w:tcPr>
            <w:tcW w:w="11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6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 - operating leases</w:t>
            </w:r>
          </w:p>
        </w:tc>
        <w:tc>
          <w:tcPr>
            <w:tcW w:w="11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4.8 years</w:t>
            </w:r>
          </w:p>
        </w:tc>
        <w:tc>
          <w:tcPr>
            <w:tcW w:w="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5.4 years</w:t>
            </w: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7.7 years</w:t>
            </w:r>
          </w:p>
        </w:tc>
      </w:tr>
      <w:tr>
        <w:trPr>
          <w:trHeight w:val="18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discount rate - operating leases</w:t>
            </w:r>
          </w:p>
        </w:tc>
        <w:tc>
          <w:tcPr>
            <w:tcW w:w="11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5.12%</w:t>
            </w:r>
          </w:p>
        </w:tc>
        <w:tc>
          <w:tcPr>
            <w:tcW w:w="216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5.10%</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4.03%</w:t>
            </w:r>
          </w:p>
        </w:tc>
      </w:tr>
    </w:tbl>
    <w:p>
      <w:pPr>
        <w:spacing w:after="0" w:line="25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scheduled minimum future lease payments due within twelve months for operating leases with terms longer than one year for which cash flows are fixed and determinable as of July 31, 2025 (in thousands):</w:t>
      </w:r>
    </w:p>
    <w:p>
      <w:pPr>
        <w:spacing w:after="0" w:line="54" w:lineRule="exact"/>
        <w:rPr>
          <w:sz w:val="20"/>
          <w:szCs w:val="20"/>
          <w:color w:val="auto"/>
        </w:rPr>
      </w:pPr>
    </w:p>
    <w:tbl>
      <w:tblPr>
        <w:tblLayout w:type="fixed"/>
        <w:tblInd w:w="3380" w:type="dxa"/>
        <w:tblCellMar>
          <w:top w:w="0" w:type="dxa"/>
          <w:left w:w="0" w:type="dxa"/>
          <w:bottom w:w="0" w:type="dxa"/>
          <w:right w:w="0" w:type="dxa"/>
        </w:tblCellMar>
      </w:tblP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4,740</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3,758</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2,949</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1,130</w:t>
            </w:r>
          </w:p>
        </w:tc>
      </w:tr>
      <w:tr>
        <w:trPr>
          <w:trHeight w:val="18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2,350</w:t>
            </w:r>
          </w:p>
        </w:tc>
      </w:tr>
      <w:tr>
        <w:trPr>
          <w:trHeight w:val="1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17,283</w:t>
            </w:r>
          </w:p>
        </w:tc>
      </w:tr>
      <w:tr>
        <w:trPr>
          <w:trHeight w:val="18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(1,916)</w:t>
            </w:r>
          </w:p>
        </w:tc>
      </w:tr>
      <w:tr>
        <w:trPr>
          <w:trHeight w:val="19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lease obligation</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15,367</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RELATED PARTIES</w:t>
      </w:r>
    </w:p>
    <w:p>
      <w:pPr>
        <w:spacing w:after="0" w:line="202" w:lineRule="exact"/>
        <w:rPr>
          <w:sz w:val="20"/>
          <w:szCs w:val="20"/>
          <w:color w:val="auto"/>
        </w:rPr>
      </w:pPr>
    </w:p>
    <w:p>
      <w:pPr>
        <w:jc w:val="both"/>
        <w:ind w:firstLine="184"/>
        <w:spacing w:after="0" w:line="270" w:lineRule="auto"/>
        <w:rPr>
          <w:sz w:val="20"/>
          <w:szCs w:val="20"/>
          <w:color w:val="auto"/>
        </w:rPr>
      </w:pPr>
      <w:r>
        <w:rPr>
          <w:rFonts w:ascii="Times New Roman" w:cs="Times New Roman" w:eastAsia="Times New Roman" w:hAnsi="Times New Roman"/>
          <w:sz w:val="14"/>
          <w:szCs w:val="14"/>
          <w:color w:val="auto"/>
        </w:rPr>
        <w:t>One member of our Board is currently the President and Chief Executive Officer of a vendor of ours. Total payments to this vendor for fees and cost reimbursements were $1.6 million, $2.0 million, and $0.2 million for fiscal years 2025, 2024, and 2023, respectively. There were no outstanding fees due to that vendor as of July 31, 2025. There were $0.1 million outstanding amounts due to that vendor as of July 31, 2024.</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subsidiaries of that customer, were $0.4 million for fiscal year 2025 and $0.2 million for both fiscal year 2024 and 2023. There were no outstanding amounts due from that customer as of July 31, 2025, or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81" w:lineRule="exact"/>
        <w:rPr>
          <w:sz w:val="20"/>
          <w:szCs w:val="20"/>
          <w:color w:val="auto"/>
        </w:rPr>
      </w:pPr>
    </w:p>
    <w:p>
      <w:pPr>
        <w:jc w:val="both"/>
        <w:ind w:firstLine="143"/>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68"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framework) issued by the Committee Sponsoring Organizations of the Treadway Commission (COSO). Based on our assessment, our management concluded that our internal control over financial reporting was effective as of July 31, 2025.</w:t>
      </w:r>
    </w:p>
    <w:p>
      <w:pPr>
        <w:spacing w:after="0" w:line="168" w:lineRule="exact"/>
        <w:rPr>
          <w:sz w:val="20"/>
          <w:szCs w:val="20"/>
          <w:color w:val="auto"/>
        </w:rPr>
      </w:pPr>
    </w:p>
    <w:p>
      <w:pPr>
        <w:jc w:val="both"/>
        <w:ind w:firstLine="212"/>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4"/>
          <w:szCs w:val="14"/>
          <w:color w:val="auto"/>
        </w:rPr>
        <w:t>Our internal controls over financial reporting as of July 31, 2025, have been audited by Grant Thornton LLP, an independent registered public accounting firm, as stated in their report included below under the heading “Report of Independent Registered Public Accounting Firm.” The attestation report of Grant Thornton LLP on the Company’s internal control over financial reporting is also included under this heading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Shareholders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Oil-Dri Corporation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Oil-Dri Corporation of America (a Delaware corporation) and subsidiaries (the “Company”) as of July 31, 2025 and 2024, and the related consolidated statements of operations, comprehensive income, stockholders’ equity, and cash flows for each of the three years in the period ended July 31, 2025, and the related notes and financial statement schedule included under Item 15(a) (collectively referred to as the “consolidated financial statements”). We also have audited the Company’s internal control over financial reporting as of July 31, 2025, based on criteria established in the 2013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(“COSO”).</w:t>
      </w:r>
    </w:p>
    <w:p>
      <w:pPr>
        <w:spacing w:after="0" w:line="1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July 31, 2025 and 2024, and the results of its operations and its cash flows for each of the three years in the period ended July 31, 2025 in conformity with accounting principles generally accepted in the United States of America. Also in our opinion, the Company maintained, in all material respects, effective internal control over financial reporting as of July 31, 2025, based on criteria established in the 2013 </w:t>
      </w:r>
      <w:r>
        <w:rPr>
          <w:rFonts w:ascii="Times New Roman" w:cs="Times New Roman" w:eastAsia="Times New Roman" w:hAnsi="Times New Roman"/>
          <w:sz w:val="14"/>
          <w:szCs w:val="14"/>
          <w:i w:val="1"/>
          <w:iCs w:val="1"/>
          <w:color w:val="auto"/>
        </w:rPr>
        <w:t>Internal Control—Integrated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issued by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Emphasis of matter</w:t>
      </w: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discussed in Note 3 to the consolidated financial statements, the Company has adopted new accounting guidance in 2025 related to the accounting for the adoption of Accounting Standards Update ("ASU") No. 2023-07, "Segment Reporting (Topic 280): Improvements to Reportable Segment Disclosures" ("ASU 2023-07"). The amendments in ASU 2023-07 were applied retrospectively for all periods presented in the financial statements. Our opinion is not modified with respect to this matter.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ind w:right="160"/>
        <w:spacing w:after="0" w:line="287" w:lineRule="auto"/>
        <w:rPr>
          <w:sz w:val="20"/>
          <w:szCs w:val="20"/>
          <w:color w:val="auto"/>
        </w:rPr>
      </w:pPr>
      <w:r>
        <w:rPr>
          <w:rFonts w:ascii="Times New Roman" w:cs="Times New Roman" w:eastAsia="Times New Roman" w:hAnsi="Times New Roman"/>
          <w:sz w:val="14"/>
          <w:szCs w:val="14"/>
          <w:color w:val="auto"/>
        </w:rPr>
        <w:t>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ind w:firstLine="146"/>
        <w:spacing w:after="0" w:line="261" w:lineRule="auto"/>
        <w:rPr>
          <w:sz w:val="20"/>
          <w:szCs w:val="20"/>
          <w:color w:val="auto"/>
        </w:rPr>
      </w:pPr>
      <w:r>
        <w:rPr>
          <w:rFonts w:ascii="Times New Roman" w:cs="Times New Roman" w:eastAsia="Times New Roman" w:hAnsi="Times New Roman"/>
          <w:sz w:val="14"/>
          <w:szCs w:val="14"/>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Management’s Report on Internal Control Over Financial Reporting is set forth in Part II, Item 8 of this Annual Report on Form 10-K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12" w:lineRule="exact"/>
        <w:rPr>
          <w:sz w:val="20"/>
          <w:szCs w:val="20"/>
          <w:color w:val="auto"/>
        </w:rPr>
      </w:pPr>
    </w:p>
    <w:p>
      <w:pPr>
        <w:jc w:val="both"/>
        <w:ind w:firstLine="202"/>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under the Exchange Act) that occurred during the fiscal year ended July 31, 2025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212" w:lineRule="exact"/>
        <w:rPr>
          <w:sz w:val="20"/>
          <w:szCs w:val="20"/>
          <w:color w:val="auto"/>
        </w:rPr>
      </w:pPr>
    </w:p>
    <w:p>
      <w:pPr>
        <w:jc w:val="both"/>
        <w:ind w:firstLine="202"/>
        <w:spacing w:after="0" w:line="257" w:lineRule="auto"/>
        <w:rPr>
          <w:sz w:val="20"/>
          <w:szCs w:val="20"/>
          <w:color w:val="auto"/>
        </w:rPr>
      </w:pPr>
      <w:r>
        <w:rPr>
          <w:rFonts w:ascii="Times New Roman" w:cs="Times New Roman" w:eastAsia="Times New Roman" w:hAnsi="Times New Roman"/>
          <w:sz w:val="14"/>
          <w:szCs w:val="14"/>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quarter ended July 31, 2025, none of our officers or directors adopted or terminated a "Rule 10b5-1 trading arrangement" or "non-Rule 10b5-1 trading arrangement" (each as defined in Item 408 of Regulation S-K).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 DISCLOSURE REGARDING FOREIGN JURISDICTIONS THAT PREVENT INSPECTIONS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DIRECTORS, EXECUTIVE OFFICERS AND CORPORATE GOVERNANCE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(except as set forth below) will be included in Oil-Dri’s Proxy Statement for its 2025 annual meeting of stockholders under the captions “PROPOSALS</w:t>
      </w:r>
    </w:p>
    <w:p>
      <w:pPr>
        <w:spacing w:after="0" w:line="23" w:lineRule="exact"/>
        <w:rPr>
          <w:sz w:val="20"/>
          <w:szCs w:val="20"/>
          <w:color w:val="auto"/>
        </w:rPr>
      </w:pPr>
    </w:p>
    <w:p>
      <w:pPr>
        <w:ind w:firstLine="5"/>
        <w:spacing w:after="0" w:line="266" w:lineRule="auto"/>
        <w:tabs>
          <w:tab w:leader="none" w:pos="9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spacing w:after="0" w:line="170" w:lineRule="exact"/>
        <w:rPr>
          <w:sz w:val="20"/>
          <w:szCs w:val="20"/>
          <w:color w:val="auto"/>
        </w:rPr>
      </w:pPr>
    </w:p>
    <w:p>
      <w:pPr>
        <w:jc w:val="both"/>
        <w:ind w:firstLine="212"/>
        <w:spacing w:after="0" w:line="258" w:lineRule="auto"/>
        <w:rPr>
          <w:sz w:val="20"/>
          <w:szCs w:val="20"/>
          <w:color w:val="auto"/>
        </w:rPr>
      </w:pPr>
      <w:r>
        <w:rPr>
          <w:rFonts w:ascii="Times New Roman" w:cs="Times New Roman" w:eastAsia="Times New Roman" w:hAnsi="Times New Roman"/>
          <w:sz w:val="14"/>
          <w:szCs w:val="14"/>
          <w:color w:val="auto"/>
        </w:rPr>
        <w:t>The Company has adopted a Code of Ethics and Business Conduct (the “Code”) which applies to all of its directors, officers (including the Company’s CEO and senior financial officers) and employees. The Code imposes significant responsibilities on the CEO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CEO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79" w:lineRule="exact"/>
        <w:rPr>
          <w:sz w:val="20"/>
          <w:szCs w:val="20"/>
          <w:color w:val="auto"/>
        </w:rPr>
      </w:pPr>
    </w:p>
    <w:p>
      <w:pPr>
        <w:jc w:val="both"/>
        <w:ind w:firstLine="175"/>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Oil-Dri</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 Proxy Statement for its 2025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85" w:lineRule="exact"/>
        <w:rPr>
          <w:sz w:val="20"/>
          <w:szCs w:val="20"/>
          <w:color w:val="auto"/>
        </w:rPr>
      </w:pPr>
    </w:p>
    <w:p>
      <w:pPr>
        <w:jc w:val="both"/>
        <w:ind w:firstLine="255"/>
        <w:spacing w:after="0" w:line="293" w:lineRule="auto"/>
        <w:rPr>
          <w:sz w:val="20"/>
          <w:szCs w:val="20"/>
          <w:color w:val="auto"/>
        </w:rPr>
      </w:pPr>
      <w:r>
        <w:rPr>
          <w:rFonts w:ascii="Times New Roman" w:cs="Times New Roman" w:eastAsia="Times New Roman" w:hAnsi="Times New Roman"/>
          <w:sz w:val="14"/>
          <w:szCs w:val="14"/>
          <w:color w:val="auto"/>
        </w:rPr>
        <w:t xml:space="preserve">Except as set forth herein, </w:t>
      </w:r>
      <w:r>
        <w:rPr>
          <w:rFonts w:ascii="Times New Roman" w:cs="Times New Roman" w:eastAsia="Times New Roman" w:hAnsi="Times New Roman"/>
          <w:sz w:val="16"/>
          <w:szCs w:val="16"/>
          <w:color w:val="auto"/>
        </w:rPr>
        <w:t>t</w:t>
      </w:r>
      <w:r>
        <w:rPr>
          <w:rFonts w:ascii="Times New Roman" w:cs="Times New Roman" w:eastAsia="Times New Roman" w:hAnsi="Times New Roman"/>
          <w:sz w:val="14"/>
          <w:szCs w:val="14"/>
          <w:color w:val="auto"/>
        </w:rPr>
        <w:t>he information required by this Item will be included in Oil-Dri’s Proxy Statement for its 2025 annual meeting of stockholders under the captions “Principal Stockholders” and “Security Ownership of Management” and is incorporated herein by reference.</w:t>
      </w:r>
    </w:p>
    <w:p>
      <w:pPr>
        <w:spacing w:after="0" w:line="13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Equity Compensation Plan Information. </w:t>
      </w:r>
      <w:r>
        <w:rPr>
          <w:rFonts w:ascii="Times New Roman" w:cs="Times New Roman" w:eastAsia="Times New Roman" w:hAnsi="Times New Roman"/>
          <w:sz w:val="14"/>
          <w:szCs w:val="14"/>
          <w:color w:val="auto"/>
        </w:rPr>
        <w:t>The following table presents information about compensation plans under which our equity securities are authorized for issuance. There are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stock options as of July 31, 2025. See Note 8 of the Notes to the Consolidated Financial Statements for further information about these stock-based compensation plans.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 As Of July 31, 2025</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5000" w:type="dxa"/>
            <w:vAlign w:val="bottom"/>
          </w:tcPr>
          <w:p>
            <w:pPr>
              <w:spacing w:after="0"/>
              <w:rPr>
                <w:sz w:val="11"/>
                <w:szCs w:val="11"/>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 remaining available for</w:t>
            </w:r>
          </w:p>
        </w:tc>
        <w:tc>
          <w:tcPr>
            <w:tcW w:w="0" w:type="dxa"/>
            <w:vAlign w:val="bottom"/>
          </w:tcPr>
          <w:p>
            <w:pPr>
              <w:spacing w:after="0"/>
              <w:rPr>
                <w:sz w:val="1"/>
                <w:szCs w:val="1"/>
                <w:color w:val="auto"/>
              </w:rPr>
            </w:pPr>
          </w:p>
        </w:tc>
      </w:tr>
      <w:tr>
        <w:trPr>
          <w:trHeight w:val="115"/>
        </w:trPr>
        <w:tc>
          <w:tcPr>
            <w:tcW w:w="50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Weighted-average exercise price of</w:t>
            </w:r>
          </w:p>
        </w:tc>
        <w:tc>
          <w:tcPr>
            <w:tcW w:w="22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further issuance under equity compensation</w:t>
            </w:r>
          </w:p>
        </w:tc>
        <w:tc>
          <w:tcPr>
            <w:tcW w:w="0" w:type="dxa"/>
            <w:vAlign w:val="bottom"/>
          </w:tcPr>
          <w:p>
            <w:pPr>
              <w:spacing w:after="0"/>
              <w:rPr>
                <w:sz w:val="1"/>
                <w:szCs w:val="1"/>
                <w:color w:val="auto"/>
              </w:rPr>
            </w:pPr>
          </w:p>
        </w:tc>
      </w:tr>
      <w:tr>
        <w:trPr>
          <w:trHeight w:val="106"/>
        </w:trPr>
        <w:tc>
          <w:tcPr>
            <w:tcW w:w="5000" w:type="dxa"/>
            <w:vAlign w:val="bottom"/>
          </w:tcPr>
          <w:p>
            <w:pPr>
              <w:spacing w:after="0"/>
              <w:rPr>
                <w:sz w:val="9"/>
                <w:szCs w:val="9"/>
                <w:color w:val="auto"/>
              </w:rPr>
            </w:pPr>
          </w:p>
        </w:tc>
        <w:tc>
          <w:tcPr>
            <w:tcW w:w="17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upon exercise of outstanding</w:t>
            </w:r>
          </w:p>
        </w:tc>
        <w:tc>
          <w:tcPr>
            <w:tcW w:w="1920" w:type="dxa"/>
            <w:vAlign w:val="bottom"/>
            <w:gridSpan w:val="2"/>
            <w:vMerge w:val="continue"/>
          </w:tcPr>
          <w:p>
            <w:pPr>
              <w:spacing w:after="0"/>
              <w:rPr>
                <w:sz w:val="9"/>
                <w:szCs w:val="9"/>
                <w:color w:val="auto"/>
              </w:rPr>
            </w:pPr>
          </w:p>
        </w:tc>
        <w:tc>
          <w:tcPr>
            <w:tcW w:w="22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plans (excluding securities reflected in column</w:t>
            </w:r>
          </w:p>
        </w:tc>
        <w:tc>
          <w:tcPr>
            <w:tcW w:w="0" w:type="dxa"/>
            <w:vAlign w:val="bottom"/>
          </w:tcPr>
          <w:p>
            <w:pPr>
              <w:spacing w:after="0"/>
              <w:rPr>
                <w:sz w:val="1"/>
                <w:szCs w:val="1"/>
                <w:color w:val="auto"/>
              </w:rPr>
            </w:pPr>
          </w:p>
        </w:tc>
      </w:tr>
      <w:tr>
        <w:trPr>
          <w:trHeight w:val="117"/>
        </w:trPr>
        <w:tc>
          <w:tcPr>
            <w:tcW w:w="5000" w:type="dxa"/>
            <w:vAlign w:val="bottom"/>
            <w:vMerge w:val="restart"/>
          </w:tcPr>
          <w:p>
            <w:pPr>
              <w:ind w:left="210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7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options (in thousands)</w:t>
            </w:r>
          </w:p>
        </w:tc>
        <w:tc>
          <w:tcPr>
            <w:tcW w:w="19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22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 (in thousands)</w:t>
            </w:r>
          </w:p>
        </w:tc>
        <w:tc>
          <w:tcPr>
            <w:tcW w:w="0" w:type="dxa"/>
            <w:vAlign w:val="bottom"/>
          </w:tcPr>
          <w:p>
            <w:pPr>
              <w:spacing w:after="0"/>
              <w:rPr>
                <w:sz w:val="1"/>
                <w:szCs w:val="1"/>
                <w:color w:val="auto"/>
              </w:rPr>
            </w:pPr>
          </w:p>
        </w:tc>
      </w:tr>
      <w:tr>
        <w:trPr>
          <w:trHeight w:val="151"/>
        </w:trPr>
        <w:tc>
          <w:tcPr>
            <w:tcW w:w="5000" w:type="dxa"/>
            <w:vAlign w:val="bottom"/>
            <w:vMerge w:val="continue"/>
          </w:tcPr>
          <w:p>
            <w:pPr>
              <w:spacing w:after="0"/>
              <w:rPr>
                <w:sz w:val="13"/>
                <w:szCs w:val="13"/>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8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approved by stockholders</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143"/>
        <w:spacing w:after="0" w:line="287" w:lineRule="auto"/>
        <w:rPr>
          <w:sz w:val="20"/>
          <w:szCs w:val="20"/>
          <w:color w:val="auto"/>
        </w:rPr>
      </w:pPr>
      <w:r>
        <w:rPr>
          <w:rFonts w:ascii="Times New Roman" w:cs="Times New Roman" w:eastAsia="Times New Roman" w:hAnsi="Times New Roman"/>
          <w:sz w:val="14"/>
          <w:szCs w:val="14"/>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212" w:lineRule="exact"/>
        <w:rPr>
          <w:sz w:val="20"/>
          <w:szCs w:val="20"/>
          <w:color w:val="auto"/>
        </w:rPr>
      </w:pPr>
    </w:p>
    <w:p>
      <w:pPr>
        <w:ind w:firstLine="17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Oil-Dri’s Proxy Statement for its 2025 annual meeting of stockholders under the captions “CORPORATE GOVERNANCE MATTERS – Certain Relationships and Related Party Transactions” and “Director Independence” and is incorporated herein by reference.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ACCOUNTANT FEES AND SERVICES</w:t>
      </w:r>
    </w:p>
    <w:p>
      <w:pPr>
        <w:spacing w:after="0" w:line="212" w:lineRule="exact"/>
        <w:rPr>
          <w:sz w:val="20"/>
          <w:szCs w:val="20"/>
          <w:color w:val="auto"/>
        </w:rPr>
      </w:pPr>
    </w:p>
    <w:p>
      <w:pPr>
        <w:ind w:firstLine="21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Oil-Dri’s Proxy Statement for its 2025 annual meeting of stockholders under the caption “Other Matters Relating to the Independent Auditor - Auditor Fees” and is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AND FINANCIAL STATEMENT SCHEDULE</w:t>
      </w:r>
    </w:p>
    <w:p>
      <w:pPr>
        <w:spacing w:after="0" w:line="212"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4"/>
          <w:szCs w:val="14"/>
          <w:color w:val="auto"/>
        </w:rPr>
        <w:t>(a)(1)</w:t>
      </w:r>
      <w:r>
        <w:rPr>
          <w:sz w:val="20"/>
          <w:szCs w:val="20"/>
          <w:color w:val="auto"/>
        </w:rPr>
        <w:tab/>
      </w:r>
      <w:r>
        <w:rPr>
          <w:rFonts w:ascii="Times New Roman" w:cs="Times New Roman" w:eastAsia="Times New Roman" w:hAnsi="Times New Roman"/>
          <w:sz w:val="14"/>
          <w:szCs w:val="14"/>
          <w:color w:val="auto"/>
        </w:rPr>
        <w:t>The following consolidated financial statements are contained herein.</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Consolidated Balance Sheets as of July 31, 2025 and July 31, 2024.</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Consolidated Statements of Operations for the fiscal years ended July 31, 2025, July 31, 2024 and July 31, 2023.</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fiscal years ended July 31, 2025, July 31, 2024 and July 31, 2023.</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Consolidated Statements of Stockholders’ Equity for the fiscal years ended July 31, 2025, July 31, 2024 and July 31, 2023.</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Consolidated Statements of Cash Flows for the fiscal years ended July 31, 2025, July 31, 2024 and July 31, 2023.</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200"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4"/>
          <w:szCs w:val="14"/>
          <w:color w:val="auto"/>
        </w:rPr>
        <w:t>(a)(2)</w:t>
      </w:r>
      <w:r>
        <w:rPr>
          <w:sz w:val="20"/>
          <w:szCs w:val="20"/>
          <w:color w:val="auto"/>
        </w:rPr>
        <w:tab/>
      </w:r>
      <w:r>
        <w:rPr>
          <w:rFonts w:ascii="Times New Roman" w:cs="Times New Roman" w:eastAsia="Times New Roman" w:hAnsi="Times New Roman"/>
          <w:sz w:val="14"/>
          <w:szCs w:val="14"/>
          <w:color w:val="auto"/>
        </w:rPr>
        <w:t>The following financial statement schedule is contained herein:</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Schedule to Financial Statements, as follows: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Schedule II - Valuation and Qualifying Accounts, years ended July 31, 2025 and July 31, 2024.</w:t>
      </w:r>
    </w:p>
    <w:p>
      <w:pPr>
        <w:spacing w:after="0" w:line="200" w:lineRule="exact"/>
        <w:rPr>
          <w:sz w:val="20"/>
          <w:szCs w:val="20"/>
          <w:color w:val="auto"/>
        </w:rPr>
      </w:pPr>
    </w:p>
    <w:p>
      <w:pPr>
        <w:ind w:left="1260" w:right="40"/>
        <w:spacing w:after="0" w:line="239" w:lineRule="auto"/>
        <w:rPr>
          <w:sz w:val="20"/>
          <w:szCs w:val="20"/>
          <w:color w:val="auto"/>
        </w:rPr>
      </w:pPr>
      <w:r>
        <w:rPr>
          <w:rFonts w:ascii="Times New Roman" w:cs="Times New Roman" w:eastAsia="Times New Roman" w:hAnsi="Times New Roman"/>
          <w:sz w:val="14"/>
          <w:szCs w:val="14"/>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260"/>
          </w:cols>
          <w:pgMar w:left="300" w:top="728" w:right="339" w:bottom="1440" w:gutter="0" w:footer="0" w:header="0"/>
        </w:sectPr>
      </w:pP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(a)(3)</w:t>
            </w:r>
          </w:p>
        </w:tc>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documents are exhibits to this Report:</w:t>
            </w:r>
          </w:p>
        </w:tc>
      </w:tr>
      <w:tr>
        <w:trPr>
          <w:trHeight w:val="42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Exhibit</w:t>
            </w:r>
          </w:p>
        </w:tc>
        <w:tc>
          <w:tcPr>
            <w:tcW w:w="4600" w:type="dxa"/>
            <w:vAlign w:val="bottom"/>
          </w:tcPr>
          <w:p>
            <w:pPr>
              <w:spacing w:after="0"/>
              <w:rPr>
                <w:sz w:val="24"/>
                <w:szCs w:val="24"/>
                <w:color w:val="auto"/>
              </w:rPr>
            </w:pPr>
          </w:p>
        </w:tc>
      </w:tr>
      <w:tr>
        <w:trPr>
          <w:trHeight w:val="184"/>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w:t>
            </w:r>
          </w:p>
        </w:tc>
        <w:tc>
          <w:tcPr>
            <w:tcW w:w="46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Description</w:t>
            </w:r>
          </w:p>
        </w:tc>
      </w:tr>
      <w:tr>
        <w:trPr>
          <w:trHeight w:val="135"/>
        </w:trPr>
        <w:tc>
          <w:tcPr>
            <w:tcW w:w="9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1"/>
                <w:szCs w:val="11"/>
                <w:color w:val="auto"/>
              </w:rPr>
            </w:pPr>
          </w:p>
        </w:tc>
        <w:tc>
          <w:tcPr>
            <w:tcW w:w="460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Purchase Agreement, dated April 16, 2024, by and among the Oil-Dri</w:t>
            </w:r>
          </w:p>
        </w:tc>
      </w:tr>
      <w:tr>
        <w:trPr>
          <w:trHeight w:val="142"/>
        </w:trPr>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Corporation of America, Ultra Pet, LLC, Ultra Pet Company, Inc., and certain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holders of Ultra Pet, LLC set forth on the signature page thereto.</w:t>
            </w:r>
          </w:p>
        </w:tc>
      </w:tr>
      <w:tr>
        <w:trPr>
          <w:trHeight w:val="38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Incorporation of Oil-Dri, as amended on December 11, 2024 .</w:t>
            </w:r>
          </w:p>
        </w:tc>
      </w:tr>
      <w:tr>
        <w:trPr>
          <w:trHeight w:val="47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By-Laws of Oil-Dri Corporation of America, as Amended and Restated on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12,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2707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10" w:lineRule="exact"/>
        <w:rPr>
          <w:sz w:val="20"/>
          <w:szCs w:val="20"/>
          <w:color w:val="auto"/>
        </w:rPr>
      </w:pPr>
    </w:p>
    <w:p>
      <w:pPr>
        <w:spacing w:after="0" w:line="255" w:lineRule="auto"/>
        <w:rPr>
          <w:rFonts w:ascii="Times New Roman" w:cs="Times New Roman" w:eastAsia="Times New Roman" w:hAnsi="Times New Roman"/>
          <w:sz w:val="14"/>
          <w:szCs w:val="14"/>
          <w:u w:val="single" w:color="auto"/>
          <w:color w:val="0000FF"/>
        </w:rPr>
      </w:pPr>
      <w:hyperlink r:id="rId105">
        <w:r>
          <w:rPr>
            <w:rFonts w:ascii="Times New Roman" w:cs="Times New Roman" w:eastAsia="Times New Roman" w:hAnsi="Times New Roman"/>
            <w:sz w:val="14"/>
            <w:szCs w:val="14"/>
            <w:u w:val="single" w:color="auto"/>
            <w:color w:val="0000FF"/>
          </w:rPr>
          <w:t>Incorporated by reference to Exhibit 2.1 to Oil-Dri's Current Report on Form 8-K (File</w:t>
        </w:r>
      </w:hyperlink>
      <w:r>
        <w:rPr>
          <w:rFonts w:ascii="Times New Roman" w:cs="Times New Roman" w:eastAsia="Times New Roman" w:hAnsi="Times New Roman"/>
          <w:sz w:val="14"/>
          <w:szCs w:val="14"/>
          <w:u w:val="single" w:color="auto"/>
          <w:color w:val="0000FF"/>
        </w:rPr>
        <w:t xml:space="preserve"> </w:t>
      </w:r>
      <w:hyperlink r:id="rId105">
        <w:r>
          <w:rPr>
            <w:rFonts w:ascii="Times New Roman" w:cs="Times New Roman" w:eastAsia="Times New Roman" w:hAnsi="Times New Roman"/>
            <w:sz w:val="14"/>
            <w:szCs w:val="14"/>
            <w:u w:val="single" w:color="auto"/>
            <w:color w:val="0000FF"/>
          </w:rPr>
          <w:t>No. 001-12622) filed on April 16, 2024.</w:t>
        </w:r>
      </w:hyperlink>
    </w:p>
    <w:p>
      <w:pPr>
        <w:spacing w:after="0" w:line="337" w:lineRule="exact"/>
        <w:rPr>
          <w:sz w:val="20"/>
          <w:szCs w:val="20"/>
          <w:color w:val="auto"/>
        </w:rPr>
      </w:pPr>
    </w:p>
    <w:p>
      <w:pPr>
        <w:spacing w:after="0" w:line="255" w:lineRule="auto"/>
        <w:rPr>
          <w:rFonts w:ascii="Times New Roman" w:cs="Times New Roman" w:eastAsia="Times New Roman" w:hAnsi="Times New Roman"/>
          <w:sz w:val="14"/>
          <w:szCs w:val="14"/>
          <w:u w:val="single" w:color="auto"/>
          <w:color w:val="0000FF"/>
        </w:rPr>
      </w:pPr>
      <w:hyperlink r:id="rId106">
        <w:r>
          <w:rPr>
            <w:rFonts w:ascii="Times New Roman" w:cs="Times New Roman" w:eastAsia="Times New Roman" w:hAnsi="Times New Roman"/>
            <w:sz w:val="14"/>
            <w:szCs w:val="14"/>
            <w:u w:val="single" w:color="auto"/>
            <w:color w:val="0000FF"/>
          </w:rPr>
          <w:t>Incorporated by reference to Exhibit 3.1 to Oil-Dri’s Quarterly Report on Form 10-Q</w:t>
        </w:r>
      </w:hyperlink>
      <w:r>
        <w:rPr>
          <w:rFonts w:ascii="Times New Roman" w:cs="Times New Roman" w:eastAsia="Times New Roman" w:hAnsi="Times New Roman"/>
          <w:sz w:val="14"/>
          <w:szCs w:val="14"/>
          <w:u w:val="single" w:color="auto"/>
          <w:color w:val="0000FF"/>
        </w:rPr>
        <w:t xml:space="preserve"> </w:t>
      </w:r>
      <w:hyperlink r:id="rId106">
        <w:r>
          <w:rPr>
            <w:rFonts w:ascii="Times New Roman" w:cs="Times New Roman" w:eastAsia="Times New Roman" w:hAnsi="Times New Roman"/>
            <w:sz w:val="14"/>
            <w:szCs w:val="14"/>
            <w:u w:val="single" w:color="auto"/>
            <w:color w:val="0000FF"/>
          </w:rPr>
          <w:t>filed on March 11, 2025.</w:t>
        </w:r>
      </w:hyperlink>
    </w:p>
    <w:p>
      <w:pPr>
        <w:spacing w:after="0" w:line="167" w:lineRule="exact"/>
        <w:rPr>
          <w:sz w:val="20"/>
          <w:szCs w:val="20"/>
          <w:color w:val="auto"/>
        </w:rPr>
      </w:pPr>
    </w:p>
    <w:p>
      <w:pPr>
        <w:ind w:right="20"/>
        <w:spacing w:after="0" w:line="255" w:lineRule="auto"/>
        <w:rPr>
          <w:rFonts w:ascii="Times New Roman" w:cs="Times New Roman" w:eastAsia="Times New Roman" w:hAnsi="Times New Roman"/>
          <w:sz w:val="14"/>
          <w:szCs w:val="14"/>
          <w:u w:val="single" w:color="auto"/>
          <w:color w:val="0000FF"/>
        </w:rPr>
      </w:pPr>
      <w:hyperlink r:id="rId107">
        <w:r>
          <w:rPr>
            <w:rFonts w:ascii="Times New Roman" w:cs="Times New Roman" w:eastAsia="Times New Roman" w:hAnsi="Times New Roman"/>
            <w:sz w:val="14"/>
            <w:szCs w:val="14"/>
            <w:u w:val="single" w:color="auto"/>
            <w:color w:val="0000FF"/>
          </w:rPr>
          <w:t>Incorporated by reference to Exhibit 3 to Oil-Dri’s (file No. 001-12622) Quarterly</w:t>
        </w:r>
      </w:hyperlink>
      <w:r>
        <w:rPr>
          <w:rFonts w:ascii="Times New Roman" w:cs="Times New Roman" w:eastAsia="Times New Roman" w:hAnsi="Times New Roman"/>
          <w:sz w:val="14"/>
          <w:szCs w:val="14"/>
          <w:u w:val="single" w:color="auto"/>
          <w:color w:val="0000FF"/>
        </w:rPr>
        <w:t xml:space="preserve"> </w:t>
      </w:r>
      <w:hyperlink r:id="rId107">
        <w:r>
          <w:rPr>
            <w:rFonts w:ascii="Times New Roman" w:cs="Times New Roman" w:eastAsia="Times New Roman" w:hAnsi="Times New Roman"/>
            <w:sz w:val="14"/>
            <w:szCs w:val="14"/>
            <w:u w:val="single" w:color="auto"/>
            <w:color w:val="0000FF"/>
          </w:rPr>
          <w:t>Report on Form 10-Q filed on March 9, 2018.</w:t>
        </w:r>
      </w:hyperlink>
    </w:p>
    <w:p>
      <w:pPr>
        <w:spacing w:after="0" w:line="199" w:lineRule="exact"/>
        <w:rPr>
          <w:sz w:val="20"/>
          <w:szCs w:val="20"/>
          <w:color w:val="auto"/>
        </w:rPr>
      </w:pPr>
    </w:p>
    <w:p>
      <w:pPr>
        <w:sectPr>
          <w:pgSz w:w="11900" w:h="16838" w:orient="portrait"/>
          <w:cols w:equalWidth="0" w:num="2">
            <w:col w:w="5860" w:space="340"/>
            <w:col w:w="5060"/>
          </w:cols>
          <w:pgMar w:left="300" w:top="728" w:right="339" w:bottom="1440" w:gutter="0" w:footer="0" w:header="0"/>
          <w:type w:val="continuous"/>
        </w:sectPr>
      </w:pPr>
    </w:p>
    <w:p>
      <w:pPr>
        <w:ind w:left="380"/>
        <w:spacing w:after="0"/>
        <w:tabs>
          <w:tab w:leader="none" w:pos="1260" w:val="left"/>
          <w:tab w:leader="none" w:pos="61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Description of Capital Stock</w:t>
      </w:r>
      <w:r>
        <w:rPr>
          <w:sz w:val="20"/>
          <w:szCs w:val="20"/>
          <w:color w:val="auto"/>
        </w:rPr>
        <w:tab/>
      </w:r>
      <w:r>
        <w:rPr>
          <w:rFonts w:ascii="Times New Roman" w:cs="Times New Roman" w:eastAsia="Times New Roman" w:hAnsi="Times New Roman"/>
          <w:sz w:val="14"/>
          <w:szCs w:val="14"/>
          <w:u w:val="single" w:color="auto"/>
          <w:color w:val="0000FF"/>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Exhibit</w:t>
            </w:r>
          </w:p>
        </w:tc>
        <w:tc>
          <w:tcPr>
            <w:tcW w:w="4600" w:type="dxa"/>
            <w:vAlign w:val="bottom"/>
          </w:tcPr>
          <w:p>
            <w:pPr>
              <w:spacing w:after="0"/>
              <w:rPr>
                <w:sz w:val="13"/>
                <w:szCs w:val="13"/>
                <w:color w:val="auto"/>
              </w:rPr>
            </w:pPr>
          </w:p>
        </w:tc>
      </w:tr>
      <w:tr>
        <w:trPr>
          <w:trHeight w:val="19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w:t>
            </w:r>
          </w:p>
        </w:tc>
        <w:tc>
          <w:tcPr>
            <w:tcW w:w="46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Description</w:t>
            </w:r>
          </w:p>
        </w:tc>
      </w:tr>
      <w:tr>
        <w:trPr>
          <w:trHeight w:val="129"/>
        </w:trPr>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11"/>
                <w:szCs w:val="11"/>
                <w:color w:val="auto"/>
              </w:rPr>
            </w:pPr>
          </w:p>
        </w:tc>
        <w:tc>
          <w:tcPr>
            <w:tcW w:w="46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Credit  Agreement,  dated  January  27,  2006  among  the  Company,  certain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subsidiaries of the Company and Harris N.A.</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Amendment, dated as of December 19, 2008 to Credit Agreement dated as</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January 27,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Amendment, dated as of December 21, 2011 to Credit Agreement dated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January 27,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Amendment, dated as of June 21, 2012 to Credit Agreement dated as of</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27,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Amendment, dated as of December 4, 2014 to Credit Agreement dated as</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January 27,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Fifth Amendment, dated as of January 31, 2019 to Credit Agreement dated as of</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27,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Annex A to the Fifth Amendment to Credit Agreement dated as of January 27,</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w:t>
            </w:r>
          </w:p>
        </w:tc>
      </w:tr>
      <w:tr>
        <w:trPr>
          <w:trHeight w:val="399"/>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Oil-Dri BMO - Modification to BMO Harris Bank N.A. Credit Agreement.</w:t>
            </w:r>
          </w:p>
        </w:tc>
      </w:tr>
      <w:tr>
        <w:trPr>
          <w:trHeight w:val="499"/>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Sixth Amendment to Credit Agreement dated as of August 30, 2022, between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Oil-Dri Corporation of America and BMO Harris Bank N.A.</w:t>
            </w:r>
          </w:p>
        </w:tc>
      </w:tr>
      <w:tr>
        <w:trPr>
          <w:trHeight w:val="3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Amendment to Credit Agreement, dated April 16, 2024, by and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Oil-Dri Corporation of American and BMO Bank N.A.</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10.11</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Eighth Amendment to Credit Agreement, dated September 30, 2024, by and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Oil-Dri Corporation of American and BMO Bank N.A.</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$18,500,000 Note Agreement dated as of November 12, 2010 among Oil-Dri</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Corporation of America, The Prudential Insurance Company of America,</w:t>
            </w:r>
          </w:p>
        </w:tc>
      </w:tr>
      <w:tr>
        <w:trPr>
          <w:trHeight w:val="160"/>
        </w:trPr>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Prudential  Retirement  Insurance  and  Annuity  Company,  Forethought  Life</w:t>
            </w:r>
          </w:p>
        </w:tc>
      </w:tr>
    </w:tbl>
    <w:p>
      <w:pPr>
        <w:ind w:left="1260"/>
        <w:spacing w:after="0" w:line="205" w:lineRule="auto"/>
        <w:rPr>
          <w:sz w:val="20"/>
          <w:szCs w:val="20"/>
          <w:color w:val="auto"/>
        </w:rPr>
      </w:pPr>
      <w:r>
        <w:rPr>
          <w:rFonts w:ascii="Times New Roman" w:cs="Times New Roman" w:eastAsia="Times New Roman" w:hAnsi="Times New Roman"/>
          <w:sz w:val="14"/>
          <w:szCs w:val="14"/>
          <w:color w:val="auto"/>
        </w:rPr>
        <w:t>Insurance Company, Physicians Mutual Insurance Company and BCBSM, Inc.</w:t>
      </w:r>
    </w:p>
    <w:p>
      <w:pPr>
        <w:ind w:left="1260"/>
        <w:spacing w:after="0"/>
        <w:rPr>
          <w:sz w:val="20"/>
          <w:szCs w:val="20"/>
          <w:color w:val="auto"/>
        </w:rPr>
      </w:pPr>
      <w:r>
        <w:rPr>
          <w:rFonts w:ascii="Times New Roman" w:cs="Times New Roman" w:eastAsia="Times New Roman" w:hAnsi="Times New Roman"/>
          <w:sz w:val="14"/>
          <w:szCs w:val="14"/>
          <w:color w:val="auto"/>
        </w:rPr>
        <w:t>dba Blue Cross and Blue Shield of Minnesota.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2707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1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0">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10">
        <w:r>
          <w:rPr>
            <w:rFonts w:ascii="Times New Roman" w:cs="Times New Roman" w:eastAsia="Times New Roman" w:hAnsi="Times New Roman"/>
            <w:sz w:val="14"/>
            <w:szCs w:val="14"/>
            <w:u w:val="single" w:color="auto"/>
            <w:color w:val="0000FF"/>
          </w:rPr>
          <w:t>Report on Form 8-K filed on February 1, 2006.</w:t>
        </w:r>
      </w:hyperlink>
    </w:p>
    <w:p>
      <w:pPr>
        <w:spacing w:after="0" w:line="189"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1">
        <w:r>
          <w:rPr>
            <w:rFonts w:ascii="Times New Roman" w:cs="Times New Roman" w:eastAsia="Times New Roman" w:hAnsi="Times New Roman"/>
            <w:sz w:val="14"/>
            <w:szCs w:val="14"/>
            <w:u w:val="single" w:color="auto"/>
            <w:color w:val="0000FF"/>
          </w:rPr>
          <w:t>Incorporated by reference to Exhibit 10.1 to Oil-Dri’s (File No. 001-12622) Quarterly</w:t>
        </w:r>
      </w:hyperlink>
      <w:r>
        <w:rPr>
          <w:rFonts w:ascii="Times New Roman" w:cs="Times New Roman" w:eastAsia="Times New Roman" w:hAnsi="Times New Roman"/>
          <w:sz w:val="14"/>
          <w:szCs w:val="14"/>
          <w:u w:val="single" w:color="auto"/>
          <w:color w:val="0000FF"/>
        </w:rPr>
        <w:t xml:space="preserve"> </w:t>
      </w:r>
      <w:hyperlink r:id="rId111">
        <w:r>
          <w:rPr>
            <w:rFonts w:ascii="Times New Roman" w:cs="Times New Roman" w:eastAsia="Times New Roman" w:hAnsi="Times New Roman"/>
            <w:sz w:val="14"/>
            <w:szCs w:val="14"/>
            <w:u w:val="single" w:color="auto"/>
            <w:color w:val="0000FF"/>
          </w:rPr>
          <w:t>Report on Form 10-Q for the quarter ended January 31, 2009.</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2">
        <w:r>
          <w:rPr>
            <w:rFonts w:ascii="Times New Roman" w:cs="Times New Roman" w:eastAsia="Times New Roman" w:hAnsi="Times New Roman"/>
            <w:sz w:val="14"/>
            <w:szCs w:val="14"/>
            <w:u w:val="single" w:color="auto"/>
            <w:color w:val="0000FF"/>
          </w:rPr>
          <w:t>Incorporated by reference to Exhibit 10 to Oil-Dri’s (File No. 001-12622) Current Report</w:t>
        </w:r>
      </w:hyperlink>
      <w:r>
        <w:rPr>
          <w:rFonts w:ascii="Times New Roman" w:cs="Times New Roman" w:eastAsia="Times New Roman" w:hAnsi="Times New Roman"/>
          <w:sz w:val="14"/>
          <w:szCs w:val="14"/>
          <w:u w:val="single" w:color="auto"/>
          <w:color w:val="0000FF"/>
        </w:rPr>
        <w:t xml:space="preserve"> </w:t>
      </w:r>
      <w:hyperlink r:id="rId112">
        <w:r>
          <w:rPr>
            <w:rFonts w:ascii="Times New Roman" w:cs="Times New Roman" w:eastAsia="Times New Roman" w:hAnsi="Times New Roman"/>
            <w:sz w:val="14"/>
            <w:szCs w:val="14"/>
            <w:u w:val="single" w:color="auto"/>
            <w:color w:val="0000FF"/>
          </w:rPr>
          <w:t>on Form 8-K filed on December 28, 2011.</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3">
        <w:r>
          <w:rPr>
            <w:rFonts w:ascii="Times New Roman" w:cs="Times New Roman" w:eastAsia="Times New Roman" w:hAnsi="Times New Roman"/>
            <w:sz w:val="14"/>
            <w:szCs w:val="14"/>
            <w:u w:val="single" w:color="auto"/>
            <w:color w:val="0000FF"/>
          </w:rPr>
          <w:t>Incorporated by reference to Exhibit 10.12 to Oil-Dri’s (File No. 001-12622) Annual</w:t>
        </w:r>
      </w:hyperlink>
      <w:r>
        <w:rPr>
          <w:rFonts w:ascii="Times New Roman" w:cs="Times New Roman" w:eastAsia="Times New Roman" w:hAnsi="Times New Roman"/>
          <w:sz w:val="14"/>
          <w:szCs w:val="14"/>
          <w:u w:val="single" w:color="auto"/>
          <w:color w:val="0000FF"/>
        </w:rPr>
        <w:t xml:space="preserve"> </w:t>
      </w:r>
      <w:hyperlink r:id="rId113">
        <w:r>
          <w:rPr>
            <w:rFonts w:ascii="Times New Roman" w:cs="Times New Roman" w:eastAsia="Times New Roman" w:hAnsi="Times New Roman"/>
            <w:sz w:val="14"/>
            <w:szCs w:val="14"/>
            <w:u w:val="single" w:color="auto"/>
            <w:color w:val="0000FF"/>
          </w:rPr>
          <w:t>Report on Form 10-K for the fiscal year ended July 31, 2012.</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4">
        <w:r>
          <w:rPr>
            <w:rFonts w:ascii="Times New Roman" w:cs="Times New Roman" w:eastAsia="Times New Roman" w:hAnsi="Times New Roman"/>
            <w:sz w:val="14"/>
            <w:szCs w:val="14"/>
            <w:u w:val="single" w:color="auto"/>
            <w:color w:val="0000FF"/>
          </w:rPr>
          <w:t>Incorporated by reference to Exhibit 10.1 to Oil-Dri’s (File No. 001-12622) Quarterly</w:t>
        </w:r>
      </w:hyperlink>
      <w:r>
        <w:rPr>
          <w:rFonts w:ascii="Times New Roman" w:cs="Times New Roman" w:eastAsia="Times New Roman" w:hAnsi="Times New Roman"/>
          <w:sz w:val="14"/>
          <w:szCs w:val="14"/>
          <w:u w:val="single" w:color="auto"/>
          <w:color w:val="0000FF"/>
        </w:rPr>
        <w:t xml:space="preserve"> </w:t>
      </w:r>
      <w:hyperlink r:id="rId114">
        <w:r>
          <w:rPr>
            <w:rFonts w:ascii="Times New Roman" w:cs="Times New Roman" w:eastAsia="Times New Roman" w:hAnsi="Times New Roman"/>
            <w:sz w:val="14"/>
            <w:szCs w:val="14"/>
            <w:u w:val="single" w:color="auto"/>
            <w:color w:val="0000FF"/>
          </w:rPr>
          <w:t>Report on Form 10-Q for the quarter ended October 31, 2014.</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5">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15">
        <w:r>
          <w:rPr>
            <w:rFonts w:ascii="Times New Roman" w:cs="Times New Roman" w:eastAsia="Times New Roman" w:hAnsi="Times New Roman"/>
            <w:sz w:val="14"/>
            <w:szCs w:val="14"/>
            <w:u w:val="single" w:color="auto"/>
            <w:color w:val="0000FF"/>
          </w:rPr>
          <w:t>Report on Form 8-K filed on January 31, 2019.</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6">
        <w:r>
          <w:rPr>
            <w:rFonts w:ascii="Times New Roman" w:cs="Times New Roman" w:eastAsia="Times New Roman" w:hAnsi="Times New Roman"/>
            <w:sz w:val="14"/>
            <w:szCs w:val="14"/>
            <w:u w:val="single" w:color="auto"/>
            <w:color w:val="0000FF"/>
          </w:rPr>
          <w:t>Incorporated by reference to Exhibit 10.2 to Oil-Dri’s (File No. 001-12622) Current</w:t>
        </w:r>
      </w:hyperlink>
      <w:r>
        <w:rPr>
          <w:rFonts w:ascii="Times New Roman" w:cs="Times New Roman" w:eastAsia="Times New Roman" w:hAnsi="Times New Roman"/>
          <w:sz w:val="14"/>
          <w:szCs w:val="14"/>
          <w:u w:val="single" w:color="auto"/>
          <w:color w:val="0000FF"/>
        </w:rPr>
        <w:t xml:space="preserve"> </w:t>
      </w:r>
      <w:hyperlink r:id="rId116">
        <w:r>
          <w:rPr>
            <w:rFonts w:ascii="Times New Roman" w:cs="Times New Roman" w:eastAsia="Times New Roman" w:hAnsi="Times New Roman"/>
            <w:sz w:val="14"/>
            <w:szCs w:val="14"/>
            <w:u w:val="single" w:color="auto"/>
            <w:color w:val="0000FF"/>
          </w:rPr>
          <w:t>Report on Form 8-K filed on January 31, 2019.</w:t>
        </w:r>
      </w:hyperlink>
    </w:p>
    <w:p>
      <w:pPr>
        <w:spacing w:after="0" w:line="220" w:lineRule="exact"/>
        <w:rPr>
          <w:sz w:val="20"/>
          <w:szCs w:val="20"/>
          <w:color w:val="auto"/>
        </w:rPr>
      </w:pPr>
    </w:p>
    <w:p>
      <w:pPr>
        <w:ind w:right="240"/>
        <w:spacing w:after="0" w:line="239" w:lineRule="auto"/>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Incorporated by reference to Exhibit 10.1 to Oil-Dri’s (file No. 001-12622) Quarterly</w:t>
        </w:r>
      </w:hyperlink>
      <w:r>
        <w:rPr>
          <w:rFonts w:ascii="Times New Roman" w:cs="Times New Roman" w:eastAsia="Times New Roman" w:hAnsi="Times New Roman"/>
          <w:sz w:val="14"/>
          <w:szCs w:val="14"/>
          <w:u w:val="single" w:color="auto"/>
          <w:color w:val="0000FF"/>
        </w:rPr>
        <w:t xml:space="preserve"> </w:t>
      </w:r>
      <w:hyperlink r:id="rId117">
        <w:r>
          <w:rPr>
            <w:rFonts w:ascii="Times New Roman" w:cs="Times New Roman" w:eastAsia="Times New Roman" w:hAnsi="Times New Roman"/>
            <w:sz w:val="14"/>
            <w:szCs w:val="14"/>
            <w:u w:val="single" w:color="auto"/>
            <w:color w:val="0000FF"/>
          </w:rPr>
          <w:t>Report on Form 10-Q for the quarter ended April 30, 2022.</w:t>
        </w:r>
      </w:hyperlink>
    </w:p>
    <w:p>
      <w:pPr>
        <w:spacing w:after="0" w:line="220" w:lineRule="exact"/>
        <w:rPr>
          <w:sz w:val="20"/>
          <w:szCs w:val="20"/>
          <w:color w:val="auto"/>
        </w:rPr>
      </w:pPr>
    </w:p>
    <w:p>
      <w:pPr>
        <w:ind w:right="360"/>
        <w:spacing w:after="0" w:line="255" w:lineRule="auto"/>
        <w:rPr>
          <w:rFonts w:ascii="Times New Roman" w:cs="Times New Roman" w:eastAsia="Times New Roman" w:hAnsi="Times New Roman"/>
          <w:sz w:val="14"/>
          <w:szCs w:val="14"/>
          <w:u w:val="single" w:color="auto"/>
          <w:color w:val="0000FF"/>
        </w:rPr>
      </w:pPr>
      <w:hyperlink r:id="rId118">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18">
        <w:r>
          <w:rPr>
            <w:rFonts w:ascii="Times New Roman" w:cs="Times New Roman" w:eastAsia="Times New Roman" w:hAnsi="Times New Roman"/>
            <w:sz w:val="14"/>
            <w:szCs w:val="14"/>
            <w:u w:val="single" w:color="auto"/>
            <w:color w:val="0000FF"/>
          </w:rPr>
          <w:t>Report on Form 8-K filed on September 6, 2022.</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Incorporated by reference to Exhibit 2.1 to Oil-Dri's Current Report on Form 8-K (File</w:t>
        </w:r>
      </w:hyperlink>
      <w:r>
        <w:rPr>
          <w:rFonts w:ascii="Times New Roman" w:cs="Times New Roman" w:eastAsia="Times New Roman" w:hAnsi="Times New Roman"/>
          <w:sz w:val="14"/>
          <w:szCs w:val="14"/>
          <w:u w:val="single" w:color="auto"/>
          <w:color w:val="0000FF"/>
        </w:rPr>
        <w:t xml:space="preserve"> </w:t>
      </w:r>
      <w:hyperlink r:id="rId119">
        <w:r>
          <w:rPr>
            <w:rFonts w:ascii="Times New Roman" w:cs="Times New Roman" w:eastAsia="Times New Roman" w:hAnsi="Times New Roman"/>
            <w:sz w:val="14"/>
            <w:szCs w:val="14"/>
            <w:u w:val="single" w:color="auto"/>
            <w:color w:val="0000FF"/>
          </w:rPr>
          <w:t>No. 001-12622) filed on April 16, 2024.</w:t>
        </w:r>
      </w:hyperlink>
    </w:p>
    <w:p>
      <w:pPr>
        <w:spacing w:after="0" w:line="220" w:lineRule="exact"/>
        <w:rPr>
          <w:sz w:val="20"/>
          <w:szCs w:val="20"/>
          <w:color w:val="auto"/>
        </w:rPr>
      </w:pPr>
    </w:p>
    <w:p>
      <w:pPr>
        <w:ind w:right="140"/>
        <w:spacing w:after="0" w:line="239" w:lineRule="auto"/>
        <w:rPr>
          <w:rFonts w:ascii="Times New Roman" w:cs="Times New Roman" w:eastAsia="Times New Roman" w:hAnsi="Times New Roman"/>
          <w:sz w:val="14"/>
          <w:szCs w:val="14"/>
          <w:u w:val="single" w:color="auto"/>
          <w:color w:val="0000FF"/>
        </w:rPr>
      </w:pPr>
      <w:hyperlink r:id="rId120">
        <w:r>
          <w:rPr>
            <w:rFonts w:ascii="Times New Roman" w:cs="Times New Roman" w:eastAsia="Times New Roman" w:hAnsi="Times New Roman"/>
            <w:sz w:val="14"/>
            <w:szCs w:val="14"/>
            <w:u w:val="single" w:color="auto"/>
            <w:color w:val="0000FF"/>
          </w:rPr>
          <w:t>Incorporated by reference to Exhibit 2.1 to Oil-Dri's Current Report on Form 8-K (File</w:t>
        </w:r>
      </w:hyperlink>
      <w:r>
        <w:rPr>
          <w:rFonts w:ascii="Times New Roman" w:cs="Times New Roman" w:eastAsia="Times New Roman" w:hAnsi="Times New Roman"/>
          <w:sz w:val="14"/>
          <w:szCs w:val="14"/>
          <w:u w:val="single" w:color="auto"/>
          <w:color w:val="0000FF"/>
        </w:rPr>
        <w:t xml:space="preserve"> </w:t>
      </w:r>
      <w:hyperlink r:id="rId120">
        <w:r>
          <w:rPr>
            <w:rFonts w:ascii="Times New Roman" w:cs="Times New Roman" w:eastAsia="Times New Roman" w:hAnsi="Times New Roman"/>
            <w:sz w:val="14"/>
            <w:szCs w:val="14"/>
            <w:u w:val="single" w:color="auto"/>
            <w:color w:val="0000FF"/>
          </w:rPr>
          <w:t>No. 001-12622) filed on October 1, 2024.</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Report on Form 8-K filed on November 16, 2010.</w:t>
        </w:r>
      </w:hyperlink>
    </w:p>
    <w:p>
      <w:pPr>
        <w:spacing w:after="0" w:line="618" w:lineRule="exact"/>
        <w:rPr>
          <w:sz w:val="20"/>
          <w:szCs w:val="20"/>
          <w:color w:val="auto"/>
        </w:rPr>
      </w:pPr>
    </w:p>
    <w:p>
      <w:pPr>
        <w:sectPr>
          <w:pgSz w:w="11900" w:h="16838" w:orient="portrait"/>
          <w:cols w:equalWidth="0" w:num="2">
            <w:col w:w="5840" w:space="340"/>
            <w:col w:w="5060"/>
          </w:cols>
          <w:pgMar w:left="320" w:top="81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Exhibit</w:t>
            </w:r>
          </w:p>
        </w:tc>
        <w:tc>
          <w:tcPr>
            <w:tcW w:w="4600" w:type="dxa"/>
            <w:vAlign w:val="bottom"/>
          </w:tcPr>
          <w:p>
            <w:pPr>
              <w:spacing w:after="0"/>
              <w:rPr>
                <w:sz w:val="13"/>
                <w:szCs w:val="13"/>
                <w:color w:val="auto"/>
              </w:rPr>
            </w:pPr>
          </w:p>
        </w:tc>
      </w:tr>
      <w:tr>
        <w:trPr>
          <w:trHeight w:val="19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w:t>
            </w:r>
          </w:p>
        </w:tc>
        <w:tc>
          <w:tcPr>
            <w:tcW w:w="46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Description</w:t>
            </w:r>
          </w:p>
        </w:tc>
      </w:tr>
      <w:tr>
        <w:trPr>
          <w:trHeight w:val="129"/>
        </w:trPr>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10.13</w:t>
            </w:r>
          </w:p>
        </w:tc>
        <w:tc>
          <w:tcPr>
            <w:tcW w:w="340" w:type="dxa"/>
            <w:vAlign w:val="bottom"/>
          </w:tcPr>
          <w:p>
            <w:pPr>
              <w:spacing w:after="0"/>
              <w:rPr>
                <w:sz w:val="11"/>
                <w:szCs w:val="11"/>
                <w:color w:val="auto"/>
              </w:rPr>
            </w:pPr>
          </w:p>
        </w:tc>
        <w:tc>
          <w:tcPr>
            <w:tcW w:w="46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Amended and Restated Note Purchase and Private Shelf Agreement, dated as of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May 15, 2020, among Oil-Dri Corporation of America, PGIM, Inc. and existing</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noteholders and purchasers named therein.</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1 dated December 16, 2021 to the Amended and Restated Note</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and Private Shelf Agreement among Oil-Dri Corporation of America,</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PGIM, Inc. and existing noteholders and purchasers named therein.</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2 to Amended and Restated Note Purchase and Private Shelf</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w:t>
            </w:r>
          </w:p>
        </w:tc>
      </w:tr>
      <w:tr>
        <w:trPr>
          <w:trHeight w:val="36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3 to Amended and Restated Note Purchase and Private Shelf</w:t>
            </w:r>
          </w:p>
        </w:tc>
      </w:tr>
      <w:tr>
        <w:trPr>
          <w:trHeight w:val="149"/>
        </w:trPr>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Agreement, dated August 30, 2022, among Oil-Dri Corporation of America,</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PGIM, Inc. and existing noteholders named therein.</w:t>
            </w:r>
          </w:p>
        </w:tc>
      </w:tr>
      <w:tr>
        <w:trPr>
          <w:trHeight w:val="3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4 to Amended and Restated Note Purchase and Private Shelf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Agreement, dated September 21, 2023 among Oil-Dri Corporation of America,</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PGIM, Inc. and existing note holders</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Oil-Dri Corporation of America Deferred Compensation Plan, as amended and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restated effective April 1, 2003.*</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Amendment, effective as of January 1, 2007, to Oil-Dri Corporation of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America Deferred Compensation Plan, as amended and restated effective April</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2003.*</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Amendment, effective as of January 1, 2008, to Oil-Dri Corporation of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America Deferred Compensation Plan, as amended and restated effective April</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2003.*</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Oil-Dri Corporation of America Annual Incentive Plan (as amended and restated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January 1, 2008).*</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Oil-Dri Corporation of America 2005 Deferred Compensation Plan (as amended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restated effective January 1, 2008)*</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Amendment, effective July 1, 2020, to the Oil-Dri Corporation of America</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2005 Deferred Compensation Plan (as amended and restated effective January 1,</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2008).*</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Amended and Restated Oil-Dri Corporation of America 2006 Long Term</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r>
      <w:tr>
        <w:trPr>
          <w:trHeight w:val="67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2707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10" w:lineRule="exact"/>
        <w:rPr>
          <w:sz w:val="20"/>
          <w:szCs w:val="20"/>
          <w:color w:val="auto"/>
        </w:rPr>
      </w:pPr>
    </w:p>
    <w:p>
      <w:pPr>
        <w:ind w:right="20"/>
        <w:spacing w:after="0" w:line="239" w:lineRule="auto"/>
        <w:rPr>
          <w:rFonts w:ascii="Times New Roman" w:cs="Times New Roman" w:eastAsia="Times New Roman" w:hAnsi="Times New Roman"/>
          <w:sz w:val="14"/>
          <w:szCs w:val="14"/>
          <w:u w:val="single" w:color="auto"/>
          <w:color w:val="0000FF"/>
        </w:rPr>
      </w:pPr>
      <w:hyperlink r:id="rId125">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Report on Form 8-K filed on May 21, 2020.</w:t>
        </w:r>
      </w:hyperlink>
    </w:p>
    <w:p>
      <w:pPr>
        <w:spacing w:after="0" w:line="327" w:lineRule="exact"/>
        <w:rPr>
          <w:sz w:val="20"/>
          <w:szCs w:val="20"/>
          <w:color w:val="auto"/>
        </w:rPr>
      </w:pPr>
    </w:p>
    <w:p>
      <w:pPr>
        <w:ind w:right="360"/>
        <w:spacing w:after="0" w:line="239" w:lineRule="auto"/>
        <w:rPr>
          <w:rFonts w:ascii="Times New Roman" w:cs="Times New Roman" w:eastAsia="Times New Roman" w:hAnsi="Times New Roman"/>
          <w:sz w:val="14"/>
          <w:szCs w:val="14"/>
          <w:u w:val="single" w:color="auto"/>
          <w:color w:val="0000FF"/>
        </w:rPr>
      </w:pPr>
      <w:hyperlink r:id="rId126">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Report on Form 8-K filed on December 17, 2021.</w:t>
        </w:r>
      </w:hyperlink>
    </w:p>
    <w:p>
      <w:pPr>
        <w:spacing w:after="0" w:line="327" w:lineRule="exact"/>
        <w:rPr>
          <w:sz w:val="20"/>
          <w:szCs w:val="20"/>
          <w:color w:val="auto"/>
        </w:rPr>
      </w:pPr>
    </w:p>
    <w:p>
      <w:pPr>
        <w:ind w:right="240"/>
        <w:spacing w:after="0" w:line="239" w:lineRule="auto"/>
        <w:rPr>
          <w:rFonts w:ascii="Times New Roman" w:cs="Times New Roman" w:eastAsia="Times New Roman" w:hAnsi="Times New Roman"/>
          <w:sz w:val="14"/>
          <w:szCs w:val="14"/>
          <w:u w:val="single" w:color="auto"/>
          <w:color w:val="0000FF"/>
        </w:rPr>
      </w:pPr>
      <w:hyperlink r:id="rId127">
        <w:r>
          <w:rPr>
            <w:rFonts w:ascii="Times New Roman" w:cs="Times New Roman" w:eastAsia="Times New Roman" w:hAnsi="Times New Roman"/>
            <w:sz w:val="14"/>
            <w:szCs w:val="14"/>
            <w:u w:val="single" w:color="auto"/>
            <w:color w:val="0000FF"/>
          </w:rPr>
          <w:t>Incorporated by reference to Exhibit 10.2 to Oil-Dri’s (file No. 001-12622) Quarterly</w:t>
        </w:r>
      </w:hyperlink>
      <w:r>
        <w:rPr>
          <w:rFonts w:ascii="Times New Roman" w:cs="Times New Roman" w:eastAsia="Times New Roman" w:hAnsi="Times New Roman"/>
          <w:sz w:val="14"/>
          <w:szCs w:val="14"/>
          <w:u w:val="single" w:color="auto"/>
          <w:color w:val="0000FF"/>
        </w:rPr>
        <w:t xml:space="preserve"> </w:t>
      </w:r>
      <w:hyperlink r:id="rId127">
        <w:r>
          <w:rPr>
            <w:rFonts w:ascii="Times New Roman" w:cs="Times New Roman" w:eastAsia="Times New Roman" w:hAnsi="Times New Roman"/>
            <w:sz w:val="14"/>
            <w:szCs w:val="14"/>
            <w:u w:val="single" w:color="auto"/>
            <w:color w:val="0000FF"/>
          </w:rPr>
          <w:t>Report on Form 10-Q for the quarter ended April 30, 2022.</w:t>
        </w:r>
      </w:hyperlink>
    </w:p>
    <w:p>
      <w:pPr>
        <w:spacing w:after="0" w:line="220" w:lineRule="exact"/>
        <w:rPr>
          <w:sz w:val="20"/>
          <w:szCs w:val="20"/>
          <w:color w:val="auto"/>
        </w:rPr>
      </w:pPr>
    </w:p>
    <w:p>
      <w:pPr>
        <w:ind w:right="360"/>
        <w:spacing w:after="0" w:line="255" w:lineRule="auto"/>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Incorporated by reference to Exhibit 10.2 to Oil-Dri's (file No. 001-12622) Current</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Report on Form 8-K filed on September 6, 2022.</w:t>
        </w:r>
      </w:hyperlink>
    </w:p>
    <w:p>
      <w:pPr>
        <w:spacing w:after="0" w:line="369" w:lineRule="exact"/>
        <w:rPr>
          <w:sz w:val="20"/>
          <w:szCs w:val="20"/>
          <w:color w:val="auto"/>
        </w:rPr>
      </w:pPr>
    </w:p>
    <w:p>
      <w:pPr>
        <w:ind w:right="360"/>
        <w:spacing w:after="0" w:line="239" w:lineRule="auto"/>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Incorporated by reference to Exhibit 10.1 to Oil-Dri's (file No. 001-12622) Current</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Report on Form 8-K filed on September 22, 2023.</w:t>
        </w:r>
      </w:hyperlink>
    </w:p>
    <w:p>
      <w:pPr>
        <w:spacing w:after="0" w:line="358"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Incorporated by reference to Exhibit (10)(j)(1) to Oil-Dri’s (File No. 001-12622)</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Quarterly Report on Form 10-Q for the quarter ended April 30, 2003.</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Incorporated by reference to Exhibit 10.1 to Oil-Dri’s (File No. 001-12622) Quarterly</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Report on Form 10-Q for the quarter ended January 31, 2008.</w:t>
        </w:r>
      </w:hyperlink>
    </w:p>
    <w:p>
      <w:pPr>
        <w:spacing w:after="0" w:line="358"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Incorporated by reference to Exhibit 10.2 to Oil-Dri’s (File No. 001-12622) Quarterly</w:t>
        </w:r>
      </w:hyperlink>
      <w:r>
        <w:rPr>
          <w:rFonts w:ascii="Times New Roman" w:cs="Times New Roman" w:eastAsia="Times New Roman" w:hAnsi="Times New Roman"/>
          <w:sz w:val="14"/>
          <w:szCs w:val="14"/>
          <w:u w:val="single" w:color="auto"/>
          <w:color w:val="0000FF"/>
        </w:rPr>
        <w:t xml:space="preserve"> </w:t>
      </w:r>
      <w:hyperlink r:id="rId132">
        <w:r>
          <w:rPr>
            <w:rFonts w:ascii="Times New Roman" w:cs="Times New Roman" w:eastAsia="Times New Roman" w:hAnsi="Times New Roman"/>
            <w:sz w:val="14"/>
            <w:szCs w:val="14"/>
            <w:u w:val="single" w:color="auto"/>
            <w:color w:val="0000FF"/>
          </w:rPr>
          <w:t>Report on Form 10-Q for the quarter ended January 31, 2008.</w:t>
        </w:r>
      </w:hyperlink>
    </w:p>
    <w:p>
      <w:pPr>
        <w:spacing w:after="0" w:line="358"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Incorporated by reference to Exhibit 10.4 to Oil-Dri’s (File No. 001-12622) Quarterly</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Report on Form 10-Q for the quarter ended January 31, 2008.</w:t>
        </w:r>
      </w:hyperlink>
    </w:p>
    <w:p>
      <w:pPr>
        <w:spacing w:after="0" w:line="189"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4">
        <w:r>
          <w:rPr>
            <w:rFonts w:ascii="Times New Roman" w:cs="Times New Roman" w:eastAsia="Times New Roman" w:hAnsi="Times New Roman"/>
            <w:sz w:val="14"/>
            <w:szCs w:val="14"/>
            <w:u w:val="single" w:color="auto"/>
            <w:color w:val="0000FF"/>
          </w:rPr>
          <w:t>Incorporated by reference to Exhibit 10.3 to Oil-Dri’s (File No. 001-12622) Quarterly</w:t>
        </w:r>
      </w:hyperlink>
      <w:r>
        <w:rPr>
          <w:rFonts w:ascii="Times New Roman" w:cs="Times New Roman" w:eastAsia="Times New Roman" w:hAnsi="Times New Roman"/>
          <w:sz w:val="14"/>
          <w:szCs w:val="14"/>
          <w:u w:val="single" w:color="auto"/>
          <w:color w:val="0000FF"/>
        </w:rPr>
        <w:t xml:space="preserve"> </w:t>
      </w:r>
      <w:hyperlink r:id="rId134">
        <w:r>
          <w:rPr>
            <w:rFonts w:ascii="Times New Roman" w:cs="Times New Roman" w:eastAsia="Times New Roman" w:hAnsi="Times New Roman"/>
            <w:sz w:val="14"/>
            <w:szCs w:val="14"/>
            <w:u w:val="single" w:color="auto"/>
            <w:color w:val="0000FF"/>
          </w:rPr>
          <w:t>Report on Form 10-Q for the quarter ended January 31, 2008.</w:t>
        </w:r>
      </w:hyperlink>
    </w:p>
    <w:p>
      <w:pPr>
        <w:spacing w:after="0" w:line="225" w:lineRule="exact"/>
        <w:rPr>
          <w:sz w:val="20"/>
          <w:szCs w:val="20"/>
          <w:color w:val="auto"/>
        </w:rPr>
      </w:pPr>
    </w:p>
    <w:p>
      <w:pPr>
        <w:ind w:right="280"/>
        <w:spacing w:after="0" w:line="277"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 xml:space="preserve">Incorporated by reference to Exhibit 10.24 to Oil Dri's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4"/>
            <w:szCs w:val="14"/>
            <w:u w:val="single" w:color="auto"/>
            <w:color w:val="0000FF"/>
          </w:rPr>
          <w:t>File No. 001-12622) Annual</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Report on Form 10-K for the fiscal year ended July 31, 2020.</w:t>
        </w:r>
      </w:hyperlink>
    </w:p>
    <w:p>
      <w:pPr>
        <w:spacing w:after="0" w:line="276" w:lineRule="exact"/>
        <w:rPr>
          <w:sz w:val="20"/>
          <w:szCs w:val="20"/>
          <w:color w:val="auto"/>
        </w:rPr>
      </w:pPr>
    </w:p>
    <w:p>
      <w:pPr>
        <w:ind w:right="180"/>
        <w:spacing w:after="0" w:line="239" w:lineRule="auto"/>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Incorporated by reference to Appendix A to Oil-Dri’s (File No. 001-12622) Definitive</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Proxy Statement on Schedule 14A filed on October 30, 2023.</w:t>
        </w:r>
      </w:hyperlink>
    </w:p>
    <w:p>
      <w:pPr>
        <w:sectPr>
          <w:pgSz w:w="11900" w:h="16838" w:orient="portrait"/>
          <w:cols w:equalWidth="0" w:num="2">
            <w:col w:w="5840" w:space="340"/>
            <w:col w:w="5060"/>
          </w:cols>
          <w:pgMar w:left="320" w:top="81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Exhibit</w:t>
            </w:r>
          </w:p>
        </w:tc>
        <w:tc>
          <w:tcPr>
            <w:tcW w:w="4600" w:type="dxa"/>
            <w:vAlign w:val="bottom"/>
          </w:tcPr>
          <w:p>
            <w:pPr>
              <w:spacing w:after="0"/>
              <w:rPr>
                <w:sz w:val="13"/>
                <w:szCs w:val="13"/>
                <w:color w:val="auto"/>
              </w:rPr>
            </w:pPr>
          </w:p>
        </w:tc>
      </w:tr>
      <w:tr>
        <w:trPr>
          <w:trHeight w:val="191"/>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w:t>
            </w:r>
          </w:p>
        </w:tc>
        <w:tc>
          <w:tcPr>
            <w:tcW w:w="46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Description</w:t>
            </w:r>
          </w:p>
        </w:tc>
      </w:tr>
      <w:tr>
        <w:trPr>
          <w:trHeight w:val="129"/>
        </w:trPr>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10.25</w:t>
            </w:r>
          </w:p>
        </w:tc>
        <w:tc>
          <w:tcPr>
            <w:tcW w:w="340" w:type="dxa"/>
            <w:vAlign w:val="bottom"/>
          </w:tcPr>
          <w:p>
            <w:pPr>
              <w:spacing w:after="0"/>
              <w:rPr>
                <w:sz w:val="11"/>
                <w:szCs w:val="11"/>
                <w:color w:val="auto"/>
              </w:rPr>
            </w:pPr>
          </w:p>
        </w:tc>
        <w:tc>
          <w:tcPr>
            <w:tcW w:w="46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Oil-Dri Corporation of America 2006 Long Term Incentive Plan (as amended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restated effective July 28,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Amendment, effective as of January 1, 2008, to Oil-Dri Corporation of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America 2006 Long Term Incentive Plan (as amended and restated effective</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28,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Amendment, effective as of October 15, 2015, to Oil-Dri Corporation of</w:t>
            </w:r>
          </w:p>
        </w:tc>
      </w:tr>
      <w:tr>
        <w:trPr>
          <w:trHeight w:val="138"/>
        </w:trPr>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America 2006 Long Term Incentive Plan (as previously amended and restated</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July 28, 2006)*</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Amendment to Oil-Dri Corporation of America 2006 Long Term</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Option Agreement for Class A Common Stock.*</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Option Agreement for Common Stock.*</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Option Agreement for Class B Stock.*</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Stock Option Agreement for Common Stock.*</w:t>
            </w:r>
          </w:p>
        </w:tc>
      </w:tr>
      <w:tr>
        <w:trPr>
          <w:trHeight w:val="32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Agreement for Class A Common Stock.*</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Agreement for Common Stock.*</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Oil-Dri Corporation of America 2006 Long Term Incentive Plan</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Agreement for Class B Stock.*</w:t>
            </w:r>
          </w:p>
        </w:tc>
      </w:tr>
      <w:tr>
        <w:trPr>
          <w:trHeight w:val="35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3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2018 Restricted Stock Agreement for Class B Stock under the Oil-Dri</w:t>
            </w: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Corporation of America 2006 Long Term Incentive Plan.*</w:t>
            </w:r>
          </w:p>
        </w:tc>
      </w:tr>
      <w:tr>
        <w:trPr>
          <w:trHeight w:val="67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2707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1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9">
        <w:r>
          <w:rPr>
            <w:rFonts w:ascii="Times New Roman" w:cs="Times New Roman" w:eastAsia="Times New Roman" w:hAnsi="Times New Roman"/>
            <w:sz w:val="14"/>
            <w:szCs w:val="14"/>
            <w:u w:val="single" w:color="auto"/>
            <w:color w:val="0000FF"/>
          </w:rPr>
          <w:t>Incorporated by reference to Appendix A to Oil-Dri’s (File No. 001-12622) Definitive</w:t>
        </w:r>
      </w:hyperlink>
      <w:r>
        <w:rPr>
          <w:rFonts w:ascii="Times New Roman" w:cs="Times New Roman" w:eastAsia="Times New Roman" w:hAnsi="Times New Roman"/>
          <w:sz w:val="14"/>
          <w:szCs w:val="14"/>
          <w:u w:val="single" w:color="auto"/>
          <w:color w:val="0000FF"/>
        </w:rPr>
        <w:t xml:space="preserve"> </w:t>
      </w:r>
      <w:hyperlink r:id="rId139">
        <w:r>
          <w:rPr>
            <w:rFonts w:ascii="Times New Roman" w:cs="Times New Roman" w:eastAsia="Times New Roman" w:hAnsi="Times New Roman"/>
            <w:sz w:val="14"/>
            <w:szCs w:val="14"/>
            <w:u w:val="single" w:color="auto"/>
            <w:color w:val="0000FF"/>
          </w:rPr>
          <w:t>Proxy Statement on Schedule 14A filed on November 3, 2006.</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Incorporated by reference to Exhibit 10.5 to Oil-Dri’s (File No. 001-12622) Quarterly</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Report on Form 10-Q for the quarter ended January 31, 2008.</w:t>
        </w:r>
      </w:hyperlink>
    </w:p>
    <w:p>
      <w:pPr>
        <w:spacing w:after="0" w:line="358"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Incorporated by reference to Appendix A to Oil-Dri’s (File No. 001-12622) Definitive</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Proxy Statement on Schedule 14A filed on October 28, 2015.</w:t>
        </w:r>
      </w:hyperlink>
    </w:p>
    <w:p>
      <w:pPr>
        <w:spacing w:after="0" w:line="358" w:lineRule="exact"/>
        <w:rPr>
          <w:sz w:val="20"/>
          <w:szCs w:val="20"/>
          <w:color w:val="auto"/>
        </w:rPr>
      </w:pPr>
    </w:p>
    <w:p>
      <w:pPr>
        <w:ind w:right="180"/>
        <w:spacing w:after="0" w:line="239" w:lineRule="auto"/>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Incorporated by reference to Appendix A of Oil-Dri's (File No. 001-12622) Definitive</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Proxy Statement on Schedule 14A filed on October 30, 2019</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Incorporated by reference to Exhibit 10.2 to Oil-Dri’s (file No. 001-12622) Current</w:t>
        </w:r>
      </w:hyperlink>
      <w:r>
        <w:rPr>
          <w:rFonts w:ascii="Times New Roman" w:cs="Times New Roman" w:eastAsia="Times New Roman" w:hAnsi="Times New Roman"/>
          <w:sz w:val="14"/>
          <w:szCs w:val="14"/>
          <w:u w:val="single" w:color="auto"/>
          <w:color w:val="0000FF"/>
        </w:rPr>
        <w:t xml:space="preserve"> </w:t>
      </w:r>
      <w:hyperlink r:id="rId143">
        <w:r>
          <w:rPr>
            <w:rFonts w:ascii="Times New Roman" w:cs="Times New Roman" w:eastAsia="Times New Roman" w:hAnsi="Times New Roman"/>
            <w:sz w:val="14"/>
            <w:szCs w:val="14"/>
            <w:u w:val="single" w:color="auto"/>
            <w:color w:val="0000FF"/>
          </w:rPr>
          <w:t>Report on Form 8-K filed on December 11, 2006.</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4">
        <w:r>
          <w:rPr>
            <w:rFonts w:ascii="Times New Roman" w:cs="Times New Roman" w:eastAsia="Times New Roman" w:hAnsi="Times New Roman"/>
            <w:sz w:val="14"/>
            <w:szCs w:val="14"/>
            <w:u w:val="single" w:color="auto"/>
            <w:color w:val="0000FF"/>
          </w:rPr>
          <w:t>Incorporated by reference to Exhibit 10.3 to Oil-Dri’s (file No. 001-12622) Current</w:t>
        </w:r>
      </w:hyperlink>
      <w:r>
        <w:rPr>
          <w:rFonts w:ascii="Times New Roman" w:cs="Times New Roman" w:eastAsia="Times New Roman" w:hAnsi="Times New Roman"/>
          <w:sz w:val="14"/>
          <w:szCs w:val="14"/>
          <w:u w:val="single" w:color="auto"/>
          <w:color w:val="0000FF"/>
        </w:rPr>
        <w:t xml:space="preserve"> </w:t>
      </w:r>
      <w:hyperlink r:id="rId144">
        <w:r>
          <w:rPr>
            <w:rFonts w:ascii="Times New Roman" w:cs="Times New Roman" w:eastAsia="Times New Roman" w:hAnsi="Times New Roman"/>
            <w:sz w:val="14"/>
            <w:szCs w:val="14"/>
            <w:u w:val="single" w:color="auto"/>
            <w:color w:val="0000FF"/>
          </w:rPr>
          <w:t>Report on Form 8-K filed on December 11, 2006.</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Incorporated by reference to Exhibit 10.4 to Oil-Dri’s (file No. 001-12622) Current</w:t>
        </w:r>
      </w:hyperlink>
      <w:r>
        <w:rPr>
          <w:rFonts w:ascii="Times New Roman" w:cs="Times New Roman" w:eastAsia="Times New Roman" w:hAnsi="Times New Roman"/>
          <w:sz w:val="14"/>
          <w:szCs w:val="14"/>
          <w:u w:val="single" w:color="auto"/>
          <w:color w:val="0000FF"/>
        </w:rPr>
        <w:t xml:space="preserve"> </w:t>
      </w:r>
      <w:hyperlink r:id="rId145">
        <w:r>
          <w:rPr>
            <w:rFonts w:ascii="Times New Roman" w:cs="Times New Roman" w:eastAsia="Times New Roman" w:hAnsi="Times New Roman"/>
            <w:sz w:val="14"/>
            <w:szCs w:val="14"/>
            <w:u w:val="single" w:color="auto"/>
            <w:color w:val="0000FF"/>
          </w:rPr>
          <w:t>Report on Form 8-K filed on December 11, 2006.</w:t>
        </w:r>
      </w:hyperlink>
    </w:p>
    <w:p>
      <w:pPr>
        <w:spacing w:after="0" w:line="189"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Incorporated by reference to Exhibit 10.5 to Oil-Dri’s (file No. 001-12622) Current</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Report on Form 8-K filed on December 11, 2006.</w:t>
        </w:r>
      </w:hyperlink>
    </w:p>
    <w:p>
      <w:pPr>
        <w:spacing w:after="0" w:line="189"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Incorporated by reference to Exhibit 10.6 to Oil-Dri’s (file No. 001-12622) Current</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Report on Form 8-K filed on December 11, 2006.</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Incorporated by reference to Exhibit 10.7 to Oil-Dri’s (file No. 001-12622) Current</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Report on Form 8-K filed on December 11, 2006.</w:t>
        </w:r>
      </w:hyperlink>
    </w:p>
    <w:p>
      <w:pPr>
        <w:spacing w:after="0" w:line="22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Incorporated by reference to Exhibit 10.8 to Oil-Dri’s (file No. 001-12622) Current</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Report on Form 8-K filed on December 11, 2006.</w:t>
        </w:r>
      </w:hyperlink>
    </w:p>
    <w:p>
      <w:pPr>
        <w:spacing w:after="0" w:line="220" w:lineRule="exact"/>
        <w:rPr>
          <w:sz w:val="20"/>
          <w:szCs w:val="20"/>
          <w:color w:val="auto"/>
        </w:rPr>
      </w:pPr>
    </w:p>
    <w:p>
      <w:pPr>
        <w:ind w:right="300"/>
        <w:spacing w:after="0" w:line="239" w:lineRule="auto"/>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u w:val="single" w:color="auto"/>
            <w:color w:val="0000FF"/>
          </w:rPr>
          <w:t>Incorporated by reference to Exhibit 10.29 to Oil-Dri's (file No. 001-12622) Annual</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Report on Form 10-K for the fiscal year ended July 31, 2018</w:t>
        </w:r>
        <w:r>
          <w:rPr>
            <w:rFonts w:ascii="Times New Roman" w:cs="Times New Roman" w:eastAsia="Times New Roman" w:hAnsi="Times New Roman"/>
            <w:sz w:val="14"/>
            <w:szCs w:val="14"/>
            <w:color w:val="000000"/>
          </w:rPr>
          <w:t>.</w:t>
        </w:r>
      </w:hyperlink>
    </w:p>
    <w:p>
      <w:pPr>
        <w:sectPr>
          <w:pgSz w:w="11900" w:h="16838" w:orient="portrait"/>
          <w:cols w:equalWidth="0" w:num="2">
            <w:col w:w="5840" w:space="340"/>
            <w:col w:w="5060"/>
          </w:cols>
          <w:pgMar w:left="320" w:top="81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Exhibit</w:t>
            </w:r>
          </w:p>
        </w:tc>
        <w:tc>
          <w:tcPr>
            <w:tcW w:w="4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191"/>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6"/>
              </w:rPr>
              <w:t>No.</w:t>
            </w:r>
          </w:p>
        </w:tc>
        <w:tc>
          <w:tcPr>
            <w:tcW w:w="490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Description</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SEC Document Reference</w:t>
            </w:r>
          </w:p>
        </w:tc>
      </w:tr>
      <w:tr>
        <w:trPr>
          <w:trHeight w:val="129"/>
        </w:trPr>
        <w:tc>
          <w:tcPr>
            <w:tcW w:w="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14.1</w:t>
            </w:r>
          </w:p>
        </w:tc>
        <w:tc>
          <w:tcPr>
            <w:tcW w:w="300" w:type="dxa"/>
            <w:vAlign w:val="bottom"/>
          </w:tcPr>
          <w:p>
            <w:pPr>
              <w:spacing w:after="0"/>
              <w:rPr>
                <w:sz w:val="11"/>
                <w:szCs w:val="11"/>
                <w:color w:val="auto"/>
              </w:rPr>
            </w:pPr>
          </w:p>
        </w:tc>
        <w:tc>
          <w:tcPr>
            <w:tcW w:w="46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Amended and Restated Code of Ethics</w:t>
            </w:r>
          </w:p>
        </w:tc>
        <w:tc>
          <w:tcPr>
            <w:tcW w:w="3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Available at Oil-Dri’s website at www.oildri.com or in print upon request to Investor</w:t>
            </w:r>
          </w:p>
        </w:tc>
      </w:tr>
      <w:tr>
        <w:trPr>
          <w:trHeight w:val="144"/>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Relations, Oil-Dri Corporation of America, 410 North Michigan Avenue, Suite 400,</w:t>
            </w:r>
          </w:p>
        </w:tc>
      </w:tr>
      <w:tr>
        <w:trPr>
          <w:trHeight w:val="184"/>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60611-4213, telephone (312) 321-1515 or e-mail to info@oildri.com.</w:t>
            </w:r>
          </w:p>
        </w:tc>
      </w:tr>
      <w:tr>
        <w:trPr>
          <w:trHeight w:val="319"/>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19.1</w:t>
            </w:r>
          </w:p>
        </w:tc>
        <w:tc>
          <w:tcPr>
            <w:tcW w:w="30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Insider Trading Policy</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Subsidiaries of Oil-Dri Corporation of America</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Certifications pursuant to Rule 13a – 14(a).</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Certifications pursuant to Section 1350 of the Sarbanes-Oxley Act of 2002.</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95</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Mine Safety Disclosure</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3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Oil-Dri Corporation of America Compensation Recovery Policy</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Filed herewith.</w:t>
            </w:r>
          </w:p>
        </w:tc>
      </w:tr>
      <w:tr>
        <w:trPr>
          <w:trHeight w:val="20"/>
        </w:trPr>
        <w:tc>
          <w:tcPr>
            <w:tcW w:w="126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20"/>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101.INS</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Instance Document</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w:t>
            </w:r>
          </w:p>
        </w:tc>
      </w:tr>
      <w:tr>
        <w:trPr>
          <w:trHeight w:val="184"/>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r>
      <w:tr>
        <w:trPr>
          <w:trHeight w:val="357"/>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101.SCH</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50"/>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101.CAL</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50"/>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101.DEF</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50"/>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101.LAB</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50"/>
        </w:trPr>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101.PRE</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08"/>
        </w:trPr>
        <w:tc>
          <w:tcPr>
            <w:tcW w:w="9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101)</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20" w:type="dxa"/>
            <w:vAlign w:val="bottom"/>
          </w:tcPr>
          <w:p>
            <w:pPr>
              <w:spacing w:after="0"/>
              <w:rPr>
                <w:sz w:val="16"/>
                <w:szCs w:val="16"/>
                <w:color w:val="auto"/>
              </w:rPr>
            </w:pPr>
          </w:p>
        </w:tc>
      </w:tr>
    </w:tbl>
    <w:p>
      <w:pPr>
        <w:spacing w:after="0" w:line="3" w:lineRule="exact"/>
        <w:rPr>
          <w:sz w:val="20"/>
          <w:szCs w:val="20"/>
          <w:color w:val="auto"/>
        </w:rPr>
      </w:pPr>
    </w:p>
    <w:p>
      <w:pPr>
        <w:ind w:left="1280" w:right="380" w:hanging="405"/>
        <w:spacing w:after="0" w:line="239" w:lineRule="auto"/>
        <w:tabs>
          <w:tab w:leader="none" w:pos="1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redacted pursuant to Item 601(b)(10) of Regulation S-K. A copy of the omitted portions will be furnished supplementally to the Securities and Exchange Commission upon request.</w:t>
      </w:r>
    </w:p>
    <w:p>
      <w:pPr>
        <w:spacing w:after="0" w:line="8" w:lineRule="exact"/>
        <w:rPr>
          <w:sz w:val="20"/>
          <w:szCs w:val="20"/>
          <w:color w:val="auto"/>
        </w:rPr>
      </w:pPr>
    </w:p>
    <w:p>
      <w:pPr>
        <w:ind w:left="1280" w:hanging="405"/>
        <w:spacing w:after="0"/>
        <w:tabs>
          <w:tab w:leader="none" w:pos="12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3" w:lineRule="exact"/>
        <w:rPr>
          <w:rFonts w:ascii="Times New Roman" w:cs="Times New Roman" w:eastAsia="Times New Roman" w:hAnsi="Times New Roman"/>
          <w:sz w:val="14"/>
          <w:szCs w:val="14"/>
          <w:color w:val="auto"/>
        </w:rPr>
      </w:pPr>
    </w:p>
    <w:p>
      <w:pPr>
        <w:ind w:left="1280" w:right="180" w:hanging="476"/>
        <w:spacing w:after="0" w:line="237" w:lineRule="auto"/>
        <w:tabs>
          <w:tab w:leader="none" w:pos="1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15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Oil-Dri has duly caused this report to be signed on its behalf by the undersigned, thereunto duly authorized.</w:t>
      </w:r>
    </w:p>
    <w:p>
      <w:pPr>
        <w:spacing w:after="0" w:line="2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OIL-DRI CORPORATION OF AMERICA</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(Registrant)</w:t>
      </w:r>
    </w:p>
    <w:p>
      <w:pPr>
        <w:spacing w:after="0" w:line="196" w:lineRule="exact"/>
        <w:rPr>
          <w:sz w:val="20"/>
          <w:szCs w:val="20"/>
          <w:color w:val="auto"/>
        </w:rPr>
      </w:pPr>
    </w:p>
    <w:tbl>
      <w:tblPr>
        <w:tblLayout w:type="fixed"/>
        <w:tblInd w:w="502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 Daniel S. Jaffee</w:t>
            </w:r>
          </w:p>
        </w:tc>
      </w:tr>
      <w:tr>
        <w:trPr>
          <w:trHeight w:val="167"/>
        </w:trPr>
        <w:tc>
          <w:tcPr>
            <w:tcW w:w="7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Daniel S. Jaffee</w:t>
            </w:r>
          </w:p>
        </w:tc>
      </w:tr>
      <w:tr>
        <w:trPr>
          <w:trHeight w:val="184"/>
        </w:trPr>
        <w:tc>
          <w:tcPr>
            <w:tcW w:w="720" w:type="dxa"/>
            <w:vAlign w:val="bottom"/>
          </w:tcPr>
          <w:p>
            <w:pPr>
              <w:spacing w:after="0"/>
              <w:rPr>
                <w:sz w:val="16"/>
                <w:szCs w:val="16"/>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Chief Executive Officer, Director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9, 2025</w:t>
      </w:r>
    </w:p>
    <w:p>
      <w:pPr>
        <w:spacing w:after="0" w:line="179" w:lineRule="exact"/>
        <w:rPr>
          <w:sz w:val="20"/>
          <w:szCs w:val="20"/>
          <w:color w:val="auto"/>
        </w:rPr>
      </w:pPr>
    </w:p>
    <w:p>
      <w:pPr>
        <w:jc w:val="both"/>
        <w:ind w:firstLine="159"/>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Oil-Dri and in the capacities and on the dates indicated: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Daniel S. Jaffee</w:t>
            </w:r>
          </w:p>
        </w:tc>
        <w:tc>
          <w:tcPr>
            <w:tcW w:w="4340" w:type="dxa"/>
            <w:vAlign w:val="bottom"/>
            <w:tcBorders>
              <w:bottom w:val="single" w:sz="8" w:color="auto"/>
            </w:tcBorders>
          </w:tcPr>
          <w:p>
            <w:pPr>
              <w:spacing w:after="0"/>
              <w:rPr>
                <w:sz w:val="16"/>
                <w:szCs w:val="16"/>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rPr>
              <w:t>Daniel S. Jaffee</w:t>
            </w:r>
          </w:p>
        </w:tc>
        <w:tc>
          <w:tcPr>
            <w:tcW w:w="464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980" w:type="dxa"/>
            <w:vAlign w:val="bottom"/>
            <w:gridSpan w:val="2"/>
          </w:tcPr>
          <w:p>
            <w:pPr>
              <w:jc w:val="center"/>
              <w:ind w:right="6289"/>
              <w:spacing w:after="0" w:line="142" w:lineRule="exact"/>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87"/>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61"/>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Susan M. Kreh</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rPr>
              <w:t>Susan M. Kreh</w:t>
            </w:r>
          </w:p>
        </w:tc>
        <w:tc>
          <w:tcPr>
            <w:tcW w:w="464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980" w:type="dxa"/>
            <w:vAlign w:val="bottom"/>
            <w:gridSpan w:val="2"/>
          </w:tcPr>
          <w:p>
            <w:pPr>
              <w:jc w:val="center"/>
              <w:ind w:right="6309"/>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93"/>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Jonathan Blake</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rPr>
              <w:t>Jonathan Blake</w:t>
            </w:r>
          </w:p>
        </w:tc>
        <w:tc>
          <w:tcPr>
            <w:tcW w:w="464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rPr>
              <w:t>Corporate Controller</w:t>
            </w: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93"/>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Ellen-Blair Chube</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w w:val="99"/>
              </w:rPr>
              <w:t>Ellen-Blair Chube</w:t>
            </w:r>
          </w:p>
        </w:tc>
        <w:tc>
          <w:tcPr>
            <w:tcW w:w="464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93"/>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Paul M. Hindsley</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w w:val="99"/>
              </w:rPr>
              <w:t>Paul M. Hindsley</w:t>
            </w:r>
          </w:p>
        </w:tc>
        <w:tc>
          <w:tcPr>
            <w:tcW w:w="464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61"/>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Michael A. Nemeroff</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rPr>
              <w:t>Michael A. Nemeroff</w:t>
            </w:r>
          </w:p>
        </w:tc>
        <w:tc>
          <w:tcPr>
            <w:tcW w:w="464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93"/>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George C. Roeth</w:t>
            </w:r>
          </w:p>
        </w:tc>
        <w:tc>
          <w:tcPr>
            <w:tcW w:w="4340" w:type="dxa"/>
            <w:vAlign w:val="bottom"/>
            <w:tcBorders>
              <w:bottom w:val="single" w:sz="8" w:color="auto"/>
            </w:tcBorders>
          </w:tcPr>
          <w:p>
            <w:pPr>
              <w:spacing w:after="0"/>
              <w:rPr>
                <w:sz w:val="24"/>
                <w:szCs w:val="2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40" w:type="dxa"/>
            <w:vAlign w:val="bottom"/>
          </w:tcPr>
          <w:p>
            <w:pPr>
              <w:jc w:val="center"/>
              <w:ind w:right="1649"/>
              <w:spacing w:after="0"/>
              <w:rPr>
                <w:sz w:val="20"/>
                <w:szCs w:val="20"/>
                <w:color w:val="auto"/>
              </w:rPr>
            </w:pPr>
            <w:r>
              <w:rPr>
                <w:rFonts w:ascii="Times New Roman" w:cs="Times New Roman" w:eastAsia="Times New Roman" w:hAnsi="Times New Roman"/>
                <w:sz w:val="14"/>
                <w:szCs w:val="14"/>
                <w:color w:val="auto"/>
                <w:w w:val="99"/>
              </w:rPr>
              <w:t>George C. Roeth</w:t>
            </w:r>
          </w:p>
        </w:tc>
        <w:tc>
          <w:tcPr>
            <w:tcW w:w="464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980" w:type="dxa"/>
            <w:vAlign w:val="bottom"/>
            <w:gridSpan w:val="2"/>
          </w:tcPr>
          <w:p>
            <w:pPr>
              <w:jc w:val="center"/>
              <w:ind w:right="628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679"/>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4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83</w:t>
            </w:r>
          </w:p>
        </w:tc>
        <w:tc>
          <w:tcPr>
            <w:tcW w:w="464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4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Amy L. Ryan</w:t>
            </w:r>
          </w:p>
        </w:tc>
        <w:tc>
          <w:tcPr>
            <w:tcW w:w="4100" w:type="dxa"/>
            <w:vAlign w:val="bottom"/>
            <w:tcBorders>
              <w:bottom w:val="single" w:sz="8" w:color="auto"/>
            </w:tcBorders>
          </w:tcPr>
          <w:p>
            <w:pPr>
              <w:spacing w:after="0"/>
              <w:rPr>
                <w:sz w:val="16"/>
                <w:szCs w:val="16"/>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100" w:type="dxa"/>
            <w:vAlign w:val="bottom"/>
          </w:tcPr>
          <w:p>
            <w:pPr>
              <w:jc w:val="center"/>
              <w:ind w:right="1889"/>
              <w:spacing w:after="0"/>
              <w:rPr>
                <w:sz w:val="20"/>
                <w:szCs w:val="20"/>
                <w:color w:val="auto"/>
              </w:rPr>
            </w:pPr>
            <w:r>
              <w:rPr>
                <w:rFonts w:ascii="Times New Roman" w:cs="Times New Roman" w:eastAsia="Times New Roman" w:hAnsi="Times New Roman"/>
                <w:sz w:val="14"/>
                <w:szCs w:val="14"/>
                <w:color w:val="auto"/>
              </w:rPr>
              <w:t>Amy L. Ryan</w:t>
            </w:r>
          </w:p>
        </w:tc>
        <w:tc>
          <w:tcPr>
            <w:tcW w:w="4720" w:type="dxa"/>
            <w:vAlign w:val="bottom"/>
          </w:tcPr>
          <w:p>
            <w:pPr>
              <w:spacing w:after="0"/>
              <w:rPr>
                <w:sz w:val="14"/>
                <w:szCs w:val="14"/>
                <w:color w:val="auto"/>
              </w:rPr>
            </w:pPr>
          </w:p>
        </w:tc>
      </w:tr>
      <w:tr>
        <w:trPr>
          <w:trHeight w:val="184"/>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20" w:type="dxa"/>
            <w:vAlign w:val="bottom"/>
            <w:gridSpan w:val="2"/>
          </w:tcPr>
          <w:p>
            <w:pPr>
              <w:jc w:val="center"/>
              <w:ind w:right="660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82"/>
        </w:trPr>
        <w:tc>
          <w:tcPr>
            <w:tcW w:w="500" w:type="dxa"/>
            <w:vAlign w:val="bottom"/>
          </w:tcPr>
          <w:p>
            <w:pPr>
              <w:spacing w:after="0"/>
              <w:rPr>
                <w:sz w:val="24"/>
                <w:szCs w:val="24"/>
                <w:color w:val="auto"/>
              </w:rPr>
            </w:pPr>
          </w:p>
        </w:tc>
        <w:tc>
          <w:tcPr>
            <w:tcW w:w="1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Patricia J. Schmeda</w:t>
            </w:r>
          </w:p>
        </w:tc>
        <w:tc>
          <w:tcPr>
            <w:tcW w:w="410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100" w:type="dxa"/>
            <w:vAlign w:val="bottom"/>
          </w:tcPr>
          <w:p>
            <w:pPr>
              <w:jc w:val="center"/>
              <w:ind w:right="1889"/>
              <w:spacing w:after="0"/>
              <w:rPr>
                <w:sz w:val="20"/>
                <w:szCs w:val="20"/>
                <w:color w:val="auto"/>
              </w:rPr>
            </w:pPr>
            <w:r>
              <w:rPr>
                <w:rFonts w:ascii="Times New Roman" w:cs="Times New Roman" w:eastAsia="Times New Roman" w:hAnsi="Times New Roman"/>
                <w:sz w:val="14"/>
                <w:szCs w:val="14"/>
                <w:color w:val="auto"/>
                <w:w w:val="99"/>
              </w:rPr>
              <w:t>Patricia J. Schmeda</w:t>
            </w:r>
          </w:p>
        </w:tc>
        <w:tc>
          <w:tcPr>
            <w:tcW w:w="4720" w:type="dxa"/>
            <w:vAlign w:val="bottom"/>
          </w:tcPr>
          <w:p>
            <w:pPr>
              <w:spacing w:after="0"/>
              <w:rPr>
                <w:sz w:val="14"/>
                <w:szCs w:val="14"/>
                <w:color w:val="auto"/>
              </w:rPr>
            </w:pPr>
          </w:p>
        </w:tc>
      </w:tr>
      <w:tr>
        <w:trPr>
          <w:trHeight w:val="184"/>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20" w:type="dxa"/>
            <w:vAlign w:val="bottom"/>
            <w:gridSpan w:val="2"/>
          </w:tcPr>
          <w:p>
            <w:pPr>
              <w:jc w:val="center"/>
              <w:ind w:right="660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82"/>
        </w:trPr>
        <w:tc>
          <w:tcPr>
            <w:tcW w:w="500" w:type="dxa"/>
            <w:vAlign w:val="bottom"/>
          </w:tcPr>
          <w:p>
            <w:pPr>
              <w:spacing w:after="0"/>
              <w:rPr>
                <w:sz w:val="24"/>
                <w:szCs w:val="24"/>
                <w:color w:val="auto"/>
              </w:rPr>
            </w:pPr>
          </w:p>
        </w:tc>
        <w:tc>
          <w:tcPr>
            <w:tcW w:w="1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Allan H. Selig</w:t>
            </w:r>
          </w:p>
        </w:tc>
        <w:tc>
          <w:tcPr>
            <w:tcW w:w="410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100" w:type="dxa"/>
            <w:vAlign w:val="bottom"/>
          </w:tcPr>
          <w:p>
            <w:pPr>
              <w:jc w:val="center"/>
              <w:ind w:right="1889"/>
              <w:spacing w:after="0"/>
              <w:rPr>
                <w:sz w:val="20"/>
                <w:szCs w:val="20"/>
                <w:color w:val="auto"/>
              </w:rPr>
            </w:pPr>
            <w:r>
              <w:rPr>
                <w:rFonts w:ascii="Times New Roman" w:cs="Times New Roman" w:eastAsia="Times New Roman" w:hAnsi="Times New Roman"/>
                <w:sz w:val="14"/>
                <w:szCs w:val="14"/>
                <w:color w:val="auto"/>
              </w:rPr>
              <w:t>Allan H. Selig</w:t>
            </w:r>
          </w:p>
        </w:tc>
        <w:tc>
          <w:tcPr>
            <w:tcW w:w="4720" w:type="dxa"/>
            <w:vAlign w:val="bottom"/>
          </w:tcPr>
          <w:p>
            <w:pPr>
              <w:spacing w:after="0"/>
              <w:rPr>
                <w:sz w:val="14"/>
                <w:szCs w:val="14"/>
                <w:color w:val="auto"/>
              </w:rPr>
            </w:pPr>
          </w:p>
        </w:tc>
      </w:tr>
      <w:tr>
        <w:trPr>
          <w:trHeight w:val="184"/>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20" w:type="dxa"/>
            <w:vAlign w:val="bottom"/>
            <w:gridSpan w:val="2"/>
          </w:tcPr>
          <w:p>
            <w:pPr>
              <w:jc w:val="center"/>
              <w:ind w:right="660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361"/>
        </w:trPr>
        <w:tc>
          <w:tcPr>
            <w:tcW w:w="500" w:type="dxa"/>
            <w:vAlign w:val="bottom"/>
          </w:tcPr>
          <w:p>
            <w:pPr>
              <w:spacing w:after="0"/>
              <w:rPr>
                <w:sz w:val="24"/>
                <w:szCs w:val="24"/>
                <w:color w:val="auto"/>
              </w:rPr>
            </w:pPr>
          </w:p>
        </w:tc>
        <w:tc>
          <w:tcPr>
            <w:tcW w:w="1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Lawrence E. Washow</w:t>
            </w:r>
          </w:p>
        </w:tc>
        <w:tc>
          <w:tcPr>
            <w:tcW w:w="4100" w:type="dxa"/>
            <w:vAlign w:val="bottom"/>
            <w:tcBorders>
              <w:bottom w:val="single" w:sz="8" w:color="auto"/>
            </w:tcBorders>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67"/>
        </w:trPr>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100" w:type="dxa"/>
            <w:vAlign w:val="bottom"/>
          </w:tcPr>
          <w:p>
            <w:pPr>
              <w:jc w:val="center"/>
              <w:ind w:right="1889"/>
              <w:spacing w:after="0"/>
              <w:rPr>
                <w:sz w:val="20"/>
                <w:szCs w:val="20"/>
                <w:color w:val="auto"/>
              </w:rPr>
            </w:pPr>
            <w:r>
              <w:rPr>
                <w:rFonts w:ascii="Times New Roman" w:cs="Times New Roman" w:eastAsia="Times New Roman" w:hAnsi="Times New Roman"/>
                <w:sz w:val="14"/>
                <w:szCs w:val="14"/>
                <w:color w:val="auto"/>
                <w:w w:val="98"/>
              </w:rPr>
              <w:t>Lawrence E. Washow</w:t>
            </w:r>
          </w:p>
        </w:tc>
        <w:tc>
          <w:tcPr>
            <w:tcW w:w="4720" w:type="dxa"/>
            <w:vAlign w:val="bottom"/>
          </w:tcPr>
          <w:p>
            <w:pPr>
              <w:spacing w:after="0"/>
              <w:rPr>
                <w:sz w:val="14"/>
                <w:szCs w:val="14"/>
                <w:color w:val="auto"/>
              </w:rPr>
            </w:pPr>
          </w:p>
        </w:tc>
      </w:tr>
      <w:tr>
        <w:trPr>
          <w:trHeight w:val="184"/>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20" w:type="dxa"/>
            <w:vAlign w:val="bottom"/>
            <w:gridSpan w:val="2"/>
          </w:tcPr>
          <w:p>
            <w:pPr>
              <w:jc w:val="center"/>
              <w:ind w:right="6609"/>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859"/>
        </w:trPr>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0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84</w:t>
            </w:r>
          </w:p>
        </w:tc>
        <w:tc>
          <w:tcPr>
            <w:tcW w:w="4720" w:type="dxa"/>
            <w:vAlign w:val="bottom"/>
          </w:tcPr>
          <w:p>
            <w:pPr>
              <w:spacing w:after="0"/>
              <w:rPr>
                <w:sz w:val="24"/>
                <w:szCs w:val="24"/>
                <w:color w:val="auto"/>
              </w:rPr>
            </w:pPr>
          </w:p>
        </w:tc>
      </w:tr>
      <w:tr>
        <w:trPr>
          <w:trHeight w:val="87"/>
        </w:trPr>
        <w:tc>
          <w:tcPr>
            <w:tcW w:w="5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26"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179" w:lineRule="exact"/>
        <w:rPr>
          <w:sz w:val="20"/>
          <w:szCs w:val="20"/>
          <w:color w:val="auto"/>
        </w:rPr>
      </w:pPr>
    </w:p>
    <w:tbl>
      <w:tblPr>
        <w:tblLayout w:type="fixed"/>
        <w:tblInd w:w="1940" w:type="dxa"/>
        <w:tblCellMar>
          <w:top w:w="0" w:type="dxa"/>
          <w:left w:w="0" w:type="dxa"/>
          <w:bottom w:w="0" w:type="dxa"/>
          <w:right w:w="0" w:type="dxa"/>
        </w:tblCellMar>
      </w:tblPr>
      <w:tr>
        <w:trPr>
          <w:trHeight w:val="186"/>
        </w:trPr>
        <w:tc>
          <w:tcPr>
            <w:tcW w:w="6420" w:type="dxa"/>
            <w:vAlign w:val="bottom"/>
            <w:gridSpan w:val="4"/>
          </w:tcPr>
          <w:p>
            <w:pPr>
              <w:ind w:left="1700"/>
              <w:spacing w:after="0"/>
              <w:rPr>
                <w:sz w:val="20"/>
                <w:szCs w:val="20"/>
                <w:color w:val="auto"/>
              </w:rPr>
            </w:pPr>
            <w:r>
              <w:rPr>
                <w:rFonts w:ascii="Times New Roman" w:cs="Times New Roman" w:eastAsia="Times New Roman" w:hAnsi="Times New Roman"/>
                <w:sz w:val="14"/>
                <w:szCs w:val="14"/>
                <w:b w:val="1"/>
                <w:bCs w:val="1"/>
                <w:color w:val="auto"/>
              </w:rPr>
              <w:t>OIL-DRI CORPORATION OF AMERICA AND SUBSIDIARIES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0"/>
        </w:trPr>
        <w:tc>
          <w:tcPr>
            <w:tcW w:w="53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July 31,</w:t>
            </w:r>
          </w:p>
        </w:tc>
      </w:tr>
      <w:tr>
        <w:trPr>
          <w:trHeight w:val="17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14"/>
                <w:szCs w:val="14"/>
                <w:color w:val="auto"/>
              </w:rPr>
              <w:t>)</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and cash discounts: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934</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180"/>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 (Decrease)</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71"/>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Balance, end of year</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1,493</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5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reserve for income taxes: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180"/>
        </w:trPr>
        <w:tc>
          <w:tcPr>
            <w:tcW w:w="5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Increase</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196"/>
        </w:trPr>
        <w:tc>
          <w:tcPr>
            <w:tcW w:w="5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Balance, end of year</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3,772</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r>
      <w:tr>
        <w:trPr>
          <w:trHeight w:val="180"/>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(Decrease) Increase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71"/>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Balance, end of year</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3,677</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3,772</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727"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Shares of Capital Stock</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authorized capital stock as of July 31, 2025 consisted of 30,000,000 shares of Common Stock, 7,000,000 shares of Class B Stock and 30,000,000 shares of Class A Common Stock, each with a par value of $.10 per share. There are no Class A Common Stock shares currently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is entitled to one vote per share and Class B Stock is entitled to ten votes per share, while Class A Common Stock has no voting rights except in accordance with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Common Stock and Class A Common Stock have no conversion rights. Class B Stock is convertible on a share-by-share basis into Common Stock at any time and is subject to mandatory conversion under certain circumstances.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Duration of Class Rights and Powers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Restrictions on Sale and Transfer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B Stock is subject to restrictions that permit the sale or transfer of these shares only to certain permitted transferees.</w:t>
      </w:r>
    </w:p>
    <w:p>
      <w:pPr>
        <w:sectPr>
          <w:pgSz w:w="11900" w:h="16838" w:orient="portrait"/>
          <w:cols w:equalWidth="0" w:num="1">
            <w:col w:w="11280"/>
          </w:cols>
          <w:pgMar w:left="300" w:top="728"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No Redemption or Preemptive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common stock have no preemptive, redemption or subscription rights.</w:t>
      </w:r>
    </w:p>
    <w:p>
      <w:pPr>
        <w:sectPr>
          <w:pgSz w:w="11900" w:h="16838" w:orient="portrait"/>
          <w:cols w:equalWidth="0" w:num="1">
            <w:col w:w="10159"/>
          </w:cols>
          <w:pgMar w:left="300" w:top="727" w:right="1440" w:bottom="1440"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SUBSIDIARIES OF OIL-DRI CORPORATION OF AMERICA</w:t>
      </w:r>
    </w:p>
    <w:p>
      <w:pPr>
        <w:spacing w:after="0" w:line="200" w:lineRule="exact"/>
        <w:rPr>
          <w:sz w:val="20"/>
          <w:szCs w:val="20"/>
          <w:color w:val="auto"/>
        </w:rPr>
      </w:pPr>
    </w:p>
    <w:p>
      <w:pPr>
        <w:spacing w:after="0" w:line="28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State or Country</w:t>
            </w:r>
          </w:p>
        </w:tc>
        <w:tc>
          <w:tcPr>
            <w:tcW w:w="0" w:type="dxa"/>
            <w:vAlign w:val="bottom"/>
          </w:tcPr>
          <w:p>
            <w:pPr>
              <w:spacing w:after="0"/>
              <w:rPr>
                <w:sz w:val="1"/>
                <w:szCs w:val="1"/>
                <w:color w:val="auto"/>
              </w:rPr>
            </w:pPr>
          </w:p>
        </w:tc>
      </w:tr>
      <w:tr>
        <w:trPr>
          <w:trHeight w:val="191"/>
        </w:trPr>
        <w:tc>
          <w:tcPr>
            <w:tcW w:w="3400" w:type="dxa"/>
            <w:vAlign w:val="bottom"/>
            <w:vMerge w:val="continue"/>
          </w:tcPr>
          <w:p>
            <w:pPr>
              <w:spacing w:after="0"/>
              <w:rPr>
                <w:sz w:val="16"/>
                <w:szCs w:val="16"/>
                <w:color w:val="auto"/>
              </w:rPr>
            </w:pP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Agromex Importaciones, S.A. de C.V.</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Mexico</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Amlan Trading (Shenzhen) Company, Ltd.</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Mountain Production Company LLC</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Mississippi</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Mounds Management, Inc.</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Mounds Production Company, LLC</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Illinois</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ODC Acquisition Corp.</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Illinois</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Oil-Dri Canada ULC</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Canada</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Oil-Dri Georgia LLC</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Georgia</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Amlan International</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Nevada</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Oil-Dri Production Company LLC</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Mississippi</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Oil-Dri SARL</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Switzerland</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Oil-Dri (U.K.) Limited</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United Kingdom</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PT Amlan Perdagangan Internasional</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Indonesia</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Taft Production Company</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Ultra Pet Company, Inc.</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Cedar Fresh Products, Inc.</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Harvest Ventures, Inc.</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Minnesota</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MBA Pet USA, LLC</w:t>
            </w:r>
          </w:p>
        </w:tc>
        <w:tc>
          <w:tcPr>
            <w:tcW w:w="4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South Carolina</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MBA Pet B.V.</w:t>
            </w:r>
          </w:p>
        </w:tc>
        <w:tc>
          <w:tcPr>
            <w:tcW w:w="4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0" w:type="dxa"/>
            <w:vAlign w:val="bottom"/>
          </w:tcPr>
          <w:p>
            <w:pPr>
              <w:spacing w:after="0"/>
              <w:rPr>
                <w:sz w:val="1"/>
                <w:szCs w:val="1"/>
                <w:color w:val="auto"/>
              </w:rPr>
            </w:pPr>
          </w:p>
        </w:tc>
      </w:tr>
    </w:tbl>
    <w:p>
      <w:pPr>
        <w:sectPr>
          <w:pgSz w:w="11900" w:h="16838" w:orient="portrait"/>
          <w:cols w:equalWidth="0" w:num="1">
            <w:col w:w="10159"/>
          </w:cols>
          <w:pgMar w:left="300" w:top="72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issued our report dated October 9, 2025, with respect to the consolidated financial statements and internal control over financial reporting included in the Annual Report of Oil-Dri Corporation of America on Form 10-K for the year ended July 31, 2025. We consent to the incorporation by reference of said report in the Registration Statements of Oil-Dri Corporation of America on Forms S-8 (File Nos. 333-139550, 333-236912 and 333-277738).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9, 2025</w:t>
      </w:r>
    </w:p>
    <w:p>
      <w:pPr>
        <w:sectPr>
          <w:pgSz w:w="11900" w:h="16838" w:orient="portrait"/>
          <w:cols w:equalWidth="0" w:num="1">
            <w:col w:w="11280"/>
          </w:cols>
          <w:pgMar w:left="300" w:top="727"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RULE 13A -14(A) UNDER THE SECURITIES EXCHANGE ACT OF 1934, AS AMENDED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Daniel S. Jaffee, certify that:</w:t>
      </w:r>
    </w:p>
    <w:p>
      <w:pPr>
        <w:spacing w:after="0" w:line="200" w:lineRule="exact"/>
        <w:rPr>
          <w:sz w:val="20"/>
          <w:szCs w:val="20"/>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Oil-Dri Corporation of America (the “registrant”);</w:t>
      </w:r>
    </w:p>
    <w:p>
      <w:pPr>
        <w:spacing w:after="0" w:line="199" w:lineRule="exact"/>
        <w:rPr>
          <w:rFonts w:ascii="Times New Roman" w:cs="Times New Roman" w:eastAsia="Times New Roman" w:hAnsi="Times New Roman"/>
          <w:sz w:val="14"/>
          <w:szCs w:val="14"/>
          <w:color w:val="auto"/>
        </w:rPr>
      </w:pPr>
    </w:p>
    <w:p>
      <w:pPr>
        <w:ind w:left="760" w:hanging="246"/>
        <w:spacing w:after="0" w:line="287" w:lineRule="auto"/>
        <w:tabs>
          <w:tab w:leader="none" w:pos="80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8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77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9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251"/>
        <w:spacing w:after="0" w:line="287" w:lineRule="auto"/>
        <w:tabs>
          <w:tab w:leader="none" w:pos="103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41"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79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00" w:hanging="231"/>
        <w:spacing w:after="0"/>
        <w:tabs>
          <w:tab w:leader="none" w:pos="10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7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 Jaffee</w:t>
            </w:r>
          </w:p>
        </w:tc>
      </w:tr>
      <w:tr>
        <w:trPr>
          <w:trHeight w:val="245"/>
        </w:trPr>
        <w:tc>
          <w:tcPr>
            <w:tcW w:w="88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Daniel S. Jaffee</w:t>
            </w:r>
          </w:p>
        </w:tc>
      </w:tr>
      <w:tr>
        <w:trPr>
          <w:trHeight w:val="202"/>
        </w:trPr>
        <w:tc>
          <w:tcPr>
            <w:tcW w:w="88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2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EXHIBIT 31.1 (CONTINUED):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a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Susan M. Kreh, certify that:</w:t>
      </w:r>
    </w:p>
    <w:p>
      <w:pPr>
        <w:spacing w:after="0" w:line="200" w:lineRule="exact"/>
        <w:rPr>
          <w:sz w:val="20"/>
          <w:szCs w:val="20"/>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Oil-Dri Corporation of America (the “registrant”);</w:t>
      </w:r>
    </w:p>
    <w:p>
      <w:pPr>
        <w:spacing w:after="0" w:line="199" w:lineRule="exact"/>
        <w:rPr>
          <w:rFonts w:ascii="Times New Roman" w:cs="Times New Roman" w:eastAsia="Times New Roman" w:hAnsi="Times New Roman"/>
          <w:sz w:val="14"/>
          <w:szCs w:val="14"/>
          <w:color w:val="auto"/>
        </w:rPr>
      </w:pPr>
    </w:p>
    <w:p>
      <w:pPr>
        <w:ind w:left="760" w:hanging="246"/>
        <w:spacing w:after="0" w:line="287" w:lineRule="auto"/>
        <w:tabs>
          <w:tab w:leader="none" w:pos="80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8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77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hanging="315"/>
        <w:spacing w:after="0" w:line="280"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315"/>
        <w:spacing w:after="0" w:line="280" w:lineRule="auto"/>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315"/>
        <w:spacing w:after="0" w:line="287"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315"/>
        <w:spacing w:after="0" w:line="287" w:lineRule="auto"/>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79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hanging="315"/>
        <w:spacing w:after="0" w:line="287" w:lineRule="auto"/>
        <w:tabs>
          <w:tab w:leader="none" w:pos="10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315"/>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October 9, 2025</w:t>
            </w:r>
          </w:p>
        </w:tc>
      </w:tr>
      <w:tr>
        <w:trPr>
          <w:trHeight w:val="17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Susan M. Kreh</w:t>
            </w:r>
          </w:p>
        </w:tc>
      </w:tr>
      <w:tr>
        <w:trPr>
          <w:trHeight w:val="234"/>
        </w:trPr>
        <w:tc>
          <w:tcPr>
            <w:tcW w:w="8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Susan M. Kreh</w:t>
            </w:r>
          </w:p>
        </w:tc>
      </w:tr>
      <w:tr>
        <w:trPr>
          <w:trHeight w:val="212"/>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2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 CERTIFICATION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Pursuant to 18 U.S.C. Section 1350, the undersigned officer of Oil-Dri Corporation of America (the “Company”) hereby certifies that to the best of my knowledge the Company's Annual Report on Form 10-K for the year ended July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October 9,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979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Name: Daniel S. Jaffee</w:t>
      </w:r>
    </w:p>
    <w:p>
      <w:pPr>
        <w:ind w:left="2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200" w:lineRule="exact"/>
        <w:rPr>
          <w:sz w:val="20"/>
          <w:szCs w:val="20"/>
          <w:color w:val="auto"/>
        </w:rPr>
      </w:pP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Pursuant to 18 U.S.C. Section 1350, the undersigned officer of Oil-Dri Corporation of America (the “Company”) hereby certifies that to the best of my knowledge the Company's Annual Report on Form 10-K for the year ended July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October 9,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979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Name: Susan M. Kreh</w:t>
      </w:r>
    </w:p>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2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280"/>
          </w:cols>
          <w:pgMar w:left="300" w:top="727"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EXHIBIT 95: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MINE SAFETY DISCLOSURE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year ended July 31, 2025.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67"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Total Dollar Value of Proposed MSHA Assessments: Each issuance of a citation or order by MSHA results in the assessment of a monetary penalty. The total dollar value presented includes any contested penalties.</w:t>
      </w:r>
    </w:p>
    <w:p>
      <w:pPr>
        <w:spacing w:after="0" w:line="145" w:lineRule="exact"/>
        <w:rPr>
          <w:sz w:val="20"/>
          <w:szCs w:val="20"/>
          <w:color w:val="auto"/>
        </w:rPr>
      </w:pPr>
    </w:p>
    <w:p>
      <w:pPr>
        <w:ind w:left="100"/>
        <w:spacing w:after="0" w:line="276" w:lineRule="auto"/>
        <w:rPr>
          <w:sz w:val="20"/>
          <w:szCs w:val="20"/>
          <w:color w:val="auto"/>
        </w:rPr>
      </w:pPr>
      <w:r>
        <w:rPr>
          <w:rFonts w:ascii="Times New Roman" w:cs="Times New Roman" w:eastAsia="Times New Roman" w:hAnsi="Times New Roman"/>
          <w:sz w:val="14"/>
          <w:szCs w:val="14"/>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color w:val="auto"/>
        </w:rPr>
        <w:t>Legal Actions</w:t>
      </w: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90"/>
        </w:trPr>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auto"/>
              </w:rPr>
              <w:t>Section 104</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110(b)(2)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107(a)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Total Dollar Value of</w:t>
            </w:r>
          </w:p>
        </w:tc>
        <w:tc>
          <w:tcPr>
            <w:tcW w:w="800" w:type="dxa"/>
            <w:vAlign w:val="bottom"/>
          </w:tcPr>
          <w:p>
            <w:pPr>
              <w:spacing w:after="0"/>
              <w:rPr>
                <w:sz w:val="7"/>
                <w:szCs w:val="7"/>
                <w:color w:val="auto"/>
              </w:rPr>
            </w:pPr>
          </w:p>
        </w:tc>
        <w:tc>
          <w:tcPr>
            <w:tcW w:w="800" w:type="dxa"/>
            <w:vAlign w:val="bottom"/>
            <w:tcBorders>
              <w:top w:val="single" w:sz="8" w:color="auto"/>
            </w:tcBorders>
            <w:vMerge w:val="restart"/>
          </w:tcPr>
          <w:p>
            <w:pPr>
              <w:jc w:val="center"/>
              <w:ind w:left="3"/>
              <w:spacing w:after="0"/>
              <w:rPr>
                <w:sz w:val="20"/>
                <w:szCs w:val="20"/>
                <w:color w:val="auto"/>
              </w:rPr>
            </w:pPr>
            <w:r>
              <w:rPr>
                <w:rFonts w:ascii="Times New Roman" w:cs="Times New Roman" w:eastAsia="Times New Roman" w:hAnsi="Times New Roman"/>
                <w:sz w:val="11"/>
                <w:szCs w:val="11"/>
                <w:color w:val="auto"/>
              </w:rPr>
              <w:t>Pending as of</w:t>
            </w:r>
          </w:p>
        </w:tc>
        <w:tc>
          <w:tcPr>
            <w:tcW w:w="8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“Significant and</w:t>
            </w:r>
          </w:p>
        </w:tc>
        <w:tc>
          <w:tcPr>
            <w:tcW w:w="82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auto"/>
              </w:rPr>
              <w:t>Section 104(b)</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104(d)</w:t>
            </w:r>
          </w:p>
        </w:tc>
        <w:tc>
          <w:tcPr>
            <w:tcW w:w="8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Mining Related</w:t>
            </w:r>
          </w:p>
        </w:tc>
        <w:tc>
          <w:tcPr>
            <w:tcW w:w="80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Initiated During</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Resolved During</w:t>
            </w:r>
          </w:p>
        </w:tc>
        <w:tc>
          <w:tcPr>
            <w:tcW w:w="0" w:type="dxa"/>
            <w:vAlign w:val="bottom"/>
          </w:tcPr>
          <w:p>
            <w:pPr>
              <w:spacing w:after="0"/>
              <w:rPr>
                <w:sz w:val="1"/>
                <w:szCs w:val="1"/>
                <w:color w:val="auto"/>
              </w:rPr>
            </w:pPr>
          </w:p>
        </w:tc>
      </w:tr>
      <w:tr>
        <w:trPr>
          <w:trHeight w:val="117"/>
        </w:trPr>
        <w:tc>
          <w:tcPr>
            <w:tcW w:w="7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Mine ID</w:t>
            </w: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Mine Location</w:t>
            </w:r>
          </w:p>
        </w:tc>
        <w:tc>
          <w:tcPr>
            <w:tcW w:w="980" w:type="dxa"/>
            <w:vAlign w:val="bottom"/>
          </w:tcPr>
          <w:p>
            <w:pPr>
              <w:jc w:val="center"/>
              <w:ind w:left="4"/>
              <w:spacing w:after="0" w:line="117" w:lineRule="exact"/>
              <w:rPr>
                <w:sz w:val="20"/>
                <w:szCs w:val="20"/>
                <w:color w:val="auto"/>
              </w:rPr>
            </w:pPr>
            <w:r>
              <w:rPr>
                <w:rFonts w:ascii="Times New Roman" w:cs="Times New Roman" w:eastAsia="Times New Roman" w:hAnsi="Times New Roman"/>
                <w:sz w:val="11"/>
                <w:szCs w:val="11"/>
                <w:color w:val="auto"/>
              </w:rPr>
              <w:t>Substantial”</w:t>
            </w:r>
          </w:p>
        </w:tc>
        <w:tc>
          <w:tcPr>
            <w:tcW w:w="8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Flagrant</w:t>
            </w:r>
          </w:p>
        </w:tc>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Imminent Danger</w:t>
            </w:r>
          </w:p>
        </w:tc>
        <w:tc>
          <w:tcPr>
            <w:tcW w:w="10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Proposed MSHA</w:t>
            </w:r>
          </w:p>
        </w:tc>
        <w:tc>
          <w:tcPr>
            <w:tcW w:w="800" w:type="dxa"/>
            <w:vAlign w:val="bottom"/>
            <w:vMerge w:val="continue"/>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Last Day of</w:t>
            </w: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Violations</w:t>
            </w:r>
          </w:p>
        </w:tc>
        <w:tc>
          <w:tcPr>
            <w:tcW w:w="82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Orders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Citations and Orders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Violations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Assessments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158"/>
        </w:trPr>
        <w:tc>
          <w:tcPr>
            <w:tcW w:w="7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color w:val="auto"/>
                <w:w w:val="93"/>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98"/>
              </w:rPr>
              <w:t>0900114</w:t>
            </w:r>
          </w:p>
        </w:tc>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Ochlocknee, Georgia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2,133</w:t>
            </w: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2200035</w:t>
            </w:r>
          </w:p>
        </w:tc>
        <w:tc>
          <w:tcPr>
            <w:tcW w:w="11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Ripley, Mississippi</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10,233</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98"/>
              </w:rPr>
              <w:t>1102403</w:t>
            </w:r>
          </w:p>
        </w:tc>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Mounds, Illinois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30,408</w:t>
            </w: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6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2200582</w:t>
            </w:r>
          </w:p>
        </w:tc>
        <w:tc>
          <w:tcPr>
            <w:tcW w:w="1140" w:type="dxa"/>
            <w:vAlign w:val="bottom"/>
          </w:tcPr>
          <w:p>
            <w:pPr>
              <w:ind w:left="140"/>
              <w:spacing w:after="0" w:line="110" w:lineRule="exact"/>
              <w:rPr>
                <w:sz w:val="20"/>
                <w:szCs w:val="20"/>
                <w:color w:val="auto"/>
              </w:rPr>
            </w:pPr>
            <w:r>
              <w:rPr>
                <w:rFonts w:ascii="Times New Roman" w:cs="Times New Roman" w:eastAsia="Times New Roman" w:hAnsi="Times New Roman"/>
                <w:sz w:val="11"/>
                <w:szCs w:val="11"/>
                <w:color w:val="auto"/>
              </w:rPr>
              <w:t>Blue Mountain,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4,789</w:t>
            </w: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760" w:type="dxa"/>
            <w:vAlign w:val="bottom"/>
            <w:vMerge w:val="continue"/>
          </w:tcPr>
          <w:p>
            <w:pPr>
              <w:spacing w:after="0"/>
              <w:rPr>
                <w:sz w:val="7"/>
                <w:szCs w:val="7"/>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Mississippi</w:t>
            </w:r>
          </w:p>
        </w:tc>
        <w:tc>
          <w:tcPr>
            <w:tcW w:w="9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7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0402964</w:t>
            </w:r>
          </w:p>
        </w:tc>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Taft, California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37,098</w:t>
            </w: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7" w:right="319" w:bottom="1440" w:gutter="0" w:footer="0" w:header="0"/>
        </w:sectPr>
      </w:pPr>
    </w:p>
    <w:bookmarkStart w:id="101" w:name="page102"/>
    <w:bookmarkEnd w:id="101"/>
    <w:p>
      <w:pPr>
        <w:spacing w:after="0" w:line="271" w:lineRule="auto"/>
        <w:rPr>
          <w:sz w:val="20"/>
          <w:szCs w:val="20"/>
          <w:color w:val="auto"/>
        </w:rPr>
      </w:pPr>
      <w:r>
        <w:rPr>
          <w:rFonts w:ascii="Times New Roman" w:cs="Times New Roman" w:eastAsia="Times New Roman" w:hAnsi="Times New Roman"/>
          <w:sz w:val="14"/>
          <w:szCs w:val="14"/>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14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Legal actions pending before the Commission may involve, among other questions, challenges by operators to citations, orders and penalties they have received from MSHA or complaints of discrimination by miners under section 105 of the Mine Act. The table below includes the pending legal actions as of the last day of the period. The following is a brief description of the types of legal actions that may be brought before the Commission.</w:t>
      </w:r>
    </w:p>
    <w:p>
      <w:pPr>
        <w:spacing w:after="0" w:line="16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Contests of Citations and Orders: A contest proceeding may be filed with the Commission by operators, miners or miners’ representatives to challenge the issuance of a citation or order issued by MSHA.</w:t>
      </w:r>
    </w:p>
    <w:p>
      <w:pPr>
        <w:spacing w:after="0" w:line="135" w:lineRule="exact"/>
        <w:rPr>
          <w:sz w:val="20"/>
          <w:szCs w:val="20"/>
          <w:color w:val="auto"/>
        </w:rPr>
      </w:pPr>
    </w:p>
    <w:p>
      <w:pPr>
        <w:ind w:left="100" w:right="400"/>
        <w:spacing w:after="0" w:line="271" w:lineRule="auto"/>
        <w:rPr>
          <w:sz w:val="20"/>
          <w:szCs w:val="20"/>
          <w:color w:val="auto"/>
        </w:rPr>
      </w:pPr>
      <w:r>
        <w:rPr>
          <w:rFonts w:ascii="Times New Roman" w:cs="Times New Roman" w:eastAsia="Times New Roman" w:hAnsi="Times New Roman"/>
          <w:sz w:val="14"/>
          <w:szCs w:val="14"/>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14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14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00" w:right="180"/>
        <w:spacing w:after="0" w:line="255" w:lineRule="auto"/>
        <w:rPr>
          <w:sz w:val="20"/>
          <w:szCs w:val="20"/>
          <w:color w:val="auto"/>
        </w:rPr>
      </w:pPr>
      <w:r>
        <w:rPr>
          <w:rFonts w:ascii="Times New Roman" w:cs="Times New Roman" w:eastAsia="Times New Roman" w:hAnsi="Times New Roman"/>
          <w:sz w:val="14"/>
          <w:szCs w:val="14"/>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8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Mine ID</w:t>
            </w:r>
          </w:p>
        </w:tc>
        <w:tc>
          <w:tcPr>
            <w:tcW w:w="16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rPr>
              <w:t>Mine location</w:t>
            </w:r>
          </w:p>
        </w:tc>
        <w:tc>
          <w:tcPr>
            <w:tcW w:w="144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Contests of Citations and</w:t>
            </w: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Contests of Proposed</w:t>
            </w:r>
          </w:p>
        </w:tc>
        <w:tc>
          <w:tcPr>
            <w:tcW w:w="11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Complaints for</w:t>
            </w:r>
          </w:p>
        </w:tc>
        <w:tc>
          <w:tcPr>
            <w:tcW w:w="162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Complaints of Discharge,</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Applications for Temporary</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Appeals of Judges Decisions or</w:t>
            </w:r>
          </w:p>
        </w:tc>
        <w:tc>
          <w:tcPr>
            <w:tcW w:w="0" w:type="dxa"/>
            <w:vAlign w:val="bottom"/>
          </w:tcPr>
          <w:p>
            <w:pPr>
              <w:spacing w:after="0"/>
              <w:rPr>
                <w:sz w:val="1"/>
                <w:szCs w:val="1"/>
                <w:color w:val="auto"/>
              </w:rPr>
            </w:pPr>
          </w:p>
        </w:tc>
      </w:tr>
      <w:tr>
        <w:trPr>
          <w:trHeight w:val="151"/>
        </w:trPr>
        <w:tc>
          <w:tcPr>
            <w:tcW w:w="88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44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Orders</w:t>
            </w: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Penalties</w:t>
            </w:r>
          </w:p>
        </w:tc>
        <w:tc>
          <w:tcPr>
            <w:tcW w:w="1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Compensation</w:t>
            </w:r>
          </w:p>
        </w:tc>
        <w:tc>
          <w:tcPr>
            <w:tcW w:w="16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Discrimination or Interference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Relief</w:t>
            </w:r>
          </w:p>
        </w:tc>
        <w:tc>
          <w:tcPr>
            <w:tcW w:w="16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Orders to the Commission</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0900114</w:t>
            </w:r>
          </w:p>
        </w:tc>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Ochlocknee, Georgia</w:t>
            </w:r>
          </w:p>
        </w:tc>
        <w:tc>
          <w:tcPr>
            <w:tcW w:w="1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2200035</w:t>
            </w:r>
          </w:p>
        </w:tc>
        <w:tc>
          <w:tcPr>
            <w:tcW w:w="1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Ripley, Mississippi</w:t>
            </w: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1102403</w:t>
            </w:r>
          </w:p>
        </w:tc>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Mounds, Illinois</w:t>
            </w:r>
          </w:p>
        </w:tc>
        <w:tc>
          <w:tcPr>
            <w:tcW w:w="1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2200582</w:t>
            </w:r>
          </w:p>
        </w:tc>
        <w:tc>
          <w:tcPr>
            <w:tcW w:w="1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Blue Mountain, Mississippi</w:t>
            </w: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0402964</w:t>
            </w:r>
          </w:p>
        </w:tc>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Taft, California</w:t>
            </w:r>
          </w:p>
        </w:tc>
        <w:tc>
          <w:tcPr>
            <w:tcW w:w="1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19"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19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Clawback Policy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u w:val="single" w:color="auto"/>
          <w:color w:val="auto"/>
        </w:rPr>
        <w:t>Introduction</w:t>
      </w:r>
      <w:r>
        <w:rPr>
          <w:rFonts w:ascii="Times New Roman" w:cs="Times New Roman" w:eastAsia="Times New Roman" w:hAnsi="Times New Roman"/>
          <w:sz w:val="16"/>
          <w:szCs w:val="16"/>
          <w:color w:val="auto"/>
        </w:rPr>
        <w:t>: The Board of Directors of the Company (the “Board”) believes that it is in the best interests of the Company and its shareholders to create and maintain a culture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emphasizes ethics, integrity, and accountability. The Board has therefore adopted this policy which provides for the recoupment of certain executive compensation in the event of an accounting restatement resulting from material noncompliance with financial reporting requirements under the federal securities laws (the “Policy”). This Policy is designed to comply with Section 10D-1 of the Securities Exchange Act of 1934 (the “Exchange Act”).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color w:val="auto"/>
        </w:rPr>
        <w:t>: This Policy shall be administered by the Board or, if so designated by the Board, the Compensation Committee, in which case references herein to the Board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references to the Compensation Committee. Any determinations made by the Board shall be final and binding on all affected individuals.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b w:val="1"/>
          <w:bCs w:val="1"/>
          <w:u w:val="single" w:color="auto"/>
          <w:color w:val="auto"/>
        </w:rPr>
        <w:t>Covered Executives</w:t>
      </w:r>
      <w:r>
        <w:rPr>
          <w:rFonts w:ascii="Times New Roman" w:cs="Times New Roman" w:eastAsia="Times New Roman" w:hAnsi="Times New Roman"/>
          <w:sz w:val="16"/>
          <w:szCs w:val="16"/>
          <w:color w:val="auto"/>
        </w:rPr>
        <w:t>: This Policy applies to the Company’s current and former executive officers, as determined by the Board in accordance with Section 10D of the Exchange 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the listing standards of the national securities exchange on which the Company’s securities are listed, and such other senior executives who may from time to time be deemed subject to the Policy by the Board (“Covered Executives”).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b w:val="1"/>
          <w:bCs w:val="1"/>
          <w:u w:val="single" w:color="auto"/>
          <w:color w:val="auto"/>
        </w:rPr>
        <w:t>Recoupment; Accounting Restatement</w:t>
      </w:r>
      <w:r>
        <w:rPr>
          <w:rFonts w:ascii="Times New Roman" w:cs="Times New Roman" w:eastAsia="Times New Roman" w:hAnsi="Times New Roman"/>
          <w:sz w:val="16"/>
          <w:szCs w:val="16"/>
          <w:color w:val="auto"/>
        </w:rPr>
        <w:t>: In the event the Company is required to prepare an accounting restatement of its financial statements due to the Company’s 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w:t>
      </w:r>
    </w:p>
    <w:p>
      <w:pPr>
        <w:spacing w:after="0" w:line="222" w:lineRule="auto"/>
        <w:rPr>
          <w:sz w:val="20"/>
          <w:szCs w:val="20"/>
          <w:color w:val="auto"/>
        </w:rPr>
      </w:pPr>
      <w:r>
        <w:rPr>
          <w:rFonts w:ascii="Times New Roman" w:cs="Times New Roman" w:eastAsia="Times New Roman" w:hAnsi="Times New Roman"/>
          <w:sz w:val="16"/>
          <w:szCs w:val="16"/>
          <w:b w:val="1"/>
          <w:bCs w:val="1"/>
          <w:u w:val="single" w:color="auto"/>
          <w:color w:val="auto"/>
        </w:rPr>
        <w:t>Incentive Compensation</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For purposes of this Policy, Incentive Compensation means any of the following; provided that, such compensation is granted, earned, or vested based wholly or in part on the attainment of a financial reporting measure:</w:t>
      </w:r>
    </w:p>
    <w:p>
      <w:pPr>
        <w:ind w:left="340" w:hanging="180"/>
        <w:spacing w:after="0" w:line="222"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bonuses and other short- and long-term cash incentives,</w:t>
      </w:r>
    </w:p>
    <w:p>
      <w:pPr>
        <w:ind w:left="380" w:hanging="220"/>
        <w:spacing w:after="0" w:line="235"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w:t>
      </w:r>
    </w:p>
    <w:p>
      <w:pPr>
        <w:ind w:left="780" w:hanging="266"/>
        <w:spacing w:after="0" w:line="221" w:lineRule="auto"/>
        <w:tabs>
          <w:tab w:leader="none" w:pos="7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appreciation rights,</w:t>
      </w:r>
    </w:p>
    <w:p>
      <w:pPr>
        <w:ind w:left="780" w:hanging="266"/>
        <w:spacing w:after="0" w:line="235" w:lineRule="auto"/>
        <w:tabs>
          <w:tab w:leader="none" w:pos="7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w:t>
      </w:r>
    </w:p>
    <w:p>
      <w:pPr>
        <w:ind w:left="740" w:hanging="226"/>
        <w:spacing w:after="0" w:line="221" w:lineRule="auto"/>
        <w:tabs>
          <w:tab w:leader="none" w:pos="7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w:t>
      </w:r>
    </w:p>
    <w:p>
      <w:pPr>
        <w:ind w:left="780" w:hanging="266"/>
        <w:spacing w:after="0" w:line="235" w:lineRule="auto"/>
        <w:tabs>
          <w:tab w:leader="none" w:pos="7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shares, and</w:t>
      </w:r>
    </w:p>
    <w:p>
      <w:pPr>
        <w:ind w:left="820" w:hanging="306"/>
        <w:spacing w:after="0"/>
        <w:tabs>
          <w:tab w:leader="none" w:pos="8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units.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reporting measures include:</w:t>
      </w:r>
    </w:p>
    <w:p>
      <w:pPr>
        <w:ind w:left="700" w:hanging="186"/>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stock price,</w:t>
      </w:r>
    </w:p>
    <w:p>
      <w:pPr>
        <w:ind w:left="740" w:hanging="226"/>
        <w:spacing w:after="0" w:line="221"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w:t>
      </w:r>
    </w:p>
    <w:p>
      <w:pPr>
        <w:ind w:left="780" w:hanging="266"/>
        <w:spacing w:after="0" w:line="235"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w:t>
      </w:r>
    </w:p>
    <w:p>
      <w:pPr>
        <w:ind w:left="780" w:hanging="266"/>
        <w:spacing w:after="0" w:line="221"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w:t>
      </w:r>
    </w:p>
    <w:p>
      <w:pPr>
        <w:ind w:left="740" w:hanging="226"/>
        <w:spacing w:after="0" w:line="235"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before interest, taxes, depreciation, and amortization (EBITDA),</w:t>
      </w:r>
    </w:p>
    <w:p>
      <w:pPr>
        <w:ind w:left="780" w:hanging="266"/>
        <w:spacing w:after="0" w:line="221"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measures such as working capital or operating cash flow,</w:t>
      </w:r>
    </w:p>
    <w:p>
      <w:pPr>
        <w:ind w:left="820" w:hanging="306"/>
        <w:spacing w:after="0" w:line="221" w:lineRule="auto"/>
        <w:tabs>
          <w:tab w:leader="none" w:pos="8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measures such as return on invested capital or return on assets, and</w:t>
      </w:r>
    </w:p>
    <w:p>
      <w:pPr>
        <w:ind w:left="860" w:hanging="346"/>
        <w:spacing w:after="0"/>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measures such as earnings per share.</w:t>
      </w:r>
    </w:p>
    <w:p>
      <w:pPr>
        <w:sectPr>
          <w:pgSz w:w="11900" w:h="16838" w:orient="portrait"/>
          <w:cols w:equalWidth="0" w:num="1">
            <w:col w:w="11280"/>
          </w:cols>
          <w:pgMar w:left="300" w:top="1133" w:right="319" w:bottom="1440" w:gutter="0" w:footer="0" w:header="0"/>
        </w:sectPr>
      </w:pPr>
    </w:p>
    <w:bookmarkStart w:id="103" w:name="page104"/>
    <w:bookmarkEnd w:id="103"/>
    <w:p>
      <w:pPr>
        <w:jc w:val="both"/>
        <w:spacing w:after="0" w:line="241" w:lineRule="auto"/>
        <w:rPr>
          <w:sz w:val="20"/>
          <w:szCs w:val="20"/>
          <w:color w:val="auto"/>
        </w:rPr>
      </w:pPr>
      <w:r>
        <w:rPr>
          <w:rFonts w:ascii="Times New Roman" w:cs="Times New Roman" w:eastAsia="Times New Roman" w:hAnsi="Times New Roman"/>
          <w:sz w:val="16"/>
          <w:szCs w:val="16"/>
          <w:b w:val="1"/>
          <w:bCs w:val="1"/>
          <w:u w:val="single" w:color="auto"/>
          <w:color w:val="auto"/>
        </w:rPr>
        <w:t>Excess Incentive Compensation: Amount Subject to Recovery</w:t>
      </w:r>
      <w:r>
        <w:rPr>
          <w:rFonts w:ascii="Times New Roman" w:cs="Times New Roman" w:eastAsia="Times New Roman" w:hAnsi="Times New Roman"/>
          <w:sz w:val="16"/>
          <w:szCs w:val="16"/>
          <w:color w:val="auto"/>
        </w:rPr>
        <w:t>: The amount to be recovered will be the excess of the Incentive Compensation paid to the Covered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on the data used to calculate the Incentive Compensation prior to any material accounting restatement over the Incentive Compensation that would have been paid to the Covered Executive had it been based on the restated results, as determined by the Board (the “Excess Incentive Compensation”).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u w:val="single" w:color="auto"/>
          <w:color w:val="auto"/>
        </w:rPr>
        <w:t>Method of Recoupment</w:t>
      </w:r>
      <w:r>
        <w:rPr>
          <w:rFonts w:ascii="Times New Roman" w:cs="Times New Roman" w:eastAsia="Times New Roman" w:hAnsi="Times New Roman"/>
          <w:sz w:val="16"/>
          <w:szCs w:val="16"/>
          <w:color w:val="auto"/>
        </w:rPr>
        <w:t>: The Board will determine, in its sole discretion, the method for recouping Incentive Compensation hereunder which may include, without limitation: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requiring reimbursement of cash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(d) cancelling outstanding vested or unvested equity awards; and/or (e) taking any other remedial and recovery action permitted by law, as determined by the Board.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 Indemnification</w:t>
      </w:r>
      <w:r>
        <w:rPr>
          <w:rFonts w:ascii="Times New Roman" w:cs="Times New Roman" w:eastAsia="Times New Roman" w:hAnsi="Times New Roman"/>
          <w:sz w:val="16"/>
          <w:szCs w:val="16"/>
          <w:color w:val="auto"/>
        </w:rPr>
        <w:t>: The Company shall not indemnify any Covered Executives against the loss of any incorrectly awarded Incentive Compensation.</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color w:val="auto"/>
        </w:rPr>
        <w:t>: The Board is authorized to interpret and construe this Policy and to make all determinations necessary, appropriate, or advisable for the administration of this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5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b w:val="1"/>
          <w:bCs w:val="1"/>
          <w:u w:val="single" w:color="auto"/>
          <w:color w:val="auto"/>
        </w:rPr>
        <w:t>Effective Date</w:t>
      </w:r>
      <w:r>
        <w:rPr>
          <w:rFonts w:ascii="Times New Roman" w:cs="Times New Roman" w:eastAsia="Times New Roman" w:hAnsi="Times New Roman"/>
          <w:sz w:val="16"/>
          <w:szCs w:val="16"/>
          <w:color w:val="auto"/>
        </w:rPr>
        <w:t>: This Policy shall be effective as of December 1, 2023 by the Board (the “Effective Date”) and shall apply to Incentive Compensation that is approved, awarded,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granted to Covered Executives on or after that date.</w:t>
      </w:r>
    </w:p>
    <w:p>
      <w:pPr>
        <w:spacing w:after="0" w:line="1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u w:val="single" w:color="auto"/>
          <w:color w:val="auto"/>
        </w:rPr>
        <w:t>Amendment; Termination</w:t>
      </w:r>
      <w:r>
        <w:rPr>
          <w:rFonts w:ascii="Times New Roman" w:cs="Times New Roman" w:eastAsia="Times New Roman" w:hAnsi="Times New Roman"/>
          <w:sz w:val="16"/>
          <w:szCs w:val="16"/>
          <w:color w:val="auto"/>
        </w:rPr>
        <w:t>: The Board may amend this Policy from time to time in its discretion and shall amend this Policy as it deems necessary to reflect final regulations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u w:val="single" w:color="auto"/>
          <w:color w:val="auto"/>
        </w:rPr>
        <w:t>Other Recoupment Rights</w:t>
      </w:r>
      <w:r>
        <w:rPr>
          <w:rFonts w:ascii="Times New Roman" w:cs="Times New Roman" w:eastAsia="Times New Roman" w:hAnsi="Times New Roman"/>
          <w:sz w:val="16"/>
          <w:szCs w:val="16"/>
          <w:color w:val="auto"/>
        </w:rPr>
        <w:t>: The Board intends that this Policy will be applied to the fullest extent of the law. The Board may require that any employment agreement, equity award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Impracticability</w:t>
      </w:r>
      <w:r>
        <w:rPr>
          <w:rFonts w:ascii="Times New Roman" w:cs="Times New Roman" w:eastAsia="Times New Roman" w:hAnsi="Times New Roman"/>
          <w:sz w:val="16"/>
          <w:szCs w:val="16"/>
          <w:color w:val="auto"/>
        </w:rPr>
        <w:t>: The Board shall recover any Excess Incentive Compensation in accordance with this Policy unless such recovery would be impracticable, as determined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in accordance with Rule 10D-1 of the Exchange Act and the listing standards of the national securities exchange on which the Company’s securities are listed.</w:t>
      </w:r>
    </w:p>
    <w:p>
      <w:pPr>
        <w:sectPr>
          <w:pgSz w:w="11900" w:h="16838" w:orient="portrait"/>
          <w:cols w:equalWidth="0" w:num="1">
            <w:col w:w="11280"/>
          </w:cols>
          <w:pgMar w:left="300" w:top="113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auto"/>
        </w:rPr>
        <w:t>Successors</w:t>
      </w:r>
      <w:r>
        <w:rPr>
          <w:rFonts w:ascii="Times New Roman" w:cs="Times New Roman" w:eastAsia="Times New Roman" w:hAnsi="Times New Roman"/>
          <w:sz w:val="14"/>
          <w:szCs w:val="14"/>
          <w:color w:val="auto"/>
        </w:rPr>
        <w:t>: This Policy shall be binding and enforceable against all Covered Executives and their beneficiaries, heirs, executors, administrators, or other legal representatives.</w:t>
      </w:r>
    </w:p>
    <w:sectPr>
      <w:pgSz w:w="11900" w:h="16838" w:orient="portrait"/>
      <w:cols w:equalWidth="0" w:num="1">
        <w:col w:w="10880"/>
      </w:cols>
      <w:pgMar w:left="300" w:top="11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lvl w:ilvl="1">
      <w:lvlJc w:val="left"/>
      <w:lvlText w:val="(%2)"/>
      <w:numFmt w:val="lowerRoman"/>
      <w:start w:val="3"/>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05" Type="http://schemas.openxmlformats.org/officeDocument/2006/relationships/hyperlink" Target="https://www.sec.gov/Archives/edgar/data/74046/000007404624000029/spa.htm" TargetMode="External"/><Relationship Id="rId106" Type="http://schemas.openxmlformats.org/officeDocument/2006/relationships/hyperlink" Target="https://www.sec.gov/Archives/edgar/data/74046/000007404625000028/exhibit31.htm" TargetMode="External"/><Relationship Id="rId107" Type="http://schemas.openxmlformats.org/officeDocument/2006/relationships/hyperlink" Target="https://www.sec.gov/Archives/edgar/data/74046/000007404618000007/odcex301312018.htm" TargetMode="External"/><Relationship Id="rId110" Type="http://schemas.openxmlformats.org/officeDocument/2006/relationships/hyperlink" Target="https://www.sec.gov/Archives/edgar/data/74046/000101381606000051/form8k_020106ex101.txt" TargetMode="External"/><Relationship Id="rId111" Type="http://schemas.openxmlformats.org/officeDocument/2006/relationships/hyperlink" Target="https://www.sec.gov/Archives/edgar/data/74046/000114420409013035/v142330_ex10-1.htm" TargetMode="External"/><Relationship Id="rId112" Type="http://schemas.openxmlformats.org/officeDocument/2006/relationships/hyperlink" Target="https://www.sec.gov/Archives/edgar/data/74046/000114420411071922/v244230_ex10.htm" TargetMode="External"/><Relationship Id="rId113" Type="http://schemas.openxmlformats.org/officeDocument/2006/relationships/hyperlink" Target="https://www.sec.gov/Archives/edgar/data/74046/000007404612000012/odcex101207312012.htm" TargetMode="External"/><Relationship Id="rId114" Type="http://schemas.openxmlformats.org/officeDocument/2006/relationships/hyperlink" Target="https://www.sec.gov/Archives/edgar/data/74046/000007404614000017/odcex10110312014.htm" TargetMode="External"/><Relationship Id="rId115" Type="http://schemas.openxmlformats.org/officeDocument/2006/relationships/hyperlink" Target="https://www.sec.gov/Archives/edgar/data/74046/000007404619000008/fifthamendmenttocreditagre.htm" TargetMode="External"/><Relationship Id="rId116" Type="http://schemas.openxmlformats.org/officeDocument/2006/relationships/hyperlink" Target="https://www.sec.gov/Archives/edgar/data/74046/000007404619000008/annexa-final.htm" TargetMode="External"/><Relationship Id="rId117" Type="http://schemas.openxmlformats.org/officeDocument/2006/relationships/hyperlink" Target="https://www.sec.gov/Archives/edgar/data/74046/000007404622000047/odcex101oil-dri_bmoxconsen.htm" TargetMode="External"/><Relationship Id="rId118" Type="http://schemas.openxmlformats.org/officeDocument/2006/relationships/hyperlink" Target="https://www.sec.gov/Archives/edgar/data/74046/000007404622000058/oil-driaug302022xsixtham.htm" TargetMode="External"/><Relationship Id="rId119" Type="http://schemas.openxmlformats.org/officeDocument/2006/relationships/hyperlink" Target="https://www.sec.gov/Archives/edgar/data/0000074046/000007404624000029/a7thamendmentbmo.htm" TargetMode="External"/><Relationship Id="rId120" Type="http://schemas.openxmlformats.org/officeDocument/2006/relationships/hyperlink" Target="https://www.sec.gov/Archives/edgar/data/0000074046/000007404624000054/bmo8thamendment.htm" TargetMode="External"/><Relationship Id="rId121" Type="http://schemas.openxmlformats.org/officeDocument/2006/relationships/hyperlink" Target="https://www.sec.gov/Archives/edgar/data/74046/000114420410061518/v202918_ex10-1.htm" TargetMode="External"/><Relationship Id="rId125" Type="http://schemas.openxmlformats.org/officeDocument/2006/relationships/hyperlink" Target="https://www.sec.gov/Archives/edgar/data/74046/000007404620000025/odc20200515exh101.htm" TargetMode="External"/><Relationship Id="rId126" Type="http://schemas.openxmlformats.org/officeDocument/2006/relationships/hyperlink" Target="https://www.sec.gov/Archives/edgar/data/74046/000007404621000119/aex_amendmentno1toarnppsax.htm" TargetMode="External"/><Relationship Id="rId127" Type="http://schemas.openxmlformats.org/officeDocument/2006/relationships/hyperlink" Target="https://www.sec.gov/Archives/edgar/data/74046/000007404622000047/odcex102oildriprudentialam.htm" TargetMode="External"/><Relationship Id="rId128" Type="http://schemas.openxmlformats.org/officeDocument/2006/relationships/hyperlink" Target="https://www.sec.gov/Archives/edgar/data/74046/000007404622000058/amendmentno3toarnppsa-oilx.htm" TargetMode="External"/><Relationship Id="rId129" Type="http://schemas.openxmlformats.org/officeDocument/2006/relationships/hyperlink" Target="https://www.sec.gov/Archives/edgar/data/74046/000007404623000046/amendmentno4toarnppsa-oi.htm" TargetMode="External"/><Relationship Id="rId130" Type="http://schemas.openxmlformats.org/officeDocument/2006/relationships/hyperlink" Target="https://www.sec.gov/Archives/edgar/data/74046/000007404603000021/q3f03x10.txt" TargetMode="External"/><Relationship Id="rId131" Type="http://schemas.openxmlformats.org/officeDocument/2006/relationships/hyperlink" Target="https://www.sec.gov/Archives/edgar/data/74046/000114420408014071/v105960_ex10-1.htm" TargetMode="External"/><Relationship Id="rId132" Type="http://schemas.openxmlformats.org/officeDocument/2006/relationships/hyperlink" Target="https://www.sec.gov/Archives/edgar/data/74046/000114420408014071/v105960_ex10-2.htm" TargetMode="External"/><Relationship Id="rId133" Type="http://schemas.openxmlformats.org/officeDocument/2006/relationships/hyperlink" Target="https://www.sec.gov/Archives/edgar/data/74046/000114420408014071/v105960_ex10-4.htm" TargetMode="External"/><Relationship Id="rId134" Type="http://schemas.openxmlformats.org/officeDocument/2006/relationships/hyperlink" Target="https://www.sec.gov/Archives/edgar/data/74046/000114420408014071/v105960_ex10-3.htm" TargetMode="External"/><Relationship Id="rId135" Type="http://schemas.openxmlformats.org/officeDocument/2006/relationships/hyperlink" Target="https://www.sec.gov/Archives/edgar/data/74046/000007404620000052/odcex10247212020.htm" TargetMode="External"/><Relationship Id="rId136" Type="http://schemas.openxmlformats.org/officeDocument/2006/relationships/hyperlink" Target="https://www.sec.gov/Archives/edgar/data/74046/000007404623000070/odcproxy2023.htm" TargetMode="External"/><Relationship Id="rId139" Type="http://schemas.openxmlformats.org/officeDocument/2006/relationships/hyperlink" Target="https://www.sec.gov/Archives/edgar/data/74046/000120677406002257/oildri_nps.htm" TargetMode="External"/><Relationship Id="rId140" Type="http://schemas.openxmlformats.org/officeDocument/2006/relationships/hyperlink" Target="https://www.sec.gov/Archives/edgar/data/74046/000114420408014071/v105960_ex10-5.htm" TargetMode="External"/><Relationship Id="rId141" Type="http://schemas.openxmlformats.org/officeDocument/2006/relationships/hyperlink" Target="https://www.sec.gov/Archives/edgar/data/74046/000007404615000050/odcproxy07312015.htm#s249522831a274fd3a1b004bb0d87f4df" TargetMode="External"/><Relationship Id="rId142" Type="http://schemas.openxmlformats.org/officeDocument/2006/relationships/hyperlink" Target="https://www.sec.gov/Archives/edgar/data/74046/000007404619000066/odcproxy2019.htm" TargetMode="External"/><Relationship Id="rId143" Type="http://schemas.openxmlformats.org/officeDocument/2006/relationships/hyperlink" Target="https://www.sec.gov/Archives/edgar/data/74046/000127528706006429/od8243ex102.htm" TargetMode="External"/><Relationship Id="rId144" Type="http://schemas.openxmlformats.org/officeDocument/2006/relationships/hyperlink" Target="https://www.sec.gov/Archives/edgar/data/74046/000127528706006429/od8243ex103.htm" TargetMode="External"/><Relationship Id="rId145" Type="http://schemas.openxmlformats.org/officeDocument/2006/relationships/hyperlink" Target="https://www.sec.gov/Archives/edgar/data/74046/000127528706006429/od8243ex104.htm" TargetMode="External"/><Relationship Id="rId146" Type="http://schemas.openxmlformats.org/officeDocument/2006/relationships/hyperlink" Target="https://www.sec.gov/Archives/edgar/data/74046/000127528706006429/od8243ex105.htm" TargetMode="External"/><Relationship Id="rId147" Type="http://schemas.openxmlformats.org/officeDocument/2006/relationships/hyperlink" Target="https://www.sec.gov/Archives/edgar/data/74046/000127528706006429/od8243ex106.htm" TargetMode="External"/><Relationship Id="rId148" Type="http://schemas.openxmlformats.org/officeDocument/2006/relationships/hyperlink" Target="https://www.sec.gov/Archives/edgar/data/74046/000127528706006429/od8243ex107.htm" TargetMode="External"/><Relationship Id="rId149" Type="http://schemas.openxmlformats.org/officeDocument/2006/relationships/hyperlink" Target="https://www.sec.gov/Archives/edgar/data/74046/000127528706006429/od8243ex108.htm" TargetMode="External"/><Relationship Id="rId150" Type="http://schemas.openxmlformats.org/officeDocument/2006/relationships/hyperlink" Target="https://www.sec.gov/Archives/edgar/data/74046/000007404618000046/odcex10290731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2025-10-09T15:12:11Z</dcterms:created>
  <dcterms:modified xsi:type="dcterms:W3CDTF">2025-10-09T15:12:11Z</dcterms:modified>
</cp:coreProperties>
</file>