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166370</wp:posOffset>
            </wp:positionH>
            <wp:positionV relativeFrom="page">
              <wp:posOffset>328930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243205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5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00" w:type="dxa"/>
            <w:vAlign w:val="bottom"/>
            <w:gridSpan w:val="3"/>
          </w:tcPr>
          <w:p>
            <w:pPr>
              <w:jc w:val="center"/>
              <w:ind w:right="820"/>
              <w:spacing w:after="0"/>
              <w:rPr>
                <w:sz w:val="20"/>
                <w:szCs w:val="20"/>
                <w:color w:val="auto"/>
              </w:rPr>
            </w:pPr>
            <w:r>
              <w:rPr>
                <w:rFonts w:ascii="Arial" w:cs="Arial" w:eastAsia="Arial" w:hAnsi="Arial"/>
                <w:sz w:val="18"/>
                <w:szCs w:val="18"/>
                <w:color w:val="auto"/>
                <w:w w:val="90"/>
              </w:rPr>
              <w:t>Date of Report (Date of earliest event reported)</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ind w:left="2080"/>
              <w:spacing w:after="0"/>
              <w:rPr>
                <w:sz w:val="20"/>
                <w:szCs w:val="20"/>
                <w:color w:val="auto"/>
              </w:rPr>
            </w:pPr>
            <w:r>
              <w:rPr>
                <w:rFonts w:ascii="Arial" w:cs="Arial" w:eastAsia="Arial" w:hAnsi="Arial"/>
                <w:sz w:val="18"/>
                <w:szCs w:val="18"/>
                <w:color w:val="auto"/>
                <w:w w:val="89"/>
              </w:rPr>
              <w:t>December 11, 2018</w:t>
            </w:r>
          </w:p>
        </w:tc>
      </w:tr>
      <w:tr>
        <w:trPr>
          <w:trHeight w:val="837"/>
        </w:trPr>
        <w:tc>
          <w:tcPr>
            <w:tcW w:w="3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0" w:type="dxa"/>
            <w:vAlign w:val="bottom"/>
            <w:gridSpan w:val="5"/>
          </w:tcPr>
          <w:p>
            <w:pPr>
              <w:jc w:val="center"/>
              <w:ind w:right="780"/>
              <w:spacing w:after="0"/>
              <w:rPr>
                <w:sz w:val="20"/>
                <w:szCs w:val="20"/>
                <w:color w:val="auto"/>
              </w:rPr>
            </w:pPr>
            <w:r>
              <w:rPr>
                <w:rFonts w:ascii="Arial" w:cs="Arial" w:eastAsia="Arial" w:hAnsi="Arial"/>
                <w:sz w:val="18"/>
                <w:szCs w:val="18"/>
                <w:b w:val="1"/>
                <w:bCs w:val="1"/>
                <w:color w:val="auto"/>
                <w:w w:val="94"/>
              </w:rPr>
              <w:t>Oil-Dri Corporation of America</w:t>
            </w:r>
          </w:p>
        </w:tc>
        <w:tc>
          <w:tcPr>
            <w:tcW w:w="3520" w:type="dxa"/>
            <w:vAlign w:val="bottom"/>
          </w:tcPr>
          <w:p>
            <w:pPr>
              <w:spacing w:after="0"/>
              <w:rPr>
                <w:sz w:val="24"/>
                <w:szCs w:val="24"/>
                <w:color w:val="auto"/>
              </w:rPr>
            </w:pP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440" w:type="dxa"/>
            <w:vAlign w:val="bottom"/>
          </w:tcPr>
          <w:p>
            <w:pPr>
              <w:spacing w:after="0"/>
              <w:rPr>
                <w:sz w:val="20"/>
                <w:szCs w:val="20"/>
                <w:color w:val="auto"/>
              </w:rPr>
            </w:pPr>
          </w:p>
        </w:tc>
        <w:tc>
          <w:tcPr>
            <w:tcW w:w="4460" w:type="dxa"/>
            <w:vAlign w:val="bottom"/>
            <w:gridSpan w:val="7"/>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c>
          <w:tcPr>
            <w:tcW w:w="3520" w:type="dxa"/>
            <w:vAlign w:val="bottom"/>
          </w:tcPr>
          <w:p>
            <w:pPr>
              <w:spacing w:after="0"/>
              <w:rPr>
                <w:sz w:val="20"/>
                <w:szCs w:val="20"/>
                <w:color w:val="auto"/>
              </w:rPr>
            </w:pPr>
          </w:p>
        </w:tc>
      </w:tr>
      <w:tr>
        <w:trPr>
          <w:trHeight w:val="621"/>
        </w:trPr>
        <w:tc>
          <w:tcPr>
            <w:tcW w:w="4300" w:type="dxa"/>
            <w:vAlign w:val="bottom"/>
            <w:gridSpan w:val="3"/>
          </w:tcPr>
          <w:p>
            <w:pPr>
              <w:jc w:val="center"/>
              <w:ind w:right="860"/>
              <w:spacing w:after="0"/>
              <w:rPr>
                <w:sz w:val="20"/>
                <w:szCs w:val="20"/>
                <w:color w:val="auto"/>
              </w:rPr>
            </w:pPr>
            <w:r>
              <w:rPr>
                <w:rFonts w:ascii="Arial" w:cs="Arial" w:eastAsia="Arial" w:hAnsi="Arial"/>
                <w:sz w:val="18"/>
                <w:szCs w:val="18"/>
                <w:b w:val="1"/>
                <w:bCs w:val="1"/>
                <w:color w:val="auto"/>
                <w:w w:val="91"/>
              </w:rPr>
              <w:t>Delaware</w:t>
            </w:r>
          </w:p>
        </w:tc>
        <w:tc>
          <w:tcPr>
            <w:tcW w:w="1760" w:type="dxa"/>
            <w:vAlign w:val="bottom"/>
            <w:gridSpan w:val="3"/>
          </w:tcPr>
          <w:p>
            <w:pPr>
              <w:jc w:val="center"/>
              <w:ind w:left="890"/>
              <w:spacing w:after="0"/>
              <w:rPr>
                <w:sz w:val="20"/>
                <w:szCs w:val="20"/>
                <w:color w:val="auto"/>
              </w:rPr>
            </w:pPr>
            <w:r>
              <w:rPr>
                <w:rFonts w:ascii="Arial" w:cs="Arial" w:eastAsia="Arial" w:hAnsi="Arial"/>
                <w:sz w:val="18"/>
                <w:szCs w:val="18"/>
                <w:b w:val="1"/>
                <w:bCs w:val="1"/>
                <w:color w:val="auto"/>
                <w:w w:val="90"/>
              </w:rPr>
              <w:t>001-12622</w:t>
            </w: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7"/>
        </w:trPr>
        <w:tc>
          <w:tcPr>
            <w:tcW w:w="3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22"/>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2"/>
              </w:rPr>
              <w:t>(State or other jurisdiction of</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3"/>
              </w:rPr>
              <w:t>(Commission File</w:t>
            </w:r>
          </w:p>
        </w:tc>
        <w:tc>
          <w:tcPr>
            <w:tcW w:w="3520" w:type="dxa"/>
            <w:vAlign w:val="bottom"/>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430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360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Number)</w:t>
            </w:r>
          </w:p>
        </w:tc>
        <w:tc>
          <w:tcPr>
            <w:tcW w:w="35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387"/>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91"/>
              </w:rPr>
              <w:t>410 North Michigan Avenue</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16"/>
        </w:trPr>
        <w:tc>
          <w:tcPr>
            <w:tcW w:w="430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88"/>
              </w:rPr>
              <w:t>Suite 400</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234"/>
        </w:trPr>
        <w:tc>
          <w:tcPr>
            <w:tcW w:w="430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9"/>
              </w:rPr>
              <w:t>Chicago, Illinois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right"/>
              <w:ind w:right="217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43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430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520" w:type="dxa"/>
            <w:vAlign w:val="bottom"/>
          </w:tcPr>
          <w:p>
            <w:pPr>
              <w:jc w:val="center"/>
              <w:ind w:right="1750"/>
              <w:spacing w:after="0"/>
              <w:rPr>
                <w:sz w:val="20"/>
                <w:szCs w:val="20"/>
                <w:color w:val="auto"/>
              </w:rPr>
            </w:pPr>
            <w:r>
              <w:rPr>
                <w:rFonts w:ascii="Arial" w:cs="Arial" w:eastAsia="Arial" w:hAnsi="Arial"/>
                <w:sz w:val="18"/>
                <w:szCs w:val="18"/>
                <w:color w:val="auto"/>
                <w:w w:val="94"/>
              </w:rPr>
              <w:t>(Zip Code)</w:t>
            </w:r>
          </w:p>
        </w:tc>
      </w:tr>
      <w:tr>
        <w:trPr>
          <w:trHeight w:val="405"/>
        </w:trPr>
        <w:tc>
          <w:tcPr>
            <w:tcW w:w="4300" w:type="dxa"/>
            <w:vAlign w:val="bottom"/>
            <w:gridSpan w:val="3"/>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14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rPr>
              <w:t>(312) 321-1515</w:t>
            </w:r>
          </w:p>
        </w:tc>
        <w:tc>
          <w:tcPr>
            <w:tcW w:w="46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7"/>
        </w:trPr>
        <w:tc>
          <w:tcPr>
            <w:tcW w:w="34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bl>
    <w:p>
      <w:pPr>
        <w:spacing w:after="0" w:line="14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16" w:lineRule="exact"/>
        <w:rPr>
          <w:sz w:val="24"/>
          <w:szCs w:val="24"/>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20" w:hanging="46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159385</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73660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420"/>
          </w:cols>
          <w:pgMar w:left="240" w:top="621" w:right="239" w:bottom="1440" w:gutter="0" w:footer="0" w:header="0"/>
        </w:sectPr>
      </w:pPr>
    </w:p>
    <w:bookmarkStart w:id="1" w:name="page2"/>
    <w:bookmarkEnd w:id="1"/>
    <w:p>
      <w:pPr>
        <w:ind w:left="200"/>
        <w:spacing w:after="0"/>
        <w:rPr>
          <w:sz w:val="20"/>
          <w:szCs w:val="20"/>
          <w:color w:val="auto"/>
        </w:rPr>
      </w:pPr>
      <w:r>
        <w:rPr>
          <w:rFonts w:ascii="Arial" w:cs="Arial" w:eastAsia="Arial" w:hAnsi="Arial"/>
          <w:sz w:val="18"/>
          <w:szCs w:val="18"/>
          <w:b w:val="1"/>
          <w:bCs w:val="1"/>
          <w:u w:val="single" w:color="auto"/>
          <w:color w:val="auto"/>
        </w:rPr>
        <w:t>Item 5.07</w:t>
      </w:r>
      <w:r>
        <w:rPr>
          <w:rFonts w:ascii="Arial" w:cs="Arial" w:eastAsia="Arial" w:hAnsi="Arial"/>
          <w:sz w:val="18"/>
          <w:szCs w:val="18"/>
          <w:b w:val="1"/>
          <w:bCs w:val="1"/>
          <w:color w:val="auto"/>
        </w:rPr>
        <w:t xml:space="preserve">  Submission of Matters to a Vote of Security Holders.</w:t>
      </w:r>
    </w:p>
    <w:p>
      <w:pPr>
        <w:spacing w:after="0" w:line="256" w:lineRule="exact"/>
        <w:rPr>
          <w:sz w:val="20"/>
          <w:szCs w:val="20"/>
          <w:color w:val="auto"/>
        </w:rPr>
      </w:pPr>
    </w:p>
    <w:p>
      <w:pPr>
        <w:jc w:val="both"/>
        <w:ind w:firstLine="351"/>
        <w:spacing w:after="0" w:line="308" w:lineRule="auto"/>
        <w:rPr>
          <w:sz w:val="20"/>
          <w:szCs w:val="20"/>
          <w:color w:val="auto"/>
        </w:rPr>
      </w:pPr>
      <w:r>
        <w:rPr>
          <w:rFonts w:ascii="Arial" w:cs="Arial" w:eastAsia="Arial" w:hAnsi="Arial"/>
          <w:sz w:val="17"/>
          <w:szCs w:val="17"/>
          <w:color w:val="auto"/>
        </w:rPr>
        <w:t>Oil-Dri Corporation of America (the “Company”) held its annual meeting of stockholders on December 11, 2018. See the Company’s 2018 Proxy Statement for more information on the proposals presented at the meeting, the relevant portions of which are incorporated herein by reference.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stockholders elected all of the nominees for director recommended by the Company’s Board of Directors (the “Board”).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2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Director</w:t>
            </w:r>
          </w:p>
        </w:tc>
        <w:tc>
          <w:tcPr>
            <w:tcW w:w="140" w:type="dxa"/>
            <w:vAlign w:val="bottom"/>
            <w:shd w:val="clear" w:color="auto" w:fill="CCEEFF"/>
          </w:tcPr>
          <w:p>
            <w:pPr>
              <w:spacing w:after="0"/>
              <w:rPr>
                <w:sz w:val="22"/>
                <w:szCs w:val="22"/>
                <w:color w:val="auto"/>
              </w:rPr>
            </w:pPr>
          </w:p>
        </w:tc>
        <w:tc>
          <w:tcPr>
            <w:tcW w:w="25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For</w:t>
            </w:r>
          </w:p>
        </w:tc>
        <w:tc>
          <w:tcPr>
            <w:tcW w:w="120" w:type="dxa"/>
            <w:vAlign w:val="bottom"/>
            <w:shd w:val="clear" w:color="auto" w:fill="CCEEFF"/>
          </w:tcPr>
          <w:p>
            <w:pPr>
              <w:spacing w:after="0"/>
              <w:rPr>
                <w:sz w:val="22"/>
                <w:szCs w:val="22"/>
                <w:color w:val="auto"/>
              </w:rPr>
            </w:pPr>
          </w:p>
        </w:tc>
        <w:tc>
          <w:tcPr>
            <w:tcW w:w="2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Withheld</w:t>
            </w:r>
          </w:p>
        </w:tc>
        <w:tc>
          <w:tcPr>
            <w:tcW w:w="100" w:type="dxa"/>
            <w:vAlign w:val="bottom"/>
            <w:shd w:val="clear" w:color="auto" w:fill="CCEEFF"/>
          </w:tcPr>
          <w:p>
            <w:pPr>
              <w:spacing w:after="0"/>
              <w:rPr>
                <w:sz w:val="22"/>
                <w:szCs w:val="22"/>
                <w:color w:val="auto"/>
              </w:rPr>
            </w:pPr>
          </w:p>
        </w:tc>
        <w:tc>
          <w:tcPr>
            <w:tcW w:w="2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Broker Non-Votes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Ellen-Blair Chube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22,614,684</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53,572</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917,120</w:t>
            </w:r>
          </w:p>
        </w:tc>
      </w:tr>
      <w:tr>
        <w:trPr>
          <w:trHeight w:val="27"/>
        </w:trPr>
        <w:tc>
          <w:tcPr>
            <w:tcW w:w="32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 Steven Cole</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22,517,372</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150,884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917,120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Daniel S. Jaffee</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21,476,455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1,191,801</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917,120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Joseph C. Miller</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20,586,567</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2,081,689</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917,120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Michael A. Nemeroff</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20,287,660</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2,380,596</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917,120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George C. Roeth</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22,607,888</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60,368</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917,120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Allan H. Selig</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20,396,175</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2,272,081</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917,120</w:t>
            </w:r>
          </w:p>
        </w:tc>
      </w:tr>
      <w:tr>
        <w:trPr>
          <w:trHeight w:val="27"/>
        </w:trPr>
        <w:tc>
          <w:tcPr>
            <w:tcW w:w="3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Paul E. Suckow</w:t>
            </w:r>
          </w:p>
        </w:tc>
        <w:tc>
          <w:tcPr>
            <w:tcW w:w="2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21,996,442</w:t>
            </w:r>
          </w:p>
        </w:tc>
        <w:tc>
          <w:tcPr>
            <w:tcW w:w="12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671,814</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917,120</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Lawrence E. Washow</w:t>
            </w:r>
          </w:p>
        </w:tc>
        <w:tc>
          <w:tcPr>
            <w:tcW w:w="2520" w:type="dxa"/>
            <w:vAlign w:val="bottom"/>
          </w:tcPr>
          <w:p>
            <w:pPr>
              <w:jc w:val="right"/>
              <w:ind w:right="30"/>
              <w:spacing w:after="0"/>
              <w:rPr>
                <w:sz w:val="20"/>
                <w:szCs w:val="20"/>
                <w:color w:val="auto"/>
              </w:rPr>
            </w:pPr>
            <w:r>
              <w:rPr>
                <w:rFonts w:ascii="Arial" w:cs="Arial" w:eastAsia="Arial" w:hAnsi="Arial"/>
                <w:sz w:val="18"/>
                <w:szCs w:val="18"/>
                <w:color w:val="auto"/>
              </w:rPr>
              <w:t>22,609,927</w:t>
            </w:r>
          </w:p>
        </w:tc>
        <w:tc>
          <w:tcPr>
            <w:tcW w:w="120" w:type="dxa"/>
            <w:vAlign w:val="bottom"/>
          </w:tcPr>
          <w:p>
            <w:pPr>
              <w:spacing w:after="0"/>
              <w:rPr>
                <w:sz w:val="21"/>
                <w:szCs w:val="21"/>
                <w:color w:val="auto"/>
              </w:rPr>
            </w:pPr>
          </w:p>
        </w:tc>
        <w:tc>
          <w:tcPr>
            <w:tcW w:w="2500" w:type="dxa"/>
            <w:vAlign w:val="bottom"/>
          </w:tcPr>
          <w:p>
            <w:pPr>
              <w:jc w:val="right"/>
              <w:ind w:right="30"/>
              <w:spacing w:after="0"/>
              <w:rPr>
                <w:sz w:val="20"/>
                <w:szCs w:val="20"/>
                <w:color w:val="auto"/>
              </w:rPr>
            </w:pPr>
            <w:r>
              <w:rPr>
                <w:rFonts w:ascii="Arial" w:cs="Arial" w:eastAsia="Arial" w:hAnsi="Arial"/>
                <w:sz w:val="18"/>
                <w:szCs w:val="18"/>
                <w:color w:val="auto"/>
              </w:rPr>
              <w:t>58,329</w:t>
            </w:r>
          </w:p>
        </w:tc>
        <w:tc>
          <w:tcPr>
            <w:tcW w:w="100" w:type="dxa"/>
            <w:vAlign w:val="bottom"/>
          </w:tcPr>
          <w:p>
            <w:pPr>
              <w:spacing w:after="0"/>
              <w:rPr>
                <w:sz w:val="21"/>
                <w:szCs w:val="21"/>
                <w:color w:val="auto"/>
              </w:rPr>
            </w:pPr>
          </w:p>
        </w:tc>
        <w:tc>
          <w:tcPr>
            <w:tcW w:w="2840" w:type="dxa"/>
            <w:vAlign w:val="bottom"/>
          </w:tcPr>
          <w:p>
            <w:pPr>
              <w:jc w:val="right"/>
              <w:ind w:right="10"/>
              <w:spacing w:after="0"/>
              <w:rPr>
                <w:sz w:val="20"/>
                <w:szCs w:val="20"/>
                <w:color w:val="auto"/>
              </w:rPr>
            </w:pPr>
            <w:r>
              <w:rPr>
                <w:rFonts w:ascii="Arial" w:cs="Arial" w:eastAsia="Arial" w:hAnsi="Arial"/>
                <w:sz w:val="18"/>
                <w:szCs w:val="18"/>
                <w:color w:val="auto"/>
              </w:rPr>
              <w:t>917,120</w:t>
            </w: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INDEPENDENT AUDITOR</w:t>
      </w:r>
    </w:p>
    <w:p>
      <w:pPr>
        <w:spacing w:after="0" w:line="229" w:lineRule="exact"/>
        <w:rPr>
          <w:sz w:val="20"/>
          <w:szCs w:val="20"/>
          <w:color w:val="auto"/>
        </w:rPr>
      </w:pPr>
    </w:p>
    <w:p>
      <w:pPr>
        <w:jc w:val="both"/>
        <w:ind w:firstLine="351"/>
        <w:spacing w:after="0" w:line="277" w:lineRule="auto"/>
        <w:rPr>
          <w:sz w:val="20"/>
          <w:szCs w:val="20"/>
          <w:color w:val="auto"/>
        </w:rPr>
      </w:pPr>
      <w:r>
        <w:rPr>
          <w:rFonts w:ascii="Arial" w:cs="Arial" w:eastAsia="Arial" w:hAnsi="Arial"/>
          <w:sz w:val="18"/>
          <w:szCs w:val="18"/>
          <w:color w:val="auto"/>
        </w:rPr>
        <w:t>The stockholders ratified the appointment of Grant Thornton LLP as independent auditor for the fiscal year ending July 31, 2019. The voting results were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23,500,480</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Against</w:t>
            </w:r>
          </w:p>
        </w:tc>
        <w:tc>
          <w:tcPr>
            <w:tcW w:w="5880" w:type="dxa"/>
            <w:vAlign w:val="bottom"/>
          </w:tcPr>
          <w:p>
            <w:pPr>
              <w:jc w:val="right"/>
              <w:ind w:right="10"/>
              <w:spacing w:after="0"/>
              <w:rPr>
                <w:sz w:val="20"/>
                <w:szCs w:val="20"/>
                <w:color w:val="auto"/>
              </w:rPr>
            </w:pPr>
            <w:r>
              <w:rPr>
                <w:rFonts w:ascii="Arial" w:cs="Arial" w:eastAsia="Arial" w:hAnsi="Arial"/>
                <w:sz w:val="18"/>
                <w:szCs w:val="18"/>
                <w:color w:val="auto"/>
              </w:rPr>
              <w:t>82,639</w:t>
            </w:r>
          </w:p>
        </w:tc>
      </w:tr>
      <w:tr>
        <w:trPr>
          <w:trHeight w:val="27"/>
        </w:trPr>
        <w:tc>
          <w:tcPr>
            <w:tcW w:w="5540" w:type="dxa"/>
            <w:vAlign w:val="bottom"/>
          </w:tcPr>
          <w:p>
            <w:pPr>
              <w:spacing w:after="0"/>
              <w:rPr>
                <w:sz w:val="2"/>
                <w:szCs w:val="2"/>
                <w:color w:val="auto"/>
              </w:rPr>
            </w:pPr>
          </w:p>
        </w:tc>
        <w:tc>
          <w:tcPr>
            <w:tcW w:w="5880" w:type="dxa"/>
            <w:vAlign w:val="bottom"/>
          </w:tcPr>
          <w:p>
            <w:pPr>
              <w:spacing w:after="0"/>
              <w:rPr>
                <w:sz w:val="2"/>
                <w:szCs w:val="2"/>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Abstain</w:t>
            </w:r>
          </w:p>
        </w:tc>
        <w:tc>
          <w:tcPr>
            <w:tcW w:w="5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2,257</w:t>
            </w:r>
          </w:p>
        </w:tc>
      </w:tr>
      <w:tr>
        <w:trPr>
          <w:trHeight w:val="27"/>
        </w:trPr>
        <w:tc>
          <w:tcPr>
            <w:tcW w:w="5540" w:type="dxa"/>
            <w:vAlign w:val="bottom"/>
            <w:shd w:val="clear" w:color="auto" w:fill="CCEEFF"/>
          </w:tcPr>
          <w:p>
            <w:pPr>
              <w:spacing w:after="0"/>
              <w:rPr>
                <w:sz w:val="2"/>
                <w:szCs w:val="2"/>
                <w:color w:val="auto"/>
              </w:rPr>
            </w:pPr>
          </w:p>
        </w:tc>
        <w:tc>
          <w:tcPr>
            <w:tcW w:w="5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Also on December 11, 2018, the Company’s Board of Directors declared quarterly cash dividends of $0.24 per share of the Company’s Common Stock and 0.18 per share of the Company’s Class B Stock. The dividends will be payable on March 1, 2019, to stockholders of record at the close of business on February 15, 2019. A copy of the Company’s press release announcing these matters is attached as Exhibit 99.1 and the information contained therein is incorporated herein by reference.</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56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20" w:type="dxa"/>
            <w:vAlign w:val="bottom"/>
          </w:tcPr>
          <w:p>
            <w:pPr>
              <w:spacing w:after="0"/>
              <w:rPr>
                <w:sz w:val="20"/>
                <w:szCs w:val="20"/>
                <w:color w:val="auto"/>
              </w:rPr>
            </w:pPr>
          </w:p>
        </w:tc>
        <w:tc>
          <w:tcPr>
            <w:tcW w:w="9780" w:type="dxa"/>
            <w:vAlign w:val="bottom"/>
            <w:gridSpan w:val="2"/>
          </w:tcPr>
          <w:p>
            <w:pPr>
              <w:ind w:left="4040"/>
              <w:spacing w:after="0"/>
              <w:rPr>
                <w:sz w:val="20"/>
                <w:szCs w:val="20"/>
                <w:color w:val="auto"/>
              </w:rPr>
            </w:pPr>
            <w:r>
              <w:rPr>
                <w:rFonts w:ascii="Arial" w:cs="Arial" w:eastAsia="Arial" w:hAnsi="Arial"/>
                <w:sz w:val="18"/>
                <w:szCs w:val="18"/>
                <w:color w:val="auto"/>
              </w:rPr>
              <w:t>Description of Exhibits</w:t>
            </w:r>
          </w:p>
        </w:tc>
      </w:tr>
      <w:tr>
        <w:trPr>
          <w:trHeight w:val="27"/>
        </w:trPr>
        <w:tc>
          <w:tcPr>
            <w:tcW w:w="126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5600" w:type="dxa"/>
            <w:vAlign w:val="bottom"/>
            <w:tcBorders>
              <w:bottom w:val="single" w:sz="8" w:color="auto"/>
            </w:tcBorders>
          </w:tcPr>
          <w:p>
            <w:pPr>
              <w:spacing w:after="0"/>
              <w:rPr>
                <w:sz w:val="2"/>
                <w:szCs w:val="2"/>
                <w:color w:val="auto"/>
              </w:rPr>
            </w:pPr>
          </w:p>
        </w:tc>
      </w:tr>
      <w:tr>
        <w:trPr>
          <w:trHeight w:val="466"/>
        </w:trPr>
        <w:tc>
          <w:tcPr>
            <w:tcW w:w="1260" w:type="dxa"/>
            <w:vAlign w:val="bottom"/>
          </w:tcPr>
          <w:p>
            <w:pPr>
              <w:ind w:left="4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8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dated December 11, 2018 (Cash Dividends)</w:t>
              </w:r>
            </w:hyperlink>
          </w:p>
        </w:tc>
      </w:tr>
      <w:tr>
        <w:trPr>
          <w:trHeight w:val="20"/>
        </w:trPr>
        <w:tc>
          <w:tcPr>
            <w:tcW w:w="1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ectPr>
          <w:pgSz w:w="11900" w:h="16838" w:orient="portrait"/>
          <w:cols w:equalWidth="0" w:num="1">
            <w:col w:w="11420"/>
          </w:cols>
          <w:pgMar w:left="240" w:top="742" w:right="239" w:bottom="1440" w:gutter="0" w:footer="0" w:header="0"/>
        </w:sectPr>
      </w:pPr>
    </w:p>
    <w:bookmarkStart w:id="2" w:name="page3"/>
    <w:bookmarkEnd w:id="2"/>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G. Scheland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Laura G. Scheland</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General Counsel and Secretary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2018</w:t>
      </w:r>
    </w:p>
    <w:p>
      <w:pPr>
        <w:sectPr>
          <w:pgSz w:w="11900" w:h="16838" w:orient="portrait"/>
          <w:cols w:equalWidth="0" w:num="1">
            <w:col w:w="11020"/>
          </w:cols>
          <w:pgMar w:left="240" w:top="580" w:right="63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Board of Directors Declares Quarterly Dividends</w:t>
      </w:r>
    </w:p>
    <w:p>
      <w:pPr>
        <w:spacing w:after="0" w:line="266" w:lineRule="exact"/>
        <w:rPr>
          <w:sz w:val="20"/>
          <w:szCs w:val="20"/>
          <w:color w:val="auto"/>
        </w:rPr>
      </w:pPr>
    </w:p>
    <w:p>
      <w:pPr>
        <w:ind w:right="40"/>
        <w:spacing w:after="0" w:line="343" w:lineRule="auto"/>
        <w:rPr>
          <w:sz w:val="20"/>
          <w:szCs w:val="20"/>
          <w:color w:val="auto"/>
        </w:rPr>
      </w:pPr>
      <w:r>
        <w:rPr>
          <w:rFonts w:ascii="Arial" w:cs="Arial" w:eastAsia="Arial" w:hAnsi="Arial"/>
          <w:sz w:val="19"/>
          <w:szCs w:val="19"/>
          <w:color w:val="auto"/>
        </w:rPr>
        <w:t>CHICAGO-(December 11, 2018)-The Board of Directors of Oil-Dri Corporation of America (NYSE: ODC) today declared quarterly cash dividends of $0.24 per share of the Company’s Common Stock and $0.18 per share of the Company’s Class B Stock.</w:t>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The dividends declared will be payable on March 1, 2019 to stockholders of record at the close of business on February 15, 2019.</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The Company has paid cash dividends continuously since 1974 and has increased dividends annually for fifteen consecutive years.</w:t>
      </w:r>
    </w:p>
    <w:p>
      <w:pPr>
        <w:spacing w:after="0" w:line="236"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Oil-Dri expects to release earnings for its second quarter of fiscal 2019 after the close of the U.S. stock market on Monday, March 11, 2019 and to host an Investor Teleconference on Tuesday, March 12, 2019. Teleconference details will be communicated via web alert and posted on the Events page of the Company’s website (investors.oildri.com/events) approximately one week prior to the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8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i w:val="1"/>
          <w:iCs w:val="1"/>
          <w:color w:val="auto"/>
        </w:rPr>
        <w:t>While Oil-Dri’s founding product was granular clay floor absorbents, it has since greatly diversified its portfolio. The Company’s mission to “Create Value from Sorbent Minerals” is supported by its wide array of consumer and business to business product offerings. In 2016, Oil-Dri celebrated its seventy-fifth year of business and looks forward to the next milestone. To learn more about the Company, visit oildri.com.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578485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002D69"/>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321-1515</w:t>
      </w:r>
    </w:p>
    <w:sectPr>
      <w:pgSz w:w="11900" w:h="16838" w:orient="portrait"/>
      <w:cols w:equalWidth="0" w:num="1">
        <w:col w:w="11420"/>
      </w:cols>
      <w:pgMar w:left="240" w:top="82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2020-02-18T22:13:50Z</dcterms:created>
  <dcterms:modified xsi:type="dcterms:W3CDTF">2020-02-18T22:13:50Z</dcterms:modified>
</cp:coreProperties>
</file>