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166370</wp:posOffset>
            </wp:positionH>
            <wp:positionV relativeFrom="page">
              <wp:posOffset>328930</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243205</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5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00" w:type="dxa"/>
            <w:vAlign w:val="bottom"/>
            <w:gridSpan w:val="3"/>
          </w:tcPr>
          <w:p>
            <w:pPr>
              <w:jc w:val="center"/>
              <w:ind w:right="820"/>
              <w:spacing w:after="0"/>
              <w:rPr>
                <w:sz w:val="20"/>
                <w:szCs w:val="20"/>
                <w:color w:val="auto"/>
              </w:rPr>
            </w:pPr>
            <w:r>
              <w:rPr>
                <w:rFonts w:ascii="Arial" w:cs="Arial" w:eastAsia="Arial" w:hAnsi="Arial"/>
                <w:sz w:val="18"/>
                <w:szCs w:val="18"/>
                <w:color w:val="auto"/>
                <w:w w:val="90"/>
              </w:rPr>
              <w:t>Date of Report (Date of earliest event reported)</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right"/>
              <w:spacing w:after="0"/>
              <w:rPr>
                <w:sz w:val="20"/>
                <w:szCs w:val="20"/>
                <w:color w:val="auto"/>
              </w:rPr>
            </w:pPr>
            <w:r>
              <w:rPr>
                <w:rFonts w:ascii="Arial" w:cs="Arial" w:eastAsia="Arial" w:hAnsi="Arial"/>
                <w:sz w:val="18"/>
                <w:szCs w:val="18"/>
                <w:color w:val="auto"/>
              </w:rPr>
              <w:t>12/11/2019</w:t>
            </w:r>
          </w:p>
        </w:tc>
      </w:tr>
      <w:tr>
        <w:trPr>
          <w:trHeight w:val="837"/>
        </w:trPr>
        <w:tc>
          <w:tcPr>
            <w:tcW w:w="3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0" w:type="dxa"/>
            <w:vAlign w:val="bottom"/>
            <w:gridSpan w:val="5"/>
          </w:tcPr>
          <w:p>
            <w:pPr>
              <w:jc w:val="center"/>
              <w:ind w:right="780"/>
              <w:spacing w:after="0"/>
              <w:rPr>
                <w:sz w:val="20"/>
                <w:szCs w:val="20"/>
                <w:color w:val="auto"/>
              </w:rPr>
            </w:pPr>
            <w:r>
              <w:rPr>
                <w:rFonts w:ascii="Arial" w:cs="Arial" w:eastAsia="Arial" w:hAnsi="Arial"/>
                <w:sz w:val="18"/>
                <w:szCs w:val="18"/>
                <w:b w:val="1"/>
                <w:bCs w:val="1"/>
                <w:color w:val="auto"/>
                <w:w w:val="94"/>
              </w:rPr>
              <w:t>Oil-Dri Corporation of America</w:t>
            </w:r>
          </w:p>
        </w:tc>
        <w:tc>
          <w:tcPr>
            <w:tcW w:w="3520" w:type="dxa"/>
            <w:vAlign w:val="bottom"/>
          </w:tcPr>
          <w:p>
            <w:pPr>
              <w:spacing w:after="0"/>
              <w:rPr>
                <w:sz w:val="24"/>
                <w:szCs w:val="24"/>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spacing w:after="0"/>
              <w:rPr>
                <w:sz w:val="20"/>
                <w:szCs w:val="20"/>
                <w:color w:val="auto"/>
              </w:rPr>
            </w:pPr>
          </w:p>
        </w:tc>
        <w:tc>
          <w:tcPr>
            <w:tcW w:w="4460" w:type="dxa"/>
            <w:vAlign w:val="bottom"/>
            <w:gridSpan w:val="7"/>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3520" w:type="dxa"/>
            <w:vAlign w:val="bottom"/>
          </w:tcPr>
          <w:p>
            <w:pPr>
              <w:spacing w:after="0"/>
              <w:rPr>
                <w:sz w:val="20"/>
                <w:szCs w:val="20"/>
                <w:color w:val="auto"/>
              </w:rPr>
            </w:pPr>
          </w:p>
        </w:tc>
      </w:tr>
      <w:tr>
        <w:trPr>
          <w:trHeight w:val="621"/>
        </w:trPr>
        <w:tc>
          <w:tcPr>
            <w:tcW w:w="430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91"/>
              </w:rPr>
              <w:t>Delaware</w:t>
            </w:r>
          </w:p>
        </w:tc>
        <w:tc>
          <w:tcPr>
            <w:tcW w:w="1760" w:type="dxa"/>
            <w:vAlign w:val="bottom"/>
            <w:gridSpan w:val="3"/>
          </w:tcPr>
          <w:p>
            <w:pPr>
              <w:jc w:val="center"/>
              <w:ind w:left="890"/>
              <w:spacing w:after="0"/>
              <w:rPr>
                <w:sz w:val="20"/>
                <w:szCs w:val="20"/>
                <w:color w:val="auto"/>
              </w:rPr>
            </w:pPr>
            <w:r>
              <w:rPr>
                <w:rFonts w:ascii="Arial" w:cs="Arial" w:eastAsia="Arial" w:hAnsi="Arial"/>
                <w:sz w:val="18"/>
                <w:szCs w:val="18"/>
                <w:b w:val="1"/>
                <w:bCs w:val="1"/>
                <w:color w:val="auto"/>
                <w:w w:val="90"/>
              </w:rPr>
              <w:t>001-12622</w:t>
            </w: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1"/>
              </w:rPr>
              <w:t>36-2048898</w:t>
            </w: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22"/>
        </w:trPr>
        <w:tc>
          <w:tcPr>
            <w:tcW w:w="4300" w:type="dxa"/>
            <w:vAlign w:val="bottom"/>
            <w:gridSpan w:val="3"/>
          </w:tcPr>
          <w:p>
            <w:pPr>
              <w:jc w:val="center"/>
              <w:ind w:right="860"/>
              <w:spacing w:after="0"/>
              <w:rPr>
                <w:sz w:val="20"/>
                <w:szCs w:val="20"/>
                <w:color w:val="auto"/>
              </w:rPr>
            </w:pPr>
            <w:r>
              <w:rPr>
                <w:rFonts w:ascii="Arial" w:cs="Arial" w:eastAsia="Arial" w:hAnsi="Arial"/>
                <w:sz w:val="18"/>
                <w:szCs w:val="18"/>
                <w:color w:val="auto"/>
                <w:w w:val="92"/>
              </w:rPr>
              <w:t>(State or other jurisdiction of</w:t>
            </w:r>
          </w:p>
        </w:tc>
        <w:tc>
          <w:tcPr>
            <w:tcW w:w="3600" w:type="dxa"/>
            <w:vAlign w:val="bottom"/>
            <w:gridSpan w:val="5"/>
          </w:tcPr>
          <w:p>
            <w:pPr>
              <w:jc w:val="center"/>
              <w:ind w:right="860"/>
              <w:spacing w:after="0"/>
              <w:rPr>
                <w:sz w:val="20"/>
                <w:szCs w:val="20"/>
                <w:color w:val="auto"/>
              </w:rPr>
            </w:pPr>
            <w:r>
              <w:rPr>
                <w:rFonts w:ascii="Arial" w:cs="Arial" w:eastAsia="Arial" w:hAnsi="Arial"/>
                <w:sz w:val="18"/>
                <w:szCs w:val="18"/>
                <w:color w:val="auto"/>
                <w:w w:val="93"/>
              </w:rPr>
              <w:t>(Commission File</w:t>
            </w:r>
          </w:p>
        </w:tc>
        <w:tc>
          <w:tcPr>
            <w:tcW w:w="3520" w:type="dxa"/>
            <w:vAlign w:val="bottom"/>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4300" w:type="dxa"/>
            <w:vAlign w:val="bottom"/>
            <w:gridSpan w:val="3"/>
          </w:tcPr>
          <w:p>
            <w:pPr>
              <w:jc w:val="center"/>
              <w:ind w:right="860"/>
              <w:spacing w:after="0"/>
              <w:rPr>
                <w:sz w:val="20"/>
                <w:szCs w:val="20"/>
                <w:color w:val="auto"/>
              </w:rPr>
            </w:pPr>
            <w:r>
              <w:rPr>
                <w:rFonts w:ascii="Arial" w:cs="Arial" w:eastAsia="Arial" w:hAnsi="Arial"/>
                <w:sz w:val="18"/>
                <w:szCs w:val="18"/>
                <w:color w:val="auto"/>
                <w:w w:val="94"/>
              </w:rPr>
              <w:t>incorporation)</w:t>
            </w:r>
          </w:p>
        </w:tc>
        <w:tc>
          <w:tcPr>
            <w:tcW w:w="3600" w:type="dxa"/>
            <w:vAlign w:val="bottom"/>
            <w:gridSpan w:val="5"/>
          </w:tcPr>
          <w:p>
            <w:pPr>
              <w:jc w:val="center"/>
              <w:ind w:right="860"/>
              <w:spacing w:after="0"/>
              <w:rPr>
                <w:sz w:val="20"/>
                <w:szCs w:val="20"/>
                <w:color w:val="auto"/>
              </w:rPr>
            </w:pPr>
            <w:r>
              <w:rPr>
                <w:rFonts w:ascii="Arial" w:cs="Arial" w:eastAsia="Arial" w:hAnsi="Arial"/>
                <w:sz w:val="18"/>
                <w:szCs w:val="18"/>
                <w:color w:val="auto"/>
                <w:w w:val="94"/>
              </w:rPr>
              <w:t>Number)</w:t>
            </w:r>
          </w:p>
        </w:tc>
        <w:tc>
          <w:tcPr>
            <w:tcW w:w="35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387"/>
        </w:trPr>
        <w:tc>
          <w:tcPr>
            <w:tcW w:w="430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1"/>
              </w:rPr>
              <w:t>410 North Michigan Avenue</w:t>
            </w: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16"/>
        </w:trPr>
        <w:tc>
          <w:tcPr>
            <w:tcW w:w="4300" w:type="dxa"/>
            <w:vAlign w:val="bottom"/>
            <w:gridSpan w:val="3"/>
          </w:tcPr>
          <w:p>
            <w:pPr>
              <w:jc w:val="center"/>
              <w:ind w:left="990"/>
              <w:spacing w:after="0"/>
              <w:rPr>
                <w:sz w:val="20"/>
                <w:szCs w:val="20"/>
                <w:color w:val="auto"/>
              </w:rPr>
            </w:pPr>
            <w:r>
              <w:rPr>
                <w:rFonts w:ascii="Arial" w:cs="Arial" w:eastAsia="Arial" w:hAnsi="Arial"/>
                <w:sz w:val="18"/>
                <w:szCs w:val="18"/>
                <w:b w:val="1"/>
                <w:bCs w:val="1"/>
                <w:color w:val="auto"/>
                <w:w w:val="88"/>
              </w:rPr>
              <w:t>Suite 400</w:t>
            </w: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34"/>
        </w:trPr>
        <w:tc>
          <w:tcPr>
            <w:tcW w:w="430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89"/>
              </w:rPr>
              <w:t>Chicago, Illinois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right"/>
              <w:ind w:right="2170"/>
              <w:spacing w:after="0"/>
              <w:rPr>
                <w:sz w:val="20"/>
                <w:szCs w:val="20"/>
                <w:color w:val="auto"/>
              </w:rPr>
            </w:pPr>
            <w:r>
              <w:rPr>
                <w:rFonts w:ascii="Arial" w:cs="Arial" w:eastAsia="Arial" w:hAnsi="Arial"/>
                <w:sz w:val="18"/>
                <w:szCs w:val="18"/>
                <w:b w:val="1"/>
                <w:bCs w:val="1"/>
                <w:color w:val="auto"/>
              </w:rPr>
              <w:t>60611-4213</w:t>
            </w:r>
          </w:p>
        </w:tc>
      </w:tr>
      <w:tr>
        <w:trPr>
          <w:trHeight w:val="27"/>
        </w:trPr>
        <w:tc>
          <w:tcPr>
            <w:tcW w:w="430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4300" w:type="dxa"/>
            <w:vAlign w:val="bottom"/>
            <w:gridSpan w:val="3"/>
          </w:tcPr>
          <w:p>
            <w:pPr>
              <w:jc w:val="center"/>
              <w:ind w:left="990"/>
              <w:spacing w:after="0"/>
              <w:rPr>
                <w:sz w:val="20"/>
                <w:szCs w:val="20"/>
                <w:color w:val="auto"/>
              </w:rPr>
            </w:pPr>
            <w:r>
              <w:rPr>
                <w:rFonts w:ascii="Arial" w:cs="Arial" w:eastAsia="Arial" w:hAnsi="Arial"/>
                <w:sz w:val="18"/>
                <w:szCs w:val="18"/>
                <w:color w:val="auto"/>
                <w:w w:val="92"/>
              </w:rPr>
              <w:t>(Address of principal executive offices)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center"/>
              <w:ind w:right="1750"/>
              <w:spacing w:after="0"/>
              <w:rPr>
                <w:sz w:val="20"/>
                <w:szCs w:val="20"/>
                <w:color w:val="auto"/>
              </w:rPr>
            </w:pPr>
            <w:r>
              <w:rPr>
                <w:rFonts w:ascii="Arial" w:cs="Arial" w:eastAsia="Arial" w:hAnsi="Arial"/>
                <w:sz w:val="18"/>
                <w:szCs w:val="18"/>
                <w:color w:val="auto"/>
                <w:w w:val="94"/>
              </w:rPr>
              <w:t>(Zip Code)</w:t>
            </w:r>
          </w:p>
        </w:tc>
      </w:tr>
      <w:tr>
        <w:trPr>
          <w:trHeight w:val="405"/>
        </w:trPr>
        <w:tc>
          <w:tcPr>
            <w:tcW w:w="4300" w:type="dxa"/>
            <w:vAlign w:val="bottom"/>
            <w:gridSpan w:val="3"/>
          </w:tcPr>
          <w:p>
            <w:pPr>
              <w:ind w:left="40"/>
              <w:spacing w:after="0"/>
              <w:rPr>
                <w:sz w:val="20"/>
                <w:szCs w:val="20"/>
                <w:color w:val="auto"/>
              </w:rPr>
            </w:pPr>
            <w:r>
              <w:rPr>
                <w:rFonts w:ascii="Arial" w:cs="Arial" w:eastAsia="Arial" w:hAnsi="Arial"/>
                <w:sz w:val="18"/>
                <w:szCs w:val="18"/>
                <w:color w:val="auto"/>
              </w:rPr>
              <w:t>Registrant’s telephone number, including area code</w:t>
            </w:r>
          </w:p>
        </w:tc>
        <w:tc>
          <w:tcPr>
            <w:tcW w:w="314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rPr>
              <w:t>(312) 321-1515</w:t>
            </w: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7"/>
        </w:trPr>
        <w:tc>
          <w:tcPr>
            <w:tcW w:w="3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bl>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6" w:lineRule="exact"/>
        <w:rPr>
          <w:sz w:val="24"/>
          <w:szCs w:val="24"/>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w w:val="95"/>
              </w:rPr>
              <w:t>Securities registered pursuant to Section 12(b) of the Act:</w:t>
            </w:r>
          </w:p>
        </w:tc>
        <w:tc>
          <w:tcPr>
            <w:tcW w:w="1880" w:type="dxa"/>
            <w:vAlign w:val="bottom"/>
          </w:tcPr>
          <w:p>
            <w:pPr>
              <w:spacing w:after="0"/>
              <w:rPr>
                <w:sz w:val="20"/>
                <w:szCs w:val="20"/>
                <w:color w:val="auto"/>
              </w:rPr>
            </w:pPr>
          </w:p>
        </w:tc>
        <w:tc>
          <w:tcPr>
            <w:tcW w:w="512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4380" w:type="dxa"/>
            <w:vAlign w:val="bottom"/>
          </w:tcPr>
          <w:p>
            <w:pPr>
              <w:ind w:left="680"/>
              <w:spacing w:after="0"/>
              <w:rPr>
                <w:sz w:val="20"/>
                <w:szCs w:val="20"/>
                <w:color w:val="auto"/>
              </w:rPr>
            </w:pPr>
            <w:r>
              <w:rPr>
                <w:rFonts w:ascii="Arial" w:cs="Arial" w:eastAsia="Arial" w:hAnsi="Arial"/>
                <w:sz w:val="18"/>
                <w:szCs w:val="18"/>
                <w:color w:val="auto"/>
              </w:rPr>
              <w:t>Title of each class</w:t>
            </w:r>
          </w:p>
        </w:tc>
        <w:tc>
          <w:tcPr>
            <w:tcW w:w="1880" w:type="dxa"/>
            <w:vAlign w:val="bottom"/>
          </w:tcPr>
          <w:p>
            <w:pPr>
              <w:ind w:left="240"/>
              <w:spacing w:after="0"/>
              <w:rPr>
                <w:sz w:val="20"/>
                <w:szCs w:val="20"/>
                <w:color w:val="auto"/>
              </w:rPr>
            </w:pPr>
            <w:r>
              <w:rPr>
                <w:rFonts w:ascii="Arial" w:cs="Arial" w:eastAsia="Arial" w:hAnsi="Arial"/>
                <w:sz w:val="18"/>
                <w:szCs w:val="18"/>
                <w:color w:val="auto"/>
              </w:rPr>
              <w:t>Trading Symbol(s)</w:t>
            </w:r>
          </w:p>
        </w:tc>
        <w:tc>
          <w:tcPr>
            <w:tcW w:w="5120" w:type="dxa"/>
            <w:vAlign w:val="bottom"/>
          </w:tcPr>
          <w:p>
            <w:pPr>
              <w:ind w:left="280"/>
              <w:spacing w:after="0"/>
              <w:rPr>
                <w:sz w:val="20"/>
                <w:szCs w:val="20"/>
                <w:color w:val="auto"/>
              </w:rPr>
            </w:pPr>
            <w:r>
              <w:rPr>
                <w:rFonts w:ascii="Arial" w:cs="Arial" w:eastAsia="Arial" w:hAnsi="Arial"/>
                <w:sz w:val="18"/>
                <w:szCs w:val="18"/>
                <w:color w:val="auto"/>
              </w:rPr>
              <w:t>Name of each exchange on which registered</w:t>
            </w:r>
          </w:p>
        </w:tc>
      </w:tr>
      <w:tr>
        <w:trPr>
          <w:trHeight w:val="270"/>
        </w:trPr>
        <w:tc>
          <w:tcPr>
            <w:tcW w:w="20" w:type="dxa"/>
            <w:vAlign w:val="bottom"/>
          </w:tcPr>
          <w:p>
            <w:pPr>
              <w:spacing w:after="0"/>
              <w:rPr>
                <w:sz w:val="23"/>
                <w:szCs w:val="23"/>
                <w:color w:val="auto"/>
              </w:rPr>
            </w:pPr>
          </w:p>
        </w:tc>
        <w:tc>
          <w:tcPr>
            <w:tcW w:w="4380" w:type="dxa"/>
            <w:vAlign w:val="bottom"/>
          </w:tcPr>
          <w:p>
            <w:pPr>
              <w:ind w:left="680"/>
              <w:spacing w:after="0"/>
              <w:rPr>
                <w:sz w:val="20"/>
                <w:szCs w:val="20"/>
                <w:color w:val="auto"/>
              </w:rPr>
            </w:pPr>
            <w:r>
              <w:rPr>
                <w:rFonts w:ascii="Arial" w:cs="Arial" w:eastAsia="Arial" w:hAnsi="Arial"/>
                <w:sz w:val="18"/>
                <w:szCs w:val="18"/>
                <w:color w:val="auto"/>
              </w:rPr>
              <w:t>Common Stock, par value $0.10 per share</w:t>
            </w:r>
          </w:p>
        </w:tc>
        <w:tc>
          <w:tcPr>
            <w:tcW w:w="1880" w:type="dxa"/>
            <w:vAlign w:val="bottom"/>
          </w:tcPr>
          <w:p>
            <w:pPr>
              <w:ind w:left="240"/>
              <w:spacing w:after="0"/>
              <w:rPr>
                <w:sz w:val="20"/>
                <w:szCs w:val="20"/>
                <w:color w:val="auto"/>
              </w:rPr>
            </w:pPr>
            <w:r>
              <w:rPr>
                <w:rFonts w:ascii="Arial" w:cs="Arial" w:eastAsia="Arial" w:hAnsi="Arial"/>
                <w:sz w:val="18"/>
                <w:szCs w:val="18"/>
                <w:color w:val="auto"/>
              </w:rPr>
              <w:t>ODC</w:t>
            </w:r>
          </w:p>
        </w:tc>
        <w:tc>
          <w:tcPr>
            <w:tcW w:w="5120" w:type="dxa"/>
            <w:vAlign w:val="bottom"/>
          </w:tcPr>
          <w:p>
            <w:pPr>
              <w:ind w:left="280"/>
              <w:spacing w:after="0"/>
              <w:rPr>
                <w:sz w:val="20"/>
                <w:szCs w:val="20"/>
                <w:color w:val="auto"/>
              </w:rPr>
            </w:pPr>
            <w:r>
              <w:rPr>
                <w:rFonts w:ascii="Arial" w:cs="Arial" w:eastAsia="Arial" w:hAnsi="Arial"/>
                <w:sz w:val="18"/>
                <w:szCs w:val="18"/>
                <w:color w:val="auto"/>
              </w:rPr>
              <w:t>New York Stock Exchange</w:t>
            </w:r>
          </w:p>
        </w:tc>
      </w:tr>
      <w:tr>
        <w:trPr>
          <w:trHeight w:val="378"/>
        </w:trPr>
        <w:tc>
          <w:tcPr>
            <w:tcW w:w="20" w:type="dxa"/>
            <w:vAlign w:val="bottom"/>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tcPr>
          <w:p>
            <w:pPr>
              <w:spacing w:after="0"/>
              <w:rPr>
                <w:sz w:val="24"/>
                <w:szCs w:val="24"/>
                <w:color w:val="auto"/>
              </w:rPr>
            </w:pPr>
          </w:p>
        </w:tc>
      </w:tr>
      <w:tr>
        <w:trPr>
          <w:trHeight w:val="115"/>
        </w:trPr>
        <w:tc>
          <w:tcPr>
            <w:tcW w:w="20" w:type="dxa"/>
            <w:vAlign w:val="bottom"/>
          </w:tcPr>
          <w:p>
            <w:pPr>
              <w:spacing w:after="0"/>
              <w:rPr>
                <w:sz w:val="10"/>
                <w:szCs w:val="10"/>
                <w:color w:val="auto"/>
              </w:rPr>
            </w:pPr>
          </w:p>
        </w:tc>
        <w:tc>
          <w:tcPr>
            <w:tcW w:w="438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512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621" w:right="239" w:bottom="1440" w:gutter="0" w:footer="0" w:header="0"/>
        </w:sectPr>
      </w:pPr>
    </w:p>
    <w:bookmarkStart w:id="1" w:name="page2"/>
    <w:bookmarkEnd w:id="1"/>
    <w:p>
      <w:pPr>
        <w:ind w:left="1300" w:right="160" w:hanging="1025"/>
        <w:spacing w:after="0" w:line="282" w:lineRule="auto"/>
        <w:tabs>
          <w:tab w:leader="none" w:pos="1280" w:val="left"/>
        </w:tabs>
        <w:rPr>
          <w:sz w:val="20"/>
          <w:szCs w:val="20"/>
          <w:color w:val="auto"/>
        </w:rPr>
      </w:pPr>
      <w:r>
        <w:rPr>
          <w:rFonts w:ascii="Arial" w:cs="Arial" w:eastAsia="Arial" w:hAnsi="Arial"/>
          <w:sz w:val="18"/>
          <w:szCs w:val="18"/>
          <w:b w:val="1"/>
          <w:bCs w:val="1"/>
          <w:u w:val="single" w:color="auto"/>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(b), (c)</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11, 2019, the Board of Directors of Oil-Dri Corporation of America (the “Company”) appointed Jessica D. Moskowitz as an executive officer of the Company. Ms. Moskowitz, 40, has served as Vice President and General Manager, Consumer Products Division, of the Company since February 1, 2019. Previously, she served as Brand Manager, Consumer Packaged Goods, of the Company since April 26, 2017. Prior to joining the Company, Ms. Moskowitz held multiple positions, including Brand Manager, at Kraft Foods from 2006-2012. Ms. Moskowitz holds a Bachelor’s degree in Accounting and Finance from Indiana University Bloomington and a Masters of Business Administration degree from the Kellogg School of Management at Northwestern University.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stockholders of the Company approved a third amendment (the “Third Amendment”) to the Oil-Dri Corporation of America 2006 Long Term Incentive Plan, as amended (the “Incentive Plan”), to increase the number of shares of stock authorized for issuance thereunder. The terms of the Third Amendment are set forth in the Company’s definitive proxy statement on Schedule 14A dated October 30, 2019 (the “Proxy Statement”) under the caption “3. Approval of the Amendment to the Oil-Dri Corporation of America 2006 Long Term Incentive Plan”, and the description of the Third Amendment is incorporated herein by reference. Such description is qualified in its entirety by reference to the full text of the Third Amendment, a copy of which was attached as Appendix A to the Proxy Statement and which is incorporated by reference herein.</w:t>
      </w:r>
    </w:p>
    <w:p>
      <w:pPr>
        <w:spacing w:after="0" w:line="351"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Item 5.07</w:t>
      </w:r>
      <w:r>
        <w:rPr>
          <w:rFonts w:ascii="Arial" w:cs="Arial" w:eastAsia="Arial" w:hAnsi="Arial"/>
          <w:sz w:val="18"/>
          <w:szCs w:val="18"/>
          <w:b w:val="1"/>
          <w:bCs w:val="1"/>
          <w:color w:val="auto"/>
        </w:rPr>
        <w:t xml:space="preserve">  Submission of Matters to a Vote of Security Holders.</w:t>
      </w:r>
    </w:p>
    <w:p>
      <w:pPr>
        <w:spacing w:after="0" w:line="256" w:lineRule="exact"/>
        <w:rPr>
          <w:sz w:val="20"/>
          <w:szCs w:val="20"/>
          <w:color w:val="auto"/>
        </w:rPr>
      </w:pPr>
    </w:p>
    <w:p>
      <w:pPr>
        <w:jc w:val="both"/>
        <w:ind w:right="20" w:firstLine="351"/>
        <w:spacing w:after="0" w:line="277" w:lineRule="auto"/>
        <w:rPr>
          <w:sz w:val="20"/>
          <w:szCs w:val="20"/>
          <w:color w:val="auto"/>
        </w:rPr>
      </w:pPr>
      <w:r>
        <w:rPr>
          <w:rFonts w:ascii="Arial" w:cs="Arial" w:eastAsia="Arial" w:hAnsi="Arial"/>
          <w:sz w:val="18"/>
          <w:szCs w:val="18"/>
          <w:color w:val="auto"/>
        </w:rPr>
        <w:t>The Company held its annual meeting of stockholders on December 11, 2019. See the Company’s 2019 Proxy Statement for more information on the proposals presented at the meeting, the relevant portions of which are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 ELECTION OF DIRECTORS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stockholders elected all of the nominees for director recommended by the Company’s Board of Directors (the “Board”). The voting results were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Director</w:t>
            </w:r>
          </w:p>
        </w:tc>
        <w:tc>
          <w:tcPr>
            <w:tcW w:w="140" w:type="dxa"/>
            <w:vAlign w:val="bottom"/>
            <w:shd w:val="clear" w:color="auto" w:fill="CCEEFF"/>
          </w:tcPr>
          <w:p>
            <w:pPr>
              <w:spacing w:after="0"/>
              <w:rPr>
                <w:sz w:val="22"/>
                <w:szCs w:val="22"/>
                <w:color w:val="auto"/>
              </w:rPr>
            </w:pPr>
          </w:p>
        </w:tc>
        <w:tc>
          <w:tcPr>
            <w:tcW w:w="2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For</w:t>
            </w:r>
          </w:p>
        </w:tc>
        <w:tc>
          <w:tcPr>
            <w:tcW w:w="120" w:type="dxa"/>
            <w:vAlign w:val="bottom"/>
            <w:shd w:val="clear" w:color="auto" w:fill="CCEEFF"/>
          </w:tcPr>
          <w:p>
            <w:pPr>
              <w:spacing w:after="0"/>
              <w:rPr>
                <w:sz w:val="22"/>
                <w:szCs w:val="22"/>
                <w:color w:val="auto"/>
              </w:rPr>
            </w:pPr>
          </w:p>
        </w:tc>
        <w:tc>
          <w:tcPr>
            <w:tcW w:w="2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Withheld</w:t>
            </w:r>
          </w:p>
        </w:tc>
        <w:tc>
          <w:tcPr>
            <w:tcW w:w="100" w:type="dxa"/>
            <w:vAlign w:val="bottom"/>
            <w:shd w:val="clear" w:color="auto" w:fill="CCEEFF"/>
          </w:tcPr>
          <w:p>
            <w:pPr>
              <w:spacing w:after="0"/>
              <w:rPr>
                <w:sz w:val="22"/>
                <w:szCs w:val="22"/>
                <w:color w:val="auto"/>
              </w:rPr>
            </w:pPr>
          </w:p>
        </w:tc>
        <w:tc>
          <w:tcPr>
            <w:tcW w:w="2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Broker Non-Votes</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Ellen-Blair Chube</w:t>
            </w:r>
          </w:p>
        </w:tc>
        <w:tc>
          <w:tcPr>
            <w:tcW w:w="2520" w:type="dxa"/>
            <w:vAlign w:val="bottom"/>
          </w:tcPr>
          <w:p>
            <w:pPr>
              <w:jc w:val="right"/>
              <w:ind w:right="30"/>
              <w:spacing w:after="0"/>
              <w:rPr>
                <w:sz w:val="20"/>
                <w:szCs w:val="20"/>
                <w:color w:val="auto"/>
              </w:rPr>
            </w:pPr>
            <w:r>
              <w:rPr>
                <w:rFonts w:ascii="Arial" w:cs="Arial" w:eastAsia="Arial" w:hAnsi="Arial"/>
                <w:sz w:val="18"/>
                <w:szCs w:val="18"/>
                <w:color w:val="auto"/>
              </w:rPr>
              <w:t>20,400,625</w:t>
            </w:r>
          </w:p>
        </w:tc>
        <w:tc>
          <w:tcPr>
            <w:tcW w:w="120" w:type="dxa"/>
            <w:vAlign w:val="bottom"/>
          </w:tcPr>
          <w:p>
            <w:pPr>
              <w:spacing w:after="0"/>
              <w:rPr>
                <w:sz w:val="21"/>
                <w:szCs w:val="21"/>
                <w:color w:val="auto"/>
              </w:rPr>
            </w:pPr>
          </w:p>
        </w:tc>
        <w:tc>
          <w:tcPr>
            <w:tcW w:w="2500" w:type="dxa"/>
            <w:vAlign w:val="bottom"/>
          </w:tcPr>
          <w:p>
            <w:pPr>
              <w:jc w:val="right"/>
              <w:ind w:right="30"/>
              <w:spacing w:after="0"/>
              <w:rPr>
                <w:sz w:val="20"/>
                <w:szCs w:val="20"/>
                <w:color w:val="auto"/>
              </w:rPr>
            </w:pPr>
            <w:r>
              <w:rPr>
                <w:rFonts w:ascii="Arial" w:cs="Arial" w:eastAsia="Arial" w:hAnsi="Arial"/>
                <w:sz w:val="18"/>
                <w:szCs w:val="18"/>
                <w:color w:val="auto"/>
              </w:rPr>
              <w:t>2,076,403</w:t>
            </w:r>
          </w:p>
        </w:tc>
        <w:tc>
          <w:tcPr>
            <w:tcW w:w="100" w:type="dxa"/>
            <w:vAlign w:val="bottom"/>
          </w:tcPr>
          <w:p>
            <w:pPr>
              <w:spacing w:after="0"/>
              <w:rPr>
                <w:sz w:val="21"/>
                <w:szCs w:val="21"/>
                <w:color w:val="auto"/>
              </w:rPr>
            </w:pPr>
          </w:p>
        </w:tc>
        <w:tc>
          <w:tcPr>
            <w:tcW w:w="2840" w:type="dxa"/>
            <w:vAlign w:val="bottom"/>
          </w:tcPr>
          <w:p>
            <w:pPr>
              <w:jc w:val="right"/>
              <w:ind w:right="10"/>
              <w:spacing w:after="0"/>
              <w:rPr>
                <w:sz w:val="20"/>
                <w:szCs w:val="20"/>
                <w:color w:val="auto"/>
              </w:rPr>
            </w:pPr>
            <w:r>
              <w:rPr>
                <w:rFonts w:ascii="Arial" w:cs="Arial" w:eastAsia="Arial" w:hAnsi="Arial"/>
                <w:sz w:val="18"/>
                <w:szCs w:val="18"/>
                <w:color w:val="auto"/>
              </w:rPr>
              <w:t>761,916</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Paul M. Hindsley</w:t>
            </w:r>
          </w:p>
        </w:tc>
        <w:tc>
          <w:tcPr>
            <w:tcW w:w="2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21,706,421</w:t>
            </w:r>
          </w:p>
        </w:tc>
        <w:tc>
          <w:tcPr>
            <w:tcW w:w="1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770,607</w:t>
            </w:r>
          </w:p>
        </w:tc>
        <w:tc>
          <w:tcPr>
            <w:tcW w:w="10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761,916</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Daniel S. Jaffee</w:t>
            </w:r>
          </w:p>
        </w:tc>
        <w:tc>
          <w:tcPr>
            <w:tcW w:w="2520" w:type="dxa"/>
            <w:vAlign w:val="bottom"/>
          </w:tcPr>
          <w:p>
            <w:pPr>
              <w:jc w:val="right"/>
              <w:ind w:right="30"/>
              <w:spacing w:after="0"/>
              <w:rPr>
                <w:sz w:val="20"/>
                <w:szCs w:val="20"/>
                <w:color w:val="auto"/>
              </w:rPr>
            </w:pPr>
            <w:r>
              <w:rPr>
                <w:rFonts w:ascii="Arial" w:cs="Arial" w:eastAsia="Arial" w:hAnsi="Arial"/>
                <w:sz w:val="18"/>
                <w:szCs w:val="18"/>
                <w:color w:val="auto"/>
              </w:rPr>
              <w:t>21,039,929</w:t>
            </w:r>
          </w:p>
        </w:tc>
        <w:tc>
          <w:tcPr>
            <w:tcW w:w="120" w:type="dxa"/>
            <w:vAlign w:val="bottom"/>
          </w:tcPr>
          <w:p>
            <w:pPr>
              <w:spacing w:after="0"/>
              <w:rPr>
                <w:sz w:val="21"/>
                <w:szCs w:val="21"/>
                <w:color w:val="auto"/>
              </w:rPr>
            </w:pPr>
          </w:p>
        </w:tc>
        <w:tc>
          <w:tcPr>
            <w:tcW w:w="2500" w:type="dxa"/>
            <w:vAlign w:val="bottom"/>
          </w:tcPr>
          <w:p>
            <w:pPr>
              <w:jc w:val="right"/>
              <w:ind w:right="30"/>
              <w:spacing w:after="0"/>
              <w:rPr>
                <w:sz w:val="20"/>
                <w:szCs w:val="20"/>
                <w:color w:val="auto"/>
              </w:rPr>
            </w:pPr>
            <w:r>
              <w:rPr>
                <w:rFonts w:ascii="Arial" w:cs="Arial" w:eastAsia="Arial" w:hAnsi="Arial"/>
                <w:sz w:val="18"/>
                <w:szCs w:val="18"/>
                <w:color w:val="auto"/>
              </w:rPr>
              <w:t>1,437,099</w:t>
            </w:r>
          </w:p>
        </w:tc>
        <w:tc>
          <w:tcPr>
            <w:tcW w:w="100" w:type="dxa"/>
            <w:vAlign w:val="bottom"/>
          </w:tcPr>
          <w:p>
            <w:pPr>
              <w:spacing w:after="0"/>
              <w:rPr>
                <w:sz w:val="21"/>
                <w:szCs w:val="21"/>
                <w:color w:val="auto"/>
              </w:rPr>
            </w:pPr>
          </w:p>
        </w:tc>
        <w:tc>
          <w:tcPr>
            <w:tcW w:w="2840" w:type="dxa"/>
            <w:vAlign w:val="bottom"/>
          </w:tcPr>
          <w:p>
            <w:pPr>
              <w:jc w:val="right"/>
              <w:ind w:right="10"/>
              <w:spacing w:after="0"/>
              <w:rPr>
                <w:sz w:val="20"/>
                <w:szCs w:val="20"/>
                <w:color w:val="auto"/>
              </w:rPr>
            </w:pPr>
            <w:r>
              <w:rPr>
                <w:rFonts w:ascii="Arial" w:cs="Arial" w:eastAsia="Arial" w:hAnsi="Arial"/>
                <w:sz w:val="18"/>
                <w:szCs w:val="18"/>
                <w:color w:val="auto"/>
              </w:rPr>
              <w:t>761,916</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Joseph C. Miller</w:t>
            </w:r>
          </w:p>
        </w:tc>
        <w:tc>
          <w:tcPr>
            <w:tcW w:w="2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20,138,571</w:t>
            </w:r>
          </w:p>
        </w:tc>
        <w:tc>
          <w:tcPr>
            <w:tcW w:w="1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2,338,457</w:t>
            </w:r>
          </w:p>
        </w:tc>
        <w:tc>
          <w:tcPr>
            <w:tcW w:w="10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761,916</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Michael A. Nemeroff</w:t>
            </w:r>
          </w:p>
        </w:tc>
        <w:tc>
          <w:tcPr>
            <w:tcW w:w="2520" w:type="dxa"/>
            <w:vAlign w:val="bottom"/>
          </w:tcPr>
          <w:p>
            <w:pPr>
              <w:jc w:val="right"/>
              <w:ind w:right="30"/>
              <w:spacing w:after="0"/>
              <w:rPr>
                <w:sz w:val="20"/>
                <w:szCs w:val="20"/>
                <w:color w:val="auto"/>
              </w:rPr>
            </w:pPr>
            <w:r>
              <w:rPr>
                <w:rFonts w:ascii="Arial" w:cs="Arial" w:eastAsia="Arial" w:hAnsi="Arial"/>
                <w:sz w:val="18"/>
                <w:szCs w:val="18"/>
                <w:color w:val="auto"/>
              </w:rPr>
              <w:t>20,111,010</w:t>
            </w:r>
          </w:p>
        </w:tc>
        <w:tc>
          <w:tcPr>
            <w:tcW w:w="120" w:type="dxa"/>
            <w:vAlign w:val="bottom"/>
          </w:tcPr>
          <w:p>
            <w:pPr>
              <w:spacing w:after="0"/>
              <w:rPr>
                <w:sz w:val="21"/>
                <w:szCs w:val="21"/>
                <w:color w:val="auto"/>
              </w:rPr>
            </w:pPr>
          </w:p>
        </w:tc>
        <w:tc>
          <w:tcPr>
            <w:tcW w:w="2500" w:type="dxa"/>
            <w:vAlign w:val="bottom"/>
          </w:tcPr>
          <w:p>
            <w:pPr>
              <w:jc w:val="right"/>
              <w:ind w:right="30"/>
              <w:spacing w:after="0"/>
              <w:rPr>
                <w:sz w:val="20"/>
                <w:szCs w:val="20"/>
                <w:color w:val="auto"/>
              </w:rPr>
            </w:pPr>
            <w:r>
              <w:rPr>
                <w:rFonts w:ascii="Arial" w:cs="Arial" w:eastAsia="Arial" w:hAnsi="Arial"/>
                <w:sz w:val="18"/>
                <w:szCs w:val="18"/>
                <w:color w:val="auto"/>
              </w:rPr>
              <w:t>2,366,018</w:t>
            </w:r>
          </w:p>
        </w:tc>
        <w:tc>
          <w:tcPr>
            <w:tcW w:w="100" w:type="dxa"/>
            <w:vAlign w:val="bottom"/>
          </w:tcPr>
          <w:p>
            <w:pPr>
              <w:spacing w:after="0"/>
              <w:rPr>
                <w:sz w:val="21"/>
                <w:szCs w:val="21"/>
                <w:color w:val="auto"/>
              </w:rPr>
            </w:pPr>
          </w:p>
        </w:tc>
        <w:tc>
          <w:tcPr>
            <w:tcW w:w="2840" w:type="dxa"/>
            <w:vAlign w:val="bottom"/>
          </w:tcPr>
          <w:p>
            <w:pPr>
              <w:jc w:val="right"/>
              <w:ind w:right="10"/>
              <w:spacing w:after="0"/>
              <w:rPr>
                <w:sz w:val="20"/>
                <w:szCs w:val="20"/>
                <w:color w:val="auto"/>
              </w:rPr>
            </w:pPr>
            <w:r>
              <w:rPr>
                <w:rFonts w:ascii="Arial" w:cs="Arial" w:eastAsia="Arial" w:hAnsi="Arial"/>
                <w:sz w:val="18"/>
                <w:szCs w:val="18"/>
                <w:color w:val="auto"/>
              </w:rPr>
              <w:t>761,916</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George C. Roeth</w:t>
            </w:r>
          </w:p>
        </w:tc>
        <w:tc>
          <w:tcPr>
            <w:tcW w:w="2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21,179,984</w:t>
            </w:r>
          </w:p>
        </w:tc>
        <w:tc>
          <w:tcPr>
            <w:tcW w:w="1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1,297,044</w:t>
            </w:r>
          </w:p>
        </w:tc>
        <w:tc>
          <w:tcPr>
            <w:tcW w:w="10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761,916</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Allan H. Selig</w:t>
            </w:r>
          </w:p>
        </w:tc>
        <w:tc>
          <w:tcPr>
            <w:tcW w:w="2520" w:type="dxa"/>
            <w:vAlign w:val="bottom"/>
          </w:tcPr>
          <w:p>
            <w:pPr>
              <w:jc w:val="right"/>
              <w:ind w:right="30"/>
              <w:spacing w:after="0"/>
              <w:rPr>
                <w:sz w:val="20"/>
                <w:szCs w:val="20"/>
                <w:color w:val="auto"/>
              </w:rPr>
            </w:pPr>
            <w:r>
              <w:rPr>
                <w:rFonts w:ascii="Arial" w:cs="Arial" w:eastAsia="Arial" w:hAnsi="Arial"/>
                <w:sz w:val="18"/>
                <w:szCs w:val="18"/>
                <w:color w:val="auto"/>
              </w:rPr>
              <w:t>20,250,555</w:t>
            </w:r>
          </w:p>
        </w:tc>
        <w:tc>
          <w:tcPr>
            <w:tcW w:w="120" w:type="dxa"/>
            <w:vAlign w:val="bottom"/>
          </w:tcPr>
          <w:p>
            <w:pPr>
              <w:spacing w:after="0"/>
              <w:rPr>
                <w:sz w:val="21"/>
                <w:szCs w:val="21"/>
                <w:color w:val="auto"/>
              </w:rPr>
            </w:pPr>
          </w:p>
        </w:tc>
        <w:tc>
          <w:tcPr>
            <w:tcW w:w="2500" w:type="dxa"/>
            <w:vAlign w:val="bottom"/>
          </w:tcPr>
          <w:p>
            <w:pPr>
              <w:jc w:val="right"/>
              <w:ind w:right="30"/>
              <w:spacing w:after="0"/>
              <w:rPr>
                <w:sz w:val="20"/>
                <w:szCs w:val="20"/>
                <w:color w:val="auto"/>
              </w:rPr>
            </w:pPr>
            <w:r>
              <w:rPr>
                <w:rFonts w:ascii="Arial" w:cs="Arial" w:eastAsia="Arial" w:hAnsi="Arial"/>
                <w:sz w:val="18"/>
                <w:szCs w:val="18"/>
                <w:color w:val="auto"/>
              </w:rPr>
              <w:t>2,226,473</w:t>
            </w:r>
          </w:p>
        </w:tc>
        <w:tc>
          <w:tcPr>
            <w:tcW w:w="100" w:type="dxa"/>
            <w:vAlign w:val="bottom"/>
          </w:tcPr>
          <w:p>
            <w:pPr>
              <w:spacing w:after="0"/>
              <w:rPr>
                <w:sz w:val="21"/>
                <w:szCs w:val="21"/>
                <w:color w:val="auto"/>
              </w:rPr>
            </w:pPr>
          </w:p>
        </w:tc>
        <w:tc>
          <w:tcPr>
            <w:tcW w:w="2840" w:type="dxa"/>
            <w:vAlign w:val="bottom"/>
          </w:tcPr>
          <w:p>
            <w:pPr>
              <w:jc w:val="right"/>
              <w:ind w:right="10"/>
              <w:spacing w:after="0"/>
              <w:rPr>
                <w:sz w:val="20"/>
                <w:szCs w:val="20"/>
                <w:color w:val="auto"/>
              </w:rPr>
            </w:pPr>
            <w:r>
              <w:rPr>
                <w:rFonts w:ascii="Arial" w:cs="Arial" w:eastAsia="Arial" w:hAnsi="Arial"/>
                <w:sz w:val="18"/>
                <w:szCs w:val="18"/>
                <w:color w:val="auto"/>
              </w:rPr>
              <w:t>761,916</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Paul E. Suckow</w:t>
            </w:r>
          </w:p>
        </w:tc>
        <w:tc>
          <w:tcPr>
            <w:tcW w:w="2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21,369,118</w:t>
            </w:r>
          </w:p>
        </w:tc>
        <w:tc>
          <w:tcPr>
            <w:tcW w:w="1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1,107,910</w:t>
            </w:r>
          </w:p>
        </w:tc>
        <w:tc>
          <w:tcPr>
            <w:tcW w:w="10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761,916</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Lawrence E. Washow</w:t>
            </w:r>
          </w:p>
        </w:tc>
        <w:tc>
          <w:tcPr>
            <w:tcW w:w="2520" w:type="dxa"/>
            <w:vAlign w:val="bottom"/>
          </w:tcPr>
          <w:p>
            <w:pPr>
              <w:jc w:val="right"/>
              <w:ind w:right="30"/>
              <w:spacing w:after="0"/>
              <w:rPr>
                <w:sz w:val="20"/>
                <w:szCs w:val="20"/>
                <w:color w:val="auto"/>
              </w:rPr>
            </w:pPr>
            <w:r>
              <w:rPr>
                <w:rFonts w:ascii="Arial" w:cs="Arial" w:eastAsia="Arial" w:hAnsi="Arial"/>
                <w:sz w:val="18"/>
                <w:szCs w:val="18"/>
                <w:color w:val="auto"/>
              </w:rPr>
              <w:t>21,383,049</w:t>
            </w:r>
          </w:p>
        </w:tc>
        <w:tc>
          <w:tcPr>
            <w:tcW w:w="120" w:type="dxa"/>
            <w:vAlign w:val="bottom"/>
          </w:tcPr>
          <w:p>
            <w:pPr>
              <w:spacing w:after="0"/>
              <w:rPr>
                <w:sz w:val="21"/>
                <w:szCs w:val="21"/>
                <w:color w:val="auto"/>
              </w:rPr>
            </w:pPr>
          </w:p>
        </w:tc>
        <w:tc>
          <w:tcPr>
            <w:tcW w:w="2500" w:type="dxa"/>
            <w:vAlign w:val="bottom"/>
          </w:tcPr>
          <w:p>
            <w:pPr>
              <w:jc w:val="right"/>
              <w:ind w:right="30"/>
              <w:spacing w:after="0"/>
              <w:rPr>
                <w:sz w:val="20"/>
                <w:szCs w:val="20"/>
                <w:color w:val="auto"/>
              </w:rPr>
            </w:pPr>
            <w:r>
              <w:rPr>
                <w:rFonts w:ascii="Arial" w:cs="Arial" w:eastAsia="Arial" w:hAnsi="Arial"/>
                <w:sz w:val="18"/>
                <w:szCs w:val="18"/>
                <w:color w:val="auto"/>
              </w:rPr>
              <w:t>1,093,979</w:t>
            </w:r>
          </w:p>
        </w:tc>
        <w:tc>
          <w:tcPr>
            <w:tcW w:w="100" w:type="dxa"/>
            <w:vAlign w:val="bottom"/>
          </w:tcPr>
          <w:p>
            <w:pPr>
              <w:spacing w:after="0"/>
              <w:rPr>
                <w:sz w:val="21"/>
                <w:szCs w:val="21"/>
                <w:color w:val="auto"/>
              </w:rPr>
            </w:pPr>
          </w:p>
        </w:tc>
        <w:tc>
          <w:tcPr>
            <w:tcW w:w="2840" w:type="dxa"/>
            <w:vAlign w:val="bottom"/>
          </w:tcPr>
          <w:p>
            <w:pPr>
              <w:jc w:val="right"/>
              <w:ind w:right="10"/>
              <w:spacing w:after="0"/>
              <w:rPr>
                <w:sz w:val="20"/>
                <w:szCs w:val="20"/>
                <w:color w:val="auto"/>
              </w:rPr>
            </w:pPr>
            <w:r>
              <w:rPr>
                <w:rFonts w:ascii="Arial" w:cs="Arial" w:eastAsia="Arial" w:hAnsi="Arial"/>
                <w:sz w:val="18"/>
                <w:szCs w:val="18"/>
                <w:color w:val="auto"/>
              </w:rPr>
              <w:t>761,916</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2: RATIFICATION OF THE APPOINTMENT OF INDEPENDENT AUDITOR</w:t>
      </w:r>
    </w:p>
    <w:p>
      <w:pPr>
        <w:spacing w:after="0" w:line="229" w:lineRule="exact"/>
        <w:rPr>
          <w:sz w:val="20"/>
          <w:szCs w:val="20"/>
          <w:color w:val="auto"/>
        </w:rPr>
      </w:pPr>
    </w:p>
    <w:p>
      <w:pPr>
        <w:jc w:val="both"/>
        <w:ind w:firstLine="351"/>
        <w:spacing w:after="0" w:line="277" w:lineRule="auto"/>
        <w:rPr>
          <w:sz w:val="20"/>
          <w:szCs w:val="20"/>
          <w:color w:val="auto"/>
        </w:rPr>
      </w:pPr>
      <w:r>
        <w:rPr>
          <w:rFonts w:ascii="Arial" w:cs="Arial" w:eastAsia="Arial" w:hAnsi="Arial"/>
          <w:sz w:val="18"/>
          <w:szCs w:val="18"/>
          <w:color w:val="auto"/>
        </w:rPr>
        <w:t>The stockholders ratified the appointment of Grant Thornton LLP as independent auditor for the fiscal year ending July 31, 2020. The voting results were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w:t>
            </w:r>
          </w:p>
        </w:tc>
        <w:tc>
          <w:tcPr>
            <w:tcW w:w="5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23,189,415</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Against</w:t>
            </w:r>
          </w:p>
        </w:tc>
        <w:tc>
          <w:tcPr>
            <w:tcW w:w="5880" w:type="dxa"/>
            <w:vAlign w:val="bottom"/>
          </w:tcPr>
          <w:p>
            <w:pPr>
              <w:jc w:val="right"/>
              <w:ind w:right="10"/>
              <w:spacing w:after="0"/>
              <w:rPr>
                <w:sz w:val="20"/>
                <w:szCs w:val="20"/>
                <w:color w:val="auto"/>
              </w:rPr>
            </w:pPr>
            <w:r>
              <w:rPr>
                <w:rFonts w:ascii="Arial" w:cs="Arial" w:eastAsia="Arial" w:hAnsi="Arial"/>
                <w:sz w:val="18"/>
                <w:szCs w:val="18"/>
                <w:color w:val="auto"/>
              </w:rPr>
              <w:t>43,569</w:t>
            </w:r>
          </w:p>
        </w:tc>
      </w:tr>
      <w:tr>
        <w:trPr>
          <w:trHeight w:val="27"/>
        </w:trPr>
        <w:tc>
          <w:tcPr>
            <w:tcW w:w="5540" w:type="dxa"/>
            <w:vAlign w:val="bottom"/>
          </w:tcPr>
          <w:p>
            <w:pPr>
              <w:spacing w:after="0"/>
              <w:rPr>
                <w:sz w:val="2"/>
                <w:szCs w:val="2"/>
                <w:color w:val="auto"/>
              </w:rPr>
            </w:pPr>
          </w:p>
        </w:tc>
        <w:tc>
          <w:tcPr>
            <w:tcW w:w="5880" w:type="dxa"/>
            <w:vAlign w:val="bottom"/>
          </w:tcPr>
          <w:p>
            <w:pPr>
              <w:spacing w:after="0"/>
              <w:rPr>
                <w:sz w:val="2"/>
                <w:szCs w:val="2"/>
                <w:color w:val="auto"/>
              </w:rPr>
            </w:pPr>
          </w:p>
        </w:tc>
      </w:tr>
      <w:tr>
        <w:trPr>
          <w:trHeight w:val="243"/>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Abstain</w:t>
            </w:r>
          </w:p>
        </w:tc>
        <w:tc>
          <w:tcPr>
            <w:tcW w:w="5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5,960</w:t>
            </w:r>
          </w:p>
        </w:tc>
      </w:tr>
      <w:tr>
        <w:trPr>
          <w:trHeight w:val="27"/>
        </w:trPr>
        <w:tc>
          <w:tcPr>
            <w:tcW w:w="5540" w:type="dxa"/>
            <w:vAlign w:val="bottom"/>
            <w:shd w:val="clear" w:color="auto" w:fill="CCEEFF"/>
          </w:tcPr>
          <w:p>
            <w:pPr>
              <w:spacing w:after="0"/>
              <w:rPr>
                <w:sz w:val="2"/>
                <w:szCs w:val="2"/>
                <w:color w:val="auto"/>
              </w:rPr>
            </w:pPr>
          </w:p>
        </w:tc>
        <w:tc>
          <w:tcPr>
            <w:tcW w:w="588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93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PROPOSAL 3: APPROVAL OF AN AMENDMENT TO THE OIL-DRI CORPORATION OF AMERICA 2006 LONG TERM INCENTIVE PLAN</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information set forth under Item 5.02 of this Current Report on Form 8-K is incorporated into this Item 5.07 by reference. The voting results with respect to the Third Amendment to the Incentive Plan were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w:t>
            </w:r>
          </w:p>
        </w:tc>
        <w:tc>
          <w:tcPr>
            <w:tcW w:w="5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20,619,115</w:t>
            </w:r>
          </w:p>
        </w:tc>
      </w:tr>
      <w:tr>
        <w:trPr>
          <w:trHeight w:val="243"/>
        </w:trPr>
        <w:tc>
          <w:tcPr>
            <w:tcW w:w="5920" w:type="dxa"/>
            <w:vAlign w:val="bottom"/>
          </w:tcPr>
          <w:p>
            <w:pPr>
              <w:ind w:left="40"/>
              <w:spacing w:after="0"/>
              <w:rPr>
                <w:sz w:val="20"/>
                <w:szCs w:val="20"/>
                <w:color w:val="auto"/>
              </w:rPr>
            </w:pPr>
            <w:r>
              <w:rPr>
                <w:rFonts w:ascii="Arial" w:cs="Arial" w:eastAsia="Arial" w:hAnsi="Arial"/>
                <w:sz w:val="18"/>
                <w:szCs w:val="18"/>
                <w:color w:val="auto"/>
              </w:rPr>
              <w:t>Against</w:t>
            </w:r>
          </w:p>
        </w:tc>
        <w:tc>
          <w:tcPr>
            <w:tcW w:w="5500" w:type="dxa"/>
            <w:vAlign w:val="bottom"/>
          </w:tcPr>
          <w:p>
            <w:pPr>
              <w:jc w:val="right"/>
              <w:ind w:right="10"/>
              <w:spacing w:after="0"/>
              <w:rPr>
                <w:sz w:val="20"/>
                <w:szCs w:val="20"/>
                <w:color w:val="auto"/>
              </w:rPr>
            </w:pPr>
            <w:r>
              <w:rPr>
                <w:rFonts w:ascii="Arial" w:cs="Arial" w:eastAsia="Arial" w:hAnsi="Arial"/>
                <w:sz w:val="18"/>
                <w:szCs w:val="18"/>
                <w:color w:val="auto"/>
              </w:rPr>
              <w:t>1,849,711</w:t>
            </w:r>
          </w:p>
        </w:tc>
      </w:tr>
      <w:tr>
        <w:trPr>
          <w:trHeight w:val="27"/>
        </w:trPr>
        <w:tc>
          <w:tcPr>
            <w:tcW w:w="5920" w:type="dxa"/>
            <w:vAlign w:val="bottom"/>
          </w:tcPr>
          <w:p>
            <w:pPr>
              <w:spacing w:after="0"/>
              <w:rPr>
                <w:sz w:val="2"/>
                <w:szCs w:val="2"/>
                <w:color w:val="auto"/>
              </w:rPr>
            </w:pPr>
          </w:p>
        </w:tc>
        <w:tc>
          <w:tcPr>
            <w:tcW w:w="550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Abstain</w:t>
            </w:r>
          </w:p>
        </w:tc>
        <w:tc>
          <w:tcPr>
            <w:tcW w:w="5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8,202</w:t>
            </w:r>
          </w:p>
        </w:tc>
      </w:tr>
      <w:tr>
        <w:trPr>
          <w:trHeight w:val="243"/>
        </w:trPr>
        <w:tc>
          <w:tcPr>
            <w:tcW w:w="5920" w:type="dxa"/>
            <w:vAlign w:val="bottom"/>
          </w:tcPr>
          <w:p>
            <w:pPr>
              <w:ind w:left="40"/>
              <w:spacing w:after="0"/>
              <w:rPr>
                <w:sz w:val="20"/>
                <w:szCs w:val="20"/>
                <w:color w:val="auto"/>
              </w:rPr>
            </w:pPr>
            <w:r>
              <w:rPr>
                <w:rFonts w:ascii="Arial" w:cs="Arial" w:eastAsia="Arial" w:hAnsi="Arial"/>
                <w:sz w:val="18"/>
                <w:szCs w:val="18"/>
                <w:color w:val="auto"/>
              </w:rPr>
              <w:t>Broker Non-Votes</w:t>
            </w:r>
          </w:p>
        </w:tc>
        <w:tc>
          <w:tcPr>
            <w:tcW w:w="5500" w:type="dxa"/>
            <w:vAlign w:val="bottom"/>
          </w:tcPr>
          <w:p>
            <w:pPr>
              <w:jc w:val="right"/>
              <w:ind w:right="10"/>
              <w:spacing w:after="0"/>
              <w:rPr>
                <w:sz w:val="20"/>
                <w:szCs w:val="20"/>
                <w:color w:val="auto"/>
              </w:rPr>
            </w:pPr>
            <w:r>
              <w:rPr>
                <w:rFonts w:ascii="Arial" w:cs="Arial" w:eastAsia="Arial" w:hAnsi="Arial"/>
                <w:sz w:val="18"/>
                <w:szCs w:val="18"/>
                <w:color w:val="auto"/>
              </w:rPr>
              <w:t>761,916</w:t>
            </w:r>
          </w:p>
        </w:tc>
      </w:tr>
    </w:tbl>
    <w:p>
      <w:pPr>
        <w:spacing w:after="0" w:line="200" w:lineRule="exact"/>
        <w:rPr>
          <w:sz w:val="20"/>
          <w:szCs w:val="20"/>
          <w:color w:val="auto"/>
        </w:r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Item 8.01</w:t>
      </w:r>
      <w:r>
        <w:rPr>
          <w:rFonts w:ascii="Arial" w:cs="Arial" w:eastAsia="Arial" w:hAnsi="Arial"/>
          <w:sz w:val="18"/>
          <w:szCs w:val="18"/>
          <w:b w:val="1"/>
          <w:bCs w:val="1"/>
          <w:color w:val="auto"/>
        </w:rPr>
        <w:t xml:space="preserve">  Other Events.</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its regular meeting on December 11, 2019, the Board declared quarterly cash dividends of $0.25 per share of the Company’s Common Stock and $0.1875 per share of the Company’s Class B Stock. The dividends will be payable on February 28, 2020, to stockholders of record at the close of business on February 14, 2020. A copy of the Company’s press release announcing these matters is attached as Exhibit 99.1 and the information contained therein is incorporated herein by reference.</w:t>
      </w:r>
    </w:p>
    <w:p>
      <w:pPr>
        <w:spacing w:after="0" w:line="345"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900" w:type="dxa"/>
            <w:vAlign w:val="bottom"/>
          </w:tcPr>
          <w:p>
            <w:pPr>
              <w:spacing w:after="0"/>
              <w:rPr>
                <w:sz w:val="18"/>
                <w:szCs w:val="18"/>
                <w:color w:val="auto"/>
              </w:rPr>
            </w:pPr>
          </w:p>
        </w:tc>
      </w:tr>
      <w:tr>
        <w:trPr>
          <w:trHeight w:val="230"/>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900" w:type="dxa"/>
            <w:vAlign w:val="bottom"/>
          </w:tcPr>
          <w:p>
            <w:pPr>
              <w:ind w:left="1160"/>
              <w:spacing w:after="0"/>
              <w:rPr>
                <w:sz w:val="20"/>
                <w:szCs w:val="20"/>
                <w:color w:val="auto"/>
              </w:rPr>
            </w:pPr>
            <w:r>
              <w:rPr>
                <w:rFonts w:ascii="Arial" w:cs="Arial" w:eastAsia="Arial" w:hAnsi="Arial"/>
                <w:sz w:val="18"/>
                <w:szCs w:val="18"/>
                <w:color w:val="auto"/>
              </w:rPr>
              <w:t>Description of Exhibits</w:t>
            </w:r>
          </w:p>
        </w:tc>
      </w:tr>
      <w:tr>
        <w:trPr>
          <w:trHeight w:val="27"/>
        </w:trPr>
        <w:tc>
          <w:tcPr>
            <w:tcW w:w="126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466"/>
        </w:trPr>
        <w:tc>
          <w:tcPr>
            <w:tcW w:w="1260" w:type="dxa"/>
            <w:vAlign w:val="bottom"/>
          </w:tcPr>
          <w:p>
            <w:pPr>
              <w:ind w:left="40"/>
              <w:spacing w:after="0"/>
              <w:rPr>
                <w:sz w:val="20"/>
                <w:szCs w:val="20"/>
                <w:color w:val="auto"/>
              </w:rPr>
            </w:pPr>
            <w:r>
              <w:rPr>
                <w:rFonts w:ascii="Arial" w:cs="Arial" w:eastAsia="Arial" w:hAnsi="Arial"/>
                <w:sz w:val="18"/>
                <w:szCs w:val="18"/>
                <w:color w:val="auto"/>
              </w:rPr>
              <w:t>99.1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8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6"/>
              </w:rPr>
              <w:t>Press Release dated December 11, 2019</w:t>
            </w:r>
          </w:p>
        </w:tc>
        <w:tc>
          <w:tcPr>
            <w:tcW w:w="6900" w:type="dxa"/>
            <w:vAlign w:val="bottom"/>
          </w:tcPr>
          <w:p>
            <w:pPr>
              <w:spacing w:after="0"/>
              <w:rPr>
                <w:sz w:val="24"/>
                <w:szCs w:val="24"/>
                <w:color w:val="auto"/>
              </w:rPr>
            </w:pPr>
          </w:p>
        </w:tc>
      </w:tr>
    </w:tbl>
    <w:p>
      <w:pPr>
        <w:sectPr>
          <w:pgSz w:w="11900" w:h="16838" w:orient="portrait"/>
          <w:cols w:equalWidth="0" w:num="1">
            <w:col w:w="11420"/>
          </w:cols>
          <w:pgMar w:left="240" w:top="553" w:right="239" w:bottom="1440" w:gutter="0" w:footer="0" w:header="0"/>
        </w:sectPr>
      </w:pPr>
    </w:p>
    <w:bookmarkStart w:id="3" w:name="page4"/>
    <w:bookmarkEnd w:id="3"/>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7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OIL-DRI CORPORATION OF AMERICA</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Laura G. Scheland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Laura G. Scheland</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Vice President, General Counsel and Secretary</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11, 2019</w:t>
      </w:r>
    </w:p>
    <w:p>
      <w:pPr>
        <w:sectPr>
          <w:pgSz w:w="11900" w:h="16838" w:orient="portrait"/>
          <w:cols w:equalWidth="0" w:num="1">
            <w:col w:w="11020"/>
          </w:cols>
          <w:pgMar w:left="240" w:top="553" w:right="639" w:bottom="1440" w:gutter="0" w:footer="0" w:header="0"/>
        </w:sectPr>
      </w:pPr>
    </w:p>
    <w:bookmarkStart w:id="4" w:name="page5"/>
    <w:bookmarkEnd w:id="4"/>
    <w:p>
      <w:pPr>
        <w:jc w:val="center"/>
        <w:spacing w:after="0"/>
        <w:rPr>
          <w:sz w:val="20"/>
          <w:szCs w:val="20"/>
          <w:color w:val="auto"/>
        </w:rPr>
      </w:pPr>
      <w:r>
        <w:rPr>
          <w:rFonts w:ascii="Arial" w:cs="Arial" w:eastAsia="Arial" w:hAnsi="Arial"/>
          <w:sz w:val="15"/>
          <w:szCs w:val="15"/>
          <w:color w:val="002D69"/>
        </w:rPr>
        <w:drawing>
          <wp:anchor simplePos="0" relativeHeight="251657728" behindDoc="1" locked="0" layoutInCell="0" allowOverlap="1">
            <wp:simplePos x="0" y="0"/>
            <wp:positionH relativeFrom="page">
              <wp:posOffset>3115945</wp:posOffset>
            </wp:positionH>
            <wp:positionV relativeFrom="page">
              <wp:posOffset>88900</wp:posOffset>
            </wp:positionV>
            <wp:extent cx="1337945" cy="445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337945" cy="445770"/>
                    </a:xfrm>
                    <a:prstGeom prst="rect">
                      <a:avLst/>
                    </a:prstGeom>
                    <a:noFill/>
                  </pic:spPr>
                </pic:pic>
              </a:graphicData>
            </a:graphic>
          </wp:anchor>
        </w:drawing>
        <w:t>410 N. Michigan Ave. Chicago, Illinois 60611, U.S.A</w:t>
      </w:r>
    </w:p>
    <w:p>
      <w:pPr>
        <w:spacing w:after="0" w:line="178"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002D69"/>
        </w:rPr>
        <w:t>News Announcement</w:t>
      </w:r>
    </w:p>
    <w:p>
      <w:pPr>
        <w:spacing w:after="0" w:line="28" w:lineRule="exact"/>
        <w:rPr>
          <w:sz w:val="20"/>
          <w:szCs w:val="20"/>
          <w:color w:val="auto"/>
        </w:rPr>
      </w:pPr>
    </w:p>
    <w:p>
      <w:pPr>
        <w:ind w:left="4700"/>
        <w:spacing w:after="0"/>
        <w:rPr>
          <w:sz w:val="20"/>
          <w:szCs w:val="20"/>
          <w:color w:val="auto"/>
        </w:rPr>
      </w:pPr>
      <w:r>
        <w:rPr>
          <w:rFonts w:ascii="Arial" w:cs="Arial" w:eastAsia="Arial" w:hAnsi="Arial"/>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99.1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Oil-Dri Board of Directors Declares Quarterly Dividends</w:t>
      </w:r>
    </w:p>
    <w:p>
      <w:pPr>
        <w:spacing w:after="0" w:line="200" w:lineRule="exact"/>
        <w:rPr>
          <w:sz w:val="20"/>
          <w:szCs w:val="20"/>
          <w:color w:val="auto"/>
        </w:rPr>
      </w:pPr>
    </w:p>
    <w:p>
      <w:pPr>
        <w:spacing w:after="0" w:line="282" w:lineRule="exact"/>
        <w:rPr>
          <w:sz w:val="20"/>
          <w:szCs w:val="20"/>
          <w:color w:val="auto"/>
        </w:rPr>
      </w:pPr>
    </w:p>
    <w:p>
      <w:pPr>
        <w:ind w:right="420"/>
        <w:spacing w:after="0" w:line="253" w:lineRule="auto"/>
        <w:rPr>
          <w:sz w:val="20"/>
          <w:szCs w:val="20"/>
          <w:color w:val="auto"/>
        </w:rPr>
      </w:pPr>
      <w:r>
        <w:rPr>
          <w:rFonts w:ascii="Arial" w:cs="Arial" w:eastAsia="Arial" w:hAnsi="Arial"/>
          <w:sz w:val="22"/>
          <w:szCs w:val="22"/>
          <w:color w:val="auto"/>
        </w:rPr>
        <w:t>CHICAGO-(December 11, 2019)-The Board of Directors of Oil-Dri Corporation of America (NYSE: ODC) today declared quarterly cash dividends of $0.25 per share of the Company’s Common Stock and $0.1875 per share of the Company’s Class B Stock.</w:t>
      </w:r>
    </w:p>
    <w:p>
      <w:pPr>
        <w:spacing w:after="0" w:line="186" w:lineRule="exact"/>
        <w:rPr>
          <w:sz w:val="20"/>
          <w:szCs w:val="20"/>
          <w:color w:val="auto"/>
        </w:rPr>
      </w:pPr>
    </w:p>
    <w:p>
      <w:pPr>
        <w:ind w:right="60"/>
        <w:spacing w:after="0" w:line="253" w:lineRule="auto"/>
        <w:rPr>
          <w:sz w:val="20"/>
          <w:szCs w:val="20"/>
          <w:color w:val="auto"/>
        </w:rPr>
      </w:pPr>
      <w:r>
        <w:rPr>
          <w:rFonts w:ascii="Arial" w:cs="Arial" w:eastAsia="Arial" w:hAnsi="Arial"/>
          <w:sz w:val="22"/>
          <w:szCs w:val="22"/>
          <w:color w:val="auto"/>
        </w:rPr>
        <w:t>The dividends declared will be payable on February 28, 2020 to stockholders of record at the close of business on February 14, 2020. The Company has paid cash dividends continuously since 1974 and has increased dividends annually for sixteen consecutive years.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i w:val="1"/>
          <w:iCs w:val="1"/>
          <w:color w:val="auto"/>
        </w:rPr>
        <w:t>While Oil-Dri’s founding product was granular clay floor absorbents, it has since greatly diversified its portfolio. The Company’s mission to “Create Value from Sorbent Minerals” is supported by its wide array of consumer and business to business product offerings. In 2016, Oil-Dri celebrated its seventy-fifth year of business and looks forward to the next milestone. To learn more about the Company, visit oildri.com.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Leslie A. Garber</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InvestorRelations@oildri.com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321-1515</w:t>
      </w:r>
    </w:p>
    <w:sectPr>
      <w:pgSz w:w="11900" w:h="16838" w:orient="portrait"/>
      <w:cols w:equalWidth="0" w:num="1">
        <w:col w:w="11420"/>
      </w:cols>
      <w:pgMar w:left="240" w:top="82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2019-12-11T15:47:47Z</dcterms:created>
  <dcterms:modified xsi:type="dcterms:W3CDTF">2019-12-11T15:47:47Z</dcterms:modified>
</cp:coreProperties>
</file>