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320"/>
              <w:spacing w:after="0"/>
              <w:rPr>
                <w:sz w:val="20"/>
                <w:szCs w:val="20"/>
                <w:color w:val="auto"/>
              </w:rPr>
            </w:pPr>
            <w:r>
              <w:rPr>
                <w:rFonts w:ascii="Arial" w:cs="Arial" w:eastAsia="Arial" w:hAnsi="Arial"/>
                <w:sz w:val="18"/>
                <w:szCs w:val="18"/>
                <w:color w:val="auto"/>
                <w:w w:val="91"/>
              </w:rPr>
              <w:t>October 7, 2016</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7, 2016, Oil-Dri Corporation of America (the “Registrant”) issued a press release announcing its results of operations for its fourth quarter and fiscal year ended July 31, 2016.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October 7, 2016</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2016</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Arial" w:cs="Arial" w:eastAsia="Arial" w:hAnsi="Arial"/>
                <w:sz w:val="18"/>
                <w:szCs w:val="18"/>
                <w:color w:val="auto"/>
              </w:rPr>
              <w:t>Press Release of the Registrant dated October 7, 2016</w:t>
            </w: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Fourth Quarter and Fiscal Year 2016 Results</w:t>
      </w:r>
    </w:p>
    <w:p>
      <w:pPr>
        <w:spacing w:after="0" w:line="266" w:lineRule="exact"/>
        <w:rPr>
          <w:sz w:val="20"/>
          <w:szCs w:val="20"/>
          <w:color w:val="auto"/>
        </w:rPr>
      </w:pPr>
    </w:p>
    <w:p>
      <w:pPr>
        <w:ind w:right="40"/>
        <w:spacing w:after="0" w:line="254" w:lineRule="auto"/>
        <w:rPr>
          <w:sz w:val="20"/>
          <w:szCs w:val="20"/>
          <w:color w:val="auto"/>
        </w:rPr>
      </w:pPr>
      <w:r>
        <w:rPr>
          <w:rFonts w:ascii="Arial" w:cs="Arial" w:eastAsia="Arial" w:hAnsi="Arial"/>
          <w:sz w:val="22"/>
          <w:szCs w:val="22"/>
          <w:color w:val="auto"/>
        </w:rPr>
        <w:t xml:space="preserve">CHICAGO-(October 7, 2016)-Oil-Dri Corporation of America (NYSE: ODC) today announced net income for the </w:t>
      </w:r>
      <w:r>
        <w:rPr>
          <w:rFonts w:ascii="Arial" w:cs="Arial" w:eastAsia="Arial" w:hAnsi="Arial"/>
          <w:sz w:val="19"/>
          <w:szCs w:val="19"/>
          <w:color w:val="auto"/>
        </w:rPr>
        <w:t>fourth</w:t>
      </w:r>
      <w:r>
        <w:rPr>
          <w:rFonts w:ascii="Arial" w:cs="Arial" w:eastAsia="Arial" w:hAnsi="Arial"/>
          <w:sz w:val="22"/>
          <w:szCs w:val="22"/>
          <w:color w:val="auto"/>
        </w:rPr>
        <w:t xml:space="preserve"> quarter of fiscal 2016 of $5,261,000 or $0.72 of earnings per diluted share. This compared to net income of $5,066,000, or $0.71 of earnings per diluted share in the same quarter of the prior year. Net sales of $64,916,000 in the quarter decreased by 1% compared to net sales of $65,519,000 in the same quarter of the prior year.</w:t>
      </w:r>
    </w:p>
    <w:p>
      <w:pPr>
        <w:spacing w:after="0" w:line="226" w:lineRule="exact"/>
        <w:rPr>
          <w:sz w:val="20"/>
          <w:szCs w:val="20"/>
          <w:color w:val="auto"/>
        </w:rPr>
      </w:pPr>
    </w:p>
    <w:p>
      <w:pPr>
        <w:ind w:right="200"/>
        <w:spacing w:after="0" w:line="266" w:lineRule="auto"/>
        <w:rPr>
          <w:sz w:val="20"/>
          <w:szCs w:val="20"/>
          <w:color w:val="auto"/>
        </w:rPr>
      </w:pPr>
      <w:r>
        <w:rPr>
          <w:rFonts w:ascii="Arial" w:cs="Arial" w:eastAsia="Arial" w:hAnsi="Arial"/>
          <w:sz w:val="22"/>
          <w:szCs w:val="22"/>
          <w:color w:val="auto"/>
        </w:rPr>
        <w:t>Net income for the fiscal year of $13,613,000 or $1.87 of earnings per diluted share was an 18% increase compared to net income of $11,368,000 or $1.59 of earnings per diluted share in the prior year. Net sales in fiscal 2016 were $262,313,000, which was higher than the net sales of $261,402,000 reported in fiscal 2015.</w:t>
      </w:r>
    </w:p>
    <w:p>
      <w:pPr>
        <w:spacing w:after="0" w:line="212"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Net income and earnings per share for both the quarter and the fiscal year benefited from an improved gross profit margin and a lower effective tax rate. The effective tax rate of 5.2% in fiscal year 2016, compared to 19.8% in fiscal year 2015, was driven by the release of the valuation allowance that had been historically accumulated and associated with approximately $1,680,000 of domestic Alternative Minimum Tax (“AMT”)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937" w:right="239" w:bottom="1440" w:gutter="0" w:footer="0" w:header="0"/>
        </w:sectPr>
      </w:pPr>
    </w:p>
    <w:bookmarkStart w:id="5" w:name="page6"/>
    <w:bookmarkEnd w:id="5"/>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President and Chief Executive Officer, Daniel S. Jaffee said, “Fiscal-year 2016’s results are a great way to mark our seventy-fifth year of business. The year brought about a transformation that is apparent in the continued increase in our gross margins. Over the past five years we have increased our gross profit by 54%.</w:t>
      </w:r>
    </w:p>
    <w:p>
      <w:pPr>
        <w:spacing w:after="0" w:line="18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Despite the significant increase in gross profit, net income is affected from period to period by advertising and marketing costs. The high-value products we are focused on promoting require innovative support which comes at a premium. A key component of our marketing support is advertising. Total advertising costs for the company were $18.1 million in fiscal 2016, an increase of $12.9 million compared to fiscal 2015.</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While the increase in sales of our Business-to-Business products was relatively small, segment income was extremely strong, increasing 12% in the fourth-quarter and 14% for the full year. High-value products within each of the B2B application groups have played a significant role in improving our overall profit margins. We witnessed continued growth of agricultural products throughout the year, exciting progress in the registration and sales of our newest animal health products, Varium and NeoPrime, and steady growth of Pure-Flo B80 in the palm oil refining market.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6" w:name="page7"/>
    <w:bookmarkEnd w:id="6"/>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100"/>
        <w:spacing w:after="0" w:line="251" w:lineRule="auto"/>
        <w:rPr>
          <w:sz w:val="20"/>
          <w:szCs w:val="20"/>
          <w:color w:val="auto"/>
        </w:rPr>
      </w:pPr>
      <w:r>
        <w:rPr>
          <w:rFonts w:ascii="Arial" w:cs="Arial" w:eastAsia="Arial" w:hAnsi="Arial"/>
          <w:sz w:val="22"/>
          <w:szCs w:val="22"/>
          <w:color w:val="auto"/>
        </w:rPr>
        <w:t>In fiscal 2016, we made a conscious decision to focus on more viable growth opportunities and to change the revenue base within the Retail and Wholesale group.</w:t>
      </w:r>
    </w:p>
    <w:p>
      <w:pPr>
        <w:spacing w:after="0" w:line="2" w:lineRule="exact"/>
        <w:rPr>
          <w:sz w:val="20"/>
          <w:szCs w:val="20"/>
          <w:color w:val="auto"/>
        </w:rPr>
      </w:pPr>
    </w:p>
    <w:p>
      <w:pPr>
        <w:ind w:right="180"/>
        <w:spacing w:after="0" w:line="246" w:lineRule="auto"/>
        <w:rPr>
          <w:sz w:val="20"/>
          <w:szCs w:val="20"/>
          <w:color w:val="auto"/>
        </w:rPr>
      </w:pPr>
      <w:r>
        <w:rPr>
          <w:rFonts w:ascii="Arial" w:cs="Arial" w:eastAsia="Arial" w:hAnsi="Arial"/>
          <w:sz w:val="22"/>
          <w:szCs w:val="22"/>
          <w:color w:val="auto"/>
        </w:rPr>
        <w:t>In doing so, we stepped away from two major low margin accounts which represented an approximate $8 million sales impact in fiscal 2016.</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Instead, we focused on selling our new lightweight products. In the latest 24-week period (ending September 11, 2016), third-party market research data indicates that lightweight scoopable litter is the fastest growing segment of the overall cat litter category. Our integrated marketing campaign featuring Katherine Heigl and partnership with The Jason Debus Heigl Foundation has driven trial and brand awareness for Cat’s Pride Fresh &amp; Light Ultimate Care cat litter products. Data indicates that scanned sales of Ultimate Care products have increased 29% compared to the same 24-week period in 2015.</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addition, the lightweight litter revolution has had a strong, positive impact on our private label business. Net sales of our private label lightweight products increased 131% over fiscal 2015 and continue to grow.”</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20"/>
          </w:cols>
          <w:pgMar w:left="240" w:top="1440" w:right="339" w:bottom="1440" w:gutter="0" w:footer="0" w:header="0"/>
        </w:sectPr>
      </w:pPr>
    </w:p>
    <w:bookmarkStart w:id="7" w:name="page8"/>
    <w:bookmarkEnd w:id="7"/>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2"/>
          <w:szCs w:val="22"/>
          <w:b w:val="1"/>
          <w:bCs w:val="1"/>
          <w:color w:val="auto"/>
        </w:rPr>
        <w:t>SEGMENT REVIEW</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BUSINESS TO BUSINESS</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Fourth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20" w:type="dxa"/>
            <w:vAlign w:val="bottom"/>
            <w:gridSpan w:val="3"/>
          </w:tcPr>
          <w:p>
            <w:pPr>
              <w:jc w:val="right"/>
              <w:ind w:right="125"/>
              <w:spacing w:after="0"/>
              <w:rPr>
                <w:sz w:val="20"/>
                <w:szCs w:val="20"/>
                <w:color w:val="auto"/>
              </w:rPr>
            </w:pPr>
            <w:r>
              <w:rPr>
                <w:rFonts w:ascii="Arial" w:cs="Arial" w:eastAsia="Arial" w:hAnsi="Arial"/>
                <w:sz w:val="19"/>
                <w:szCs w:val="19"/>
                <w:b w:val="1"/>
                <w:bCs w:val="1"/>
                <w:color w:val="auto"/>
              </w:rPr>
              <w:t>Three-Month Period</w:t>
            </w: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20" w:type="dxa"/>
            <w:vAlign w:val="bottom"/>
            <w:gridSpan w:val="3"/>
          </w:tcPr>
          <w:p>
            <w:pPr>
              <w:jc w:val="right"/>
              <w:ind w:right="345"/>
              <w:spacing w:after="0"/>
              <w:rPr>
                <w:sz w:val="20"/>
                <w:szCs w:val="20"/>
                <w:color w:val="auto"/>
              </w:rPr>
            </w:pPr>
            <w:r>
              <w:rPr>
                <w:rFonts w:ascii="Arial" w:cs="Arial" w:eastAsia="Arial" w:hAnsi="Arial"/>
                <w:sz w:val="19"/>
                <w:szCs w:val="19"/>
                <w:b w:val="1"/>
                <w:bCs w:val="1"/>
                <w:color w:val="auto"/>
              </w:rPr>
              <w:t>May 1 - July 31</w:t>
            </w: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9"/>
                <w:szCs w:val="19"/>
                <w:b w:val="1"/>
                <w:bCs w:val="1"/>
                <w:color w:val="auto"/>
              </w:rPr>
              <w:t>Fiscal 2016</w:t>
            </w:r>
          </w:p>
        </w:tc>
        <w:tc>
          <w:tcPr>
            <w:tcW w:w="9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25,525,000</w:t>
            </w:r>
          </w:p>
        </w:tc>
        <w:tc>
          <w:tcPr>
            <w:tcW w:w="300" w:type="dxa"/>
            <w:vAlign w:val="bottom"/>
          </w:tcPr>
          <w:p>
            <w:pPr>
              <w:spacing w:after="0"/>
              <w:rPr>
                <w:sz w:val="20"/>
                <w:szCs w:val="20"/>
                <w:color w:val="auto"/>
              </w:rPr>
            </w:pPr>
          </w:p>
        </w:tc>
        <w:tc>
          <w:tcPr>
            <w:tcW w:w="920" w:type="dxa"/>
            <w:vAlign w:val="bottom"/>
            <w:tcBorders>
              <w:top w:val="single" w:sz="8" w:color="auto"/>
            </w:tcBorders>
          </w:tcPr>
          <w:p>
            <w:pPr>
              <w:jc w:val="right"/>
              <w:ind w:right="705"/>
              <w:spacing w:after="0"/>
              <w:rPr>
                <w:sz w:val="20"/>
                <w:szCs w:val="20"/>
                <w:color w:val="auto"/>
              </w:rPr>
            </w:pPr>
            <w:r>
              <w:rPr>
                <w:rFonts w:ascii="Arial" w:cs="Arial" w:eastAsia="Arial" w:hAnsi="Arial"/>
                <w:sz w:val="19"/>
                <w:szCs w:val="19"/>
                <w:color w:val="auto"/>
                <w:w w:val="94"/>
              </w:rPr>
              <w:t>$</w:t>
            </w:r>
          </w:p>
        </w:tc>
        <w:tc>
          <w:tcPr>
            <w:tcW w:w="122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23,777,000</w:t>
            </w:r>
          </w:p>
        </w:tc>
        <w:tc>
          <w:tcPr>
            <w:tcW w:w="300" w:type="dxa"/>
            <w:vAlign w:val="bottom"/>
          </w:tcPr>
          <w:p>
            <w:pPr>
              <w:spacing w:after="0"/>
              <w:rPr>
                <w:sz w:val="20"/>
                <w:szCs w:val="20"/>
                <w:color w:val="auto"/>
              </w:rPr>
            </w:pPr>
          </w:p>
        </w:tc>
        <w:tc>
          <w:tcPr>
            <w:tcW w:w="1420" w:type="dxa"/>
            <w:vAlign w:val="bottom"/>
          </w:tcPr>
          <w:p>
            <w:pPr>
              <w:jc w:val="right"/>
              <w:ind w:right="485"/>
              <w:spacing w:after="0"/>
              <w:rPr>
                <w:sz w:val="20"/>
                <w:szCs w:val="20"/>
                <w:color w:val="auto"/>
              </w:rPr>
            </w:pPr>
            <w:r>
              <w:rPr>
                <w:rFonts w:ascii="Arial" w:cs="Arial" w:eastAsia="Arial" w:hAnsi="Arial"/>
                <w:sz w:val="19"/>
                <w:szCs w:val="19"/>
                <w:color w:val="auto"/>
              </w:rPr>
              <w:t>7%</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9,415,000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5"/>
              <w:spacing w:after="0"/>
              <w:rPr>
                <w:sz w:val="20"/>
                <w:szCs w:val="20"/>
                <w:color w:val="auto"/>
              </w:rPr>
            </w:pPr>
            <w:r>
              <w:rPr>
                <w:rFonts w:ascii="Arial" w:cs="Arial" w:eastAsia="Arial" w:hAnsi="Arial"/>
                <w:sz w:val="19"/>
                <w:szCs w:val="19"/>
                <w:color w:val="auto"/>
                <w:w w:val="94"/>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8,416,000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45"/>
              <w:spacing w:after="0"/>
              <w:rPr>
                <w:sz w:val="20"/>
                <w:szCs w:val="20"/>
                <w:color w:val="auto"/>
              </w:rPr>
            </w:pPr>
            <w:r>
              <w:rPr>
                <w:rFonts w:ascii="Arial" w:cs="Arial" w:eastAsia="Arial" w:hAnsi="Arial"/>
                <w:sz w:val="19"/>
                <w:szCs w:val="19"/>
                <w:color w:val="auto"/>
              </w:rPr>
              <w:t>12%</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Fiscal Year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40" w:type="dxa"/>
            <w:vAlign w:val="bottom"/>
            <w:gridSpan w:val="3"/>
          </w:tcPr>
          <w:p>
            <w:pPr>
              <w:jc w:val="right"/>
              <w:ind w:right="105"/>
              <w:spacing w:after="0"/>
              <w:rPr>
                <w:sz w:val="20"/>
                <w:szCs w:val="20"/>
                <w:color w:val="auto"/>
              </w:rPr>
            </w:pPr>
            <w:r>
              <w:rPr>
                <w:rFonts w:ascii="Arial" w:cs="Arial" w:eastAsia="Arial" w:hAnsi="Arial"/>
                <w:sz w:val="19"/>
                <w:szCs w:val="19"/>
                <w:b w:val="1"/>
                <w:bCs w:val="1"/>
                <w:color w:val="auto"/>
              </w:rPr>
              <w:t>Twelve-Month Period</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gridSpan w:val="3"/>
          </w:tcPr>
          <w:p>
            <w:pPr>
              <w:jc w:val="right"/>
              <w:ind w:right="245"/>
              <w:spacing w:after="0"/>
              <w:rPr>
                <w:sz w:val="20"/>
                <w:szCs w:val="20"/>
                <w:color w:val="auto"/>
              </w:rPr>
            </w:pPr>
            <w:r>
              <w:rPr>
                <w:rFonts w:ascii="Arial" w:cs="Arial" w:eastAsia="Arial" w:hAnsi="Arial"/>
                <w:sz w:val="19"/>
                <w:szCs w:val="19"/>
                <w:b w:val="1"/>
                <w:bCs w:val="1"/>
                <w:color w:val="auto"/>
              </w:rPr>
              <w:t>August 1 - July 31</w:t>
            </w: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9"/>
                <w:szCs w:val="19"/>
                <w:b w:val="1"/>
                <w:bCs w:val="1"/>
                <w:color w:val="auto"/>
              </w:rPr>
              <w:t>Fiscal 2016</w:t>
            </w:r>
          </w:p>
        </w:tc>
        <w:tc>
          <w:tcPr>
            <w:tcW w:w="9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96,444,000</w:t>
            </w:r>
          </w:p>
        </w:tc>
        <w:tc>
          <w:tcPr>
            <w:tcW w:w="300" w:type="dxa"/>
            <w:vAlign w:val="bottom"/>
          </w:tcPr>
          <w:p>
            <w:pPr>
              <w:spacing w:after="0"/>
              <w:rPr>
                <w:sz w:val="20"/>
                <w:szCs w:val="20"/>
                <w:color w:val="auto"/>
              </w:rPr>
            </w:pPr>
          </w:p>
        </w:tc>
        <w:tc>
          <w:tcPr>
            <w:tcW w:w="940" w:type="dxa"/>
            <w:vAlign w:val="bottom"/>
            <w:tcBorders>
              <w:top w:val="single" w:sz="8" w:color="auto"/>
            </w:tcBorders>
          </w:tcPr>
          <w:p>
            <w:pPr>
              <w:jc w:val="right"/>
              <w:ind w:right="725"/>
              <w:spacing w:after="0"/>
              <w:rPr>
                <w:sz w:val="20"/>
                <w:szCs w:val="20"/>
                <w:color w:val="auto"/>
              </w:rPr>
            </w:pPr>
            <w:r>
              <w:rPr>
                <w:rFonts w:ascii="Arial" w:cs="Arial" w:eastAsia="Arial" w:hAnsi="Arial"/>
                <w:sz w:val="19"/>
                <w:szCs w:val="19"/>
                <w:color w:val="auto"/>
                <w:w w:val="94"/>
              </w:rPr>
              <w:t>$</w:t>
            </w:r>
          </w:p>
        </w:tc>
        <w:tc>
          <w:tcPr>
            <w:tcW w:w="12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92,326,000</w:t>
            </w:r>
          </w:p>
        </w:tc>
        <w:tc>
          <w:tcPr>
            <w:tcW w:w="300" w:type="dxa"/>
            <w:vAlign w:val="bottom"/>
          </w:tcPr>
          <w:p>
            <w:pPr>
              <w:spacing w:after="0"/>
              <w:rPr>
                <w:sz w:val="20"/>
                <w:szCs w:val="20"/>
                <w:color w:val="auto"/>
              </w:rPr>
            </w:pPr>
          </w:p>
        </w:tc>
        <w:tc>
          <w:tcPr>
            <w:tcW w:w="1420" w:type="dxa"/>
            <w:vAlign w:val="bottom"/>
          </w:tcPr>
          <w:p>
            <w:pPr>
              <w:jc w:val="right"/>
              <w:ind w:right="485"/>
              <w:spacing w:after="0"/>
              <w:rPr>
                <w:sz w:val="20"/>
                <w:szCs w:val="20"/>
                <w:color w:val="auto"/>
              </w:rPr>
            </w:pPr>
            <w:r>
              <w:rPr>
                <w:rFonts w:ascii="Arial" w:cs="Arial" w:eastAsia="Arial" w:hAnsi="Arial"/>
                <w:sz w:val="19"/>
                <w:szCs w:val="19"/>
                <w:color w:val="auto"/>
              </w:rPr>
              <w:t>4%</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33,464,000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5"/>
              <w:spacing w:after="0"/>
              <w:rPr>
                <w:sz w:val="20"/>
                <w:szCs w:val="20"/>
                <w:color w:val="auto"/>
              </w:rPr>
            </w:pPr>
            <w:r>
              <w:rPr>
                <w:rFonts w:ascii="Arial" w:cs="Arial" w:eastAsia="Arial" w:hAnsi="Arial"/>
                <w:sz w:val="19"/>
                <w:szCs w:val="19"/>
                <w:color w:val="auto"/>
                <w:w w:val="94"/>
              </w:rPr>
              <w:t>$</w:t>
            </w: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29,406,000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45"/>
              <w:spacing w:after="0"/>
              <w:rPr>
                <w:sz w:val="20"/>
                <w:szCs w:val="20"/>
                <w:color w:val="auto"/>
              </w:rPr>
            </w:pPr>
            <w:r>
              <w:rPr>
                <w:rFonts w:ascii="Arial" w:cs="Arial" w:eastAsia="Arial" w:hAnsi="Arial"/>
                <w:sz w:val="19"/>
                <w:szCs w:val="19"/>
                <w:color w:val="auto"/>
              </w:rPr>
              <w:t>14%</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Sales of our fluids purification, agricultural and animal health products were all higher in both the fourth quarter and full fiscal year compared to the same periods in the prior year. Increased sales of our fluids purification products were driven by global growth of the vegetable oil refining market. Total sales of our Agsorb and Verge agricultural carrier products were up approximately 20% for both the quarter and the fiscal year. Sales of Amlan International animal health products were higher in Asian markets, including sales by our subsidiary in China.</w:t>
      </w:r>
    </w:p>
    <w:p>
      <w:pPr>
        <w:spacing w:after="0" w:line="287" w:lineRule="exact"/>
        <w:rPr>
          <w:sz w:val="20"/>
          <w:szCs w:val="20"/>
          <w:color w:val="auto"/>
        </w:rPr>
      </w:pPr>
    </w:p>
    <w:p>
      <w:pPr>
        <w:ind w:right="380"/>
        <w:spacing w:after="0" w:line="253" w:lineRule="auto"/>
        <w:rPr>
          <w:sz w:val="20"/>
          <w:szCs w:val="20"/>
          <w:color w:val="auto"/>
        </w:rPr>
      </w:pPr>
      <w:r>
        <w:rPr>
          <w:rFonts w:ascii="Arial" w:cs="Arial" w:eastAsia="Arial" w:hAnsi="Arial"/>
          <w:sz w:val="22"/>
          <w:szCs w:val="22"/>
          <w:color w:val="auto"/>
        </w:rPr>
        <w:t>Segment income improved in both periods due to the product mix and lower costs associated with natural gas, packaging and freight. These factors more than offset increased marketing costs during the year to support the international launch of Amlan’s non-antibiotic growth promotion products, Varium and NeoPrime.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80"/>
          </w:cols>
          <w:pgMar w:left="240" w:top="1440" w:right="279" w:bottom="1440" w:gutter="0" w:footer="0" w:header="0"/>
        </w:sectPr>
      </w:pPr>
    </w:p>
    <w:bookmarkStart w:id="8" w:name="page9"/>
    <w:bookmarkEnd w:id="8"/>
    <w:p>
      <w:pPr>
        <w:ind w:left="43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RETAIL AND WHOLESALE</w:t>
      </w:r>
    </w:p>
    <w:p>
      <w:pPr>
        <w:spacing w:after="0" w:line="15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Fourth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20" w:type="dxa"/>
            <w:vAlign w:val="bottom"/>
            <w:gridSpan w:val="3"/>
          </w:tcPr>
          <w:p>
            <w:pPr>
              <w:jc w:val="right"/>
              <w:ind w:right="125"/>
              <w:spacing w:after="0"/>
              <w:rPr>
                <w:sz w:val="20"/>
                <w:szCs w:val="20"/>
                <w:color w:val="auto"/>
              </w:rPr>
            </w:pPr>
            <w:r>
              <w:rPr>
                <w:rFonts w:ascii="Arial" w:cs="Arial" w:eastAsia="Arial" w:hAnsi="Arial"/>
                <w:sz w:val="19"/>
                <w:szCs w:val="19"/>
                <w:b w:val="1"/>
                <w:bCs w:val="1"/>
                <w:color w:val="auto"/>
              </w:rPr>
              <w:t>Three-Month Period</w:t>
            </w: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20" w:type="dxa"/>
            <w:vAlign w:val="bottom"/>
            <w:gridSpan w:val="3"/>
          </w:tcPr>
          <w:p>
            <w:pPr>
              <w:jc w:val="right"/>
              <w:ind w:right="345"/>
              <w:spacing w:after="0"/>
              <w:rPr>
                <w:sz w:val="20"/>
                <w:szCs w:val="20"/>
                <w:color w:val="auto"/>
              </w:rPr>
            </w:pPr>
            <w:r>
              <w:rPr>
                <w:rFonts w:ascii="Arial" w:cs="Arial" w:eastAsia="Arial" w:hAnsi="Arial"/>
                <w:sz w:val="19"/>
                <w:szCs w:val="19"/>
                <w:b w:val="1"/>
                <w:bCs w:val="1"/>
                <w:color w:val="auto"/>
              </w:rPr>
              <w:t>May 1 - July 31</w:t>
            </w: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9"/>
                <w:szCs w:val="19"/>
                <w:b w:val="1"/>
                <w:bCs w:val="1"/>
                <w:color w:val="auto"/>
              </w:rPr>
              <w:t>Fiscal 2016</w:t>
            </w:r>
          </w:p>
        </w:tc>
        <w:tc>
          <w:tcPr>
            <w:tcW w:w="9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39,391,000</w:t>
            </w:r>
          </w:p>
        </w:tc>
        <w:tc>
          <w:tcPr>
            <w:tcW w:w="300" w:type="dxa"/>
            <w:vAlign w:val="bottom"/>
          </w:tcPr>
          <w:p>
            <w:pPr>
              <w:spacing w:after="0"/>
              <w:rPr>
                <w:sz w:val="20"/>
                <w:szCs w:val="20"/>
                <w:color w:val="auto"/>
              </w:rPr>
            </w:pPr>
          </w:p>
        </w:tc>
        <w:tc>
          <w:tcPr>
            <w:tcW w:w="920" w:type="dxa"/>
            <w:vAlign w:val="bottom"/>
            <w:tcBorders>
              <w:top w:val="single" w:sz="8" w:color="auto"/>
            </w:tcBorders>
          </w:tcPr>
          <w:p>
            <w:pPr>
              <w:jc w:val="right"/>
              <w:ind w:right="705"/>
              <w:spacing w:after="0"/>
              <w:rPr>
                <w:sz w:val="20"/>
                <w:szCs w:val="20"/>
                <w:color w:val="auto"/>
              </w:rPr>
            </w:pPr>
            <w:r>
              <w:rPr>
                <w:rFonts w:ascii="Arial" w:cs="Arial" w:eastAsia="Arial" w:hAnsi="Arial"/>
                <w:sz w:val="19"/>
                <w:szCs w:val="19"/>
                <w:color w:val="auto"/>
                <w:w w:val="94"/>
              </w:rPr>
              <w:t>$</w:t>
            </w:r>
          </w:p>
        </w:tc>
        <w:tc>
          <w:tcPr>
            <w:tcW w:w="122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41,742,000</w:t>
            </w:r>
          </w:p>
        </w:tc>
        <w:tc>
          <w:tcPr>
            <w:tcW w:w="300" w:type="dxa"/>
            <w:vAlign w:val="bottom"/>
          </w:tcPr>
          <w:p>
            <w:pPr>
              <w:spacing w:after="0"/>
              <w:rPr>
                <w:sz w:val="20"/>
                <w:szCs w:val="20"/>
                <w:color w:val="auto"/>
              </w:rPr>
            </w:pPr>
          </w:p>
        </w:tc>
        <w:tc>
          <w:tcPr>
            <w:tcW w:w="1420" w:type="dxa"/>
            <w:vAlign w:val="bottom"/>
          </w:tcPr>
          <w:p>
            <w:pPr>
              <w:jc w:val="right"/>
              <w:ind w:right="465"/>
              <w:spacing w:after="0"/>
              <w:rPr>
                <w:sz w:val="20"/>
                <w:szCs w:val="20"/>
                <w:color w:val="auto"/>
              </w:rPr>
            </w:pPr>
            <w:r>
              <w:rPr>
                <w:rFonts w:ascii="Arial" w:cs="Arial" w:eastAsia="Arial" w:hAnsi="Arial"/>
                <w:sz w:val="19"/>
                <w:szCs w:val="19"/>
                <w:color w:val="auto"/>
              </w:rPr>
              <w:t>-6%</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(Loss)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(673,000)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5"/>
              <w:spacing w:after="0"/>
              <w:rPr>
                <w:sz w:val="20"/>
                <w:szCs w:val="20"/>
                <w:color w:val="auto"/>
              </w:rPr>
            </w:pPr>
            <w:r>
              <w:rPr>
                <w:rFonts w:ascii="Arial" w:cs="Arial" w:eastAsia="Arial" w:hAnsi="Arial"/>
                <w:sz w:val="19"/>
                <w:szCs w:val="19"/>
                <w:color w:val="auto"/>
                <w:w w:val="94"/>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2,685,000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9"/>
                <w:szCs w:val="19"/>
                <w:color w:val="auto"/>
              </w:rPr>
              <w:t>-125%</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Fiscal Year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60" w:type="dxa"/>
            <w:vAlign w:val="bottom"/>
            <w:gridSpan w:val="3"/>
          </w:tcPr>
          <w:p>
            <w:pPr>
              <w:jc w:val="right"/>
              <w:ind w:right="85"/>
              <w:spacing w:after="0"/>
              <w:rPr>
                <w:sz w:val="20"/>
                <w:szCs w:val="20"/>
                <w:color w:val="auto"/>
              </w:rPr>
            </w:pPr>
            <w:r>
              <w:rPr>
                <w:rFonts w:ascii="Arial" w:cs="Arial" w:eastAsia="Arial" w:hAnsi="Arial"/>
                <w:sz w:val="19"/>
                <w:szCs w:val="19"/>
                <w:b w:val="1"/>
                <w:bCs w:val="1"/>
                <w:color w:val="auto"/>
              </w:rPr>
              <w:t>Twelve-Month Period</w:t>
            </w: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760" w:type="dxa"/>
            <w:vAlign w:val="bottom"/>
            <w:gridSpan w:val="3"/>
          </w:tcPr>
          <w:p>
            <w:pPr>
              <w:jc w:val="right"/>
              <w:ind w:right="225"/>
              <w:spacing w:after="0"/>
              <w:rPr>
                <w:sz w:val="20"/>
                <w:szCs w:val="20"/>
                <w:color w:val="auto"/>
              </w:rPr>
            </w:pPr>
            <w:r>
              <w:rPr>
                <w:rFonts w:ascii="Arial" w:cs="Arial" w:eastAsia="Arial" w:hAnsi="Arial"/>
                <w:sz w:val="19"/>
                <w:szCs w:val="19"/>
                <w:b w:val="1"/>
                <w:bCs w:val="1"/>
                <w:color w:val="auto"/>
              </w:rPr>
              <w:t>August 1 - July 31</w:t>
            </w: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9"/>
                <w:szCs w:val="19"/>
                <w:b w:val="1"/>
                <w:bCs w:val="1"/>
                <w:color w:val="auto"/>
              </w:rPr>
              <w:t>Fiscal 2016</w:t>
            </w:r>
          </w:p>
        </w:tc>
        <w:tc>
          <w:tcPr>
            <w:tcW w:w="9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00" w:type="dxa"/>
            <w:vAlign w:val="bottom"/>
            <w:tcBorders>
              <w:top w:val="single" w:sz="8" w:color="auto"/>
            </w:tcBorders>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165,869,000</w:t>
            </w:r>
          </w:p>
        </w:tc>
        <w:tc>
          <w:tcPr>
            <w:tcW w:w="300" w:type="dxa"/>
            <w:vAlign w:val="bottom"/>
          </w:tcPr>
          <w:p>
            <w:pPr>
              <w:spacing w:after="0"/>
              <w:rPr>
                <w:sz w:val="20"/>
                <w:szCs w:val="20"/>
                <w:color w:val="auto"/>
              </w:rPr>
            </w:pPr>
          </w:p>
        </w:tc>
        <w:tc>
          <w:tcPr>
            <w:tcW w:w="920" w:type="dxa"/>
            <w:vAlign w:val="bottom"/>
            <w:tcBorders>
              <w:top w:val="single" w:sz="8" w:color="auto"/>
            </w:tcBorders>
          </w:tcPr>
          <w:p>
            <w:pPr>
              <w:jc w:val="right"/>
              <w:ind w:right="705"/>
              <w:spacing w:after="0"/>
              <w:rPr>
                <w:sz w:val="20"/>
                <w:szCs w:val="20"/>
                <w:color w:val="auto"/>
              </w:rPr>
            </w:pPr>
            <w:r>
              <w:rPr>
                <w:rFonts w:ascii="Arial" w:cs="Arial" w:eastAsia="Arial" w:hAnsi="Arial"/>
                <w:sz w:val="19"/>
                <w:szCs w:val="19"/>
                <w:color w:val="auto"/>
                <w:w w:val="94"/>
              </w:rPr>
              <w:t>$</w:t>
            </w:r>
          </w:p>
        </w:tc>
        <w:tc>
          <w:tcPr>
            <w:tcW w:w="122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169,076,000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88"/>
              </w:rPr>
              <w:t>-2%</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0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5,009,000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5"/>
              <w:spacing w:after="0"/>
              <w:rPr>
                <w:sz w:val="20"/>
                <w:szCs w:val="20"/>
                <w:color w:val="auto"/>
              </w:rPr>
            </w:pPr>
            <w:r>
              <w:rPr>
                <w:rFonts w:ascii="Arial" w:cs="Arial" w:eastAsia="Arial" w:hAnsi="Arial"/>
                <w:sz w:val="19"/>
                <w:szCs w:val="19"/>
                <w:color w:val="auto"/>
                <w:w w:val="94"/>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5,206,000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88"/>
              </w:rPr>
              <w:t>-4%</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Net sales of our Cat's Pride Fresh &amp; Light lightweight scoopable litters increased approximately 13% compared to the prior year; however, strong competition in this market segment resulted in lower sales during the fourth quarter. Less emphasis was placed on selling our lower margin products during fiscal 2016, which resulted in lower sales of our coarse and core Cat's Pride scoopable cat litters.</w:t>
      </w:r>
    </w:p>
    <w:p>
      <w:pPr>
        <w:spacing w:after="0" w:line="28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costs associated with our integrated marketing campaign for our Cat’s Pride Fresh &amp; Light Ultimate Care products resulted in a segment loss in the fourth quarter of fiscal 2016 and lower segment income for the year. Trade spending was lower for the year. The costs associated with our marketing campaign are reflected in selling, general and administrative expenses, while trade spending impacts net sales.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09" w:right="239" w:bottom="1440" w:gutter="0" w:footer="0" w:header="0"/>
        </w:sectPr>
      </w:pPr>
    </w:p>
    <w:bookmarkStart w:id="9" w:name="page10"/>
    <w:bookmarkEnd w:id="9"/>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FINANCIAL REVIEW</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Cash, cash equivalents, and short-term investments at July 31, 2016 totaled $28,813,000, compared to $22,328,000 a year ago.</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Cash provided by operating activities was the third highest in company history, at$25,171,000 for the twelve months ended July 31, 2016, which was $1,805,000 lower than the $26,976,000 for the same period last year.</w:t>
      </w:r>
    </w:p>
    <w:p>
      <w:pPr>
        <w:spacing w:after="0" w:line="215"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Capital expenditures for the twelve months ended July 31, 2016 totaled $10,684,000, which was $1,508,000 less than depreciation and amortization of $12,192,000. By comparison, capital expenditures totaled $15,859,000 in the same period of last year.</w:t>
      </w:r>
    </w:p>
    <w:p>
      <w:pPr>
        <w:spacing w:after="0" w:line="145"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On June 9, 2016, Oil-Dri’s Board of Directors declared quarterly cash dividends of $0.22 per share of outstanding Common Stock and $0.165 per share of outstanding Class B Stock. The dividends were paid on September 2, 2016, to stockholders of record at the close of business on August 19, 2016. At the end of the fourth quarter, the annualized dividend yield on the Company’s Common Stock was 2.3%, based on the closing stock price on July 29, 2016 of $37.45 per share and the latest quarterly cash dividend of $0.22 per share.</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LOOKING FORWARD</w:t>
      </w:r>
    </w:p>
    <w:p>
      <w:pPr>
        <w:spacing w:after="0" w:line="266"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 xml:space="preserve">President and Chief Executive Officer Daniel Jaffee continued, “While fiscal 2016 was a very good year, we are focused on the future of our business and our mission to </w:t>
      </w:r>
      <w:r>
        <w:rPr>
          <w:rFonts w:ascii="Arial" w:cs="Arial" w:eastAsia="Arial" w:hAnsi="Arial"/>
          <w:sz w:val="22"/>
          <w:szCs w:val="22"/>
          <w:i w:val="1"/>
          <w:iCs w:val="1"/>
          <w:color w:val="auto"/>
        </w:rPr>
        <w:t>Create Value from Sorbent Minerals.</w:t>
      </w:r>
    </w:p>
    <w:p>
      <w:pPr>
        <w:spacing w:after="0" w:line="175"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Within the Business-to-Business products group, we will pursue further sales opportunities of Varium and NeoPrime as registrations are obtained throughout target markets. We will continue expanding our global reach in the fluids purification market and will work to advance the position of Verge engineered granules in the agricultural market.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40" w:right="259" w:bottom="1440" w:gutter="0" w:footer="0" w:header="0"/>
        </w:sectPr>
      </w:pPr>
    </w:p>
    <w:bookmarkStart w:id="10" w:name="page11"/>
    <w:bookmarkEnd w:id="10"/>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line="266" w:lineRule="auto"/>
        <w:rPr>
          <w:sz w:val="20"/>
          <w:szCs w:val="20"/>
          <w:color w:val="auto"/>
        </w:rPr>
      </w:pPr>
      <w:r>
        <w:rPr>
          <w:rFonts w:ascii="Arial" w:cs="Arial" w:eastAsia="Arial" w:hAnsi="Arial"/>
          <w:sz w:val="21"/>
          <w:szCs w:val="21"/>
          <w:color w:val="auto"/>
        </w:rPr>
        <w:t>On the Consumer front, we see the lightweight litter revolution as a great opportunity and plan to continue to spend heavily on the promotion of Cat’s Pride Fresh &amp; Light Ultimate Care. We expect advertising expenditures to be higher in fiscal year 2017 than they were in fiscal 2016. However, we do not anticipate the planned spend will dramatically reduce our current cash position. As stated during last quarter’s teleconference, we anticipate maintaining or growing our cash throughout fiscal 2017 and come June, recommending the Board raise the dividend for the 14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consecutive year.”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260"/>
          </w:cols>
          <w:pgMar w:left="240" w:top="1440" w:right="399" w:bottom="1440" w:gutter="0" w:footer="0" w:header="0"/>
        </w:sectPr>
      </w:pPr>
    </w:p>
    <w:bookmarkStart w:id="11" w:name="page12"/>
    <w:bookmarkEnd w:id="11"/>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FIVE-YEAR SUMMARY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Key Metrics 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2016</w:t>
            </w: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2015</w:t>
            </w:r>
          </w:p>
        </w:tc>
        <w:tc>
          <w:tcPr>
            <w:tcW w:w="34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Fiscal 2014</w:t>
            </w: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Fiscal 2013</w:t>
            </w:r>
          </w:p>
        </w:tc>
        <w:tc>
          <w:tcPr>
            <w:tcW w:w="36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 2012</w:t>
            </w:r>
          </w:p>
        </w:tc>
      </w:tr>
      <w:tr>
        <w:trPr>
          <w:trHeight w:val="33"/>
        </w:trPr>
        <w:tc>
          <w:tcPr>
            <w:tcW w:w="2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restricted cash and short-</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term investments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28,813,000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22,328,000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18,999,000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42,494,000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36,256,000</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25,171,000</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26,976,000</w:t>
            </w: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16,296,000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23,366,000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23,339,000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restricted cash and short-</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term investments less notes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payable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13,397,000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3,428,000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(3,401,000)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16,594,000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6,556,000</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13,613,000</w:t>
            </w:r>
          </w:p>
        </w:tc>
        <w:tc>
          <w:tcPr>
            <w:tcW w:w="2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11,368,000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8,356,000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14,586,000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6,098,000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per diluted</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0.85</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Return on average</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6.8%</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10,684,000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15,859,000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18,566,000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9,795,000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6,960,000</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Dividends paid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5,600,000</w:t>
            </w:r>
          </w:p>
        </w:tc>
        <w:tc>
          <w:tcPr>
            <w:tcW w:w="2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5,247,000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4,965,000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4,630,000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4,486,000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Dividends paid per</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 share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0.84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0.80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0.72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0.68</w:t>
            </w:r>
          </w:p>
        </w:tc>
      </w:tr>
      <w:tr>
        <w:trPr>
          <w:trHeight w:val="33"/>
        </w:trPr>
        <w:tc>
          <w:tcPr>
            <w:tcW w:w="2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crop and horticultural, fluids purification, animal health, sports field, industrial and automotive markets and is a leading manufacturer of cat litter.</w:t>
      </w:r>
    </w:p>
    <w:p>
      <w:pPr>
        <w:spacing w:after="0" w:line="16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The Company will offer a live webcast of the fourth quarter earnings teleconference on </w:t>
      </w:r>
      <w:r>
        <w:rPr>
          <w:rFonts w:ascii="Arial" w:cs="Arial" w:eastAsia="Arial" w:hAnsi="Arial"/>
          <w:sz w:val="18"/>
          <w:szCs w:val="18"/>
          <w:b w:val="1"/>
          <w:bCs w:val="1"/>
          <w:color w:val="auto"/>
        </w:rPr>
        <w:t>Tuesday, October 11, 2016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To listen via the web,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www.streetevents.com</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www.oildri.com</w:t>
      </w:r>
      <w:r>
        <w:rPr>
          <w:rFonts w:ascii="Arial" w:cs="Arial" w:eastAsia="Arial" w:hAnsi="Arial"/>
          <w:sz w:val="18"/>
          <w:szCs w:val="18"/>
          <w:color w:val="auto"/>
        </w:rPr>
        <w:t>.</w:t>
      </w:r>
    </w:p>
    <w:p>
      <w:pPr>
        <w:spacing w:after="0" w:line="197"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i w:val="1"/>
          <w:iCs w:val="1"/>
          <w:color w:val="auto"/>
        </w:rPr>
        <w:t>“Oil-Dri,” “Cat’s Pride,” “Fresh &amp; Light,” “Fresh &amp; Light Ultimate Care,” “Agsorb,” “Pure-Flo,” “Verge,” and “Amlan” are registered trademarks of Oil-Dri Corporation of America. “Varium,” and “NeoPrime” are trademarks of Oil-Dri Corporation of America. “The Jason Debus Heigl Foundation” is a trademark of The Jason Debus Heigl Foundation.</w:t>
      </w:r>
    </w:p>
    <w:p>
      <w:pPr>
        <w:spacing w:after="0" w:line="27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2" w:name="page13"/>
    <w:bookmarkEnd w:id="12"/>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40"/>
          </w:cols>
          <w:pgMar w:left="240" w:top="1440" w:right="319" w:bottom="1440" w:gutter="0" w:footer="0" w:header="0"/>
        </w:sectPr>
      </w:pPr>
    </w:p>
    <w:bookmarkStart w:id="13" w:name="page14"/>
    <w:bookmarkEnd w:id="1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177800</wp:posOffset>
            </wp:positionV>
            <wp:extent cx="38246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5"/>
          </w:tcPr>
          <w:p>
            <w:pPr>
              <w:ind w:left="320"/>
              <w:spacing w:after="0"/>
              <w:rPr>
                <w:sz w:val="20"/>
                <w:szCs w:val="20"/>
                <w:color w:val="auto"/>
              </w:rPr>
            </w:pPr>
            <w:r>
              <w:rPr>
                <w:rFonts w:ascii="Arial" w:cs="Arial" w:eastAsia="Arial" w:hAnsi="Arial"/>
                <w:sz w:val="18"/>
                <w:szCs w:val="18"/>
                <w:b w:val="1"/>
                <w:bCs w:val="1"/>
                <w:color w:val="auto"/>
              </w:rPr>
              <w:t>Fourth Quarter Ended July 31,</w:t>
            </w:r>
          </w:p>
        </w:tc>
        <w:tc>
          <w:tcPr>
            <w:tcW w:w="13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64,916</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65,519</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70.9 %</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(48,797)</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18,866</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16,722</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(15,394)</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23.7 %</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(10,919)</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2,981</w:t>
            </w:r>
          </w:p>
        </w:tc>
        <w:tc>
          <w:tcPr>
            <w:tcW w:w="2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5,516</w:t>
            </w:r>
          </w:p>
        </w:tc>
        <w:tc>
          <w:tcPr>
            <w:tcW w:w="2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97"/>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5,261</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5,066</w:t>
            </w:r>
          </w:p>
        </w:tc>
        <w:tc>
          <w:tcPr>
            <w:tcW w:w="20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4,999</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4,963</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7,122</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7,050</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154305</wp:posOffset>
            </wp:positionV>
            <wp:extent cx="38246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5"/>
          </w:tcPr>
          <w:p>
            <w:pPr>
              <w:ind w:left="340"/>
              <w:spacing w:after="0"/>
              <w:rPr>
                <w:sz w:val="20"/>
                <w:szCs w:val="20"/>
                <w:color w:val="auto"/>
              </w:rPr>
            </w:pPr>
            <w:r>
              <w:rPr>
                <w:rFonts w:ascii="Arial" w:cs="Arial" w:eastAsia="Arial" w:hAnsi="Arial"/>
                <w:sz w:val="18"/>
                <w:szCs w:val="18"/>
                <w:b w:val="1"/>
                <w:bCs w:val="1"/>
                <w:color w:val="auto"/>
              </w:rPr>
              <w:t>Twelve Months Ended July 31,</w:t>
            </w:r>
          </w:p>
        </w:tc>
        <w:tc>
          <w:tcPr>
            <w:tcW w:w="13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262,313</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261,402</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(185,164)</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70.6 %</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(201,245)</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77,149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60,157</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(61,736)</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23.5 %</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(45,004)</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15,413</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(1,327)</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14,357</w:t>
            </w:r>
          </w:p>
        </w:tc>
        <w:tc>
          <w:tcPr>
            <w:tcW w:w="2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14,169</w:t>
            </w:r>
          </w:p>
        </w:tc>
        <w:tc>
          <w:tcPr>
            <w:tcW w:w="2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13,613</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11,368</w:t>
            </w:r>
          </w:p>
        </w:tc>
        <w:tc>
          <w:tcPr>
            <w:tcW w:w="20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4,986</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4,955</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7,094</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7,037</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60"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5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0900"/>
          </w:cols>
          <w:pgMar w:left="240" w:top="1440" w:right="759" w:bottom="854" w:gutter="0" w:footer="0" w:header="0"/>
        </w:sectPr>
      </w:pPr>
    </w:p>
    <w:bookmarkStart w:id="14" w:name="page15"/>
    <w:bookmarkEnd w:id="14"/>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 July 31,</w:t>
            </w:r>
          </w:p>
        </w:tc>
        <w:tc>
          <w:tcPr>
            <w:tcW w:w="12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18,629</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20,138</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10,184</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30,386</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31,466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23,251</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21,369</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8,723</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7,480</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91,173</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82,643</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80,711</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79,655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33,049</w:t>
            </w: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27,733</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204,933</w:t>
            </w:r>
          </w:p>
        </w:tc>
        <w:tc>
          <w:tcPr>
            <w:tcW w:w="34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6,635</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7,428</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19,545</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16,601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30,740</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28,888</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46,309</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35,198</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58,642</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50,615</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115,551</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110,528</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204,933</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190,031</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1,914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10,684</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15,859</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3,201</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3,039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12,192</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11,994</w:t>
            </w:r>
          </w:p>
        </w:tc>
      </w:tr>
      <w:tr>
        <w:trPr>
          <w:trHeight w:val="696"/>
        </w:trPr>
        <w:tc>
          <w:tcPr>
            <w:tcW w:w="426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Arial" w:cs="Arial" w:eastAsia="Arial" w:hAnsi="Arial"/>
                <w:sz w:val="16"/>
                <w:szCs w:val="16"/>
                <w:color w:val="auto"/>
              </w:rPr>
              <w:t>11</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5" w:name="page16"/>
    <w:bookmarkEnd w:id="15"/>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the Twelve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6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July 31,</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13,613</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11,368</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11,994</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Receivable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Payable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4,171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11,558</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15,608</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25,171</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26,976</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(10,684)</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(15,859)</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Restricted Cash</w:t>
            </w: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Net (Purchase) Dispositions of Investment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(7,984)</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(18,407)</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(14,246)</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(5,247)</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97"/>
        </w:trPr>
        <w:tc>
          <w:tcPr>
            <w:tcW w:w="7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20,138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16,230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2020-01-21T12:30:05Z</dcterms:created>
  <dcterms:modified xsi:type="dcterms:W3CDTF">2020-01-21T12:30:05Z</dcterms:modified>
</cp:coreProperties>
</file>