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24"/>
        <w:spacing w:after="0"/>
        <w:rPr>
          <w:sz w:val="20"/>
          <w:szCs w:val="20"/>
          <w:color w:val="auto"/>
        </w:rPr>
      </w:pPr>
      <w:r>
        <w:rPr>
          <w:rFonts w:ascii="Times New Roman" w:cs="Times New Roman" w:eastAsia="Times New Roman" w:hAnsi="Times New Roman"/>
          <w:sz w:val="18"/>
          <w:szCs w:val="18"/>
          <w:color w:val="auto"/>
        </w:rPr>
        <w:t>UNITED STATES</w:t>
      </w:r>
    </w:p>
    <w:p>
      <w:pPr>
        <w:spacing w:after="0" w:line="27" w:lineRule="exact"/>
        <w:rPr>
          <w:sz w:val="24"/>
          <w:szCs w:val="24"/>
          <w:color w:val="auto"/>
        </w:rPr>
      </w:pPr>
    </w:p>
    <w:p>
      <w:pPr>
        <w:jc w:val="center"/>
        <w:ind w:right="-24"/>
        <w:spacing w:after="0"/>
        <w:rPr>
          <w:sz w:val="20"/>
          <w:szCs w:val="20"/>
          <w:color w:val="auto"/>
        </w:rPr>
      </w:pPr>
      <w:r>
        <w:rPr>
          <w:rFonts w:ascii="Times New Roman" w:cs="Times New Roman" w:eastAsia="Times New Roman" w:hAnsi="Times New Roman"/>
          <w:sz w:val="18"/>
          <w:szCs w:val="18"/>
          <w:color w:val="auto"/>
        </w:rPr>
        <w:t>SECURITIES AND EXCHANGE COMMISSION</w:t>
      </w:r>
    </w:p>
    <w:p>
      <w:pPr>
        <w:spacing w:after="0" w:line="9" w:lineRule="exact"/>
        <w:rPr>
          <w:sz w:val="24"/>
          <w:szCs w:val="24"/>
          <w:color w:val="auto"/>
        </w:rPr>
      </w:pPr>
    </w:p>
    <w:p>
      <w:pPr>
        <w:jc w:val="center"/>
        <w:ind w:right="-24"/>
        <w:spacing w:after="0"/>
        <w:rPr>
          <w:sz w:val="20"/>
          <w:szCs w:val="20"/>
          <w:color w:val="auto"/>
        </w:rPr>
      </w:pPr>
      <w:r>
        <w:rPr>
          <w:rFonts w:ascii="Times New Roman" w:cs="Times New Roman" w:eastAsia="Times New Roman" w:hAnsi="Times New Roman"/>
          <w:sz w:val="18"/>
          <w:szCs w:val="18"/>
          <w:color w:val="auto"/>
        </w:rPr>
        <w:t>Washington, D.C. 20549</w:t>
      </w:r>
    </w:p>
    <w:p>
      <w:pPr>
        <w:spacing w:after="0" w:line="117" w:lineRule="exact"/>
        <w:rPr>
          <w:sz w:val="24"/>
          <w:szCs w:val="24"/>
          <w:color w:val="auto"/>
        </w:rPr>
      </w:pPr>
    </w:p>
    <w:p>
      <w:pPr>
        <w:jc w:val="center"/>
        <w:ind w:right="-24"/>
        <w:spacing w:after="0"/>
        <w:rPr>
          <w:sz w:val="20"/>
          <w:szCs w:val="20"/>
          <w:color w:val="auto"/>
        </w:rPr>
      </w:pPr>
      <w:r>
        <w:rPr>
          <w:rFonts w:ascii="Times New Roman" w:cs="Times New Roman" w:eastAsia="Times New Roman" w:hAnsi="Times New Roman"/>
          <w:sz w:val="22"/>
          <w:szCs w:val="22"/>
          <w:color w:val="auto"/>
        </w:rPr>
        <w:t>DEFINITIVE PROXY STATEMENT</w:t>
      </w:r>
    </w:p>
    <w:p>
      <w:pPr>
        <w:spacing w:after="0" w:line="40" w:lineRule="exact"/>
        <w:rPr>
          <w:sz w:val="24"/>
          <w:szCs w:val="24"/>
          <w:color w:val="auto"/>
        </w:rPr>
      </w:pPr>
    </w:p>
    <w:p>
      <w:pPr>
        <w:jc w:val="center"/>
        <w:ind w:right="35"/>
        <w:spacing w:after="0"/>
        <w:rPr>
          <w:sz w:val="20"/>
          <w:szCs w:val="20"/>
          <w:color w:val="auto"/>
        </w:rPr>
      </w:pPr>
      <w:r>
        <w:rPr>
          <w:rFonts w:ascii="Times New Roman" w:cs="Times New Roman" w:eastAsia="Times New Roman" w:hAnsi="Times New Roman"/>
          <w:sz w:val="18"/>
          <w:szCs w:val="18"/>
          <w:color w:val="auto"/>
        </w:rPr>
        <w:t>SCHEDULE 14A</w:t>
      </w:r>
    </w:p>
    <w:p>
      <w:pPr>
        <w:spacing w:after="0" w:line="63" w:lineRule="exact"/>
        <w:rPr>
          <w:sz w:val="24"/>
          <w:szCs w:val="24"/>
          <w:color w:val="auto"/>
        </w:rPr>
      </w:pPr>
    </w:p>
    <w:p>
      <w:pPr>
        <w:jc w:val="center"/>
        <w:ind w:right="35"/>
        <w:spacing w:after="0"/>
        <w:rPr>
          <w:sz w:val="20"/>
          <w:szCs w:val="20"/>
          <w:color w:val="auto"/>
        </w:rPr>
      </w:pPr>
      <w:r>
        <w:rPr>
          <w:rFonts w:ascii="Times New Roman" w:cs="Times New Roman" w:eastAsia="Times New Roman" w:hAnsi="Times New Roman"/>
          <w:sz w:val="18"/>
          <w:szCs w:val="18"/>
          <w:color w:val="auto"/>
        </w:rPr>
        <w:t>(Rule 14a-101)</w:t>
      </w:r>
    </w:p>
    <w:p>
      <w:pPr>
        <w:spacing w:after="0" w:line="63" w:lineRule="exact"/>
        <w:rPr>
          <w:sz w:val="24"/>
          <w:szCs w:val="24"/>
          <w:color w:val="auto"/>
        </w:rPr>
      </w:pPr>
    </w:p>
    <w:p>
      <w:pPr>
        <w:jc w:val="center"/>
        <w:ind w:right="35"/>
        <w:spacing w:after="0"/>
        <w:rPr>
          <w:sz w:val="20"/>
          <w:szCs w:val="20"/>
          <w:color w:val="auto"/>
        </w:rPr>
      </w:pPr>
      <w:r>
        <w:rPr>
          <w:rFonts w:ascii="Times New Roman" w:cs="Times New Roman" w:eastAsia="Times New Roman" w:hAnsi="Times New Roman"/>
          <w:sz w:val="18"/>
          <w:szCs w:val="18"/>
          <w:color w:val="auto"/>
        </w:rPr>
        <w:t>INFORMATION REQUIRED IN PROXY STATEMENT</w:t>
      </w:r>
    </w:p>
    <w:p>
      <w:pPr>
        <w:spacing w:after="0" w:line="171" w:lineRule="exact"/>
        <w:rPr>
          <w:sz w:val="24"/>
          <w:szCs w:val="24"/>
          <w:color w:val="auto"/>
        </w:rPr>
      </w:pPr>
    </w:p>
    <w:p>
      <w:pPr>
        <w:jc w:val="center"/>
        <w:ind w:right="35"/>
        <w:spacing w:after="0"/>
        <w:rPr>
          <w:sz w:val="20"/>
          <w:szCs w:val="20"/>
          <w:color w:val="auto"/>
        </w:rPr>
      </w:pPr>
      <w:r>
        <w:rPr>
          <w:rFonts w:ascii="Times New Roman" w:cs="Times New Roman" w:eastAsia="Times New Roman" w:hAnsi="Times New Roman"/>
          <w:sz w:val="18"/>
          <w:szCs w:val="18"/>
          <w:color w:val="auto"/>
        </w:rPr>
        <w:t>SCHEDULE 14A INFORMATION</w:t>
      </w:r>
    </w:p>
    <w:p>
      <w:pPr>
        <w:spacing w:after="0" w:line="171" w:lineRule="exact"/>
        <w:rPr>
          <w:sz w:val="24"/>
          <w:szCs w:val="24"/>
          <w:color w:val="auto"/>
        </w:rPr>
      </w:pPr>
    </w:p>
    <w:p>
      <w:pPr>
        <w:jc w:val="center"/>
        <w:ind w:right="35"/>
        <w:spacing w:after="0"/>
        <w:rPr>
          <w:sz w:val="20"/>
          <w:szCs w:val="20"/>
          <w:color w:val="auto"/>
        </w:rPr>
      </w:pPr>
      <w:r>
        <w:rPr>
          <w:rFonts w:ascii="Times New Roman" w:cs="Times New Roman" w:eastAsia="Times New Roman" w:hAnsi="Times New Roman"/>
          <w:sz w:val="17"/>
          <w:szCs w:val="17"/>
          <w:color w:val="auto"/>
        </w:rPr>
        <w:t>Proxy Statement Pursuant to Section 14(a) of the Securities Exchange Act of 1934 (Amendment No. )</w:t>
      </w:r>
    </w:p>
    <w:p>
      <w:pPr>
        <w:spacing w:after="0" w:line="331" w:lineRule="exact"/>
        <w:rPr>
          <w:sz w:val="24"/>
          <w:szCs w:val="24"/>
          <w:color w:val="auto"/>
        </w:rPr>
      </w:pPr>
    </w:p>
    <w:p>
      <w:pPr>
        <w:ind w:left="5"/>
        <w:spacing w:after="0"/>
        <w:rPr>
          <w:sz w:val="20"/>
          <w:szCs w:val="20"/>
          <w:color w:val="auto"/>
        </w:rPr>
      </w:pPr>
      <w:r>
        <w:rPr>
          <w:rFonts w:ascii="Times New Roman" w:cs="Times New Roman" w:eastAsia="Times New Roman" w:hAnsi="Times New Roman"/>
          <w:sz w:val="18"/>
          <w:szCs w:val="18"/>
          <w:color w:val="auto"/>
        </w:rPr>
        <w:t>Filed by the Registrant x</w:t>
      </w:r>
    </w:p>
    <w:p>
      <w:pPr>
        <w:spacing w:after="0" w:line="90" w:lineRule="exact"/>
        <w:rPr>
          <w:sz w:val="24"/>
          <w:szCs w:val="24"/>
          <w:color w:val="auto"/>
        </w:rPr>
      </w:pPr>
    </w:p>
    <w:p>
      <w:pPr>
        <w:ind w:left="5"/>
        <w:spacing w:after="0"/>
        <w:rPr>
          <w:sz w:val="20"/>
          <w:szCs w:val="20"/>
          <w:color w:val="auto"/>
        </w:rPr>
      </w:pPr>
      <w:r>
        <w:rPr>
          <w:rFonts w:ascii="Times New Roman" w:cs="Times New Roman" w:eastAsia="Times New Roman" w:hAnsi="Times New Roman"/>
          <w:sz w:val="18"/>
          <w:szCs w:val="18"/>
          <w:color w:val="auto"/>
        </w:rPr>
        <w:t>Filed by a Party other than the Registrant</w:t>
      </w:r>
    </w:p>
    <w:p>
      <w:pPr>
        <w:sectPr>
          <w:pgSz w:w="11900" w:h="16838" w:orient="portrait"/>
          <w:cols w:equalWidth="0" w:num="1">
            <w:col w:w="11145"/>
          </w:cols>
          <w:pgMar w:left="355" w:top="229" w:right="399" w:bottom="1440" w:gutter="0" w:footer="0" w:header="0"/>
        </w:sectPr>
      </w:pPr>
    </w:p>
    <w:p>
      <w:pPr>
        <w:spacing w:after="0" w:line="387" w:lineRule="exact"/>
        <w:rPr>
          <w:sz w:val="24"/>
          <w:szCs w:val="24"/>
          <w:color w:val="auto"/>
        </w:rPr>
      </w:pPr>
    </w:p>
    <w:p>
      <w:pPr>
        <w:ind w:left="5"/>
        <w:spacing w:after="0"/>
        <w:rPr>
          <w:sz w:val="20"/>
          <w:szCs w:val="20"/>
          <w:color w:val="auto"/>
        </w:rPr>
      </w:pPr>
      <w:r>
        <w:rPr>
          <w:rFonts w:ascii="Times New Roman" w:cs="Times New Roman" w:eastAsia="Times New Roman" w:hAnsi="Times New Roman"/>
          <w:sz w:val="18"/>
          <w:szCs w:val="18"/>
          <w:color w:val="auto"/>
        </w:rPr>
        <w:t>Check the appropriate box:</w:t>
      </w:r>
    </w:p>
    <w:p>
      <w:pPr>
        <w:spacing w:after="0" w:line="63" w:lineRule="exact"/>
        <w:rPr>
          <w:sz w:val="24"/>
          <w:szCs w:val="24"/>
          <w:color w:val="auto"/>
        </w:rPr>
      </w:pPr>
    </w:p>
    <w:p>
      <w:pPr>
        <w:ind w:left="5"/>
        <w:spacing w:after="0"/>
        <w:tabs>
          <w:tab w:leader="none" w:pos="1005" w:val="left"/>
        </w:tabs>
        <w:rPr>
          <w:sz w:val="20"/>
          <w:szCs w:val="20"/>
          <w:color w:val="auto"/>
        </w:rPr>
      </w:pPr>
      <w:r>
        <w:rPr>
          <w:rFonts w:ascii="Arial" w:cs="Arial" w:eastAsia="Arial" w:hAnsi="Arial"/>
          <w:sz w:val="18"/>
          <w:szCs w:val="18"/>
          <w:color w:val="auto"/>
        </w:rPr>
        <w:t xml:space="preserve"> </w:t>
      </w:r>
      <w:r>
        <w:rPr>
          <w:sz w:val="20"/>
          <w:szCs w:val="20"/>
          <w:color w:val="auto"/>
        </w:rPr>
        <w:tab/>
      </w:r>
      <w:r>
        <w:rPr>
          <w:rFonts w:ascii="Times New Roman" w:cs="Times New Roman" w:eastAsia="Times New Roman" w:hAnsi="Times New Roman"/>
          <w:sz w:val="18"/>
          <w:szCs w:val="18"/>
          <w:color w:val="auto"/>
        </w:rPr>
        <w:t>Preliminary Proxy Statement</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37" w:lineRule="exact"/>
        <w:rPr>
          <w:sz w:val="24"/>
          <w:szCs w:val="24"/>
          <w:color w:val="auto"/>
        </w:rPr>
      </w:pPr>
    </w:p>
    <w:p>
      <w:pPr>
        <w:spacing w:after="0"/>
        <w:tabs>
          <w:tab w:leader="none" w:pos="420" w:val="left"/>
        </w:tabs>
        <w:rPr>
          <w:sz w:val="20"/>
          <w:szCs w:val="20"/>
          <w:color w:val="auto"/>
        </w:rPr>
      </w:pPr>
      <w:r>
        <w:rPr>
          <w:rFonts w:ascii="Arial" w:cs="Arial" w:eastAsia="Arial" w:hAnsi="Arial"/>
          <w:sz w:val="17"/>
          <w:szCs w:val="17"/>
          <w:color w:val="auto"/>
        </w:rPr>
        <w:t xml:space="preserve"> </w:t>
      </w:r>
      <w:r>
        <w:rPr>
          <w:sz w:val="20"/>
          <w:szCs w:val="20"/>
          <w:color w:val="auto"/>
        </w:rPr>
        <w:tab/>
      </w:r>
      <w:r>
        <w:rPr>
          <w:rFonts w:ascii="Times New Roman" w:cs="Times New Roman" w:eastAsia="Times New Roman" w:hAnsi="Times New Roman"/>
          <w:sz w:val="17"/>
          <w:szCs w:val="17"/>
          <w:color w:val="auto"/>
        </w:rPr>
        <w:t>Soliciting Material Under Rule 14a-12</w:t>
      </w:r>
    </w:p>
    <w:p>
      <w:pPr>
        <w:spacing w:after="0" w:line="74" w:lineRule="exact"/>
        <w:rPr>
          <w:sz w:val="24"/>
          <w:szCs w:val="24"/>
          <w:color w:val="auto"/>
        </w:rPr>
      </w:pPr>
    </w:p>
    <w:p>
      <w:pPr>
        <w:sectPr>
          <w:pgSz w:w="11900" w:h="16838" w:orient="portrait"/>
          <w:cols w:equalWidth="0" w:num="2">
            <w:col w:w="4785" w:space="720"/>
            <w:col w:w="5640"/>
          </w:cols>
          <w:pgMar w:left="355" w:top="229" w:right="399" w:bottom="1440" w:gutter="0" w:footer="0" w:header="0"/>
          <w:type w:val="continuous"/>
        </w:sectPr>
      </w:pPr>
    </w:p>
    <w:p>
      <w:pPr>
        <w:ind w:left="1025" w:right="5740"/>
        <w:spacing w:after="0" w:line="281" w:lineRule="auto"/>
        <w:rPr>
          <w:sz w:val="24"/>
          <w:szCs w:val="24"/>
          <w:color w:val="auto"/>
        </w:rPr>
      </w:pPr>
      <w:r>
        <w:rPr>
          <w:rFonts w:ascii="Times New Roman" w:cs="Times New Roman" w:eastAsia="Times New Roman" w:hAnsi="Times New Roman"/>
          <w:sz w:val="18"/>
          <w:szCs w:val="18"/>
          <w:color w:val="auto"/>
        </w:rPr>
        <w:t>Confidential, For Use of the Commission Only (as permitted by Rule 14a-6(e)(2))</w:t>
      </w:r>
    </w:p>
    <w:p>
      <w:pPr>
        <w:spacing w:after="0" w:line="1" w:lineRule="exact"/>
        <w:rPr>
          <w:sz w:val="24"/>
          <w:szCs w:val="24"/>
          <w:color w:val="auto"/>
        </w:rPr>
      </w:pPr>
    </w:p>
    <w:p>
      <w:pPr>
        <w:ind w:left="5"/>
        <w:spacing w:after="0"/>
        <w:rPr>
          <w:sz w:val="24"/>
          <w:szCs w:val="24"/>
          <w:color w:val="auto"/>
        </w:rPr>
      </w:pPr>
      <w:r>
        <w:rPr>
          <w:rFonts w:ascii="Times New Roman" w:cs="Times New Roman" w:eastAsia="Times New Roman" w:hAnsi="Times New Roman"/>
          <w:sz w:val="18"/>
          <w:szCs w:val="18"/>
          <w:color w:val="auto"/>
        </w:rPr>
        <w:t>Definitive Proxy Statement</w:t>
      </w:r>
    </w:p>
    <w:p>
      <w:pPr>
        <w:spacing w:after="0" w:line="90" w:lineRule="exact"/>
        <w:rPr>
          <w:sz w:val="24"/>
          <w:szCs w:val="24"/>
          <w:color w:val="auto"/>
        </w:rPr>
      </w:pPr>
    </w:p>
    <w:p>
      <w:pPr>
        <w:ind w:left="1025" w:hanging="1025"/>
        <w:spacing w:after="0"/>
        <w:tabs>
          <w:tab w:leader="none" w:pos="1025"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Definitive Additional Materials</w:t>
      </w:r>
    </w:p>
    <w:p>
      <w:pPr>
        <w:spacing w:after="0" w:line="200" w:lineRule="exact"/>
        <w:rPr>
          <w:sz w:val="24"/>
          <w:szCs w:val="24"/>
          <w:color w:val="auto"/>
        </w:rPr>
      </w:pPr>
    </w:p>
    <w:p>
      <w:pPr>
        <w:spacing w:after="0" w:line="200" w:lineRule="exact"/>
        <w:rPr>
          <w:sz w:val="24"/>
          <w:szCs w:val="24"/>
          <w:color w:val="auto"/>
        </w:rPr>
      </w:pPr>
    </w:p>
    <w:p>
      <w:pPr>
        <w:spacing w:after="0" w:line="300" w:lineRule="exact"/>
        <w:rPr>
          <w:sz w:val="24"/>
          <w:szCs w:val="24"/>
          <w:color w:val="auto"/>
        </w:rPr>
      </w:pPr>
    </w:p>
    <w:p>
      <w:pPr>
        <w:jc w:val="center"/>
        <w:ind w:right="-24"/>
        <w:spacing w:after="0"/>
        <w:rPr>
          <w:sz w:val="20"/>
          <w:szCs w:val="20"/>
          <w:color w:val="auto"/>
        </w:rPr>
      </w:pPr>
      <w:r>
        <w:rPr>
          <w:rFonts w:ascii="Times New Roman" w:cs="Times New Roman" w:eastAsia="Times New Roman" w:hAnsi="Times New Roman"/>
          <w:sz w:val="25"/>
          <w:szCs w:val="25"/>
          <w:b w:val="1"/>
          <w:bCs w:val="1"/>
          <w:color w:val="auto"/>
        </w:rPr>
        <w:t>Oil-Dri Corporation of America</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274320</wp:posOffset>
            </wp:positionH>
            <wp:positionV relativeFrom="paragraph">
              <wp:posOffset>41275</wp:posOffset>
            </wp:positionV>
            <wp:extent cx="654050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540500" cy="8255"/>
                    </a:xfrm>
                    <a:prstGeom prst="rect">
                      <a:avLst/>
                    </a:prstGeom>
                    <a:noFill/>
                  </pic:spPr>
                </pic:pic>
              </a:graphicData>
            </a:graphic>
          </wp:anchor>
        </w:drawing>
      </w:r>
    </w:p>
    <w:p>
      <w:pPr>
        <w:spacing w:after="0" w:line="81" w:lineRule="exact"/>
        <w:rPr>
          <w:sz w:val="24"/>
          <w:szCs w:val="24"/>
          <w:color w:val="auto"/>
        </w:rPr>
      </w:pPr>
    </w:p>
    <w:p>
      <w:pPr>
        <w:jc w:val="center"/>
        <w:ind w:right="-24"/>
        <w:spacing w:after="0"/>
        <w:rPr>
          <w:sz w:val="20"/>
          <w:szCs w:val="20"/>
          <w:color w:val="auto"/>
        </w:rPr>
      </w:pPr>
      <w:r>
        <w:rPr>
          <w:rFonts w:ascii="Times New Roman" w:cs="Times New Roman" w:eastAsia="Times New Roman" w:hAnsi="Times New Roman"/>
          <w:sz w:val="18"/>
          <w:szCs w:val="18"/>
          <w:color w:val="auto"/>
        </w:rPr>
        <w:t>(Name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274320</wp:posOffset>
            </wp:positionH>
            <wp:positionV relativeFrom="paragraph">
              <wp:posOffset>222885</wp:posOffset>
            </wp:positionV>
            <wp:extent cx="654050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540500" cy="8255"/>
                    </a:xfrm>
                    <a:prstGeom prst="rect">
                      <a:avLst/>
                    </a:prstGeom>
                    <a:noFill/>
                  </pic:spPr>
                </pic:pic>
              </a:graphicData>
            </a:graphic>
          </wp:anchor>
        </w:drawing>
      </w:r>
    </w:p>
    <w:p>
      <w:pPr>
        <w:spacing w:after="0" w:line="367" w:lineRule="exact"/>
        <w:rPr>
          <w:sz w:val="24"/>
          <w:szCs w:val="24"/>
          <w:color w:val="auto"/>
        </w:rPr>
      </w:pPr>
    </w:p>
    <w:p>
      <w:pPr>
        <w:ind w:left="2925"/>
        <w:spacing w:after="0"/>
        <w:rPr>
          <w:sz w:val="20"/>
          <w:szCs w:val="20"/>
          <w:color w:val="auto"/>
        </w:rPr>
      </w:pPr>
      <w:r>
        <w:rPr>
          <w:rFonts w:ascii="Times New Roman" w:cs="Times New Roman" w:eastAsia="Times New Roman" w:hAnsi="Times New Roman"/>
          <w:sz w:val="18"/>
          <w:szCs w:val="18"/>
          <w:color w:val="auto"/>
        </w:rPr>
        <w:t>(Name of Person(s) Filing Proxy Statement, if Other Than the Registrant)</w:t>
      </w:r>
    </w:p>
    <w:p>
      <w:pPr>
        <w:spacing w:after="0" w:line="198" w:lineRule="exact"/>
        <w:rPr>
          <w:sz w:val="24"/>
          <w:szCs w:val="24"/>
          <w:color w:val="auto"/>
        </w:rPr>
      </w:pPr>
    </w:p>
    <w:p>
      <w:pPr>
        <w:ind w:left="5"/>
        <w:spacing w:after="0"/>
        <w:rPr>
          <w:sz w:val="20"/>
          <w:szCs w:val="20"/>
          <w:color w:val="auto"/>
        </w:rPr>
      </w:pPr>
      <w:r>
        <w:rPr>
          <w:rFonts w:ascii="Times New Roman" w:cs="Times New Roman" w:eastAsia="Times New Roman" w:hAnsi="Times New Roman"/>
          <w:sz w:val="18"/>
          <w:szCs w:val="18"/>
          <w:color w:val="auto"/>
        </w:rPr>
        <w:t>Payment of Filing Fee (Check the appropriate box):</w:t>
      </w:r>
    </w:p>
    <w:p>
      <w:pPr>
        <w:spacing w:after="0" w:line="63" w:lineRule="exact"/>
        <w:rPr>
          <w:sz w:val="24"/>
          <w:szCs w:val="24"/>
          <w:color w:val="auto"/>
        </w:rPr>
      </w:pPr>
    </w:p>
    <w:p>
      <w:pPr>
        <w:ind w:left="465" w:hanging="465"/>
        <w:spacing w:after="0"/>
        <w:tabs>
          <w:tab w:leader="none" w:pos="465"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fee required.</w:t>
      </w:r>
    </w:p>
    <w:p>
      <w:pPr>
        <w:spacing w:after="0" w:line="279" w:lineRule="exact"/>
        <w:rPr>
          <w:sz w:val="24"/>
          <w:szCs w:val="24"/>
          <w:color w:val="auto"/>
        </w:rPr>
      </w:pPr>
    </w:p>
    <w:p>
      <w:pPr>
        <w:ind w:left="5"/>
        <w:spacing w:after="0"/>
        <w:rPr>
          <w:sz w:val="24"/>
          <w:szCs w:val="24"/>
          <w:color w:val="auto"/>
        </w:rPr>
      </w:pPr>
      <w:r>
        <w:rPr>
          <w:rFonts w:ascii="Times New Roman" w:cs="Times New Roman" w:eastAsia="Times New Roman" w:hAnsi="Times New Roman"/>
          <w:sz w:val="18"/>
          <w:szCs w:val="18"/>
          <w:color w:val="auto"/>
        </w:rPr>
        <w:t>Fee computed on table below per Exchange Act Rules 14a-6(i)(4) and 0-11.</w:t>
      </w:r>
    </w:p>
    <w:p>
      <w:pPr>
        <w:spacing w:after="0" w:line="239" w:lineRule="exact"/>
        <w:rPr>
          <w:sz w:val="24"/>
          <w:szCs w:val="24"/>
          <w:color w:val="auto"/>
        </w:rPr>
      </w:pPr>
    </w:p>
    <w:p>
      <w:pPr>
        <w:ind w:left="905" w:hanging="333"/>
        <w:spacing w:after="0"/>
        <w:tabs>
          <w:tab w:leader="none" w:pos="905"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Title of each class of securities to which transaction applies:</w:t>
      </w:r>
    </w:p>
    <w:p>
      <w:pPr>
        <w:spacing w:after="0" w:line="76" w:lineRule="exact"/>
        <w:rPr>
          <w:rFonts w:ascii="Times New Roman" w:cs="Times New Roman" w:eastAsia="Times New Roman" w:hAnsi="Times New Roman"/>
          <w:sz w:val="18"/>
          <w:szCs w:val="18"/>
          <w:color w:val="auto"/>
        </w:rPr>
      </w:pPr>
    </w:p>
    <w:p>
      <w:pPr>
        <w:ind w:left="565"/>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   Aggregate number of securities to which transaction applies: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556895</wp:posOffset>
            </wp:positionH>
            <wp:positionV relativeFrom="paragraph">
              <wp:posOffset>34290</wp:posOffset>
            </wp:positionV>
            <wp:extent cx="655764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6557645" cy="8255"/>
                    </a:xfrm>
                    <a:prstGeom prst="rect">
                      <a:avLst/>
                    </a:prstGeom>
                    <a:noFill/>
                  </pic:spPr>
                </pic:pic>
              </a:graphicData>
            </a:graphic>
          </wp:anchor>
        </w:drawing>
        <w:drawing>
          <wp:anchor simplePos="0" relativeHeight="251657728" behindDoc="1" locked="0" layoutInCell="0" allowOverlap="1">
            <wp:simplePos x="0" y="0"/>
            <wp:positionH relativeFrom="column">
              <wp:posOffset>556895</wp:posOffset>
            </wp:positionH>
            <wp:positionV relativeFrom="paragraph">
              <wp:posOffset>-144780</wp:posOffset>
            </wp:positionV>
            <wp:extent cx="6557645"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557645" cy="8255"/>
                    </a:xfrm>
                    <a:prstGeom prst="rect">
                      <a:avLst/>
                    </a:prstGeom>
                    <a:noFill/>
                  </pic:spPr>
                </pic:pic>
              </a:graphicData>
            </a:graphic>
          </wp:anchor>
        </w:drawing>
      </w:r>
    </w:p>
    <w:p>
      <w:pPr>
        <w:spacing w:after="0" w:line="57" w:lineRule="exact"/>
        <w:rPr>
          <w:sz w:val="24"/>
          <w:szCs w:val="24"/>
          <w:color w:val="auto"/>
        </w:rPr>
      </w:pPr>
    </w:p>
    <w:p>
      <w:pPr>
        <w:ind w:left="905"/>
        <w:spacing w:after="0"/>
        <w:rPr>
          <w:sz w:val="20"/>
          <w:szCs w:val="20"/>
          <w:color w:val="auto"/>
        </w:rPr>
      </w:pPr>
      <w:r>
        <w:rPr>
          <w:rFonts w:ascii="Times New Roman" w:cs="Times New Roman" w:eastAsia="Times New Roman" w:hAnsi="Times New Roman"/>
          <w:sz w:val="17"/>
          <w:szCs w:val="17"/>
          <w:color w:val="auto"/>
        </w:rPr>
        <w:t>Per unit price or other underlying value of transaction computed pursuant to Exchange Act Rule 0-11 (set forth the amount on which the filing</w:t>
      </w:r>
    </w:p>
    <w:p>
      <w:pPr>
        <w:spacing w:after="0" w:line="39" w:lineRule="exact"/>
        <w:rPr>
          <w:sz w:val="24"/>
          <w:szCs w:val="24"/>
          <w:color w:val="auto"/>
        </w:rPr>
      </w:pPr>
    </w:p>
    <w:p>
      <w:pPr>
        <w:ind w:left="905" w:hanging="333"/>
        <w:spacing w:after="0"/>
        <w:tabs>
          <w:tab w:leader="none" w:pos="905" w:val="left"/>
        </w:tabs>
        <w:numPr>
          <w:ilvl w:val="1"/>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fee is calculated and state how it was determined):</w:t>
      </w:r>
    </w:p>
    <w:p>
      <w:pPr>
        <w:spacing w:after="0" w:line="58" w:lineRule="exact"/>
        <w:rPr>
          <w:rFonts w:ascii="Times New Roman" w:cs="Times New Roman" w:eastAsia="Times New Roman" w:hAnsi="Times New Roman"/>
          <w:sz w:val="18"/>
          <w:szCs w:val="18"/>
          <w:color w:val="auto"/>
        </w:rPr>
      </w:pPr>
    </w:p>
    <w:p>
      <w:pPr>
        <w:ind w:left="565"/>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4   Proposed maximum aggregate value of transaction:</w:t>
      </w:r>
    </w:p>
    <w:p>
      <w:pPr>
        <w:spacing w:after="0" w:line="76" w:lineRule="exact"/>
        <w:rPr>
          <w:rFonts w:ascii="Times New Roman" w:cs="Times New Roman" w:eastAsia="Times New Roman" w:hAnsi="Times New Roman"/>
          <w:sz w:val="18"/>
          <w:szCs w:val="18"/>
          <w:color w:val="auto"/>
        </w:rPr>
      </w:pPr>
    </w:p>
    <w:p>
      <w:pPr>
        <w:ind w:left="565"/>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5   Total fee paid:</w:t>
      </w:r>
    </w:p>
    <w:p>
      <w:pPr>
        <w:spacing w:after="0" w:line="63" w:lineRule="exact"/>
        <w:rPr>
          <w:rFonts w:ascii="Times New Roman" w:cs="Times New Roman" w:eastAsia="Times New Roman" w:hAnsi="Times New Roman"/>
          <w:sz w:val="18"/>
          <w:szCs w:val="18"/>
          <w:color w:val="auto"/>
        </w:rPr>
      </w:pPr>
    </w:p>
    <w:p>
      <w:pPr>
        <w:ind w:left="5"/>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Fee paid previously with preliminary materials:</w:t>
      </w:r>
    </w:p>
    <w:p>
      <w:pPr>
        <w:spacing w:after="0" w:line="211" w:lineRule="exact"/>
        <w:rPr>
          <w:rFonts w:ascii="Times New Roman" w:cs="Times New Roman" w:eastAsia="Times New Roman" w:hAnsi="Times New Roman"/>
          <w:sz w:val="18"/>
          <w:szCs w:val="18"/>
          <w:color w:val="auto"/>
        </w:rPr>
      </w:pPr>
    </w:p>
    <w:p>
      <w:pPr>
        <w:ind w:left="465" w:right="180"/>
        <w:spacing w:after="0" w:line="282"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Check box if any part of the fee is offset as provided by Exchange Act Rule 0-11(a)(2) and identify the filing for which the offsetting fee was paid previously. Identify the previous filing by registration statement number, or the form or schedule and the date of its filing.</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556895</wp:posOffset>
            </wp:positionH>
            <wp:positionV relativeFrom="paragraph">
              <wp:posOffset>-579755</wp:posOffset>
            </wp:positionV>
            <wp:extent cx="655764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557645" cy="8890"/>
                    </a:xfrm>
                    <a:prstGeom prst="rect">
                      <a:avLst/>
                    </a:prstGeom>
                    <a:noFill/>
                  </pic:spPr>
                </pic:pic>
              </a:graphicData>
            </a:graphic>
          </wp:anchor>
        </w:drawing>
        <w:drawing>
          <wp:anchor simplePos="0" relativeHeight="251657728" behindDoc="1" locked="0" layoutInCell="0" allowOverlap="1">
            <wp:simplePos x="0" y="0"/>
            <wp:positionH relativeFrom="column">
              <wp:posOffset>556895</wp:posOffset>
            </wp:positionH>
            <wp:positionV relativeFrom="paragraph">
              <wp:posOffset>-759460</wp:posOffset>
            </wp:positionV>
            <wp:extent cx="655764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6557645" cy="8255"/>
                    </a:xfrm>
                    <a:prstGeom prst="rect">
                      <a:avLst/>
                    </a:prstGeom>
                    <a:noFill/>
                  </pic:spPr>
                </pic:pic>
              </a:graphicData>
            </a:graphic>
          </wp:anchor>
        </w:drawing>
        <w:drawing>
          <wp:anchor simplePos="0" relativeHeight="251657728" behindDoc="1" locked="0" layoutInCell="0" allowOverlap="1">
            <wp:simplePos x="0" y="0"/>
            <wp:positionH relativeFrom="column">
              <wp:posOffset>556895</wp:posOffset>
            </wp:positionH>
            <wp:positionV relativeFrom="paragraph">
              <wp:posOffset>-939800</wp:posOffset>
            </wp:positionV>
            <wp:extent cx="655764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6557645" cy="8255"/>
                    </a:xfrm>
                    <a:prstGeom prst="rect">
                      <a:avLst/>
                    </a:prstGeom>
                    <a:noFill/>
                  </pic:spPr>
                </pic:pic>
              </a:graphicData>
            </a:graphic>
          </wp:anchor>
        </w:drawing>
      </w:r>
    </w:p>
    <w:p>
      <w:pPr>
        <w:spacing w:after="0" w:line="7" w:lineRule="exact"/>
        <w:rPr>
          <w:sz w:val="24"/>
          <w:szCs w:val="24"/>
          <w:color w:val="auto"/>
        </w:rPr>
      </w:pPr>
    </w:p>
    <w:p>
      <w:pPr>
        <w:ind w:left="905" w:hanging="333"/>
        <w:spacing w:after="0"/>
        <w:tabs>
          <w:tab w:leader="none" w:pos="905"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Amount previously paid: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556895</wp:posOffset>
            </wp:positionH>
            <wp:positionV relativeFrom="paragraph">
              <wp:posOffset>34290</wp:posOffset>
            </wp:positionV>
            <wp:extent cx="6557645"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557645" cy="8255"/>
                    </a:xfrm>
                    <a:prstGeom prst="rect">
                      <a:avLst/>
                    </a:prstGeom>
                    <a:noFill/>
                  </pic:spPr>
                </pic:pic>
              </a:graphicData>
            </a:graphic>
          </wp:anchor>
        </w:drawing>
      </w:r>
    </w:p>
    <w:p>
      <w:pPr>
        <w:spacing w:after="0" w:line="57" w:lineRule="exact"/>
        <w:rPr>
          <w:sz w:val="24"/>
          <w:szCs w:val="24"/>
          <w:color w:val="auto"/>
        </w:rPr>
      </w:pPr>
    </w:p>
    <w:p>
      <w:pPr>
        <w:ind w:left="905" w:hanging="333"/>
        <w:spacing w:after="0"/>
        <w:tabs>
          <w:tab w:leader="none" w:pos="905"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Form, Schedule or Registration Statement No.:</w:t>
      </w:r>
    </w:p>
    <w:p>
      <w:pPr>
        <w:spacing w:after="0" w:line="76" w:lineRule="exact"/>
        <w:rPr>
          <w:rFonts w:ascii="Times New Roman" w:cs="Times New Roman" w:eastAsia="Times New Roman" w:hAnsi="Times New Roman"/>
          <w:sz w:val="18"/>
          <w:szCs w:val="18"/>
          <w:color w:val="auto"/>
        </w:rPr>
      </w:pPr>
    </w:p>
    <w:p>
      <w:pPr>
        <w:ind w:left="565"/>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3   Filing Party:</w:t>
      </w:r>
    </w:p>
    <w:p>
      <w:pPr>
        <w:spacing w:after="0" w:line="76" w:lineRule="exact"/>
        <w:rPr>
          <w:rFonts w:ascii="Times New Roman" w:cs="Times New Roman" w:eastAsia="Times New Roman" w:hAnsi="Times New Roman"/>
          <w:sz w:val="18"/>
          <w:szCs w:val="18"/>
          <w:color w:val="auto"/>
        </w:rPr>
      </w:pPr>
    </w:p>
    <w:p>
      <w:pPr>
        <w:ind w:left="565"/>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4   Date Filed: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556895</wp:posOffset>
            </wp:positionH>
            <wp:positionV relativeFrom="paragraph">
              <wp:posOffset>34290</wp:posOffset>
            </wp:positionV>
            <wp:extent cx="6557645"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557645" cy="8255"/>
                    </a:xfrm>
                    <a:prstGeom prst="rect">
                      <a:avLst/>
                    </a:prstGeom>
                    <a:noFill/>
                  </pic:spPr>
                </pic:pic>
              </a:graphicData>
            </a:graphic>
          </wp:anchor>
        </w:drawing>
        <w:drawing>
          <wp:anchor simplePos="0" relativeHeight="251657728" behindDoc="1" locked="0" layoutInCell="0" allowOverlap="1">
            <wp:simplePos x="0" y="0"/>
            <wp:positionH relativeFrom="column">
              <wp:posOffset>556895</wp:posOffset>
            </wp:positionH>
            <wp:positionV relativeFrom="paragraph">
              <wp:posOffset>-144780</wp:posOffset>
            </wp:positionV>
            <wp:extent cx="6557645"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6557645" cy="8890"/>
                    </a:xfrm>
                    <a:prstGeom prst="rect">
                      <a:avLst/>
                    </a:prstGeom>
                    <a:noFill/>
                  </pic:spPr>
                </pic:pic>
              </a:graphicData>
            </a:graphic>
          </wp:anchor>
        </w:drawing>
        <w:drawing>
          <wp:anchor simplePos="0" relativeHeight="251657728" behindDoc="1" locked="0" layoutInCell="0" allowOverlap="1">
            <wp:simplePos x="0" y="0"/>
            <wp:positionH relativeFrom="column">
              <wp:posOffset>556895</wp:posOffset>
            </wp:positionH>
            <wp:positionV relativeFrom="paragraph">
              <wp:posOffset>-325120</wp:posOffset>
            </wp:positionV>
            <wp:extent cx="6557645"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6557645" cy="8890"/>
                    </a:xfrm>
                    <a:prstGeom prst="rect">
                      <a:avLst/>
                    </a:prstGeom>
                    <a:noFill/>
                  </pic:spPr>
                </pic:pic>
              </a:graphicData>
            </a:graphic>
          </wp:anchor>
        </w:drawing>
      </w:r>
    </w:p>
    <w:p>
      <w:pPr>
        <w:sectPr>
          <w:pgSz w:w="11900" w:h="16838" w:orient="portrait"/>
          <w:cols w:equalWidth="0" w:num="1">
            <w:col w:w="11145"/>
          </w:cols>
          <w:pgMar w:left="355" w:top="229" w:right="399" w:bottom="1440" w:gutter="0" w:footer="0" w:header="0"/>
          <w:type w:val="continuous"/>
        </w:sectPr>
      </w:pPr>
    </w:p>
    <w:bookmarkStart w:id="1" w:name="page2"/>
    <w:bookmarkEnd w:id="1"/>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842645</wp:posOffset>
            </wp:positionH>
            <wp:positionV relativeFrom="page">
              <wp:posOffset>363220</wp:posOffset>
            </wp:positionV>
            <wp:extent cx="5863590" cy="510921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clrChange>
                        <a:clrFrom>
                          <a:srgbClr val="FFFFFF"/>
                        </a:clrFrom>
                        <a:clrTo>
                          <a:srgbClr val="FFFFFF">
                            <a:alpha val="0"/>
                          </a:srgbClr>
                        </a:clrTo>
                      </a:clrChange>
                      <a:extLst>
                        <a:ext uri="{28A0092B-C50C-407E-A947-70E740481C1C}"/>
                      </a:extLst>
                    </a:blip>
                    <a:srcRect/>
                    <a:stretch>
                      <a:fillRect/>
                    </a:stretch>
                  </pic:blipFill>
                  <pic:spPr bwMode="auto">
                    <a:xfrm>
                      <a:off x="0" y="0"/>
                      <a:ext cx="5863590" cy="510921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 w:name="page3"/>
    <w:bookmarkEnd w:id="2"/>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842645</wp:posOffset>
            </wp:positionH>
            <wp:positionV relativeFrom="page">
              <wp:posOffset>226060</wp:posOffset>
            </wp:positionV>
            <wp:extent cx="5863590" cy="406336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clrChange>
                        <a:clrFrom>
                          <a:srgbClr val="FFFFFF"/>
                        </a:clrFrom>
                        <a:clrTo>
                          <a:srgbClr val="FFFFFF">
                            <a:alpha val="0"/>
                          </a:srgbClr>
                        </a:clrTo>
                      </a:clrChange>
                      <a:extLst>
                        <a:ext uri="{28A0092B-C50C-407E-A947-70E740481C1C}"/>
                      </a:extLst>
                    </a:blip>
                    <a:srcRect/>
                    <a:stretch>
                      <a:fillRect/>
                    </a:stretch>
                  </pic:blipFill>
                  <pic:spPr bwMode="auto">
                    <a:xfrm>
                      <a:off x="0" y="0"/>
                      <a:ext cx="5863590" cy="40633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 w:name="page4"/>
    <w:bookmarkEnd w:id="3"/>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842645</wp:posOffset>
            </wp:positionH>
            <wp:positionV relativeFrom="page">
              <wp:posOffset>226060</wp:posOffset>
            </wp:positionV>
            <wp:extent cx="5863590" cy="475742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clrChange>
                        <a:clrFrom>
                          <a:srgbClr val="FFFFFF"/>
                        </a:clrFrom>
                        <a:clrTo>
                          <a:srgbClr val="FFFFFF">
                            <a:alpha val="0"/>
                          </a:srgbClr>
                        </a:clrTo>
                      </a:clrChange>
                      <a:extLst>
                        <a:ext uri="{28A0092B-C50C-407E-A947-70E740481C1C}"/>
                      </a:extLst>
                    </a:blip>
                    <a:srcRect/>
                    <a:stretch>
                      <a:fillRect/>
                    </a:stretch>
                  </pic:blipFill>
                  <pic:spPr bwMode="auto">
                    <a:xfrm>
                      <a:off x="0" y="0"/>
                      <a:ext cx="5863590" cy="475742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 w:name="page5"/>
    <w:bookmarkEnd w:id="4"/>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842645</wp:posOffset>
            </wp:positionH>
            <wp:positionV relativeFrom="page">
              <wp:posOffset>226060</wp:posOffset>
            </wp:positionV>
            <wp:extent cx="5863590" cy="363474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clrChange>
                        <a:clrFrom>
                          <a:srgbClr val="FFFFFF"/>
                        </a:clrFrom>
                        <a:clrTo>
                          <a:srgbClr val="FFFFFF">
                            <a:alpha val="0"/>
                          </a:srgbClr>
                        </a:clrTo>
                      </a:clrChange>
                      <a:extLst>
                        <a:ext uri="{28A0092B-C50C-407E-A947-70E740481C1C}"/>
                      </a:extLst>
                    </a:blip>
                    <a:srcRect/>
                    <a:stretch>
                      <a:fillRect/>
                    </a:stretch>
                  </pic:blipFill>
                  <pic:spPr bwMode="auto">
                    <a:xfrm>
                      <a:off x="0" y="0"/>
                      <a:ext cx="5863590" cy="3634740"/>
                    </a:xfrm>
                    <a:prstGeom prst="rect">
                      <a:avLst/>
                    </a:prstGeom>
                    <a:noFill/>
                  </pic:spPr>
                </pic:pic>
              </a:graphicData>
            </a:graphic>
          </wp:anchor>
        </w:drawing>
      </w:r>
    </w:p>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238E1F29"/>
    <w:multiLevelType w:val="hybridMultilevel"/>
    <w:lvl w:ilvl="0">
      <w:lvlJc w:val="left"/>
      <w:lvlText w:val=" "/>
      <w:numFmt w:val="bullet"/>
      <w:start w:val="1"/>
    </w:lvl>
  </w:abstractNum>
  <w:abstractNum w:abstractNumId="1">
    <w:nsid w:val="46E87CCD"/>
    <w:multiLevelType w:val="hybridMultilevel"/>
    <w:lvl w:ilvl="0">
      <w:lvlJc w:val="left"/>
      <w:lvlText w:val="x"/>
      <w:numFmt w:val="bullet"/>
      <w:start w:val="1"/>
    </w:lvl>
  </w:abstractNum>
  <w:abstractNum w:abstractNumId="2">
    <w:nsid w:val="3D1B58BA"/>
    <w:multiLevelType w:val="hybridMultilevel"/>
    <w:lvl w:ilvl="0">
      <w:lvlJc w:val="left"/>
      <w:lvlText w:val="x"/>
      <w:numFmt w:val="bullet"/>
      <w:start w:val="1"/>
    </w:lvl>
  </w:abstractNum>
  <w:abstractNum w:abstractNumId="3">
    <w:nsid w:val="507ED7AB"/>
    <w:multiLevelType w:val="hybridMultilevel"/>
    <w:lvl w:ilvl="0">
      <w:lvlJc w:val="left"/>
      <w:lvlText w:val=" "/>
      <w:numFmt w:val="bullet"/>
      <w:start w:val="1"/>
    </w:lvl>
  </w:abstractNum>
  <w:abstractNum w:abstractNumId="4">
    <w:nsid w:val="2EB141F2"/>
    <w:multiLevelType w:val="hybridMultilevel"/>
    <w:lvl w:ilvl="0">
      <w:lvlJc w:val="left"/>
      <w:lvlText w:val="1"/>
      <w:numFmt w:val="bullet"/>
      <w:start w:val="1"/>
    </w:lvl>
  </w:abstractNum>
  <w:abstractNum w:abstractNumId="5">
    <w:nsid w:val="41B71EFB"/>
    <w:multiLevelType w:val="hybridMultilevel"/>
    <w:lvl w:ilvl="0">
      <w:lvlJc w:val="left"/>
      <w:lvlText w:val=" "/>
      <w:numFmt w:val="bullet"/>
      <w:start w:val="1"/>
    </w:lvl>
    <w:lvl w:ilvl="1">
      <w:lvlJc w:val="left"/>
      <w:lvlText w:val="3"/>
      <w:numFmt w:val="bullet"/>
      <w:start w:val="1"/>
    </w:lvl>
  </w:abstractNum>
  <w:abstractNum w:abstractNumId="6">
    <w:nsid w:val="79E2A9E3"/>
    <w:multiLevelType w:val="hybridMultilevel"/>
    <w:lvl w:ilvl="0">
      <w:lvlJc w:val="left"/>
      <w:lvlText w:val="1"/>
      <w:numFmt w:val="bullet"/>
      <w:start w:val="1"/>
    </w:lvl>
  </w:abstractNum>
  <w:abstractNum w:abstractNumId="7">
    <w:nsid w:val="7545E146"/>
    <w:multiLevelType w:val="hybridMultilevel"/>
    <w:lvl w:ilvl="0">
      <w:lvlJc w:val="left"/>
      <w:lvlText w:val="2"/>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jpeg"/><Relationship Id="rId20" Type="http://schemas.openxmlformats.org/officeDocument/2006/relationships/image" Target="media/image13.jpeg"/><Relationship Id="rId21" Type="http://schemas.openxmlformats.org/officeDocument/2006/relationships/image" Target="media/image14.jpeg"/><Relationship Id="rId22" Type="http://schemas.openxmlformats.org/officeDocument/2006/relationships/image" Target="media/image15.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2020-10-27T15:24:09Z</dcterms:created>
  <dcterms:modified xsi:type="dcterms:W3CDTF">2020-10-27T15:24:09Z</dcterms:modified>
</cp:coreProperties>
</file>