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55" w:lineRule="exact"/>
        <w:rPr>
          <w:sz w:val="24"/>
          <w:szCs w:val="24"/>
          <w:color w:val="auto"/>
        </w:rPr>
      </w:pPr>
    </w:p>
    <w:tbl>
      <w:tblPr>
        <w:tblLayout w:type="fixed"/>
        <w:tblInd w:w="280" w:type="dxa"/>
        <w:tblCellMar>
          <w:top w:w="0" w:type="dxa"/>
          <w:left w:w="0" w:type="dxa"/>
          <w:bottom w:w="0" w:type="dxa"/>
          <w:right w:w="0" w:type="dxa"/>
        </w:tblCellMar>
      </w:tblPr>
      <w:tr>
        <w:trPr>
          <w:trHeight w:val="248"/>
        </w:trPr>
        <w:tc>
          <w:tcPr>
            <w:tcW w:w="75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December 9, 2025</w:t>
            </w:r>
          </w:p>
        </w:tc>
      </w:tr>
      <w:tr>
        <w:trPr>
          <w:trHeight w:val="522"/>
        </w:trPr>
        <w:tc>
          <w:tcPr>
            <w:tcW w:w="3320" w:type="dxa"/>
            <w:vAlign w:val="bottom"/>
          </w:tcPr>
          <w:p>
            <w:pPr>
              <w:spacing w:after="0"/>
              <w:rPr>
                <w:sz w:val="24"/>
                <w:szCs w:val="24"/>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78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2780" w:type="dxa"/>
            <w:vAlign w:val="bottom"/>
          </w:tcPr>
          <w:p>
            <w:pPr>
              <w:spacing w:after="0"/>
              <w:rPr>
                <w:sz w:val="20"/>
                <w:szCs w:val="20"/>
                <w:color w:val="auto"/>
              </w:rPr>
            </w:pPr>
          </w:p>
        </w:tc>
      </w:tr>
      <w:tr>
        <w:trPr>
          <w:trHeight w:val="589"/>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00" w:type="dxa"/>
            <w:vAlign w:val="bottom"/>
          </w:tcPr>
          <w:p>
            <w:pPr>
              <w:jc w:val="right"/>
              <w:ind w:right="1730"/>
              <w:spacing w:after="0"/>
              <w:rPr>
                <w:sz w:val="20"/>
                <w:szCs w:val="20"/>
                <w:color w:val="auto"/>
              </w:rPr>
            </w:pPr>
            <w:r>
              <w:rPr>
                <w:rFonts w:ascii="Times New Roman" w:cs="Times New Roman" w:eastAsia="Times New Roman" w:hAnsi="Times New Roman"/>
                <w:sz w:val="18"/>
                <w:szCs w:val="18"/>
                <w:b w:val="1"/>
                <w:bCs w:val="1"/>
                <w:color w:val="auto"/>
              </w:rPr>
              <w:t>001-12622</w:t>
            </w:r>
          </w:p>
        </w:tc>
        <w:tc>
          <w:tcPr>
            <w:tcW w:w="278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36-2048898</w:t>
            </w:r>
          </w:p>
        </w:tc>
      </w:tr>
      <w:tr>
        <w:trPr>
          <w:trHeight w:val="180"/>
        </w:trPr>
        <w:tc>
          <w:tcPr>
            <w:tcW w:w="33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200" w:type="dxa"/>
            <w:vAlign w:val="bottom"/>
          </w:tcPr>
          <w:p>
            <w:pPr>
              <w:spacing w:after="0"/>
              <w:rPr>
                <w:sz w:val="15"/>
                <w:szCs w:val="15"/>
                <w:color w:val="auto"/>
              </w:rPr>
            </w:pPr>
          </w:p>
        </w:tc>
        <w:tc>
          <w:tcPr>
            <w:tcW w:w="2780" w:type="dxa"/>
            <w:vAlign w:val="bottom"/>
          </w:tcPr>
          <w:p>
            <w:pPr>
              <w:spacing w:after="0"/>
              <w:rPr>
                <w:sz w:val="15"/>
                <w:szCs w:val="15"/>
                <w:color w:val="auto"/>
              </w:rPr>
            </w:pPr>
          </w:p>
        </w:tc>
      </w:tr>
      <w:tr>
        <w:trPr>
          <w:trHeight w:val="243"/>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organization)</w:t>
            </w:r>
          </w:p>
        </w:tc>
        <w:tc>
          <w:tcPr>
            <w:tcW w:w="42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(Commission File Number)</w:t>
            </w: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33"/>
        </w:trPr>
        <w:tc>
          <w:tcPr>
            <w:tcW w:w="3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 North Michigan Avenue, Suite 400</w:t>
            </w:r>
          </w:p>
        </w:tc>
        <w:tc>
          <w:tcPr>
            <w:tcW w:w="420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30"/>
        </w:trPr>
        <w:tc>
          <w:tcPr>
            <w:tcW w:w="33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Chicago, Illinois</w:t>
            </w:r>
          </w:p>
        </w:tc>
        <w:tc>
          <w:tcPr>
            <w:tcW w:w="4200" w:type="dxa"/>
            <w:vAlign w:val="bottom"/>
          </w:tcPr>
          <w:p>
            <w:pPr>
              <w:spacing w:after="0"/>
              <w:rPr>
                <w:sz w:val="19"/>
                <w:szCs w:val="19"/>
                <w:color w:val="auto"/>
              </w:rPr>
            </w:pPr>
          </w:p>
        </w:tc>
        <w:tc>
          <w:tcPr>
            <w:tcW w:w="27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60611-4213</w:t>
            </w:r>
          </w:p>
        </w:tc>
      </w:tr>
      <w:tr>
        <w:trPr>
          <w:trHeight w:val="234"/>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0" w:type="dxa"/>
            <w:vAlign w:val="bottom"/>
          </w:tcPr>
          <w:p>
            <w:pPr>
              <w:spacing w:after="0"/>
              <w:rPr>
                <w:sz w:val="20"/>
                <w:szCs w:val="20"/>
                <w:color w:val="auto"/>
              </w:rPr>
            </w:pPr>
          </w:p>
        </w:tc>
        <w:tc>
          <w:tcPr>
            <w:tcW w:w="2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38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33" w:lineRule="exact"/>
        <w:rPr>
          <w:sz w:val="24"/>
          <w:szCs w:val="24"/>
          <w:color w:val="auto"/>
        </w:rPr>
      </w:pPr>
    </w:p>
    <w:p>
      <w:pPr>
        <w:jc w:val="both"/>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sectPr>
      </w:pPr>
    </w:p>
    <w:p>
      <w:pPr>
        <w:spacing w:after="0" w:line="127"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60"/>
        <w:spacing w:after="0"/>
        <w:rPr>
          <w:sz w:val="20"/>
          <w:szCs w:val="20"/>
          <w:color w:val="auto"/>
        </w:rPr>
      </w:pPr>
      <w:r>
        <w:rPr>
          <w:rFonts w:ascii="Times New Roman" w:cs="Times New Roman" w:eastAsia="Times New Roman" w:hAnsi="Times New Roman"/>
          <w:sz w:val="17"/>
          <w:szCs w:val="17"/>
          <w:color w:val="auto"/>
        </w:rPr>
        <w:t>Common Stock, par value $0.10 per share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93" w:lineRule="exact"/>
        <w:rPr>
          <w:sz w:val="24"/>
          <w:szCs w:val="24"/>
          <w:color w:val="auto"/>
        </w:rPr>
      </w:pPr>
    </w:p>
    <w:p>
      <w:pPr>
        <w:sectPr>
          <w:pgSz w:w="11900" w:h="16838" w:orient="portrait"/>
          <w:cols w:equalWidth="0" w:num="3">
            <w:col w:w="4080" w:space="620"/>
            <w:col w:w="1440" w:space="660"/>
            <w:col w:w="4440"/>
          </w:cols>
          <w:pgMar w:left="320" w:top="995" w:right="339" w:bottom="1440" w:gutter="0" w:footer="0" w:header="0"/>
          <w:type w:val="continuous"/>
        </w:sect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1161415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85725</wp:posOffset>
            </wp:positionV>
            <wp:extent cx="7089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held its annual meeting of stockholders on December 9, 2025 (the “Annual Meeting”), and there were 8,953,628 shares of the Company's Common Stock, par value $0.10 per share (“Common Stock”), each share entitled to one vote per share, and 4,172,064 shares of the Company's Class B Stock, par value $0.10 per share (“Class B Stock”), each share entitled to ten votes per share, represented in person or by proxy at the meeting. As of October 13, 2025, the record date of the Annual Meeting, 10,373,180 shares of Common Stock and 4,269,856 shares of Class B Stock were outstanding. See the Company’s 2025 Proxy Statement (the “Proxy”) for more information on the proposals presented at the meeting, the relevant portions of which are incorporated herein by reference.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stockholders elected all of the nominees for director recommended by the Company’s Board of Directors (the “Board”). The voting results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620" w:type="dxa"/>
            <w:vAlign w:val="bottom"/>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For</w:t>
            </w:r>
          </w:p>
        </w:tc>
        <w:tc>
          <w:tcPr>
            <w:tcW w:w="2640" w:type="dxa"/>
            <w:vAlign w:val="bottom"/>
            <w:gridSpan w:val="2"/>
            <w:shd w:val="clear" w:color="auto" w:fill="CCEEFF"/>
          </w:tcPr>
          <w:p>
            <w:pPr>
              <w:ind w:left="18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Ellen-Blair Chube</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46,669,369</w:t>
            </w:r>
          </w:p>
        </w:tc>
        <w:tc>
          <w:tcPr>
            <w:tcW w:w="8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2,450,882</w:t>
            </w:r>
          </w:p>
        </w:tc>
        <w:tc>
          <w:tcPr>
            <w:tcW w:w="100" w:type="dxa"/>
            <w:vAlign w:val="bottom"/>
          </w:tcPr>
          <w:p>
            <w:pPr>
              <w:spacing w:after="0"/>
              <w:rPr>
                <w:sz w:val="19"/>
                <w:szCs w:val="19"/>
                <w:color w:val="auto"/>
              </w:rPr>
            </w:pPr>
          </w:p>
        </w:tc>
        <w:tc>
          <w:tcPr>
            <w:tcW w:w="2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1,554,017</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Paul M. Hindsley</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43,399,164</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5,721,087</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1,554,017</w:t>
            </w:r>
          </w:p>
        </w:tc>
      </w:tr>
      <w:tr>
        <w:trPr>
          <w:trHeight w:val="22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Daniel S. Jaffee</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46,664,678</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2,455,573</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1,554,017</w:t>
            </w:r>
          </w:p>
        </w:tc>
      </w:tr>
      <w:tr>
        <w:trPr>
          <w:trHeight w:val="230"/>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A. Nemeroff</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46,473,559</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2,646,692</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1,554,017</w:t>
            </w:r>
          </w:p>
        </w:tc>
      </w:tr>
      <w:tr>
        <w:trPr>
          <w:trHeight w:val="229"/>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George C. Roeth</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46,996,895</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2,123,356</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1,554,017</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Amy L. Ryan</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43,393,844</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5,726,407</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1,554,017</w:t>
            </w:r>
          </w:p>
        </w:tc>
      </w:tr>
      <w:tr>
        <w:trPr>
          <w:trHeight w:val="230"/>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Patricia J. Schmeda</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46,998,936</w:t>
            </w:r>
          </w:p>
        </w:tc>
        <w:tc>
          <w:tcPr>
            <w:tcW w:w="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2,121,315</w:t>
            </w:r>
          </w:p>
        </w:tc>
        <w:tc>
          <w:tcPr>
            <w:tcW w:w="10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1,554,017</w:t>
            </w:r>
          </w:p>
        </w:tc>
      </w:tr>
      <w:tr>
        <w:trPr>
          <w:trHeight w:val="229"/>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Allan H. Selig</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46,714,222</w:t>
            </w:r>
          </w:p>
        </w:tc>
        <w:tc>
          <w:tcPr>
            <w:tcW w:w="8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2,406,029</w:t>
            </w:r>
          </w:p>
        </w:tc>
        <w:tc>
          <w:tcPr>
            <w:tcW w:w="100" w:type="dxa"/>
            <w:vAlign w:val="bottom"/>
            <w:shd w:val="clear" w:color="auto" w:fill="CCEEFF"/>
          </w:tcPr>
          <w:p>
            <w:pPr>
              <w:spacing w:after="0"/>
              <w:rPr>
                <w:sz w:val="19"/>
                <w:szCs w:val="19"/>
                <w:color w:val="auto"/>
              </w:rPr>
            </w:pP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1,554,017</w:t>
            </w:r>
          </w:p>
        </w:tc>
      </w:tr>
      <w:tr>
        <w:trPr>
          <w:trHeight w:val="23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Lawrence E. Washow</w:t>
            </w: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46,910,857</w:t>
            </w:r>
          </w:p>
        </w:tc>
        <w:tc>
          <w:tcPr>
            <w:tcW w:w="8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2,209,394</w:t>
            </w:r>
          </w:p>
        </w:tc>
        <w:tc>
          <w:tcPr>
            <w:tcW w:w="100" w:type="dxa"/>
            <w:vAlign w:val="bottom"/>
          </w:tcPr>
          <w:p>
            <w:pPr>
              <w:spacing w:after="0"/>
              <w:rPr>
                <w:sz w:val="20"/>
                <w:szCs w:val="20"/>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1,554,017</w:t>
            </w: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THE APPOINTMENT OF INDEPENDENT AUDITOR</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stockholders ratified the appointment of Grant Thornton LLP as independent auditor for the fiscal year ending July 31, 2026. The voting results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50,618,020</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Against</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50,547</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Abstain</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r>
    </w:tbl>
    <w:p>
      <w:pPr>
        <w:spacing w:after="0" w:line="200" w:lineRule="exact"/>
        <w:rPr>
          <w:sz w:val="20"/>
          <w:szCs w:val="20"/>
          <w:color w:val="auto"/>
        </w:rPr>
      </w:pPr>
    </w:p>
    <w:p>
      <w:pPr>
        <w:spacing w:after="0" w:line="250"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11, 2025, the Company issued a press release announcing that, at its regular meeting on December 11, 2025, the Board declared quarterly cash dividends of $0.205 per share of Common Stock, and $0.153 per share of Class B Stock. The dividends will be payable on March 6, 2026 to stockholders of record at the close of business on February 20, 2026.</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as Exhibit 99.1, and the information contained therein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1950720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0"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Dividends Press Release of the Company dated December 10, 2025</w:t>
            </w:r>
          </w:p>
        </w:tc>
      </w:tr>
      <w:tr>
        <w:trPr>
          <w:trHeight w:val="20"/>
        </w:trPr>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60" w:type="dxa"/>
            <w:vAlign w:val="bottom"/>
            <w:shd w:val="clear" w:color="auto" w:fill="0000FF"/>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r>
      <w:tr>
        <w:trPr>
          <w:trHeight w:val="30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within the iXBRL document)</w:t>
            </w:r>
          </w:p>
        </w:tc>
      </w:tr>
      <w:tr>
        <w:trPr>
          <w:trHeight w:val="1546"/>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Anthony W. Parker</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W. Parker</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General Counsel &amp; Secretary</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2025</w:t>
      </w:r>
    </w:p>
    <w:p>
      <w:pPr>
        <w:sectPr>
          <w:pgSz w:w="11900" w:h="16838" w:orient="portrait"/>
          <w:cols w:equalWidth="0" w:num="1">
            <w:col w:w="11220"/>
          </w:cols>
          <w:pgMar w:left="320" w:top="88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5"/>
          <w:szCs w:val="15"/>
          <w:color w:val="002D69"/>
        </w:rPr>
        <w:drawing>
          <wp:anchor simplePos="0" relativeHeight="251657728" behindDoc="1" locked="0" layoutInCell="0" allowOverlap="1">
            <wp:simplePos x="0" y="0"/>
            <wp:positionH relativeFrom="page">
              <wp:posOffset>3105785</wp:posOffset>
            </wp:positionH>
            <wp:positionV relativeFrom="page">
              <wp:posOffset>88900</wp:posOffset>
            </wp:positionV>
            <wp:extent cx="133731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t>410 N. Michigan Ave. Chicago, Illinois 60611, U.S.A</w:t>
      </w:r>
    </w:p>
    <w:p>
      <w:pPr>
        <w:spacing w:after="0" w:line="2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Oil-Dri’s Board of Directors Declares a 14% Increase in Quarterly Dividends</w:t>
      </w:r>
    </w:p>
    <w:p>
      <w:pPr>
        <w:spacing w:after="0" w:line="209"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1"/>
          <w:szCs w:val="21"/>
          <w:color w:val="auto"/>
        </w:rPr>
        <w:t>CHICAGO—(December 10, 2025)—The Board of Directors of Oil-Dri Corporation of America (NYSE: ODC) today declared a two and a half-cent increase in the Company’s quarterly cash dividend per share of Common Stock, representing a 14% gain over the previous quarter. This marks the second time in calendar year 2025 that the Company raised the dividend. The approved dividends will be $0.205 per share of the Company’s Common Stock and $0.153 per share of the Company’s Class B Stock.</w:t>
      </w:r>
    </w:p>
    <w:p>
      <w:pPr>
        <w:spacing w:after="0" w:line="20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“This dividend increase demonstrates our solid financial foundation, strong cash position, and confidence in the Company’s long-term outlook,” said Daniel S. Jaffee, President and Chief Executive Officer of Oil-Dri. “This decision further emphasizes our dedication to delivering sustained, meaningful value to our stockholders.”</w:t>
      </w:r>
    </w:p>
    <w:p>
      <w:pPr>
        <w:spacing w:after="0" w:line="214" w:lineRule="exact"/>
        <w:rPr>
          <w:sz w:val="20"/>
          <w:szCs w:val="20"/>
          <w:color w:val="auto"/>
        </w:rPr>
      </w:pPr>
    </w:p>
    <w:p>
      <w:pPr>
        <w:ind w:right="380"/>
        <w:spacing w:after="0" w:line="250" w:lineRule="auto"/>
        <w:rPr>
          <w:sz w:val="20"/>
          <w:szCs w:val="20"/>
          <w:color w:val="auto"/>
        </w:rPr>
      </w:pPr>
      <w:r>
        <w:rPr>
          <w:rFonts w:ascii="Times New Roman" w:cs="Times New Roman" w:eastAsia="Times New Roman" w:hAnsi="Times New Roman"/>
          <w:sz w:val="22"/>
          <w:szCs w:val="22"/>
          <w:color w:val="auto"/>
        </w:rPr>
        <w:t>The cash dividends will be payable on March 6, 2026 to stockholders of record at the close of business on February 20, 2026. Oil-Dri has paid cash dividends continuously each year since 1974 and has increased dividends annually for twenty-two consecutive years.</w:t>
      </w:r>
    </w:p>
    <w:p>
      <w:pPr>
        <w:spacing w:after="0" w:line="195"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Company’s press release outlining its performance for the second quarter of fiscal year 2026 will be issued after the close of the U.S. stock market on Wednesday, March 11, 2026. Oil-Dri will host an earnings discussion via a live webcast on Thursday, March 12, 2026 at 10:00 a.m. Central Time. Participation details will be posted on the Company’s website’s Events page approximately one week prior to the call.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Oil-Dri Corporation of America</w:t>
      </w:r>
    </w:p>
    <w:p>
      <w:pPr>
        <w:spacing w:after="0" w:line="1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 xml:space="preserve">Oil-Dri Corporation of America (“Oil-Dri”)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w:t>
      </w:r>
      <w:r>
        <w:rPr>
          <w:rFonts w:ascii="Times New Roman" w:cs="Times New Roman" w:eastAsia="Times New Roman" w:hAnsi="Times New Roman"/>
          <w:sz w:val="22"/>
          <w:szCs w:val="22"/>
          <w:i w:val="1"/>
          <w:iCs w:val="1"/>
          <w:color w:val="auto"/>
        </w:rPr>
        <w:t>Create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Value from Sorbent Minerals</w:t>
      </w:r>
      <w:r>
        <w:rPr>
          <w:rFonts w:ascii="Times New Roman" w:cs="Times New Roman" w:eastAsia="Times New Roman" w:hAnsi="Times New Roman"/>
          <w:sz w:val="22"/>
          <w:szCs w:val="22"/>
          <w:color w:val="auto"/>
        </w:rPr>
        <w:t>. To learn more about the Company, please visit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0000FF"/>
        </w:rPr>
        <w:t>oildri.com</w:t>
      </w:r>
      <w:r>
        <w:rPr>
          <w:rFonts w:ascii="Times New Roman" w:cs="Times New Roman" w:eastAsia="Times New Roman" w:hAnsi="Times New Roman"/>
          <w:sz w:val="22"/>
          <w:szCs w:val="22"/>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ind w:right="460"/>
        <w:spacing w:after="0" w:line="239" w:lineRule="auto"/>
        <w:rPr>
          <w:sz w:val="20"/>
          <w:szCs w:val="20"/>
          <w:color w:val="auto"/>
        </w:rPr>
      </w:pPr>
      <w:r>
        <w:rPr>
          <w:rFonts w:ascii="Times New Roman" w:cs="Times New Roman" w:eastAsia="Times New Roman" w:hAnsi="Times New Roman"/>
          <w:sz w:val="22"/>
          <w:szCs w:val="22"/>
          <w:color w:val="auto"/>
        </w:rPr>
        <w:t>Certain statements in this press release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w:t>
      </w:r>
    </w:p>
    <w:p>
      <w:pPr>
        <w:sectPr>
          <w:pgSz w:w="11900" w:h="16838" w:orient="portrait"/>
          <w:cols w:equalWidth="0" w:num="1">
            <w:col w:w="11240"/>
          </w:cols>
          <w:pgMar w:left="320" w:top="919"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397510</wp:posOffset>
            </wp:positionV>
            <wp:extent cx="133731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337310" cy="44577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22"/>
          <w:szCs w:val="22"/>
          <w:color w:val="auto"/>
        </w:rPr>
        <w:t>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variations of such words and similar references to future periods.</w:t>
      </w:r>
    </w:p>
    <w:p>
      <w:pPr>
        <w:spacing w:after="0" w:line="208"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our most recent Annual Report on Form 10-K and from time to time in our other filings with the Securities and Exchange Commission. Investors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31" w:lineRule="auto"/>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Director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line="230" w:lineRule="auto"/>
        <w:rPr>
          <w:sz w:val="20"/>
          <w:szCs w:val="20"/>
          <w:color w:val="auto"/>
        </w:rPr>
      </w:pPr>
      <w:r>
        <w:rPr>
          <w:rFonts w:ascii="Times New Roman" w:cs="Times New Roman" w:eastAsia="Times New Roman" w:hAnsi="Times New Roman"/>
          <w:sz w:val="22"/>
          <w:szCs w:val="22"/>
          <w:color w:val="0000FF"/>
        </w:rPr>
        <w:t>InvestorRelations@oildri.com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2025-12-11T15:15:00Z</dcterms:created>
  <dcterms:modified xsi:type="dcterms:W3CDTF">2025-12-11T15:15:00Z</dcterms:modified>
</cp:coreProperties>
</file>