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0" w:lineRule="exact"/>
        <w:rPr>
          <w:sz w:val="24"/>
          <w:szCs w:val="24"/>
          <w:color w:val="auto"/>
        </w:rPr>
      </w:pPr>
    </w:p>
    <w:p>
      <w:pPr>
        <w:spacing w:after="0" w:line="27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SCHEDULE 13D</w:t>
      </w:r>
    </w:p>
    <w:p>
      <w:pPr>
        <w:spacing w:after="0" w:line="25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Under the Securities Exchange Act of 1934 (Amendment No. 23)</w:t>
      </w:r>
    </w:p>
    <w:p>
      <w:pPr>
        <w:spacing w:after="0" w:line="200" w:lineRule="exact"/>
        <w:rPr>
          <w:sz w:val="24"/>
          <w:szCs w:val="24"/>
          <w:color w:val="auto"/>
        </w:rPr>
      </w:pPr>
    </w:p>
    <w:p>
      <w:pPr>
        <w:spacing w:after="0" w:line="200" w:lineRule="exact"/>
        <w:rPr>
          <w:sz w:val="24"/>
          <w:szCs w:val="24"/>
          <w:color w:val="auto"/>
        </w:rPr>
      </w:pPr>
    </w:p>
    <w:p>
      <w:pPr>
        <w:spacing w:after="0" w:line="34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Oil-Dri Corporation of America</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Issuer)</w:t>
      </w:r>
    </w:p>
    <w:p>
      <w:pPr>
        <w:spacing w:after="0" w:line="23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Common Stock Par Value $0.10 Per Share</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00" w:lineRule="exact"/>
        <w:rPr>
          <w:sz w:val="24"/>
          <w:szCs w:val="24"/>
          <w:color w:val="auto"/>
        </w:rPr>
      </w:pPr>
    </w:p>
    <w:p>
      <w:pPr>
        <w:spacing w:after="0" w:line="281" w:lineRule="exact"/>
        <w:rPr>
          <w:sz w:val="24"/>
          <w:szCs w:val="24"/>
          <w:color w:val="auto"/>
        </w:rPr>
      </w:pPr>
    </w:p>
    <w:p>
      <w:pPr>
        <w:ind w:left="4280"/>
        <w:spacing w:after="0"/>
        <w:rPr>
          <w:sz w:val="20"/>
          <w:szCs w:val="20"/>
          <w:color w:val="auto"/>
        </w:rPr>
      </w:pPr>
      <w:r>
        <w:rPr>
          <w:rFonts w:ascii="Arial" w:cs="Arial" w:eastAsia="Arial" w:hAnsi="Arial"/>
          <w:sz w:val="18"/>
          <w:szCs w:val="18"/>
          <w:color w:val="auto"/>
        </w:rPr>
        <w:t>_________</w:t>
      </w:r>
      <w:r>
        <w:rPr>
          <w:rFonts w:ascii="Arial" w:cs="Arial" w:eastAsia="Arial" w:hAnsi="Arial"/>
          <w:sz w:val="18"/>
          <w:szCs w:val="18"/>
          <w:u w:val="single" w:color="auto"/>
          <w:color w:val="auto"/>
        </w:rPr>
        <w:t>677864100</w:t>
      </w:r>
      <w:r>
        <w:rPr>
          <w:rFonts w:ascii="Arial" w:cs="Arial" w:eastAsia="Arial" w:hAnsi="Arial"/>
          <w:sz w:val="18"/>
          <w:szCs w:val="18"/>
          <w:color w:val="auto"/>
        </w:rPr>
        <w:t>_________</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u w:val="single" w:color="auto"/>
          <w:color w:val="auto"/>
        </w:rPr>
        <w:t>(CUSIP Number)</w:t>
      </w:r>
    </w:p>
    <w:p>
      <w:pPr>
        <w:spacing w:after="0" w:line="23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David Goldman</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GAMCO Investors, Inc.</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One Corporate Center</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Rye, New York 10580-1435</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(914) 921-5000</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(Name, Address and Telephone Number of Person Authorized to Receive Notices and Communications)</w:t>
      </w:r>
    </w:p>
    <w:p>
      <w:pPr>
        <w:spacing w:after="0" w:line="200" w:lineRule="exact"/>
        <w:rPr>
          <w:sz w:val="24"/>
          <w:szCs w:val="24"/>
          <w:color w:val="auto"/>
        </w:rPr>
      </w:pPr>
    </w:p>
    <w:p>
      <w:pPr>
        <w:spacing w:after="0" w:line="281" w:lineRule="exact"/>
        <w:rPr>
          <w:sz w:val="24"/>
          <w:szCs w:val="24"/>
          <w:color w:val="auto"/>
        </w:rPr>
      </w:pPr>
    </w:p>
    <w:p>
      <w:pPr>
        <w:ind w:left="3160"/>
        <w:spacing w:after="0"/>
        <w:rPr>
          <w:sz w:val="20"/>
          <w:szCs w:val="20"/>
          <w:color w:val="auto"/>
        </w:rPr>
      </w:pPr>
      <w:r>
        <w:rPr>
          <w:rFonts w:ascii="Arial" w:cs="Arial" w:eastAsia="Arial" w:hAnsi="Arial"/>
          <w:sz w:val="18"/>
          <w:szCs w:val="18"/>
          <w:color w:val="auto"/>
        </w:rPr>
        <w:t>____________________</w:t>
      </w:r>
      <w:r>
        <w:rPr>
          <w:rFonts w:ascii="Arial" w:cs="Arial" w:eastAsia="Arial" w:hAnsi="Arial"/>
          <w:sz w:val="18"/>
          <w:szCs w:val="18"/>
          <w:u w:val="single" w:color="auto"/>
          <w:color w:val="auto"/>
        </w:rPr>
        <w:t>December 10, 2015</w:t>
      </w:r>
      <w:r>
        <w:rPr>
          <w:rFonts w:ascii="Arial" w:cs="Arial" w:eastAsia="Arial" w:hAnsi="Arial"/>
          <w:sz w:val="18"/>
          <w:szCs w:val="18"/>
          <w:color w:val="auto"/>
        </w:rPr>
        <w:t>_____________________</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Event which Requires Filing of this Statement)</w:t>
      </w:r>
    </w:p>
    <w:p>
      <w:pPr>
        <w:spacing w:after="0" w:line="200" w:lineRule="exact"/>
        <w:rPr>
          <w:sz w:val="24"/>
          <w:szCs w:val="24"/>
          <w:color w:val="auto"/>
        </w:rPr>
      </w:pPr>
    </w:p>
    <w:p>
      <w:pPr>
        <w:spacing w:after="0" w:line="281"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If the filing person has previously filed a statement on Schedule 13G to report the acquisition that is the subject of this Schedule 13D, and is filing this schedule because of §§ 240.13d-1(e), 240.13d-1(f) or 240.13d-1(g), check the following box .</w:t>
      </w:r>
    </w:p>
    <w:p>
      <w:pPr>
        <w:spacing w:after="0" w:line="369"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CUSIP No. 677864100</w:t>
      </w:r>
    </w:p>
    <w:p>
      <w:pPr>
        <w:spacing w:after="0" w:line="23" w:lineRule="exact"/>
        <w:rPr>
          <w:sz w:val="20"/>
          <w:szCs w:val="20"/>
          <w:color w:val="auto"/>
        </w:rPr>
      </w:pPr>
    </w:p>
    <w:p>
      <w:pPr>
        <w:ind w:left="840" w:hanging="458"/>
        <w:spacing w:after="0"/>
        <w:tabs>
          <w:tab w:leader="none" w:pos="84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Names of reporting persons</w:t>
      </w:r>
    </w:p>
    <w:p>
      <w:pPr>
        <w:spacing w:after="0" w:line="9" w:lineRule="exact"/>
        <w:rPr>
          <w:sz w:val="20"/>
          <w:szCs w:val="20"/>
          <w:color w:val="auto"/>
        </w:rPr>
      </w:pPr>
    </w:p>
    <w:p>
      <w:pPr>
        <w:ind w:left="840"/>
        <w:spacing w:after="0"/>
        <w:rPr>
          <w:sz w:val="20"/>
          <w:szCs w:val="20"/>
          <w:color w:val="auto"/>
        </w:rPr>
      </w:pPr>
      <w:r>
        <w:rPr>
          <w:rFonts w:ascii="Arial" w:cs="Arial" w:eastAsia="Arial" w:hAnsi="Arial"/>
          <w:sz w:val="18"/>
          <w:szCs w:val="18"/>
          <w:b w:val="1"/>
          <w:bCs w:val="1"/>
          <w:color w:val="auto"/>
        </w:rPr>
        <w:t>I.R.S. identification nos. of above persons (entities only)</w:t>
      </w:r>
    </w:p>
    <w:p>
      <w:pPr>
        <w:spacing w:after="0" w:line="9" w:lineRule="exact"/>
        <w:rPr>
          <w:sz w:val="20"/>
          <w:szCs w:val="20"/>
          <w:color w:val="auto"/>
        </w:rPr>
      </w:pPr>
    </w:p>
    <w:p>
      <w:pPr>
        <w:ind w:left="840"/>
        <w:spacing w:after="0"/>
        <w:tabs>
          <w:tab w:leader="none" w:pos="3740" w:val="left"/>
        </w:tabs>
        <w:rPr>
          <w:sz w:val="20"/>
          <w:szCs w:val="20"/>
          <w:color w:val="auto"/>
        </w:rPr>
      </w:pPr>
      <w:r>
        <w:rPr>
          <w:rFonts w:ascii="Arial" w:cs="Arial" w:eastAsia="Arial" w:hAnsi="Arial"/>
          <w:sz w:val="18"/>
          <w:szCs w:val="18"/>
          <w:b w:val="1"/>
          <w:bCs w:val="1"/>
          <w:color w:val="auto"/>
        </w:rPr>
        <w:t>Gabelli Funds, LLC</w:t>
      </w:r>
      <w:r>
        <w:rPr>
          <w:sz w:val="20"/>
          <w:szCs w:val="20"/>
          <w:color w:val="auto"/>
        </w:rPr>
        <w:tab/>
      </w:r>
      <w:r>
        <w:rPr>
          <w:rFonts w:ascii="Arial" w:cs="Arial" w:eastAsia="Arial" w:hAnsi="Arial"/>
          <w:sz w:val="17"/>
          <w:szCs w:val="17"/>
          <w:b w:val="1"/>
          <w:bCs w:val="1"/>
          <w:color w:val="auto"/>
        </w:rPr>
        <w:t>I.D. No. 13-4044523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ind w:left="840" w:hanging="458"/>
        <w:spacing w:after="0"/>
        <w:tabs>
          <w:tab w:leader="none" w:pos="84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Check the appropriate box if a member of a group (SEE INSTRUCTIONS) (a)</w:t>
      </w:r>
    </w:p>
    <w:p>
      <w:pPr>
        <w:spacing w:after="0" w:line="200" w:lineRule="exact"/>
        <w:rPr>
          <w:sz w:val="20"/>
          <w:szCs w:val="20"/>
          <w:color w:val="auto"/>
        </w:rPr>
      </w:pPr>
    </w:p>
    <w:p>
      <w:pPr>
        <w:spacing w:after="0" w:line="241" w:lineRule="exact"/>
        <w:rPr>
          <w:sz w:val="20"/>
          <w:szCs w:val="20"/>
          <w:color w:val="auto"/>
        </w:rPr>
      </w:pPr>
    </w:p>
    <w:p>
      <w:pPr>
        <w:ind w:left="7320"/>
        <w:spacing w:after="0"/>
        <w:rPr>
          <w:sz w:val="20"/>
          <w:szCs w:val="20"/>
          <w:color w:val="auto"/>
        </w:rPr>
      </w:pPr>
      <w:r>
        <w:rPr>
          <w:rFonts w:ascii="Arial" w:cs="Arial" w:eastAsia="Arial" w:hAnsi="Arial"/>
          <w:sz w:val="18"/>
          <w:szCs w:val="18"/>
          <w:b w:val="1"/>
          <w:bCs w:val="1"/>
          <w:color w:val="auto"/>
        </w:rPr>
        <w:t>(b)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2" w:lineRule="exact"/>
        <w:rPr>
          <w:sz w:val="20"/>
          <w:szCs w:val="20"/>
          <w:color w:val="auto"/>
        </w:rPr>
      </w:pPr>
    </w:p>
    <w:p>
      <w:pPr>
        <w:ind w:left="840" w:hanging="458"/>
        <w:spacing w:after="0"/>
        <w:tabs>
          <w:tab w:leader="none" w:pos="84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2" w:lineRule="exact"/>
        <w:rPr>
          <w:sz w:val="20"/>
          <w:szCs w:val="20"/>
          <w:color w:val="auto"/>
        </w:rPr>
      </w:pPr>
    </w:p>
    <w:p>
      <w:pPr>
        <w:ind w:left="1020" w:right="7360" w:hanging="638"/>
        <w:spacing w:after="0" w:line="347" w:lineRule="auto"/>
        <w:tabs>
          <w:tab w:leader="none" w:pos="840" w:val="left"/>
        </w:tabs>
        <w:numPr>
          <w:ilvl w:val="0"/>
          <w:numId w:val="4"/>
        </w:numPr>
        <w:rPr>
          <w:rFonts w:ascii="Arial" w:cs="Arial" w:eastAsia="Arial" w:hAnsi="Arial"/>
          <w:sz w:val="16"/>
          <w:szCs w:val="16"/>
          <w:b w:val="1"/>
          <w:bCs w:val="1"/>
          <w:color w:val="auto"/>
        </w:rPr>
      </w:pPr>
      <w:r>
        <w:rPr>
          <w:rFonts w:ascii="Arial" w:cs="Arial" w:eastAsia="Arial" w:hAnsi="Arial"/>
          <w:sz w:val="16"/>
          <w:szCs w:val="16"/>
          <w:b w:val="1"/>
          <w:bCs w:val="1"/>
          <w:color w:val="auto"/>
        </w:rPr>
        <w:t>Source of funds (SEE INSTRUCTIONS) 00-Funds of investment advisory clients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23" w:lineRule="exact"/>
        <w:rPr>
          <w:sz w:val="20"/>
          <w:szCs w:val="20"/>
          <w:color w:val="auto"/>
        </w:rPr>
      </w:pPr>
    </w:p>
    <w:p>
      <w:pPr>
        <w:ind w:left="840"/>
        <w:spacing w:after="0"/>
        <w:rPr>
          <w:sz w:val="20"/>
          <w:szCs w:val="20"/>
          <w:color w:val="auto"/>
        </w:rPr>
      </w:pPr>
      <w:r>
        <w:rPr>
          <w:rFonts w:ascii="Arial" w:cs="Arial" w:eastAsia="Arial" w:hAnsi="Arial"/>
          <w:sz w:val="18"/>
          <w:szCs w:val="18"/>
          <w:b w:val="1"/>
          <w:bCs w:val="1"/>
          <w:color w:val="auto"/>
        </w:rPr>
        <w:t>Check box if disclosure of legal proceedings is required pursuant to items 2 (d) or 2 (e)</w:t>
      </w:r>
    </w:p>
    <w:p>
      <w:pPr>
        <w:spacing w:after="0" w:line="27"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14" w:lineRule="exact"/>
        <w:rPr>
          <w:sz w:val="20"/>
          <w:szCs w:val="20"/>
          <w:color w:val="auto"/>
        </w:rPr>
      </w:pPr>
    </w:p>
    <w:p>
      <w:pPr>
        <w:ind w:left="980" w:right="7840" w:hanging="598"/>
        <w:spacing w:after="0" w:line="282" w:lineRule="auto"/>
        <w:tabs>
          <w:tab w:leader="none" w:pos="845"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Citizenship or place of organization New York</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34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Number Of</w:t>
            </w:r>
          </w:p>
        </w:tc>
        <w:tc>
          <w:tcPr>
            <w:tcW w:w="142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 7</w:t>
            </w:r>
          </w:p>
        </w:tc>
        <w:tc>
          <w:tcPr>
            <w:tcW w:w="6560" w:type="dxa"/>
            <w:vAlign w:val="bottom"/>
            <w:tcBorders>
              <w:top w:val="single" w:sz="8" w:color="auto"/>
            </w:tcBorders>
          </w:tcPr>
          <w:p>
            <w:pPr>
              <w:ind w:left="1180"/>
              <w:spacing w:after="0"/>
              <w:rPr>
                <w:sz w:val="20"/>
                <w:szCs w:val="20"/>
                <w:color w:val="auto"/>
              </w:rPr>
            </w:pPr>
            <w:r>
              <w:rPr>
                <w:rFonts w:ascii="Arial" w:cs="Arial" w:eastAsia="Arial" w:hAnsi="Arial"/>
                <w:sz w:val="18"/>
                <w:szCs w:val="18"/>
                <w:b w:val="1"/>
                <w:bCs w:val="1"/>
                <w:color w:val="auto"/>
              </w:rPr>
              <w:t>Sole voting power</w:t>
            </w:r>
          </w:p>
        </w:tc>
        <w:tc>
          <w:tcPr>
            <w:tcW w:w="0" w:type="dxa"/>
            <w:vAlign w:val="bottom"/>
          </w:tcPr>
          <w:p>
            <w:pPr>
              <w:spacing w:after="0"/>
              <w:rPr>
                <w:sz w:val="1"/>
                <w:szCs w:val="1"/>
                <w:color w:val="auto"/>
              </w:rPr>
            </w:pPr>
          </w:p>
        </w:tc>
      </w:tr>
      <w:tr>
        <w:trPr>
          <w:trHeight w:val="216"/>
        </w:trPr>
        <w:tc>
          <w:tcPr>
            <w:tcW w:w="3440" w:type="dxa"/>
            <w:vAlign w:val="bottom"/>
          </w:tcPr>
          <w:p>
            <w:pPr>
              <w:spacing w:after="0"/>
              <w:rPr>
                <w:sz w:val="18"/>
                <w:szCs w:val="18"/>
                <w:color w:val="auto"/>
              </w:rPr>
            </w:pPr>
          </w:p>
        </w:tc>
        <w:tc>
          <w:tcPr>
            <w:tcW w:w="1420" w:type="dxa"/>
            <w:vAlign w:val="bottom"/>
          </w:tcPr>
          <w:p>
            <w:pPr>
              <w:spacing w:after="0"/>
              <w:rPr>
                <w:sz w:val="20"/>
                <w:szCs w:val="20"/>
                <w:color w:val="auto"/>
              </w:rPr>
            </w:pPr>
            <w:r>
              <w:rPr>
                <w:rFonts w:ascii="Arial" w:cs="Arial" w:eastAsia="Arial" w:hAnsi="Arial"/>
                <w:sz w:val="18"/>
                <w:szCs w:val="18"/>
                <w:b w:val="1"/>
                <w:bCs w:val="1"/>
                <w:color w:val="auto"/>
              </w:rPr>
              <w:t>:</w:t>
            </w:r>
          </w:p>
        </w:tc>
        <w:tc>
          <w:tcPr>
            <w:tcW w:w="6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40" w:type="dxa"/>
            <w:vAlign w:val="bottom"/>
          </w:tcPr>
          <w:p>
            <w:pPr>
              <w:jc w:val="center"/>
              <w:spacing w:after="0"/>
              <w:rPr>
                <w:sz w:val="20"/>
                <w:szCs w:val="20"/>
                <w:color w:val="auto"/>
              </w:rPr>
            </w:pPr>
            <w:r>
              <w:rPr>
                <w:rFonts w:ascii="Arial" w:cs="Arial" w:eastAsia="Arial" w:hAnsi="Arial"/>
                <w:sz w:val="18"/>
                <w:szCs w:val="18"/>
                <w:b w:val="1"/>
                <w:bCs w:val="1"/>
                <w:color w:val="auto"/>
                <w:w w:val="86"/>
              </w:rPr>
              <w:t>Shares</w:t>
            </w:r>
          </w:p>
        </w:tc>
        <w:tc>
          <w:tcPr>
            <w:tcW w:w="1420" w:type="dxa"/>
            <w:vAlign w:val="bottom"/>
          </w:tcPr>
          <w:p>
            <w:pPr>
              <w:spacing w:after="0"/>
              <w:rPr>
                <w:sz w:val="20"/>
                <w:szCs w:val="20"/>
                <w:color w:val="auto"/>
              </w:rPr>
            </w:pPr>
            <w:r>
              <w:rPr>
                <w:rFonts w:ascii="Arial" w:cs="Arial" w:eastAsia="Arial" w:hAnsi="Arial"/>
                <w:sz w:val="18"/>
                <w:szCs w:val="18"/>
                <w:b w:val="1"/>
                <w:bCs w:val="1"/>
                <w:color w:val="auto"/>
              </w:rPr>
              <w:t>:</w:t>
            </w:r>
          </w:p>
        </w:tc>
        <w:tc>
          <w:tcPr>
            <w:tcW w:w="6560" w:type="dxa"/>
            <w:vAlign w:val="bottom"/>
          </w:tcPr>
          <w:p>
            <w:pPr>
              <w:ind w:left="1180"/>
              <w:spacing w:after="0"/>
              <w:rPr>
                <w:sz w:val="20"/>
                <w:szCs w:val="20"/>
                <w:color w:val="auto"/>
              </w:rPr>
            </w:pPr>
            <w:r>
              <w:rPr>
                <w:rFonts w:ascii="Arial" w:cs="Arial" w:eastAsia="Arial" w:hAnsi="Arial"/>
                <w:sz w:val="18"/>
                <w:szCs w:val="18"/>
                <w:b w:val="1"/>
                <w:bCs w:val="1"/>
                <w:color w:val="auto"/>
              </w:rPr>
              <w:t>144,000  (Item 5)</w:t>
            </w:r>
          </w:p>
        </w:tc>
        <w:tc>
          <w:tcPr>
            <w:tcW w:w="0" w:type="dxa"/>
            <w:vAlign w:val="bottom"/>
          </w:tcPr>
          <w:p>
            <w:pPr>
              <w:spacing w:after="0"/>
              <w:rPr>
                <w:sz w:val="1"/>
                <w:szCs w:val="1"/>
                <w:color w:val="auto"/>
              </w:rPr>
            </w:pPr>
          </w:p>
        </w:tc>
      </w:tr>
      <w:tr>
        <w:trPr>
          <w:trHeight w:val="241"/>
        </w:trPr>
        <w:tc>
          <w:tcPr>
            <w:tcW w:w="34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9"/>
              </w:rPr>
              <w:t>Beneficially</w:t>
            </w:r>
          </w:p>
        </w:tc>
        <w:tc>
          <w:tcPr>
            <w:tcW w:w="14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5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440" w:type="dxa"/>
            <w:vAlign w:val="bottom"/>
            <w:vMerge w:val="continue"/>
          </w:tcPr>
          <w:p>
            <w:pPr>
              <w:spacing w:after="0"/>
              <w:rPr>
                <w:sz w:val="17"/>
                <w:szCs w:val="17"/>
                <w:color w:val="auto"/>
              </w:rPr>
            </w:pPr>
          </w:p>
        </w:tc>
        <w:tc>
          <w:tcPr>
            <w:tcW w:w="1420" w:type="dxa"/>
            <w:vAlign w:val="bottom"/>
          </w:tcPr>
          <w:p>
            <w:pPr>
              <w:spacing w:after="0" w:line="198" w:lineRule="exact"/>
              <w:rPr>
                <w:sz w:val="20"/>
                <w:szCs w:val="20"/>
                <w:color w:val="auto"/>
              </w:rPr>
            </w:pPr>
            <w:r>
              <w:rPr>
                <w:rFonts w:ascii="Arial" w:cs="Arial" w:eastAsia="Arial" w:hAnsi="Arial"/>
                <w:sz w:val="18"/>
                <w:szCs w:val="18"/>
                <w:b w:val="1"/>
                <w:bCs w:val="1"/>
                <w:color w:val="auto"/>
              </w:rPr>
              <w:t>: 8</w:t>
            </w:r>
          </w:p>
        </w:tc>
        <w:tc>
          <w:tcPr>
            <w:tcW w:w="6560" w:type="dxa"/>
            <w:vAlign w:val="bottom"/>
          </w:tcPr>
          <w:p>
            <w:pPr>
              <w:ind w:left="1180"/>
              <w:spacing w:after="0" w:line="198" w:lineRule="exact"/>
              <w:rPr>
                <w:sz w:val="20"/>
                <w:szCs w:val="20"/>
                <w:color w:val="auto"/>
              </w:rPr>
            </w:pPr>
            <w:r>
              <w:rPr>
                <w:rFonts w:ascii="Arial" w:cs="Arial" w:eastAsia="Arial" w:hAnsi="Arial"/>
                <w:sz w:val="18"/>
                <w:szCs w:val="18"/>
                <w:b w:val="1"/>
                <w:bCs w:val="1"/>
                <w:color w:val="auto"/>
              </w:rPr>
              <w:t>Shared voting power</w:t>
            </w:r>
          </w:p>
        </w:tc>
        <w:tc>
          <w:tcPr>
            <w:tcW w:w="0" w:type="dxa"/>
            <w:vAlign w:val="bottom"/>
          </w:tcPr>
          <w:p>
            <w:pPr>
              <w:spacing w:after="0"/>
              <w:rPr>
                <w:sz w:val="1"/>
                <w:szCs w:val="1"/>
                <w:color w:val="auto"/>
              </w:rPr>
            </w:pPr>
          </w:p>
        </w:tc>
      </w:tr>
      <w:tr>
        <w:trPr>
          <w:trHeight w:val="216"/>
        </w:trPr>
        <w:tc>
          <w:tcPr>
            <w:tcW w:w="34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3"/>
              </w:rPr>
              <w:t>Owned</w:t>
            </w:r>
          </w:p>
        </w:tc>
        <w:tc>
          <w:tcPr>
            <w:tcW w:w="1420" w:type="dxa"/>
            <w:vAlign w:val="bottom"/>
          </w:tcPr>
          <w:p>
            <w:pPr>
              <w:spacing w:after="0"/>
              <w:rPr>
                <w:sz w:val="20"/>
                <w:szCs w:val="20"/>
                <w:color w:val="auto"/>
              </w:rPr>
            </w:pPr>
            <w:r>
              <w:rPr>
                <w:rFonts w:ascii="Arial" w:cs="Arial" w:eastAsia="Arial" w:hAnsi="Arial"/>
                <w:sz w:val="18"/>
                <w:szCs w:val="18"/>
                <w:b w:val="1"/>
                <w:bCs w:val="1"/>
                <w:color w:val="auto"/>
              </w:rPr>
              <w:t>:</w:t>
            </w:r>
          </w:p>
        </w:tc>
        <w:tc>
          <w:tcPr>
            <w:tcW w:w="6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40" w:type="dxa"/>
            <w:vAlign w:val="bottom"/>
            <w:vMerge w:val="continue"/>
          </w:tcPr>
          <w:p>
            <w:pPr>
              <w:spacing w:after="0"/>
              <w:rPr>
                <w:sz w:val="18"/>
                <w:szCs w:val="18"/>
                <w:color w:val="auto"/>
              </w:rPr>
            </w:pPr>
          </w:p>
        </w:tc>
        <w:tc>
          <w:tcPr>
            <w:tcW w:w="1420" w:type="dxa"/>
            <w:vAlign w:val="bottom"/>
          </w:tcPr>
          <w:p>
            <w:pPr>
              <w:spacing w:after="0"/>
              <w:rPr>
                <w:sz w:val="20"/>
                <w:szCs w:val="20"/>
                <w:color w:val="auto"/>
              </w:rPr>
            </w:pPr>
            <w:r>
              <w:rPr>
                <w:rFonts w:ascii="Arial" w:cs="Arial" w:eastAsia="Arial" w:hAnsi="Arial"/>
                <w:sz w:val="18"/>
                <w:szCs w:val="18"/>
                <w:b w:val="1"/>
                <w:bCs w:val="1"/>
                <w:color w:val="auto"/>
              </w:rPr>
              <w:t>:</w:t>
            </w:r>
          </w:p>
        </w:tc>
        <w:tc>
          <w:tcPr>
            <w:tcW w:w="6560" w:type="dxa"/>
            <w:vAlign w:val="bottom"/>
          </w:tcPr>
          <w:p>
            <w:pPr>
              <w:ind w:left="1180"/>
              <w:spacing w:after="0"/>
              <w:rPr>
                <w:sz w:val="20"/>
                <w:szCs w:val="20"/>
                <w:color w:val="auto"/>
              </w:rPr>
            </w:pPr>
            <w:r>
              <w:rPr>
                <w:rFonts w:ascii="Arial" w:cs="Arial" w:eastAsia="Arial" w:hAnsi="Arial"/>
                <w:sz w:val="18"/>
                <w:szCs w:val="18"/>
                <w:b w:val="1"/>
                <w:bCs w:val="1"/>
                <w:color w:val="auto"/>
              </w:rPr>
              <w:t>None</w:t>
            </w:r>
          </w:p>
        </w:tc>
        <w:tc>
          <w:tcPr>
            <w:tcW w:w="0" w:type="dxa"/>
            <w:vAlign w:val="bottom"/>
          </w:tcPr>
          <w:p>
            <w:pPr>
              <w:spacing w:after="0"/>
              <w:rPr>
                <w:sz w:val="1"/>
                <w:szCs w:val="1"/>
                <w:color w:val="auto"/>
              </w:rPr>
            </w:pPr>
          </w:p>
        </w:tc>
      </w:tr>
      <w:tr>
        <w:trPr>
          <w:trHeight w:val="241"/>
        </w:trPr>
        <w:tc>
          <w:tcPr>
            <w:tcW w:w="34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0"/>
              </w:rPr>
              <w:t>By Each</w:t>
            </w:r>
          </w:p>
        </w:tc>
        <w:tc>
          <w:tcPr>
            <w:tcW w:w="14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5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440" w:type="dxa"/>
            <w:vAlign w:val="bottom"/>
            <w:vMerge w:val="continue"/>
          </w:tcPr>
          <w:p>
            <w:pPr>
              <w:spacing w:after="0"/>
              <w:rPr>
                <w:sz w:val="17"/>
                <w:szCs w:val="17"/>
                <w:color w:val="auto"/>
              </w:rPr>
            </w:pPr>
          </w:p>
        </w:tc>
        <w:tc>
          <w:tcPr>
            <w:tcW w:w="1420" w:type="dxa"/>
            <w:vAlign w:val="bottom"/>
          </w:tcPr>
          <w:p>
            <w:pPr>
              <w:spacing w:after="0" w:line="198" w:lineRule="exact"/>
              <w:rPr>
                <w:sz w:val="20"/>
                <w:szCs w:val="20"/>
                <w:color w:val="auto"/>
              </w:rPr>
            </w:pPr>
            <w:r>
              <w:rPr>
                <w:rFonts w:ascii="Arial" w:cs="Arial" w:eastAsia="Arial" w:hAnsi="Arial"/>
                <w:sz w:val="18"/>
                <w:szCs w:val="18"/>
                <w:b w:val="1"/>
                <w:bCs w:val="1"/>
                <w:color w:val="auto"/>
              </w:rPr>
              <w:t>: 9</w:t>
            </w:r>
          </w:p>
        </w:tc>
        <w:tc>
          <w:tcPr>
            <w:tcW w:w="6560" w:type="dxa"/>
            <w:vAlign w:val="bottom"/>
          </w:tcPr>
          <w:p>
            <w:pPr>
              <w:ind w:left="1180"/>
              <w:spacing w:after="0" w:line="198" w:lineRule="exact"/>
              <w:rPr>
                <w:sz w:val="20"/>
                <w:szCs w:val="20"/>
                <w:color w:val="auto"/>
              </w:rPr>
            </w:pPr>
            <w:r>
              <w:rPr>
                <w:rFonts w:ascii="Arial" w:cs="Arial" w:eastAsia="Arial" w:hAnsi="Arial"/>
                <w:sz w:val="18"/>
                <w:szCs w:val="18"/>
                <w:b w:val="1"/>
                <w:bCs w:val="1"/>
                <w:color w:val="auto"/>
              </w:rPr>
              <w:t>Sole dispositive power</w:t>
            </w:r>
          </w:p>
        </w:tc>
        <w:tc>
          <w:tcPr>
            <w:tcW w:w="0" w:type="dxa"/>
            <w:vAlign w:val="bottom"/>
          </w:tcPr>
          <w:p>
            <w:pPr>
              <w:spacing w:after="0"/>
              <w:rPr>
                <w:sz w:val="1"/>
                <w:szCs w:val="1"/>
                <w:color w:val="auto"/>
              </w:rPr>
            </w:pPr>
          </w:p>
        </w:tc>
      </w:tr>
      <w:tr>
        <w:trPr>
          <w:trHeight w:val="216"/>
        </w:trPr>
        <w:tc>
          <w:tcPr>
            <w:tcW w:w="34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1"/>
              </w:rPr>
              <w:t>Reporting</w:t>
            </w:r>
          </w:p>
        </w:tc>
        <w:tc>
          <w:tcPr>
            <w:tcW w:w="1420" w:type="dxa"/>
            <w:vAlign w:val="bottom"/>
          </w:tcPr>
          <w:p>
            <w:pPr>
              <w:spacing w:after="0"/>
              <w:rPr>
                <w:sz w:val="20"/>
                <w:szCs w:val="20"/>
                <w:color w:val="auto"/>
              </w:rPr>
            </w:pPr>
            <w:r>
              <w:rPr>
                <w:rFonts w:ascii="Arial" w:cs="Arial" w:eastAsia="Arial" w:hAnsi="Arial"/>
                <w:sz w:val="18"/>
                <w:szCs w:val="18"/>
                <w:b w:val="1"/>
                <w:bCs w:val="1"/>
                <w:color w:val="auto"/>
              </w:rPr>
              <w:t>:</w:t>
            </w:r>
          </w:p>
        </w:tc>
        <w:tc>
          <w:tcPr>
            <w:tcW w:w="6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40" w:type="dxa"/>
            <w:vAlign w:val="bottom"/>
            <w:vMerge w:val="continue"/>
          </w:tcPr>
          <w:p>
            <w:pPr>
              <w:spacing w:after="0"/>
              <w:rPr>
                <w:sz w:val="18"/>
                <w:szCs w:val="18"/>
                <w:color w:val="auto"/>
              </w:rPr>
            </w:pPr>
          </w:p>
        </w:tc>
        <w:tc>
          <w:tcPr>
            <w:tcW w:w="1420" w:type="dxa"/>
            <w:vAlign w:val="bottom"/>
          </w:tcPr>
          <w:p>
            <w:pPr>
              <w:spacing w:after="0"/>
              <w:rPr>
                <w:sz w:val="20"/>
                <w:szCs w:val="20"/>
                <w:color w:val="auto"/>
              </w:rPr>
            </w:pPr>
            <w:r>
              <w:rPr>
                <w:rFonts w:ascii="Arial" w:cs="Arial" w:eastAsia="Arial" w:hAnsi="Arial"/>
                <w:sz w:val="18"/>
                <w:szCs w:val="18"/>
                <w:b w:val="1"/>
                <w:bCs w:val="1"/>
                <w:color w:val="auto"/>
              </w:rPr>
              <w:t>:</w:t>
            </w:r>
          </w:p>
        </w:tc>
        <w:tc>
          <w:tcPr>
            <w:tcW w:w="6560" w:type="dxa"/>
            <w:vAlign w:val="bottom"/>
          </w:tcPr>
          <w:p>
            <w:pPr>
              <w:ind w:left="1180"/>
              <w:spacing w:after="0"/>
              <w:rPr>
                <w:sz w:val="20"/>
                <w:szCs w:val="20"/>
                <w:color w:val="auto"/>
              </w:rPr>
            </w:pPr>
            <w:r>
              <w:rPr>
                <w:rFonts w:ascii="Arial" w:cs="Arial" w:eastAsia="Arial" w:hAnsi="Arial"/>
                <w:sz w:val="18"/>
                <w:szCs w:val="18"/>
                <w:b w:val="1"/>
                <w:bCs w:val="1"/>
                <w:color w:val="auto"/>
              </w:rPr>
              <w:t>144,000  (Item 5)</w:t>
            </w:r>
          </w:p>
        </w:tc>
        <w:tc>
          <w:tcPr>
            <w:tcW w:w="0" w:type="dxa"/>
            <w:vAlign w:val="bottom"/>
          </w:tcPr>
          <w:p>
            <w:pPr>
              <w:spacing w:after="0"/>
              <w:rPr>
                <w:sz w:val="1"/>
                <w:szCs w:val="1"/>
                <w:color w:val="auto"/>
              </w:rPr>
            </w:pPr>
          </w:p>
        </w:tc>
      </w:tr>
      <w:tr>
        <w:trPr>
          <w:trHeight w:val="241"/>
        </w:trPr>
        <w:tc>
          <w:tcPr>
            <w:tcW w:w="34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5"/>
              </w:rPr>
              <w:t>Person</w:t>
            </w:r>
          </w:p>
        </w:tc>
        <w:tc>
          <w:tcPr>
            <w:tcW w:w="14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5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35"/>
        </w:trPr>
        <w:tc>
          <w:tcPr>
            <w:tcW w:w="3440" w:type="dxa"/>
            <w:vAlign w:val="bottom"/>
            <w:vMerge w:val="continue"/>
          </w:tcPr>
          <w:p>
            <w:pPr>
              <w:spacing w:after="0"/>
              <w:rPr>
                <w:sz w:val="11"/>
                <w:szCs w:val="11"/>
                <w:color w:val="auto"/>
              </w:rPr>
            </w:pPr>
          </w:p>
        </w:tc>
        <w:tc>
          <w:tcPr>
            <w:tcW w:w="1420" w:type="dxa"/>
            <w:vAlign w:val="bottom"/>
            <w:vMerge w:val="restart"/>
          </w:tcPr>
          <w:p>
            <w:pPr>
              <w:spacing w:after="0" w:line="198" w:lineRule="exact"/>
              <w:rPr>
                <w:sz w:val="20"/>
                <w:szCs w:val="20"/>
                <w:color w:val="auto"/>
              </w:rPr>
            </w:pPr>
            <w:r>
              <w:rPr>
                <w:rFonts w:ascii="Arial" w:cs="Arial" w:eastAsia="Arial" w:hAnsi="Arial"/>
                <w:sz w:val="18"/>
                <w:szCs w:val="18"/>
                <w:b w:val="1"/>
                <w:bCs w:val="1"/>
                <w:color w:val="auto"/>
              </w:rPr>
              <w:t>:10</w:t>
            </w:r>
          </w:p>
        </w:tc>
        <w:tc>
          <w:tcPr>
            <w:tcW w:w="6560" w:type="dxa"/>
            <w:vAlign w:val="bottom"/>
            <w:vMerge w:val="restart"/>
          </w:tcPr>
          <w:p>
            <w:pPr>
              <w:ind w:left="1180"/>
              <w:spacing w:after="0" w:line="198" w:lineRule="exact"/>
              <w:rPr>
                <w:sz w:val="20"/>
                <w:szCs w:val="20"/>
                <w:color w:val="auto"/>
              </w:rPr>
            </w:pPr>
            <w:r>
              <w:rPr>
                <w:rFonts w:ascii="Arial" w:cs="Arial" w:eastAsia="Arial" w:hAnsi="Arial"/>
                <w:sz w:val="18"/>
                <w:szCs w:val="18"/>
                <w:b w:val="1"/>
                <w:bCs w:val="1"/>
                <w:color w:val="auto"/>
              </w:rPr>
              <w:t>Shared dispositive power</w:t>
            </w:r>
          </w:p>
        </w:tc>
        <w:tc>
          <w:tcPr>
            <w:tcW w:w="0" w:type="dxa"/>
            <w:vAlign w:val="bottom"/>
          </w:tcPr>
          <w:p>
            <w:pPr>
              <w:spacing w:after="0"/>
              <w:rPr>
                <w:sz w:val="1"/>
                <w:szCs w:val="1"/>
                <w:color w:val="auto"/>
              </w:rPr>
            </w:pPr>
          </w:p>
        </w:tc>
      </w:tr>
      <w:tr>
        <w:trPr>
          <w:trHeight w:val="63"/>
        </w:trPr>
        <w:tc>
          <w:tcPr>
            <w:tcW w:w="3440" w:type="dxa"/>
            <w:vAlign w:val="bottom"/>
          </w:tcPr>
          <w:p>
            <w:pPr>
              <w:spacing w:after="0"/>
              <w:rPr>
                <w:sz w:val="5"/>
                <w:szCs w:val="5"/>
                <w:color w:val="auto"/>
              </w:rPr>
            </w:pPr>
          </w:p>
        </w:tc>
        <w:tc>
          <w:tcPr>
            <w:tcW w:w="1420" w:type="dxa"/>
            <w:vAlign w:val="bottom"/>
            <w:vMerge w:val="continue"/>
          </w:tcPr>
          <w:p>
            <w:pPr>
              <w:spacing w:after="0"/>
              <w:rPr>
                <w:sz w:val="5"/>
                <w:szCs w:val="5"/>
                <w:color w:val="auto"/>
              </w:rPr>
            </w:pPr>
          </w:p>
        </w:tc>
        <w:tc>
          <w:tcPr>
            <w:tcW w:w="65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3440" w:type="dxa"/>
            <w:vAlign w:val="bottom"/>
            <w:vMerge w:val="restart"/>
          </w:tcPr>
          <w:p>
            <w:pPr>
              <w:jc w:val="center"/>
              <w:spacing w:after="0"/>
              <w:rPr>
                <w:sz w:val="20"/>
                <w:szCs w:val="20"/>
                <w:color w:val="auto"/>
              </w:rPr>
            </w:pPr>
            <w:r>
              <w:rPr>
                <w:rFonts w:ascii="Arial" w:cs="Arial" w:eastAsia="Arial" w:hAnsi="Arial"/>
                <w:sz w:val="18"/>
                <w:szCs w:val="18"/>
                <w:b w:val="1"/>
                <w:bCs w:val="1"/>
                <w:color w:val="auto"/>
              </w:rPr>
              <w:t>With</w:t>
            </w:r>
          </w:p>
        </w:tc>
        <w:tc>
          <w:tcPr>
            <w:tcW w:w="1420" w:type="dxa"/>
            <w:vAlign w:val="bottom"/>
          </w:tcPr>
          <w:p>
            <w:pPr>
              <w:spacing w:after="0"/>
              <w:rPr>
                <w:sz w:val="20"/>
                <w:szCs w:val="20"/>
                <w:color w:val="auto"/>
              </w:rPr>
            </w:pPr>
            <w:r>
              <w:rPr>
                <w:rFonts w:ascii="Arial" w:cs="Arial" w:eastAsia="Arial" w:hAnsi="Arial"/>
                <w:sz w:val="18"/>
                <w:szCs w:val="18"/>
                <w:b w:val="1"/>
                <w:bCs w:val="1"/>
                <w:color w:val="auto"/>
              </w:rPr>
              <w:t>:</w:t>
            </w:r>
          </w:p>
        </w:tc>
        <w:tc>
          <w:tcPr>
            <w:tcW w:w="6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3"/>
        </w:trPr>
        <w:tc>
          <w:tcPr>
            <w:tcW w:w="3440" w:type="dxa"/>
            <w:vAlign w:val="bottom"/>
            <w:vMerge w:val="continue"/>
          </w:tcPr>
          <w:p>
            <w:pPr>
              <w:spacing w:after="0"/>
              <w:rPr>
                <w:sz w:val="13"/>
                <w:szCs w:val="13"/>
                <w:color w:val="auto"/>
              </w:rPr>
            </w:pPr>
          </w:p>
        </w:tc>
        <w:tc>
          <w:tcPr>
            <w:tcW w:w="1420" w:type="dxa"/>
            <w:vAlign w:val="bottom"/>
            <w:vMerge w:val="restart"/>
          </w:tcPr>
          <w:p>
            <w:pPr>
              <w:spacing w:after="0"/>
              <w:rPr>
                <w:sz w:val="20"/>
                <w:szCs w:val="20"/>
                <w:color w:val="auto"/>
              </w:rPr>
            </w:pPr>
            <w:r>
              <w:rPr>
                <w:rFonts w:ascii="Arial" w:cs="Arial" w:eastAsia="Arial" w:hAnsi="Arial"/>
                <w:sz w:val="18"/>
                <w:szCs w:val="18"/>
                <w:b w:val="1"/>
                <w:bCs w:val="1"/>
                <w:color w:val="auto"/>
              </w:rPr>
              <w:t>:</w:t>
            </w:r>
          </w:p>
        </w:tc>
        <w:tc>
          <w:tcPr>
            <w:tcW w:w="6560" w:type="dxa"/>
            <w:vAlign w:val="bottom"/>
            <w:vMerge w:val="restart"/>
          </w:tcPr>
          <w:p>
            <w:pPr>
              <w:ind w:left="1180"/>
              <w:spacing w:after="0"/>
              <w:rPr>
                <w:sz w:val="20"/>
                <w:szCs w:val="20"/>
                <w:color w:val="auto"/>
              </w:rPr>
            </w:pPr>
            <w:r>
              <w:rPr>
                <w:rFonts w:ascii="Arial" w:cs="Arial" w:eastAsia="Arial" w:hAnsi="Arial"/>
                <w:sz w:val="18"/>
                <w:szCs w:val="18"/>
                <w:b w:val="1"/>
                <w:bCs w:val="1"/>
                <w:color w:val="auto"/>
              </w:rPr>
              <w:t>None</w:t>
            </w:r>
          </w:p>
        </w:tc>
        <w:tc>
          <w:tcPr>
            <w:tcW w:w="0" w:type="dxa"/>
            <w:vAlign w:val="bottom"/>
          </w:tcPr>
          <w:p>
            <w:pPr>
              <w:spacing w:after="0"/>
              <w:rPr>
                <w:sz w:val="1"/>
                <w:szCs w:val="1"/>
                <w:color w:val="auto"/>
              </w:rPr>
            </w:pPr>
          </w:p>
        </w:tc>
      </w:tr>
      <w:tr>
        <w:trPr>
          <w:trHeight w:val="63"/>
        </w:trPr>
        <w:tc>
          <w:tcPr>
            <w:tcW w:w="3440" w:type="dxa"/>
            <w:vAlign w:val="bottom"/>
          </w:tcPr>
          <w:p>
            <w:pPr>
              <w:spacing w:after="0"/>
              <w:rPr>
                <w:sz w:val="5"/>
                <w:szCs w:val="5"/>
                <w:color w:val="auto"/>
              </w:rPr>
            </w:pPr>
          </w:p>
        </w:tc>
        <w:tc>
          <w:tcPr>
            <w:tcW w:w="1420" w:type="dxa"/>
            <w:vAlign w:val="bottom"/>
            <w:vMerge w:val="continue"/>
          </w:tcPr>
          <w:p>
            <w:pPr>
              <w:spacing w:after="0"/>
              <w:rPr>
                <w:sz w:val="5"/>
                <w:szCs w:val="5"/>
                <w:color w:val="auto"/>
              </w:rPr>
            </w:pPr>
          </w:p>
        </w:tc>
        <w:tc>
          <w:tcPr>
            <w:tcW w:w="65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34"/>
        </w:trPr>
        <w:tc>
          <w:tcPr>
            <w:tcW w:w="3440" w:type="dxa"/>
            <w:vAlign w:val="bottom"/>
          </w:tcPr>
          <w:p>
            <w:pPr>
              <w:spacing w:after="0"/>
              <w:rPr>
                <w:sz w:val="20"/>
                <w:szCs w:val="20"/>
                <w:color w:val="auto"/>
              </w:rPr>
            </w:pPr>
          </w:p>
        </w:tc>
        <w:tc>
          <w:tcPr>
            <w:tcW w:w="1420" w:type="dxa"/>
            <w:vAlign w:val="bottom"/>
          </w:tcPr>
          <w:p>
            <w:pPr>
              <w:spacing w:after="0"/>
              <w:rPr>
                <w:sz w:val="20"/>
                <w:szCs w:val="20"/>
                <w:color w:val="auto"/>
              </w:rPr>
            </w:pPr>
            <w:r>
              <w:rPr>
                <w:rFonts w:ascii="Arial" w:cs="Arial" w:eastAsia="Arial" w:hAnsi="Arial"/>
                <w:sz w:val="18"/>
                <w:szCs w:val="18"/>
                <w:b w:val="1"/>
                <w:bCs w:val="1"/>
                <w:color w:val="auto"/>
              </w:rPr>
              <w:t>:</w:t>
            </w:r>
          </w:p>
        </w:tc>
        <w:tc>
          <w:tcPr>
            <w:tcW w:w="65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ind w:left="840" w:right="5720" w:hanging="832"/>
        <w:spacing w:after="0" w:line="516" w:lineRule="auto"/>
        <w:tabs>
          <w:tab w:leader="none" w:pos="84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Aggregate amount beneficially owned by each reporting person 144,000 (Item 5)</w:t>
      </w:r>
    </w:p>
    <w:p>
      <w:pPr>
        <w:spacing w:after="0" w:line="1" w:lineRule="exact"/>
        <w:rPr>
          <w:rFonts w:ascii="Arial" w:cs="Arial" w:eastAsia="Arial" w:hAnsi="Arial"/>
          <w:sz w:val="18"/>
          <w:szCs w:val="18"/>
          <w:b w:val="1"/>
          <w:bCs w:val="1"/>
          <w:color w:val="auto"/>
        </w:rPr>
      </w:pPr>
    </w:p>
    <w:p>
      <w:pPr>
        <w:ind w:left="840" w:hanging="832"/>
        <w:spacing w:after="0"/>
        <w:tabs>
          <w:tab w:leader="none" w:pos="84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Check box if the aggregate amount in row (11) excludes certain shares</w:t>
      </w:r>
    </w:p>
    <w:p>
      <w:pPr>
        <w:spacing w:after="0" w:line="27" w:lineRule="exact"/>
        <w:rPr>
          <w:rFonts w:ascii="Arial" w:cs="Arial" w:eastAsia="Arial" w:hAnsi="Arial"/>
          <w:sz w:val="18"/>
          <w:szCs w:val="18"/>
          <w:b w:val="1"/>
          <w:bCs w:val="1"/>
          <w:color w:val="auto"/>
        </w:rPr>
      </w:pPr>
    </w:p>
    <w:p>
      <w:pPr>
        <w:ind w:left="84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(SEE INSTRUCTIONS)</w:t>
      </w:r>
    </w:p>
    <w:p>
      <w:pPr>
        <w:spacing w:after="0" w:line="200" w:lineRule="exact"/>
        <w:rPr>
          <w:rFonts w:ascii="Arial" w:cs="Arial" w:eastAsia="Arial" w:hAnsi="Arial"/>
          <w:sz w:val="18"/>
          <w:szCs w:val="18"/>
          <w:b w:val="1"/>
          <w:bCs w:val="1"/>
          <w:color w:val="auto"/>
        </w:rPr>
      </w:pPr>
    </w:p>
    <w:p>
      <w:pPr>
        <w:spacing w:after="0" w:line="249" w:lineRule="exact"/>
        <w:rPr>
          <w:rFonts w:ascii="Arial" w:cs="Arial" w:eastAsia="Arial" w:hAnsi="Arial"/>
          <w:sz w:val="18"/>
          <w:szCs w:val="18"/>
          <w:b w:val="1"/>
          <w:bCs w:val="1"/>
          <w:color w:val="auto"/>
        </w:rPr>
      </w:pPr>
    </w:p>
    <w:p>
      <w:pPr>
        <w:ind w:left="840" w:right="6700" w:hanging="832"/>
        <w:spacing w:after="0" w:line="516" w:lineRule="auto"/>
        <w:tabs>
          <w:tab w:leader="none" w:pos="84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Percent of class represented by amount in row (11) 2.85%</w:t>
      </w:r>
    </w:p>
    <w:p>
      <w:pPr>
        <w:spacing w:after="0" w:line="1" w:lineRule="exact"/>
        <w:rPr>
          <w:rFonts w:ascii="Arial" w:cs="Arial" w:eastAsia="Arial" w:hAnsi="Arial"/>
          <w:sz w:val="18"/>
          <w:szCs w:val="18"/>
          <w:b w:val="1"/>
          <w:bCs w:val="1"/>
          <w:color w:val="auto"/>
        </w:rPr>
      </w:pPr>
    </w:p>
    <w:p>
      <w:pPr>
        <w:ind w:left="840" w:hanging="832"/>
        <w:spacing w:after="0"/>
        <w:tabs>
          <w:tab w:leader="none" w:pos="84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Type of reporting person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-1268095</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-702310</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-136525</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7" w:lineRule="exact"/>
        <w:rPr>
          <w:sz w:val="20"/>
          <w:szCs w:val="20"/>
          <w:color w:val="auto"/>
        </w:rPr>
      </w:pPr>
    </w:p>
    <w:p>
      <w:pPr>
        <w:ind w:left="1020"/>
        <w:spacing w:after="0"/>
        <w:rPr>
          <w:sz w:val="20"/>
          <w:szCs w:val="20"/>
          <w:color w:val="auto"/>
        </w:rPr>
      </w:pPr>
      <w:r>
        <w:rPr>
          <w:rFonts w:ascii="Arial" w:cs="Arial" w:eastAsia="Arial" w:hAnsi="Arial"/>
          <w:sz w:val="18"/>
          <w:szCs w:val="18"/>
          <w:b w:val="1"/>
          <w:bCs w:val="1"/>
          <w:color w:val="auto"/>
        </w:rPr>
        <w:t>IA,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t>CUSIP No. 677864100</w:t>
      </w:r>
    </w:p>
    <w:p>
      <w:pPr>
        <w:spacing w:after="0" w:line="23" w:lineRule="exact"/>
        <w:rPr>
          <w:sz w:val="20"/>
          <w:szCs w:val="20"/>
          <w:color w:val="auto"/>
        </w:rPr>
      </w:pPr>
    </w:p>
    <w:p>
      <w:pPr>
        <w:ind w:left="840" w:hanging="458"/>
        <w:spacing w:after="0"/>
        <w:tabs>
          <w:tab w:leader="none" w:pos="84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Names of reporting persons</w:t>
      </w:r>
    </w:p>
    <w:p>
      <w:pPr>
        <w:spacing w:after="0" w:line="9" w:lineRule="exact"/>
        <w:rPr>
          <w:rFonts w:ascii="Arial" w:cs="Arial" w:eastAsia="Arial" w:hAnsi="Arial"/>
          <w:sz w:val="18"/>
          <w:szCs w:val="18"/>
          <w:b w:val="1"/>
          <w:bCs w:val="1"/>
          <w:color w:val="auto"/>
        </w:rPr>
      </w:pPr>
    </w:p>
    <w:p>
      <w:pPr>
        <w:jc w:val="both"/>
        <w:ind w:left="840" w:right="6300"/>
        <w:spacing w:after="0" w:line="287" w:lineRule="auto"/>
        <w:rPr>
          <w:rFonts w:ascii="Arial" w:cs="Arial" w:eastAsia="Arial" w:hAnsi="Arial"/>
          <w:sz w:val="18"/>
          <w:szCs w:val="18"/>
          <w:b w:val="1"/>
          <w:bCs w:val="1"/>
          <w:color w:val="auto"/>
        </w:rPr>
      </w:pPr>
      <w:r>
        <w:rPr>
          <w:rFonts w:ascii="Arial" w:cs="Arial" w:eastAsia="Arial" w:hAnsi="Arial"/>
          <w:sz w:val="16"/>
          <w:szCs w:val="16"/>
          <w:b w:val="1"/>
          <w:bCs w:val="1"/>
          <w:color w:val="auto"/>
        </w:rPr>
        <w:t>I.R.S. identification nos. of above persons (entities only) GAMCO Asset Management, Inc. I.D. No. 13-4044521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ind w:left="840" w:hanging="458"/>
        <w:spacing w:after="0"/>
        <w:tabs>
          <w:tab w:leader="none" w:pos="84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Check the appropriate box if a member of a group (SEE INSTRUCTIONS) (a)</w:t>
      </w:r>
    </w:p>
    <w:p>
      <w:pPr>
        <w:spacing w:after="0" w:line="200" w:lineRule="exact"/>
        <w:rPr>
          <w:sz w:val="20"/>
          <w:szCs w:val="20"/>
          <w:color w:val="auto"/>
        </w:rPr>
      </w:pPr>
    </w:p>
    <w:p>
      <w:pPr>
        <w:spacing w:after="0" w:line="241" w:lineRule="exact"/>
        <w:rPr>
          <w:sz w:val="20"/>
          <w:szCs w:val="20"/>
          <w:color w:val="auto"/>
        </w:rPr>
      </w:pPr>
    </w:p>
    <w:p>
      <w:pPr>
        <w:ind w:left="7320"/>
        <w:spacing w:after="0"/>
        <w:rPr>
          <w:sz w:val="20"/>
          <w:szCs w:val="20"/>
          <w:color w:val="auto"/>
        </w:rPr>
      </w:pPr>
      <w:r>
        <w:rPr>
          <w:rFonts w:ascii="Arial" w:cs="Arial" w:eastAsia="Arial" w:hAnsi="Arial"/>
          <w:sz w:val="18"/>
          <w:szCs w:val="18"/>
          <w:b w:val="1"/>
          <w:bCs w:val="1"/>
          <w:color w:val="auto"/>
        </w:rPr>
        <w:t>(b)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2" w:lineRule="exact"/>
        <w:rPr>
          <w:sz w:val="20"/>
          <w:szCs w:val="20"/>
          <w:color w:val="auto"/>
        </w:rPr>
      </w:pPr>
    </w:p>
    <w:p>
      <w:pPr>
        <w:ind w:left="840" w:hanging="458"/>
        <w:spacing w:after="0"/>
        <w:tabs>
          <w:tab w:leader="none" w:pos="84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2" w:lineRule="exact"/>
        <w:rPr>
          <w:sz w:val="20"/>
          <w:szCs w:val="20"/>
          <w:color w:val="auto"/>
        </w:rPr>
      </w:pPr>
    </w:p>
    <w:p>
      <w:pPr>
        <w:jc w:val="both"/>
        <w:ind w:left="900" w:right="7460" w:hanging="518"/>
        <w:spacing w:after="0" w:line="347" w:lineRule="auto"/>
        <w:tabs>
          <w:tab w:leader="none" w:pos="855" w:val="left"/>
        </w:tabs>
        <w:numPr>
          <w:ilvl w:val="0"/>
          <w:numId w:val="10"/>
        </w:numPr>
        <w:rPr>
          <w:rFonts w:ascii="Arial" w:cs="Arial" w:eastAsia="Arial" w:hAnsi="Arial"/>
          <w:sz w:val="16"/>
          <w:szCs w:val="16"/>
          <w:b w:val="1"/>
          <w:bCs w:val="1"/>
          <w:color w:val="auto"/>
        </w:rPr>
      </w:pPr>
      <w:r>
        <w:rPr>
          <w:rFonts w:ascii="Arial" w:cs="Arial" w:eastAsia="Arial" w:hAnsi="Arial"/>
          <w:sz w:val="16"/>
          <w:szCs w:val="16"/>
          <w:b w:val="1"/>
          <w:bCs w:val="1"/>
          <w:color w:val="auto"/>
        </w:rPr>
        <w:t>Source of funds (SEE INSTRUCTIONS) 00-Funds of investment advisory clients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23" w:lineRule="exact"/>
        <w:rPr>
          <w:sz w:val="20"/>
          <w:szCs w:val="20"/>
          <w:color w:val="auto"/>
        </w:rPr>
      </w:pPr>
    </w:p>
    <w:p>
      <w:pPr>
        <w:ind w:left="840" w:hanging="458"/>
        <w:spacing w:after="0"/>
        <w:tabs>
          <w:tab w:leader="none" w:pos="84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Check box if disclosure of legal proceedings is required pursuant to items 2 (d) or 2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292100</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980" w:right="7840" w:hanging="598"/>
        <w:spacing w:after="0" w:line="282" w:lineRule="auto"/>
        <w:tabs>
          <w:tab w:leader="none" w:pos="845"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Citizenship or place of organization New York</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34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Number Of</w:t>
            </w:r>
          </w:p>
        </w:tc>
        <w:tc>
          <w:tcPr>
            <w:tcW w:w="142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 7</w:t>
            </w:r>
          </w:p>
        </w:tc>
        <w:tc>
          <w:tcPr>
            <w:tcW w:w="6560" w:type="dxa"/>
            <w:vAlign w:val="bottom"/>
            <w:tcBorders>
              <w:top w:val="single" w:sz="8" w:color="auto"/>
            </w:tcBorders>
          </w:tcPr>
          <w:p>
            <w:pPr>
              <w:ind w:left="1180"/>
              <w:spacing w:after="0"/>
              <w:rPr>
                <w:sz w:val="20"/>
                <w:szCs w:val="20"/>
                <w:color w:val="auto"/>
              </w:rPr>
            </w:pPr>
            <w:r>
              <w:rPr>
                <w:rFonts w:ascii="Arial" w:cs="Arial" w:eastAsia="Arial" w:hAnsi="Arial"/>
                <w:sz w:val="18"/>
                <w:szCs w:val="18"/>
                <w:b w:val="1"/>
                <w:bCs w:val="1"/>
                <w:color w:val="auto"/>
              </w:rPr>
              <w:t>Sole voting power</w:t>
            </w:r>
          </w:p>
        </w:tc>
        <w:tc>
          <w:tcPr>
            <w:tcW w:w="0" w:type="dxa"/>
            <w:vAlign w:val="bottom"/>
          </w:tcPr>
          <w:p>
            <w:pPr>
              <w:spacing w:after="0"/>
              <w:rPr>
                <w:sz w:val="1"/>
                <w:szCs w:val="1"/>
                <w:color w:val="auto"/>
              </w:rPr>
            </w:pPr>
          </w:p>
        </w:tc>
      </w:tr>
      <w:tr>
        <w:trPr>
          <w:trHeight w:val="216"/>
        </w:trPr>
        <w:tc>
          <w:tcPr>
            <w:tcW w:w="3440" w:type="dxa"/>
            <w:vAlign w:val="bottom"/>
          </w:tcPr>
          <w:p>
            <w:pPr>
              <w:spacing w:after="0"/>
              <w:rPr>
                <w:sz w:val="18"/>
                <w:szCs w:val="18"/>
                <w:color w:val="auto"/>
              </w:rPr>
            </w:pPr>
          </w:p>
        </w:tc>
        <w:tc>
          <w:tcPr>
            <w:tcW w:w="1420" w:type="dxa"/>
            <w:vAlign w:val="bottom"/>
          </w:tcPr>
          <w:p>
            <w:pPr>
              <w:spacing w:after="0"/>
              <w:rPr>
                <w:sz w:val="20"/>
                <w:szCs w:val="20"/>
                <w:color w:val="auto"/>
              </w:rPr>
            </w:pPr>
            <w:r>
              <w:rPr>
                <w:rFonts w:ascii="Arial" w:cs="Arial" w:eastAsia="Arial" w:hAnsi="Arial"/>
                <w:sz w:val="18"/>
                <w:szCs w:val="18"/>
                <w:b w:val="1"/>
                <w:bCs w:val="1"/>
                <w:color w:val="auto"/>
              </w:rPr>
              <w:t>:</w:t>
            </w:r>
          </w:p>
        </w:tc>
        <w:tc>
          <w:tcPr>
            <w:tcW w:w="6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40" w:type="dxa"/>
            <w:vAlign w:val="bottom"/>
          </w:tcPr>
          <w:p>
            <w:pPr>
              <w:jc w:val="center"/>
              <w:spacing w:after="0"/>
              <w:rPr>
                <w:sz w:val="20"/>
                <w:szCs w:val="20"/>
                <w:color w:val="auto"/>
              </w:rPr>
            </w:pPr>
            <w:r>
              <w:rPr>
                <w:rFonts w:ascii="Arial" w:cs="Arial" w:eastAsia="Arial" w:hAnsi="Arial"/>
                <w:sz w:val="18"/>
                <w:szCs w:val="18"/>
                <w:b w:val="1"/>
                <w:bCs w:val="1"/>
                <w:color w:val="auto"/>
                <w:w w:val="86"/>
              </w:rPr>
              <w:t>Shares</w:t>
            </w:r>
          </w:p>
        </w:tc>
        <w:tc>
          <w:tcPr>
            <w:tcW w:w="1420" w:type="dxa"/>
            <w:vAlign w:val="bottom"/>
          </w:tcPr>
          <w:p>
            <w:pPr>
              <w:spacing w:after="0"/>
              <w:rPr>
                <w:sz w:val="20"/>
                <w:szCs w:val="20"/>
                <w:color w:val="auto"/>
              </w:rPr>
            </w:pPr>
            <w:r>
              <w:rPr>
                <w:rFonts w:ascii="Arial" w:cs="Arial" w:eastAsia="Arial" w:hAnsi="Arial"/>
                <w:sz w:val="18"/>
                <w:szCs w:val="18"/>
                <w:b w:val="1"/>
                <w:bCs w:val="1"/>
                <w:color w:val="auto"/>
              </w:rPr>
              <w:t>:</w:t>
            </w:r>
          </w:p>
        </w:tc>
        <w:tc>
          <w:tcPr>
            <w:tcW w:w="6560" w:type="dxa"/>
            <w:vAlign w:val="bottom"/>
          </w:tcPr>
          <w:p>
            <w:pPr>
              <w:ind w:left="1180"/>
              <w:spacing w:after="0"/>
              <w:rPr>
                <w:sz w:val="20"/>
                <w:szCs w:val="20"/>
                <w:color w:val="auto"/>
              </w:rPr>
            </w:pPr>
            <w:r>
              <w:rPr>
                <w:rFonts w:ascii="Arial" w:cs="Arial" w:eastAsia="Arial" w:hAnsi="Arial"/>
                <w:sz w:val="18"/>
                <w:szCs w:val="18"/>
                <w:b w:val="1"/>
                <w:bCs w:val="1"/>
                <w:color w:val="auto"/>
              </w:rPr>
              <w:t>512,054 (Item 5)</w:t>
            </w:r>
          </w:p>
        </w:tc>
        <w:tc>
          <w:tcPr>
            <w:tcW w:w="0" w:type="dxa"/>
            <w:vAlign w:val="bottom"/>
          </w:tcPr>
          <w:p>
            <w:pPr>
              <w:spacing w:after="0"/>
              <w:rPr>
                <w:sz w:val="1"/>
                <w:szCs w:val="1"/>
                <w:color w:val="auto"/>
              </w:rPr>
            </w:pPr>
          </w:p>
        </w:tc>
      </w:tr>
      <w:tr>
        <w:trPr>
          <w:trHeight w:val="241"/>
        </w:trPr>
        <w:tc>
          <w:tcPr>
            <w:tcW w:w="34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9"/>
              </w:rPr>
              <w:t>Beneficially</w:t>
            </w:r>
          </w:p>
        </w:tc>
        <w:tc>
          <w:tcPr>
            <w:tcW w:w="14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5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440" w:type="dxa"/>
            <w:vAlign w:val="bottom"/>
            <w:vMerge w:val="continue"/>
          </w:tcPr>
          <w:p>
            <w:pPr>
              <w:spacing w:after="0"/>
              <w:rPr>
                <w:sz w:val="17"/>
                <w:szCs w:val="17"/>
                <w:color w:val="auto"/>
              </w:rPr>
            </w:pPr>
          </w:p>
        </w:tc>
        <w:tc>
          <w:tcPr>
            <w:tcW w:w="1420" w:type="dxa"/>
            <w:vAlign w:val="bottom"/>
          </w:tcPr>
          <w:p>
            <w:pPr>
              <w:spacing w:after="0" w:line="198" w:lineRule="exact"/>
              <w:rPr>
                <w:sz w:val="20"/>
                <w:szCs w:val="20"/>
                <w:color w:val="auto"/>
              </w:rPr>
            </w:pPr>
            <w:r>
              <w:rPr>
                <w:rFonts w:ascii="Arial" w:cs="Arial" w:eastAsia="Arial" w:hAnsi="Arial"/>
                <w:sz w:val="18"/>
                <w:szCs w:val="18"/>
                <w:b w:val="1"/>
                <w:bCs w:val="1"/>
                <w:color w:val="auto"/>
              </w:rPr>
              <w:t>: 8</w:t>
            </w:r>
          </w:p>
        </w:tc>
        <w:tc>
          <w:tcPr>
            <w:tcW w:w="6560" w:type="dxa"/>
            <w:vAlign w:val="bottom"/>
          </w:tcPr>
          <w:p>
            <w:pPr>
              <w:ind w:left="1180"/>
              <w:spacing w:after="0" w:line="198" w:lineRule="exact"/>
              <w:rPr>
                <w:sz w:val="20"/>
                <w:szCs w:val="20"/>
                <w:color w:val="auto"/>
              </w:rPr>
            </w:pPr>
            <w:r>
              <w:rPr>
                <w:rFonts w:ascii="Arial" w:cs="Arial" w:eastAsia="Arial" w:hAnsi="Arial"/>
                <w:sz w:val="18"/>
                <w:szCs w:val="18"/>
                <w:b w:val="1"/>
                <w:bCs w:val="1"/>
                <w:color w:val="auto"/>
              </w:rPr>
              <w:t>Shared voting power</w:t>
            </w:r>
          </w:p>
        </w:tc>
        <w:tc>
          <w:tcPr>
            <w:tcW w:w="0" w:type="dxa"/>
            <w:vAlign w:val="bottom"/>
          </w:tcPr>
          <w:p>
            <w:pPr>
              <w:spacing w:after="0"/>
              <w:rPr>
                <w:sz w:val="1"/>
                <w:szCs w:val="1"/>
                <w:color w:val="auto"/>
              </w:rPr>
            </w:pPr>
          </w:p>
        </w:tc>
      </w:tr>
      <w:tr>
        <w:trPr>
          <w:trHeight w:val="216"/>
        </w:trPr>
        <w:tc>
          <w:tcPr>
            <w:tcW w:w="34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3"/>
              </w:rPr>
              <w:t>Owned</w:t>
            </w:r>
          </w:p>
        </w:tc>
        <w:tc>
          <w:tcPr>
            <w:tcW w:w="1420" w:type="dxa"/>
            <w:vAlign w:val="bottom"/>
          </w:tcPr>
          <w:p>
            <w:pPr>
              <w:spacing w:after="0"/>
              <w:rPr>
                <w:sz w:val="20"/>
                <w:szCs w:val="20"/>
                <w:color w:val="auto"/>
              </w:rPr>
            </w:pPr>
            <w:r>
              <w:rPr>
                <w:rFonts w:ascii="Arial" w:cs="Arial" w:eastAsia="Arial" w:hAnsi="Arial"/>
                <w:sz w:val="18"/>
                <w:szCs w:val="18"/>
                <w:b w:val="1"/>
                <w:bCs w:val="1"/>
                <w:color w:val="auto"/>
              </w:rPr>
              <w:t>:</w:t>
            </w:r>
          </w:p>
        </w:tc>
        <w:tc>
          <w:tcPr>
            <w:tcW w:w="6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40" w:type="dxa"/>
            <w:vAlign w:val="bottom"/>
            <w:vMerge w:val="continue"/>
          </w:tcPr>
          <w:p>
            <w:pPr>
              <w:spacing w:after="0"/>
              <w:rPr>
                <w:sz w:val="18"/>
                <w:szCs w:val="18"/>
                <w:color w:val="auto"/>
              </w:rPr>
            </w:pPr>
          </w:p>
        </w:tc>
        <w:tc>
          <w:tcPr>
            <w:tcW w:w="1420" w:type="dxa"/>
            <w:vAlign w:val="bottom"/>
          </w:tcPr>
          <w:p>
            <w:pPr>
              <w:spacing w:after="0"/>
              <w:rPr>
                <w:sz w:val="20"/>
                <w:szCs w:val="20"/>
                <w:color w:val="auto"/>
              </w:rPr>
            </w:pPr>
            <w:r>
              <w:rPr>
                <w:rFonts w:ascii="Arial" w:cs="Arial" w:eastAsia="Arial" w:hAnsi="Arial"/>
                <w:sz w:val="18"/>
                <w:szCs w:val="18"/>
                <w:b w:val="1"/>
                <w:bCs w:val="1"/>
                <w:color w:val="auto"/>
              </w:rPr>
              <w:t>:</w:t>
            </w:r>
          </w:p>
        </w:tc>
        <w:tc>
          <w:tcPr>
            <w:tcW w:w="6560" w:type="dxa"/>
            <w:vAlign w:val="bottom"/>
          </w:tcPr>
          <w:p>
            <w:pPr>
              <w:ind w:left="1180"/>
              <w:spacing w:after="0"/>
              <w:rPr>
                <w:sz w:val="20"/>
                <w:szCs w:val="20"/>
                <w:color w:val="auto"/>
              </w:rPr>
            </w:pPr>
            <w:r>
              <w:rPr>
                <w:rFonts w:ascii="Arial" w:cs="Arial" w:eastAsia="Arial" w:hAnsi="Arial"/>
                <w:sz w:val="18"/>
                <w:szCs w:val="18"/>
                <w:b w:val="1"/>
                <w:bCs w:val="1"/>
                <w:color w:val="auto"/>
              </w:rPr>
              <w:t>None</w:t>
            </w:r>
          </w:p>
        </w:tc>
        <w:tc>
          <w:tcPr>
            <w:tcW w:w="0" w:type="dxa"/>
            <w:vAlign w:val="bottom"/>
          </w:tcPr>
          <w:p>
            <w:pPr>
              <w:spacing w:after="0"/>
              <w:rPr>
                <w:sz w:val="1"/>
                <w:szCs w:val="1"/>
                <w:color w:val="auto"/>
              </w:rPr>
            </w:pPr>
          </w:p>
        </w:tc>
      </w:tr>
      <w:tr>
        <w:trPr>
          <w:trHeight w:val="241"/>
        </w:trPr>
        <w:tc>
          <w:tcPr>
            <w:tcW w:w="34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0"/>
              </w:rPr>
              <w:t>By Each</w:t>
            </w:r>
          </w:p>
        </w:tc>
        <w:tc>
          <w:tcPr>
            <w:tcW w:w="14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5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440" w:type="dxa"/>
            <w:vAlign w:val="bottom"/>
            <w:vMerge w:val="continue"/>
          </w:tcPr>
          <w:p>
            <w:pPr>
              <w:spacing w:after="0"/>
              <w:rPr>
                <w:sz w:val="17"/>
                <w:szCs w:val="17"/>
                <w:color w:val="auto"/>
              </w:rPr>
            </w:pPr>
          </w:p>
        </w:tc>
        <w:tc>
          <w:tcPr>
            <w:tcW w:w="1420" w:type="dxa"/>
            <w:vAlign w:val="bottom"/>
          </w:tcPr>
          <w:p>
            <w:pPr>
              <w:spacing w:after="0" w:line="198" w:lineRule="exact"/>
              <w:rPr>
                <w:sz w:val="20"/>
                <w:szCs w:val="20"/>
                <w:color w:val="auto"/>
              </w:rPr>
            </w:pPr>
            <w:r>
              <w:rPr>
                <w:rFonts w:ascii="Arial" w:cs="Arial" w:eastAsia="Arial" w:hAnsi="Arial"/>
                <w:sz w:val="18"/>
                <w:szCs w:val="18"/>
                <w:b w:val="1"/>
                <w:bCs w:val="1"/>
                <w:color w:val="auto"/>
              </w:rPr>
              <w:t>: 9</w:t>
            </w:r>
          </w:p>
        </w:tc>
        <w:tc>
          <w:tcPr>
            <w:tcW w:w="6560" w:type="dxa"/>
            <w:vAlign w:val="bottom"/>
          </w:tcPr>
          <w:p>
            <w:pPr>
              <w:ind w:left="1180"/>
              <w:spacing w:after="0" w:line="198" w:lineRule="exact"/>
              <w:rPr>
                <w:sz w:val="20"/>
                <w:szCs w:val="20"/>
                <w:color w:val="auto"/>
              </w:rPr>
            </w:pPr>
            <w:r>
              <w:rPr>
                <w:rFonts w:ascii="Arial" w:cs="Arial" w:eastAsia="Arial" w:hAnsi="Arial"/>
                <w:sz w:val="18"/>
                <w:szCs w:val="18"/>
                <w:b w:val="1"/>
                <w:bCs w:val="1"/>
                <w:color w:val="auto"/>
              </w:rPr>
              <w:t>Sole dispositive power</w:t>
            </w:r>
          </w:p>
        </w:tc>
        <w:tc>
          <w:tcPr>
            <w:tcW w:w="0" w:type="dxa"/>
            <w:vAlign w:val="bottom"/>
          </w:tcPr>
          <w:p>
            <w:pPr>
              <w:spacing w:after="0"/>
              <w:rPr>
                <w:sz w:val="1"/>
                <w:szCs w:val="1"/>
                <w:color w:val="auto"/>
              </w:rPr>
            </w:pPr>
          </w:p>
        </w:tc>
      </w:tr>
      <w:tr>
        <w:trPr>
          <w:trHeight w:val="216"/>
        </w:trPr>
        <w:tc>
          <w:tcPr>
            <w:tcW w:w="34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1"/>
              </w:rPr>
              <w:t>Reporting</w:t>
            </w:r>
          </w:p>
        </w:tc>
        <w:tc>
          <w:tcPr>
            <w:tcW w:w="1420" w:type="dxa"/>
            <w:vAlign w:val="bottom"/>
          </w:tcPr>
          <w:p>
            <w:pPr>
              <w:spacing w:after="0"/>
              <w:rPr>
                <w:sz w:val="20"/>
                <w:szCs w:val="20"/>
                <w:color w:val="auto"/>
              </w:rPr>
            </w:pPr>
            <w:r>
              <w:rPr>
                <w:rFonts w:ascii="Arial" w:cs="Arial" w:eastAsia="Arial" w:hAnsi="Arial"/>
                <w:sz w:val="18"/>
                <w:szCs w:val="18"/>
                <w:b w:val="1"/>
                <w:bCs w:val="1"/>
                <w:color w:val="auto"/>
              </w:rPr>
              <w:t>:</w:t>
            </w:r>
          </w:p>
        </w:tc>
        <w:tc>
          <w:tcPr>
            <w:tcW w:w="6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40" w:type="dxa"/>
            <w:vAlign w:val="bottom"/>
            <w:vMerge w:val="continue"/>
          </w:tcPr>
          <w:p>
            <w:pPr>
              <w:spacing w:after="0"/>
              <w:rPr>
                <w:sz w:val="18"/>
                <w:szCs w:val="18"/>
                <w:color w:val="auto"/>
              </w:rPr>
            </w:pPr>
          </w:p>
        </w:tc>
        <w:tc>
          <w:tcPr>
            <w:tcW w:w="1420" w:type="dxa"/>
            <w:vAlign w:val="bottom"/>
          </w:tcPr>
          <w:p>
            <w:pPr>
              <w:spacing w:after="0"/>
              <w:rPr>
                <w:sz w:val="20"/>
                <w:szCs w:val="20"/>
                <w:color w:val="auto"/>
              </w:rPr>
            </w:pPr>
            <w:r>
              <w:rPr>
                <w:rFonts w:ascii="Arial" w:cs="Arial" w:eastAsia="Arial" w:hAnsi="Arial"/>
                <w:sz w:val="18"/>
                <w:szCs w:val="18"/>
                <w:b w:val="1"/>
                <w:bCs w:val="1"/>
                <w:color w:val="auto"/>
              </w:rPr>
              <w:t>:</w:t>
            </w:r>
          </w:p>
        </w:tc>
        <w:tc>
          <w:tcPr>
            <w:tcW w:w="6560" w:type="dxa"/>
            <w:vAlign w:val="bottom"/>
          </w:tcPr>
          <w:p>
            <w:pPr>
              <w:ind w:left="1180"/>
              <w:spacing w:after="0"/>
              <w:rPr>
                <w:sz w:val="20"/>
                <w:szCs w:val="20"/>
                <w:color w:val="auto"/>
              </w:rPr>
            </w:pPr>
            <w:r>
              <w:rPr>
                <w:rFonts w:ascii="Arial" w:cs="Arial" w:eastAsia="Arial" w:hAnsi="Arial"/>
                <w:sz w:val="18"/>
                <w:szCs w:val="18"/>
                <w:b w:val="1"/>
                <w:bCs w:val="1"/>
                <w:color w:val="auto"/>
              </w:rPr>
              <w:t>550,554  (Item 5)</w:t>
            </w:r>
          </w:p>
        </w:tc>
        <w:tc>
          <w:tcPr>
            <w:tcW w:w="0" w:type="dxa"/>
            <w:vAlign w:val="bottom"/>
          </w:tcPr>
          <w:p>
            <w:pPr>
              <w:spacing w:after="0"/>
              <w:rPr>
                <w:sz w:val="1"/>
                <w:szCs w:val="1"/>
                <w:color w:val="auto"/>
              </w:rPr>
            </w:pPr>
          </w:p>
        </w:tc>
      </w:tr>
      <w:tr>
        <w:trPr>
          <w:trHeight w:val="241"/>
        </w:trPr>
        <w:tc>
          <w:tcPr>
            <w:tcW w:w="34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5"/>
              </w:rPr>
              <w:t>Person</w:t>
            </w:r>
          </w:p>
        </w:tc>
        <w:tc>
          <w:tcPr>
            <w:tcW w:w="14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5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35"/>
        </w:trPr>
        <w:tc>
          <w:tcPr>
            <w:tcW w:w="3440" w:type="dxa"/>
            <w:vAlign w:val="bottom"/>
            <w:vMerge w:val="continue"/>
          </w:tcPr>
          <w:p>
            <w:pPr>
              <w:spacing w:after="0"/>
              <w:rPr>
                <w:sz w:val="11"/>
                <w:szCs w:val="11"/>
                <w:color w:val="auto"/>
              </w:rPr>
            </w:pPr>
          </w:p>
        </w:tc>
        <w:tc>
          <w:tcPr>
            <w:tcW w:w="1420" w:type="dxa"/>
            <w:vAlign w:val="bottom"/>
            <w:vMerge w:val="restart"/>
          </w:tcPr>
          <w:p>
            <w:pPr>
              <w:spacing w:after="0" w:line="198" w:lineRule="exact"/>
              <w:rPr>
                <w:sz w:val="20"/>
                <w:szCs w:val="20"/>
                <w:color w:val="auto"/>
              </w:rPr>
            </w:pPr>
            <w:r>
              <w:rPr>
                <w:rFonts w:ascii="Arial" w:cs="Arial" w:eastAsia="Arial" w:hAnsi="Arial"/>
                <w:sz w:val="18"/>
                <w:szCs w:val="18"/>
                <w:b w:val="1"/>
                <w:bCs w:val="1"/>
                <w:color w:val="auto"/>
              </w:rPr>
              <w:t>:10</w:t>
            </w:r>
          </w:p>
        </w:tc>
        <w:tc>
          <w:tcPr>
            <w:tcW w:w="6560" w:type="dxa"/>
            <w:vAlign w:val="bottom"/>
            <w:vMerge w:val="restart"/>
          </w:tcPr>
          <w:p>
            <w:pPr>
              <w:ind w:left="1180"/>
              <w:spacing w:after="0" w:line="198" w:lineRule="exact"/>
              <w:rPr>
                <w:sz w:val="20"/>
                <w:szCs w:val="20"/>
                <w:color w:val="auto"/>
              </w:rPr>
            </w:pPr>
            <w:r>
              <w:rPr>
                <w:rFonts w:ascii="Arial" w:cs="Arial" w:eastAsia="Arial" w:hAnsi="Arial"/>
                <w:sz w:val="18"/>
                <w:szCs w:val="18"/>
                <w:b w:val="1"/>
                <w:bCs w:val="1"/>
                <w:color w:val="auto"/>
              </w:rPr>
              <w:t>Shared dispositive power</w:t>
            </w:r>
          </w:p>
        </w:tc>
        <w:tc>
          <w:tcPr>
            <w:tcW w:w="0" w:type="dxa"/>
            <w:vAlign w:val="bottom"/>
          </w:tcPr>
          <w:p>
            <w:pPr>
              <w:spacing w:after="0"/>
              <w:rPr>
                <w:sz w:val="1"/>
                <w:szCs w:val="1"/>
                <w:color w:val="auto"/>
              </w:rPr>
            </w:pPr>
          </w:p>
        </w:tc>
      </w:tr>
      <w:tr>
        <w:trPr>
          <w:trHeight w:val="63"/>
        </w:trPr>
        <w:tc>
          <w:tcPr>
            <w:tcW w:w="3440" w:type="dxa"/>
            <w:vAlign w:val="bottom"/>
          </w:tcPr>
          <w:p>
            <w:pPr>
              <w:spacing w:after="0"/>
              <w:rPr>
                <w:sz w:val="5"/>
                <w:szCs w:val="5"/>
                <w:color w:val="auto"/>
              </w:rPr>
            </w:pPr>
          </w:p>
        </w:tc>
        <w:tc>
          <w:tcPr>
            <w:tcW w:w="1420" w:type="dxa"/>
            <w:vAlign w:val="bottom"/>
            <w:vMerge w:val="continue"/>
          </w:tcPr>
          <w:p>
            <w:pPr>
              <w:spacing w:after="0"/>
              <w:rPr>
                <w:sz w:val="5"/>
                <w:szCs w:val="5"/>
                <w:color w:val="auto"/>
              </w:rPr>
            </w:pPr>
          </w:p>
        </w:tc>
        <w:tc>
          <w:tcPr>
            <w:tcW w:w="65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3440" w:type="dxa"/>
            <w:vAlign w:val="bottom"/>
            <w:vMerge w:val="restart"/>
          </w:tcPr>
          <w:p>
            <w:pPr>
              <w:jc w:val="center"/>
              <w:spacing w:after="0"/>
              <w:rPr>
                <w:sz w:val="20"/>
                <w:szCs w:val="20"/>
                <w:color w:val="auto"/>
              </w:rPr>
            </w:pPr>
            <w:r>
              <w:rPr>
                <w:rFonts w:ascii="Arial" w:cs="Arial" w:eastAsia="Arial" w:hAnsi="Arial"/>
                <w:sz w:val="18"/>
                <w:szCs w:val="18"/>
                <w:b w:val="1"/>
                <w:bCs w:val="1"/>
                <w:color w:val="auto"/>
              </w:rPr>
              <w:t>With</w:t>
            </w:r>
          </w:p>
        </w:tc>
        <w:tc>
          <w:tcPr>
            <w:tcW w:w="1420" w:type="dxa"/>
            <w:vAlign w:val="bottom"/>
          </w:tcPr>
          <w:p>
            <w:pPr>
              <w:spacing w:after="0"/>
              <w:rPr>
                <w:sz w:val="20"/>
                <w:szCs w:val="20"/>
                <w:color w:val="auto"/>
              </w:rPr>
            </w:pPr>
            <w:r>
              <w:rPr>
                <w:rFonts w:ascii="Arial" w:cs="Arial" w:eastAsia="Arial" w:hAnsi="Arial"/>
                <w:sz w:val="18"/>
                <w:szCs w:val="18"/>
                <w:b w:val="1"/>
                <w:bCs w:val="1"/>
                <w:color w:val="auto"/>
              </w:rPr>
              <w:t>:</w:t>
            </w:r>
          </w:p>
        </w:tc>
        <w:tc>
          <w:tcPr>
            <w:tcW w:w="6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3"/>
        </w:trPr>
        <w:tc>
          <w:tcPr>
            <w:tcW w:w="3440" w:type="dxa"/>
            <w:vAlign w:val="bottom"/>
            <w:vMerge w:val="continue"/>
          </w:tcPr>
          <w:p>
            <w:pPr>
              <w:spacing w:after="0"/>
              <w:rPr>
                <w:sz w:val="13"/>
                <w:szCs w:val="13"/>
                <w:color w:val="auto"/>
              </w:rPr>
            </w:pPr>
          </w:p>
        </w:tc>
        <w:tc>
          <w:tcPr>
            <w:tcW w:w="1420" w:type="dxa"/>
            <w:vAlign w:val="bottom"/>
            <w:vMerge w:val="restart"/>
          </w:tcPr>
          <w:p>
            <w:pPr>
              <w:spacing w:after="0"/>
              <w:rPr>
                <w:sz w:val="20"/>
                <w:szCs w:val="20"/>
                <w:color w:val="auto"/>
              </w:rPr>
            </w:pPr>
            <w:r>
              <w:rPr>
                <w:rFonts w:ascii="Arial" w:cs="Arial" w:eastAsia="Arial" w:hAnsi="Arial"/>
                <w:sz w:val="18"/>
                <w:szCs w:val="18"/>
                <w:b w:val="1"/>
                <w:bCs w:val="1"/>
                <w:color w:val="auto"/>
              </w:rPr>
              <w:t>:</w:t>
            </w:r>
          </w:p>
        </w:tc>
        <w:tc>
          <w:tcPr>
            <w:tcW w:w="6560" w:type="dxa"/>
            <w:vAlign w:val="bottom"/>
            <w:vMerge w:val="restart"/>
          </w:tcPr>
          <w:p>
            <w:pPr>
              <w:ind w:left="1180"/>
              <w:spacing w:after="0"/>
              <w:rPr>
                <w:sz w:val="20"/>
                <w:szCs w:val="20"/>
                <w:color w:val="auto"/>
              </w:rPr>
            </w:pPr>
            <w:r>
              <w:rPr>
                <w:rFonts w:ascii="Arial" w:cs="Arial" w:eastAsia="Arial" w:hAnsi="Arial"/>
                <w:sz w:val="18"/>
                <w:szCs w:val="18"/>
                <w:b w:val="1"/>
                <w:bCs w:val="1"/>
                <w:color w:val="auto"/>
              </w:rPr>
              <w:t>None</w:t>
            </w:r>
          </w:p>
        </w:tc>
        <w:tc>
          <w:tcPr>
            <w:tcW w:w="0" w:type="dxa"/>
            <w:vAlign w:val="bottom"/>
          </w:tcPr>
          <w:p>
            <w:pPr>
              <w:spacing w:after="0"/>
              <w:rPr>
                <w:sz w:val="1"/>
                <w:szCs w:val="1"/>
                <w:color w:val="auto"/>
              </w:rPr>
            </w:pPr>
          </w:p>
        </w:tc>
      </w:tr>
      <w:tr>
        <w:trPr>
          <w:trHeight w:val="63"/>
        </w:trPr>
        <w:tc>
          <w:tcPr>
            <w:tcW w:w="3440" w:type="dxa"/>
            <w:vAlign w:val="bottom"/>
          </w:tcPr>
          <w:p>
            <w:pPr>
              <w:spacing w:after="0"/>
              <w:rPr>
                <w:sz w:val="5"/>
                <w:szCs w:val="5"/>
                <w:color w:val="auto"/>
              </w:rPr>
            </w:pPr>
          </w:p>
        </w:tc>
        <w:tc>
          <w:tcPr>
            <w:tcW w:w="1420" w:type="dxa"/>
            <w:vAlign w:val="bottom"/>
            <w:vMerge w:val="continue"/>
          </w:tcPr>
          <w:p>
            <w:pPr>
              <w:spacing w:after="0"/>
              <w:rPr>
                <w:sz w:val="5"/>
                <w:szCs w:val="5"/>
                <w:color w:val="auto"/>
              </w:rPr>
            </w:pPr>
          </w:p>
        </w:tc>
        <w:tc>
          <w:tcPr>
            <w:tcW w:w="65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34"/>
        </w:trPr>
        <w:tc>
          <w:tcPr>
            <w:tcW w:w="3440" w:type="dxa"/>
            <w:vAlign w:val="bottom"/>
          </w:tcPr>
          <w:p>
            <w:pPr>
              <w:spacing w:after="0"/>
              <w:rPr>
                <w:sz w:val="20"/>
                <w:szCs w:val="20"/>
                <w:color w:val="auto"/>
              </w:rPr>
            </w:pPr>
          </w:p>
        </w:tc>
        <w:tc>
          <w:tcPr>
            <w:tcW w:w="1420" w:type="dxa"/>
            <w:vAlign w:val="bottom"/>
          </w:tcPr>
          <w:p>
            <w:pPr>
              <w:spacing w:after="0"/>
              <w:rPr>
                <w:sz w:val="20"/>
                <w:szCs w:val="20"/>
                <w:color w:val="auto"/>
              </w:rPr>
            </w:pPr>
            <w:r>
              <w:rPr>
                <w:rFonts w:ascii="Arial" w:cs="Arial" w:eastAsia="Arial" w:hAnsi="Arial"/>
                <w:sz w:val="18"/>
                <w:szCs w:val="18"/>
                <w:b w:val="1"/>
                <w:bCs w:val="1"/>
                <w:color w:val="auto"/>
              </w:rPr>
              <w:t>:</w:t>
            </w:r>
          </w:p>
        </w:tc>
        <w:tc>
          <w:tcPr>
            <w:tcW w:w="65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ind w:left="840" w:right="5720" w:hanging="832"/>
        <w:spacing w:after="0" w:line="516" w:lineRule="auto"/>
        <w:tabs>
          <w:tab w:leader="none" w:pos="84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Aggregate amount beneficially owned by each reporting person 550,554 (Item 5)</w:t>
      </w:r>
    </w:p>
    <w:p>
      <w:pPr>
        <w:spacing w:after="0" w:line="1" w:lineRule="exact"/>
        <w:rPr>
          <w:rFonts w:ascii="Arial" w:cs="Arial" w:eastAsia="Arial" w:hAnsi="Arial"/>
          <w:sz w:val="18"/>
          <w:szCs w:val="18"/>
          <w:b w:val="1"/>
          <w:bCs w:val="1"/>
          <w:color w:val="auto"/>
        </w:rPr>
      </w:pPr>
    </w:p>
    <w:p>
      <w:pPr>
        <w:ind w:left="840" w:hanging="832"/>
        <w:spacing w:after="0"/>
        <w:tabs>
          <w:tab w:leader="none" w:pos="84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Check box if the aggregate amount in row (11) excludes certain shares</w:t>
      </w:r>
    </w:p>
    <w:p>
      <w:pPr>
        <w:spacing w:after="0" w:line="27" w:lineRule="exact"/>
        <w:rPr>
          <w:rFonts w:ascii="Arial" w:cs="Arial" w:eastAsia="Arial" w:hAnsi="Arial"/>
          <w:sz w:val="18"/>
          <w:szCs w:val="18"/>
          <w:b w:val="1"/>
          <w:bCs w:val="1"/>
          <w:color w:val="auto"/>
        </w:rPr>
      </w:pPr>
    </w:p>
    <w:p>
      <w:pPr>
        <w:ind w:left="84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(SEE INSTRUCTIONS)</w:t>
      </w:r>
    </w:p>
    <w:p>
      <w:pPr>
        <w:spacing w:after="0" w:line="200" w:lineRule="exact"/>
        <w:rPr>
          <w:rFonts w:ascii="Arial" w:cs="Arial" w:eastAsia="Arial" w:hAnsi="Arial"/>
          <w:sz w:val="18"/>
          <w:szCs w:val="18"/>
          <w:b w:val="1"/>
          <w:bCs w:val="1"/>
          <w:color w:val="auto"/>
        </w:rPr>
      </w:pPr>
    </w:p>
    <w:p>
      <w:pPr>
        <w:spacing w:after="0" w:line="249" w:lineRule="exact"/>
        <w:rPr>
          <w:rFonts w:ascii="Arial" w:cs="Arial" w:eastAsia="Arial" w:hAnsi="Arial"/>
          <w:sz w:val="18"/>
          <w:szCs w:val="18"/>
          <w:b w:val="1"/>
          <w:bCs w:val="1"/>
          <w:color w:val="auto"/>
        </w:rPr>
      </w:pPr>
    </w:p>
    <w:p>
      <w:pPr>
        <w:ind w:left="840" w:right="6700" w:hanging="832"/>
        <w:spacing w:after="0" w:line="516" w:lineRule="auto"/>
        <w:tabs>
          <w:tab w:leader="none" w:pos="84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Percent of class represented by amount in row (11) 10.90%</w:t>
      </w:r>
    </w:p>
    <w:p>
      <w:pPr>
        <w:spacing w:after="0" w:line="1" w:lineRule="exact"/>
        <w:rPr>
          <w:rFonts w:ascii="Arial" w:cs="Arial" w:eastAsia="Arial" w:hAnsi="Arial"/>
          <w:sz w:val="18"/>
          <w:szCs w:val="18"/>
          <w:b w:val="1"/>
          <w:bCs w:val="1"/>
          <w:color w:val="auto"/>
        </w:rPr>
      </w:pPr>
    </w:p>
    <w:p>
      <w:pPr>
        <w:ind w:left="840" w:hanging="832"/>
        <w:spacing w:after="0"/>
        <w:tabs>
          <w:tab w:leader="none" w:pos="84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Type of reporting person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-1268095</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-702310</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-136525</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7" w:lineRule="exact"/>
        <w:rPr>
          <w:sz w:val="20"/>
          <w:szCs w:val="20"/>
          <w:color w:val="auto"/>
        </w:rPr>
      </w:pPr>
    </w:p>
    <w:p>
      <w:pPr>
        <w:ind w:left="1020"/>
        <w:spacing w:after="0"/>
        <w:rPr>
          <w:sz w:val="20"/>
          <w:szCs w:val="20"/>
          <w:color w:val="auto"/>
        </w:rPr>
      </w:pPr>
      <w:r>
        <w:rPr>
          <w:rFonts w:ascii="Arial" w:cs="Arial" w:eastAsia="Arial" w:hAnsi="Arial"/>
          <w:sz w:val="18"/>
          <w:szCs w:val="18"/>
          <w:b w:val="1"/>
          <w:bCs w:val="1"/>
          <w:color w:val="auto"/>
        </w:rPr>
        <w:t>IA,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t>CUSIP No. 677864100</w:t>
      </w:r>
    </w:p>
    <w:p>
      <w:pPr>
        <w:spacing w:after="0" w:line="23" w:lineRule="exact"/>
        <w:rPr>
          <w:sz w:val="20"/>
          <w:szCs w:val="20"/>
          <w:color w:val="auto"/>
        </w:rPr>
      </w:pPr>
    </w:p>
    <w:p>
      <w:pPr>
        <w:ind w:left="840" w:hanging="458"/>
        <w:spacing w:after="0"/>
        <w:tabs>
          <w:tab w:leader="none" w:pos="84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Names of reporting persons</w:t>
      </w:r>
    </w:p>
    <w:p>
      <w:pPr>
        <w:spacing w:after="0" w:line="9" w:lineRule="exact"/>
        <w:rPr>
          <w:rFonts w:ascii="Arial" w:cs="Arial" w:eastAsia="Arial" w:hAnsi="Arial"/>
          <w:sz w:val="18"/>
          <w:szCs w:val="18"/>
          <w:b w:val="1"/>
          <w:bCs w:val="1"/>
          <w:color w:val="auto"/>
        </w:rPr>
      </w:pPr>
    </w:p>
    <w:p>
      <w:pPr>
        <w:ind w:left="84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I.R.S. identification nos. of above persons (entities only)</w:t>
      </w:r>
    </w:p>
    <w:p>
      <w:pPr>
        <w:spacing w:after="0" w:line="9" w:lineRule="exact"/>
        <w:rPr>
          <w:sz w:val="20"/>
          <w:szCs w:val="20"/>
          <w:color w:val="auto"/>
        </w:rPr>
      </w:pPr>
    </w:p>
    <w:p>
      <w:pPr>
        <w:ind w:left="840"/>
        <w:spacing w:after="0"/>
        <w:tabs>
          <w:tab w:leader="none" w:pos="4360" w:val="left"/>
        </w:tabs>
        <w:rPr>
          <w:sz w:val="20"/>
          <w:szCs w:val="20"/>
          <w:color w:val="auto"/>
        </w:rPr>
      </w:pPr>
      <w:r>
        <w:rPr>
          <w:rFonts w:ascii="Arial" w:cs="Arial" w:eastAsia="Arial" w:hAnsi="Arial"/>
          <w:sz w:val="18"/>
          <w:szCs w:val="18"/>
          <w:b w:val="1"/>
          <w:bCs w:val="1"/>
          <w:color w:val="auto"/>
        </w:rPr>
        <w:t>Teton Advisors, Inc.</w:t>
      </w:r>
      <w:r>
        <w:rPr>
          <w:sz w:val="20"/>
          <w:szCs w:val="20"/>
          <w:color w:val="auto"/>
        </w:rPr>
        <w:tab/>
      </w:r>
      <w:r>
        <w:rPr>
          <w:rFonts w:ascii="Arial" w:cs="Arial" w:eastAsia="Arial" w:hAnsi="Arial"/>
          <w:sz w:val="17"/>
          <w:szCs w:val="17"/>
          <w:b w:val="1"/>
          <w:bCs w:val="1"/>
          <w:color w:val="auto"/>
        </w:rPr>
        <w:t>I.D. No. 13-4008049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ind w:left="840" w:hanging="458"/>
        <w:spacing w:after="0"/>
        <w:tabs>
          <w:tab w:leader="none" w:pos="84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Check the appropriate box if a member of a group (SEE INSTRUCTIONS) (a)</w:t>
      </w:r>
    </w:p>
    <w:p>
      <w:pPr>
        <w:spacing w:after="0" w:line="200" w:lineRule="exact"/>
        <w:rPr>
          <w:sz w:val="20"/>
          <w:szCs w:val="20"/>
          <w:color w:val="auto"/>
        </w:rPr>
      </w:pPr>
    </w:p>
    <w:p>
      <w:pPr>
        <w:spacing w:after="0" w:line="241" w:lineRule="exact"/>
        <w:rPr>
          <w:sz w:val="20"/>
          <w:szCs w:val="20"/>
          <w:color w:val="auto"/>
        </w:rPr>
      </w:pPr>
    </w:p>
    <w:p>
      <w:pPr>
        <w:ind w:left="7320"/>
        <w:spacing w:after="0"/>
        <w:rPr>
          <w:sz w:val="20"/>
          <w:szCs w:val="20"/>
          <w:color w:val="auto"/>
        </w:rPr>
      </w:pPr>
      <w:r>
        <w:rPr>
          <w:rFonts w:ascii="Arial" w:cs="Arial" w:eastAsia="Arial" w:hAnsi="Arial"/>
          <w:sz w:val="18"/>
          <w:szCs w:val="18"/>
          <w:b w:val="1"/>
          <w:bCs w:val="1"/>
          <w:color w:val="auto"/>
        </w:rPr>
        <w:t>(b)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 w:lineRule="exact"/>
        <w:rPr>
          <w:sz w:val="20"/>
          <w:szCs w:val="20"/>
          <w:color w:val="auto"/>
        </w:rPr>
      </w:pPr>
    </w:p>
    <w:p>
      <w:pPr>
        <w:ind w:left="840" w:hanging="458"/>
        <w:spacing w:after="0"/>
        <w:tabs>
          <w:tab w:leader="none" w:pos="84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2" w:lineRule="exact"/>
        <w:rPr>
          <w:sz w:val="20"/>
          <w:szCs w:val="20"/>
          <w:color w:val="auto"/>
        </w:rPr>
      </w:pPr>
    </w:p>
    <w:p>
      <w:pPr>
        <w:jc w:val="both"/>
        <w:ind w:left="840" w:right="7420" w:hanging="458"/>
        <w:spacing w:after="0" w:line="347" w:lineRule="auto"/>
        <w:tabs>
          <w:tab w:leader="none" w:pos="840" w:val="left"/>
        </w:tabs>
        <w:numPr>
          <w:ilvl w:val="0"/>
          <w:numId w:val="17"/>
        </w:numPr>
        <w:rPr>
          <w:rFonts w:ascii="Arial" w:cs="Arial" w:eastAsia="Arial" w:hAnsi="Arial"/>
          <w:sz w:val="16"/>
          <w:szCs w:val="16"/>
          <w:b w:val="1"/>
          <w:bCs w:val="1"/>
          <w:color w:val="auto"/>
        </w:rPr>
      </w:pPr>
      <w:r>
        <w:rPr>
          <w:rFonts w:ascii="Arial" w:cs="Arial" w:eastAsia="Arial" w:hAnsi="Arial"/>
          <w:sz w:val="16"/>
          <w:szCs w:val="16"/>
          <w:b w:val="1"/>
          <w:bCs w:val="1"/>
          <w:color w:val="auto"/>
        </w:rPr>
        <w:t>Source of funds (SEE INSTRUCTIONS) 00 – Funds of investment advisory clients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23" w:lineRule="exact"/>
        <w:rPr>
          <w:sz w:val="20"/>
          <w:szCs w:val="20"/>
          <w:color w:val="auto"/>
        </w:rPr>
      </w:pPr>
    </w:p>
    <w:p>
      <w:pPr>
        <w:ind w:left="840" w:hanging="458"/>
        <w:spacing w:after="0"/>
        <w:tabs>
          <w:tab w:leader="none" w:pos="84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Check box if disclosure of legal proceedings is required pursuant to items 2 (d) or 2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292100</wp:posOffset>
            </wp:positionV>
            <wp:extent cx="72466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980" w:right="7840" w:hanging="598"/>
        <w:spacing w:after="0" w:line="282" w:lineRule="auto"/>
        <w:tabs>
          <w:tab w:leader="none" w:pos="845"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Citizenship or place of organization Delaware</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34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Number Of</w:t>
            </w:r>
          </w:p>
        </w:tc>
        <w:tc>
          <w:tcPr>
            <w:tcW w:w="142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 7</w:t>
            </w:r>
          </w:p>
        </w:tc>
        <w:tc>
          <w:tcPr>
            <w:tcW w:w="6560" w:type="dxa"/>
            <w:vAlign w:val="bottom"/>
            <w:tcBorders>
              <w:top w:val="single" w:sz="8" w:color="auto"/>
            </w:tcBorders>
          </w:tcPr>
          <w:p>
            <w:pPr>
              <w:ind w:left="1180"/>
              <w:spacing w:after="0"/>
              <w:rPr>
                <w:sz w:val="20"/>
                <w:szCs w:val="20"/>
                <w:color w:val="auto"/>
              </w:rPr>
            </w:pPr>
            <w:r>
              <w:rPr>
                <w:rFonts w:ascii="Arial" w:cs="Arial" w:eastAsia="Arial" w:hAnsi="Arial"/>
                <w:sz w:val="18"/>
                <w:szCs w:val="18"/>
                <w:b w:val="1"/>
                <w:bCs w:val="1"/>
                <w:color w:val="auto"/>
              </w:rPr>
              <w:t>Sole voting power</w:t>
            </w:r>
          </w:p>
        </w:tc>
        <w:tc>
          <w:tcPr>
            <w:tcW w:w="0" w:type="dxa"/>
            <w:vAlign w:val="bottom"/>
          </w:tcPr>
          <w:p>
            <w:pPr>
              <w:spacing w:after="0"/>
              <w:rPr>
                <w:sz w:val="1"/>
                <w:szCs w:val="1"/>
                <w:color w:val="auto"/>
              </w:rPr>
            </w:pPr>
          </w:p>
        </w:tc>
      </w:tr>
      <w:tr>
        <w:trPr>
          <w:trHeight w:val="216"/>
        </w:trPr>
        <w:tc>
          <w:tcPr>
            <w:tcW w:w="3440" w:type="dxa"/>
            <w:vAlign w:val="bottom"/>
          </w:tcPr>
          <w:p>
            <w:pPr>
              <w:spacing w:after="0"/>
              <w:rPr>
                <w:sz w:val="18"/>
                <w:szCs w:val="18"/>
                <w:color w:val="auto"/>
              </w:rPr>
            </w:pPr>
          </w:p>
        </w:tc>
        <w:tc>
          <w:tcPr>
            <w:tcW w:w="1420" w:type="dxa"/>
            <w:vAlign w:val="bottom"/>
          </w:tcPr>
          <w:p>
            <w:pPr>
              <w:spacing w:after="0"/>
              <w:rPr>
                <w:sz w:val="20"/>
                <w:szCs w:val="20"/>
                <w:color w:val="auto"/>
              </w:rPr>
            </w:pPr>
            <w:r>
              <w:rPr>
                <w:rFonts w:ascii="Arial" w:cs="Arial" w:eastAsia="Arial" w:hAnsi="Arial"/>
                <w:sz w:val="18"/>
                <w:szCs w:val="18"/>
                <w:b w:val="1"/>
                <w:bCs w:val="1"/>
                <w:color w:val="auto"/>
              </w:rPr>
              <w:t>:</w:t>
            </w:r>
          </w:p>
        </w:tc>
        <w:tc>
          <w:tcPr>
            <w:tcW w:w="6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40" w:type="dxa"/>
            <w:vAlign w:val="bottom"/>
          </w:tcPr>
          <w:p>
            <w:pPr>
              <w:jc w:val="center"/>
              <w:spacing w:after="0"/>
              <w:rPr>
                <w:sz w:val="20"/>
                <w:szCs w:val="20"/>
                <w:color w:val="auto"/>
              </w:rPr>
            </w:pPr>
            <w:r>
              <w:rPr>
                <w:rFonts w:ascii="Arial" w:cs="Arial" w:eastAsia="Arial" w:hAnsi="Arial"/>
                <w:sz w:val="18"/>
                <w:szCs w:val="18"/>
                <w:b w:val="1"/>
                <w:bCs w:val="1"/>
                <w:color w:val="auto"/>
                <w:w w:val="86"/>
              </w:rPr>
              <w:t>Shares</w:t>
            </w:r>
          </w:p>
        </w:tc>
        <w:tc>
          <w:tcPr>
            <w:tcW w:w="1420" w:type="dxa"/>
            <w:vAlign w:val="bottom"/>
          </w:tcPr>
          <w:p>
            <w:pPr>
              <w:spacing w:after="0"/>
              <w:rPr>
                <w:sz w:val="20"/>
                <w:szCs w:val="20"/>
                <w:color w:val="auto"/>
              </w:rPr>
            </w:pPr>
            <w:r>
              <w:rPr>
                <w:rFonts w:ascii="Arial" w:cs="Arial" w:eastAsia="Arial" w:hAnsi="Arial"/>
                <w:sz w:val="18"/>
                <w:szCs w:val="18"/>
                <w:b w:val="1"/>
                <w:bCs w:val="1"/>
                <w:color w:val="auto"/>
              </w:rPr>
              <w:t>:</w:t>
            </w:r>
          </w:p>
        </w:tc>
        <w:tc>
          <w:tcPr>
            <w:tcW w:w="6560" w:type="dxa"/>
            <w:vAlign w:val="bottom"/>
          </w:tcPr>
          <w:p>
            <w:pPr>
              <w:ind w:left="1180"/>
              <w:spacing w:after="0"/>
              <w:rPr>
                <w:sz w:val="20"/>
                <w:szCs w:val="20"/>
                <w:color w:val="auto"/>
              </w:rPr>
            </w:pPr>
            <w:r>
              <w:rPr>
                <w:rFonts w:ascii="Arial" w:cs="Arial" w:eastAsia="Arial" w:hAnsi="Arial"/>
                <w:sz w:val="18"/>
                <w:szCs w:val="18"/>
                <w:b w:val="1"/>
                <w:bCs w:val="1"/>
                <w:color w:val="auto"/>
              </w:rPr>
              <w:t>129,300 (Item 5)</w:t>
            </w:r>
          </w:p>
        </w:tc>
        <w:tc>
          <w:tcPr>
            <w:tcW w:w="0" w:type="dxa"/>
            <w:vAlign w:val="bottom"/>
          </w:tcPr>
          <w:p>
            <w:pPr>
              <w:spacing w:after="0"/>
              <w:rPr>
                <w:sz w:val="1"/>
                <w:szCs w:val="1"/>
                <w:color w:val="auto"/>
              </w:rPr>
            </w:pPr>
          </w:p>
        </w:tc>
      </w:tr>
      <w:tr>
        <w:trPr>
          <w:trHeight w:val="241"/>
        </w:trPr>
        <w:tc>
          <w:tcPr>
            <w:tcW w:w="34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9"/>
              </w:rPr>
              <w:t>Beneficially</w:t>
            </w:r>
          </w:p>
        </w:tc>
        <w:tc>
          <w:tcPr>
            <w:tcW w:w="14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5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440" w:type="dxa"/>
            <w:vAlign w:val="bottom"/>
            <w:vMerge w:val="continue"/>
          </w:tcPr>
          <w:p>
            <w:pPr>
              <w:spacing w:after="0"/>
              <w:rPr>
                <w:sz w:val="17"/>
                <w:szCs w:val="17"/>
                <w:color w:val="auto"/>
              </w:rPr>
            </w:pPr>
          </w:p>
        </w:tc>
        <w:tc>
          <w:tcPr>
            <w:tcW w:w="1420" w:type="dxa"/>
            <w:vAlign w:val="bottom"/>
          </w:tcPr>
          <w:p>
            <w:pPr>
              <w:spacing w:after="0" w:line="198" w:lineRule="exact"/>
              <w:rPr>
                <w:sz w:val="20"/>
                <w:szCs w:val="20"/>
                <w:color w:val="auto"/>
              </w:rPr>
            </w:pPr>
            <w:r>
              <w:rPr>
                <w:rFonts w:ascii="Arial" w:cs="Arial" w:eastAsia="Arial" w:hAnsi="Arial"/>
                <w:sz w:val="18"/>
                <w:szCs w:val="18"/>
                <w:b w:val="1"/>
                <w:bCs w:val="1"/>
                <w:color w:val="auto"/>
              </w:rPr>
              <w:t>: 8</w:t>
            </w:r>
          </w:p>
        </w:tc>
        <w:tc>
          <w:tcPr>
            <w:tcW w:w="6560" w:type="dxa"/>
            <w:vAlign w:val="bottom"/>
          </w:tcPr>
          <w:p>
            <w:pPr>
              <w:ind w:left="1180"/>
              <w:spacing w:after="0" w:line="198" w:lineRule="exact"/>
              <w:rPr>
                <w:sz w:val="20"/>
                <w:szCs w:val="20"/>
                <w:color w:val="auto"/>
              </w:rPr>
            </w:pPr>
            <w:r>
              <w:rPr>
                <w:rFonts w:ascii="Arial" w:cs="Arial" w:eastAsia="Arial" w:hAnsi="Arial"/>
                <w:sz w:val="18"/>
                <w:szCs w:val="18"/>
                <w:b w:val="1"/>
                <w:bCs w:val="1"/>
                <w:color w:val="auto"/>
              </w:rPr>
              <w:t>Shared voting power</w:t>
            </w:r>
          </w:p>
        </w:tc>
        <w:tc>
          <w:tcPr>
            <w:tcW w:w="0" w:type="dxa"/>
            <w:vAlign w:val="bottom"/>
          </w:tcPr>
          <w:p>
            <w:pPr>
              <w:spacing w:after="0"/>
              <w:rPr>
                <w:sz w:val="1"/>
                <w:szCs w:val="1"/>
                <w:color w:val="auto"/>
              </w:rPr>
            </w:pPr>
          </w:p>
        </w:tc>
      </w:tr>
      <w:tr>
        <w:trPr>
          <w:trHeight w:val="216"/>
        </w:trPr>
        <w:tc>
          <w:tcPr>
            <w:tcW w:w="34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3"/>
              </w:rPr>
              <w:t>Owned</w:t>
            </w:r>
          </w:p>
        </w:tc>
        <w:tc>
          <w:tcPr>
            <w:tcW w:w="1420" w:type="dxa"/>
            <w:vAlign w:val="bottom"/>
          </w:tcPr>
          <w:p>
            <w:pPr>
              <w:spacing w:after="0"/>
              <w:rPr>
                <w:sz w:val="20"/>
                <w:szCs w:val="20"/>
                <w:color w:val="auto"/>
              </w:rPr>
            </w:pPr>
            <w:r>
              <w:rPr>
                <w:rFonts w:ascii="Arial" w:cs="Arial" w:eastAsia="Arial" w:hAnsi="Arial"/>
                <w:sz w:val="18"/>
                <w:szCs w:val="18"/>
                <w:b w:val="1"/>
                <w:bCs w:val="1"/>
                <w:color w:val="auto"/>
              </w:rPr>
              <w:t>:</w:t>
            </w:r>
          </w:p>
        </w:tc>
        <w:tc>
          <w:tcPr>
            <w:tcW w:w="6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40" w:type="dxa"/>
            <w:vAlign w:val="bottom"/>
            <w:vMerge w:val="continue"/>
          </w:tcPr>
          <w:p>
            <w:pPr>
              <w:spacing w:after="0"/>
              <w:rPr>
                <w:sz w:val="18"/>
                <w:szCs w:val="18"/>
                <w:color w:val="auto"/>
              </w:rPr>
            </w:pPr>
          </w:p>
        </w:tc>
        <w:tc>
          <w:tcPr>
            <w:tcW w:w="1420" w:type="dxa"/>
            <w:vAlign w:val="bottom"/>
          </w:tcPr>
          <w:p>
            <w:pPr>
              <w:spacing w:after="0"/>
              <w:rPr>
                <w:sz w:val="20"/>
                <w:szCs w:val="20"/>
                <w:color w:val="auto"/>
              </w:rPr>
            </w:pPr>
            <w:r>
              <w:rPr>
                <w:rFonts w:ascii="Arial" w:cs="Arial" w:eastAsia="Arial" w:hAnsi="Arial"/>
                <w:sz w:val="18"/>
                <w:szCs w:val="18"/>
                <w:b w:val="1"/>
                <w:bCs w:val="1"/>
                <w:color w:val="auto"/>
              </w:rPr>
              <w:t>:</w:t>
            </w:r>
          </w:p>
        </w:tc>
        <w:tc>
          <w:tcPr>
            <w:tcW w:w="6560" w:type="dxa"/>
            <w:vAlign w:val="bottom"/>
          </w:tcPr>
          <w:p>
            <w:pPr>
              <w:ind w:left="1180"/>
              <w:spacing w:after="0"/>
              <w:rPr>
                <w:sz w:val="20"/>
                <w:szCs w:val="20"/>
                <w:color w:val="auto"/>
              </w:rPr>
            </w:pPr>
            <w:r>
              <w:rPr>
                <w:rFonts w:ascii="Arial" w:cs="Arial" w:eastAsia="Arial" w:hAnsi="Arial"/>
                <w:sz w:val="18"/>
                <w:szCs w:val="18"/>
                <w:b w:val="1"/>
                <w:bCs w:val="1"/>
                <w:color w:val="auto"/>
              </w:rPr>
              <w:t>None</w:t>
            </w:r>
          </w:p>
        </w:tc>
        <w:tc>
          <w:tcPr>
            <w:tcW w:w="0" w:type="dxa"/>
            <w:vAlign w:val="bottom"/>
          </w:tcPr>
          <w:p>
            <w:pPr>
              <w:spacing w:after="0"/>
              <w:rPr>
                <w:sz w:val="1"/>
                <w:szCs w:val="1"/>
                <w:color w:val="auto"/>
              </w:rPr>
            </w:pPr>
          </w:p>
        </w:tc>
      </w:tr>
      <w:tr>
        <w:trPr>
          <w:trHeight w:val="241"/>
        </w:trPr>
        <w:tc>
          <w:tcPr>
            <w:tcW w:w="34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0"/>
              </w:rPr>
              <w:t>By Each</w:t>
            </w:r>
          </w:p>
        </w:tc>
        <w:tc>
          <w:tcPr>
            <w:tcW w:w="14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5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440" w:type="dxa"/>
            <w:vAlign w:val="bottom"/>
            <w:vMerge w:val="continue"/>
          </w:tcPr>
          <w:p>
            <w:pPr>
              <w:spacing w:after="0"/>
              <w:rPr>
                <w:sz w:val="17"/>
                <w:szCs w:val="17"/>
                <w:color w:val="auto"/>
              </w:rPr>
            </w:pPr>
          </w:p>
        </w:tc>
        <w:tc>
          <w:tcPr>
            <w:tcW w:w="1420" w:type="dxa"/>
            <w:vAlign w:val="bottom"/>
          </w:tcPr>
          <w:p>
            <w:pPr>
              <w:spacing w:after="0" w:line="198" w:lineRule="exact"/>
              <w:rPr>
                <w:sz w:val="20"/>
                <w:szCs w:val="20"/>
                <w:color w:val="auto"/>
              </w:rPr>
            </w:pPr>
            <w:r>
              <w:rPr>
                <w:rFonts w:ascii="Arial" w:cs="Arial" w:eastAsia="Arial" w:hAnsi="Arial"/>
                <w:sz w:val="18"/>
                <w:szCs w:val="18"/>
                <w:b w:val="1"/>
                <w:bCs w:val="1"/>
                <w:color w:val="auto"/>
              </w:rPr>
              <w:t>: 9</w:t>
            </w:r>
          </w:p>
        </w:tc>
        <w:tc>
          <w:tcPr>
            <w:tcW w:w="6560" w:type="dxa"/>
            <w:vAlign w:val="bottom"/>
          </w:tcPr>
          <w:p>
            <w:pPr>
              <w:ind w:left="1180"/>
              <w:spacing w:after="0" w:line="198" w:lineRule="exact"/>
              <w:rPr>
                <w:sz w:val="20"/>
                <w:szCs w:val="20"/>
                <w:color w:val="auto"/>
              </w:rPr>
            </w:pPr>
            <w:r>
              <w:rPr>
                <w:rFonts w:ascii="Arial" w:cs="Arial" w:eastAsia="Arial" w:hAnsi="Arial"/>
                <w:sz w:val="18"/>
                <w:szCs w:val="18"/>
                <w:b w:val="1"/>
                <w:bCs w:val="1"/>
                <w:color w:val="auto"/>
              </w:rPr>
              <w:t>Sole dispositive power</w:t>
            </w:r>
          </w:p>
        </w:tc>
        <w:tc>
          <w:tcPr>
            <w:tcW w:w="0" w:type="dxa"/>
            <w:vAlign w:val="bottom"/>
          </w:tcPr>
          <w:p>
            <w:pPr>
              <w:spacing w:after="0"/>
              <w:rPr>
                <w:sz w:val="1"/>
                <w:szCs w:val="1"/>
                <w:color w:val="auto"/>
              </w:rPr>
            </w:pPr>
          </w:p>
        </w:tc>
      </w:tr>
      <w:tr>
        <w:trPr>
          <w:trHeight w:val="216"/>
        </w:trPr>
        <w:tc>
          <w:tcPr>
            <w:tcW w:w="34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1"/>
              </w:rPr>
              <w:t>Reporting</w:t>
            </w:r>
          </w:p>
        </w:tc>
        <w:tc>
          <w:tcPr>
            <w:tcW w:w="1420" w:type="dxa"/>
            <w:vAlign w:val="bottom"/>
          </w:tcPr>
          <w:p>
            <w:pPr>
              <w:spacing w:after="0"/>
              <w:rPr>
                <w:sz w:val="20"/>
                <w:szCs w:val="20"/>
                <w:color w:val="auto"/>
              </w:rPr>
            </w:pPr>
            <w:r>
              <w:rPr>
                <w:rFonts w:ascii="Arial" w:cs="Arial" w:eastAsia="Arial" w:hAnsi="Arial"/>
                <w:sz w:val="18"/>
                <w:szCs w:val="18"/>
                <w:b w:val="1"/>
                <w:bCs w:val="1"/>
                <w:color w:val="auto"/>
              </w:rPr>
              <w:t>:</w:t>
            </w:r>
          </w:p>
        </w:tc>
        <w:tc>
          <w:tcPr>
            <w:tcW w:w="6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40" w:type="dxa"/>
            <w:vAlign w:val="bottom"/>
            <w:vMerge w:val="continue"/>
          </w:tcPr>
          <w:p>
            <w:pPr>
              <w:spacing w:after="0"/>
              <w:rPr>
                <w:sz w:val="18"/>
                <w:szCs w:val="18"/>
                <w:color w:val="auto"/>
              </w:rPr>
            </w:pPr>
          </w:p>
        </w:tc>
        <w:tc>
          <w:tcPr>
            <w:tcW w:w="1420" w:type="dxa"/>
            <w:vAlign w:val="bottom"/>
          </w:tcPr>
          <w:p>
            <w:pPr>
              <w:spacing w:after="0"/>
              <w:rPr>
                <w:sz w:val="20"/>
                <w:szCs w:val="20"/>
                <w:color w:val="auto"/>
              </w:rPr>
            </w:pPr>
            <w:r>
              <w:rPr>
                <w:rFonts w:ascii="Arial" w:cs="Arial" w:eastAsia="Arial" w:hAnsi="Arial"/>
                <w:sz w:val="18"/>
                <w:szCs w:val="18"/>
                <w:b w:val="1"/>
                <w:bCs w:val="1"/>
                <w:color w:val="auto"/>
              </w:rPr>
              <w:t>:</w:t>
            </w:r>
          </w:p>
        </w:tc>
        <w:tc>
          <w:tcPr>
            <w:tcW w:w="6560" w:type="dxa"/>
            <w:vAlign w:val="bottom"/>
          </w:tcPr>
          <w:p>
            <w:pPr>
              <w:ind w:left="1180"/>
              <w:spacing w:after="0"/>
              <w:rPr>
                <w:sz w:val="20"/>
                <w:szCs w:val="20"/>
                <w:color w:val="auto"/>
              </w:rPr>
            </w:pPr>
            <w:r>
              <w:rPr>
                <w:rFonts w:ascii="Arial" w:cs="Arial" w:eastAsia="Arial" w:hAnsi="Arial"/>
                <w:sz w:val="18"/>
                <w:szCs w:val="18"/>
                <w:b w:val="1"/>
                <w:bCs w:val="1"/>
                <w:color w:val="auto"/>
              </w:rPr>
              <w:t>129,300 (Item 5)</w:t>
            </w:r>
          </w:p>
        </w:tc>
        <w:tc>
          <w:tcPr>
            <w:tcW w:w="0" w:type="dxa"/>
            <w:vAlign w:val="bottom"/>
          </w:tcPr>
          <w:p>
            <w:pPr>
              <w:spacing w:after="0"/>
              <w:rPr>
                <w:sz w:val="1"/>
                <w:szCs w:val="1"/>
                <w:color w:val="auto"/>
              </w:rPr>
            </w:pPr>
          </w:p>
        </w:tc>
      </w:tr>
      <w:tr>
        <w:trPr>
          <w:trHeight w:val="241"/>
        </w:trPr>
        <w:tc>
          <w:tcPr>
            <w:tcW w:w="34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5"/>
              </w:rPr>
              <w:t>Person</w:t>
            </w:r>
          </w:p>
        </w:tc>
        <w:tc>
          <w:tcPr>
            <w:tcW w:w="14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5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35"/>
        </w:trPr>
        <w:tc>
          <w:tcPr>
            <w:tcW w:w="3440" w:type="dxa"/>
            <w:vAlign w:val="bottom"/>
            <w:vMerge w:val="continue"/>
          </w:tcPr>
          <w:p>
            <w:pPr>
              <w:spacing w:after="0"/>
              <w:rPr>
                <w:sz w:val="11"/>
                <w:szCs w:val="11"/>
                <w:color w:val="auto"/>
              </w:rPr>
            </w:pPr>
          </w:p>
        </w:tc>
        <w:tc>
          <w:tcPr>
            <w:tcW w:w="1420" w:type="dxa"/>
            <w:vAlign w:val="bottom"/>
            <w:vMerge w:val="restart"/>
          </w:tcPr>
          <w:p>
            <w:pPr>
              <w:spacing w:after="0" w:line="198" w:lineRule="exact"/>
              <w:rPr>
                <w:sz w:val="20"/>
                <w:szCs w:val="20"/>
                <w:color w:val="auto"/>
              </w:rPr>
            </w:pPr>
            <w:r>
              <w:rPr>
                <w:rFonts w:ascii="Arial" w:cs="Arial" w:eastAsia="Arial" w:hAnsi="Arial"/>
                <w:sz w:val="18"/>
                <w:szCs w:val="18"/>
                <w:b w:val="1"/>
                <w:bCs w:val="1"/>
                <w:color w:val="auto"/>
              </w:rPr>
              <w:t>:10</w:t>
            </w:r>
          </w:p>
        </w:tc>
        <w:tc>
          <w:tcPr>
            <w:tcW w:w="6560" w:type="dxa"/>
            <w:vAlign w:val="bottom"/>
            <w:vMerge w:val="restart"/>
          </w:tcPr>
          <w:p>
            <w:pPr>
              <w:ind w:left="1180"/>
              <w:spacing w:after="0" w:line="198" w:lineRule="exact"/>
              <w:rPr>
                <w:sz w:val="20"/>
                <w:szCs w:val="20"/>
                <w:color w:val="auto"/>
              </w:rPr>
            </w:pPr>
            <w:r>
              <w:rPr>
                <w:rFonts w:ascii="Arial" w:cs="Arial" w:eastAsia="Arial" w:hAnsi="Arial"/>
                <w:sz w:val="18"/>
                <w:szCs w:val="18"/>
                <w:b w:val="1"/>
                <w:bCs w:val="1"/>
                <w:color w:val="auto"/>
              </w:rPr>
              <w:t>Shared dispositive power</w:t>
            </w:r>
          </w:p>
        </w:tc>
        <w:tc>
          <w:tcPr>
            <w:tcW w:w="0" w:type="dxa"/>
            <w:vAlign w:val="bottom"/>
          </w:tcPr>
          <w:p>
            <w:pPr>
              <w:spacing w:after="0"/>
              <w:rPr>
                <w:sz w:val="1"/>
                <w:szCs w:val="1"/>
                <w:color w:val="auto"/>
              </w:rPr>
            </w:pPr>
          </w:p>
        </w:tc>
      </w:tr>
      <w:tr>
        <w:trPr>
          <w:trHeight w:val="63"/>
        </w:trPr>
        <w:tc>
          <w:tcPr>
            <w:tcW w:w="3440" w:type="dxa"/>
            <w:vAlign w:val="bottom"/>
          </w:tcPr>
          <w:p>
            <w:pPr>
              <w:spacing w:after="0"/>
              <w:rPr>
                <w:sz w:val="5"/>
                <w:szCs w:val="5"/>
                <w:color w:val="auto"/>
              </w:rPr>
            </w:pPr>
          </w:p>
        </w:tc>
        <w:tc>
          <w:tcPr>
            <w:tcW w:w="1420" w:type="dxa"/>
            <w:vAlign w:val="bottom"/>
            <w:vMerge w:val="continue"/>
          </w:tcPr>
          <w:p>
            <w:pPr>
              <w:spacing w:after="0"/>
              <w:rPr>
                <w:sz w:val="5"/>
                <w:szCs w:val="5"/>
                <w:color w:val="auto"/>
              </w:rPr>
            </w:pPr>
          </w:p>
        </w:tc>
        <w:tc>
          <w:tcPr>
            <w:tcW w:w="65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3440" w:type="dxa"/>
            <w:vAlign w:val="bottom"/>
            <w:vMerge w:val="restart"/>
          </w:tcPr>
          <w:p>
            <w:pPr>
              <w:jc w:val="center"/>
              <w:spacing w:after="0"/>
              <w:rPr>
                <w:sz w:val="20"/>
                <w:szCs w:val="20"/>
                <w:color w:val="auto"/>
              </w:rPr>
            </w:pPr>
            <w:r>
              <w:rPr>
                <w:rFonts w:ascii="Arial" w:cs="Arial" w:eastAsia="Arial" w:hAnsi="Arial"/>
                <w:sz w:val="18"/>
                <w:szCs w:val="18"/>
                <w:b w:val="1"/>
                <w:bCs w:val="1"/>
                <w:color w:val="auto"/>
              </w:rPr>
              <w:t>With</w:t>
            </w:r>
          </w:p>
        </w:tc>
        <w:tc>
          <w:tcPr>
            <w:tcW w:w="1420" w:type="dxa"/>
            <w:vAlign w:val="bottom"/>
          </w:tcPr>
          <w:p>
            <w:pPr>
              <w:spacing w:after="0"/>
              <w:rPr>
                <w:sz w:val="20"/>
                <w:szCs w:val="20"/>
                <w:color w:val="auto"/>
              </w:rPr>
            </w:pPr>
            <w:r>
              <w:rPr>
                <w:rFonts w:ascii="Arial" w:cs="Arial" w:eastAsia="Arial" w:hAnsi="Arial"/>
                <w:sz w:val="18"/>
                <w:szCs w:val="18"/>
                <w:b w:val="1"/>
                <w:bCs w:val="1"/>
                <w:color w:val="auto"/>
              </w:rPr>
              <w:t>:</w:t>
            </w:r>
          </w:p>
        </w:tc>
        <w:tc>
          <w:tcPr>
            <w:tcW w:w="6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3"/>
        </w:trPr>
        <w:tc>
          <w:tcPr>
            <w:tcW w:w="3440" w:type="dxa"/>
            <w:vAlign w:val="bottom"/>
            <w:vMerge w:val="continue"/>
          </w:tcPr>
          <w:p>
            <w:pPr>
              <w:spacing w:after="0"/>
              <w:rPr>
                <w:sz w:val="13"/>
                <w:szCs w:val="13"/>
                <w:color w:val="auto"/>
              </w:rPr>
            </w:pPr>
          </w:p>
        </w:tc>
        <w:tc>
          <w:tcPr>
            <w:tcW w:w="1420" w:type="dxa"/>
            <w:vAlign w:val="bottom"/>
            <w:vMerge w:val="restart"/>
          </w:tcPr>
          <w:p>
            <w:pPr>
              <w:spacing w:after="0"/>
              <w:rPr>
                <w:sz w:val="20"/>
                <w:szCs w:val="20"/>
                <w:color w:val="auto"/>
              </w:rPr>
            </w:pPr>
            <w:r>
              <w:rPr>
                <w:rFonts w:ascii="Arial" w:cs="Arial" w:eastAsia="Arial" w:hAnsi="Arial"/>
                <w:sz w:val="18"/>
                <w:szCs w:val="18"/>
                <w:b w:val="1"/>
                <w:bCs w:val="1"/>
                <w:color w:val="auto"/>
              </w:rPr>
              <w:t>:</w:t>
            </w:r>
          </w:p>
        </w:tc>
        <w:tc>
          <w:tcPr>
            <w:tcW w:w="6560" w:type="dxa"/>
            <w:vAlign w:val="bottom"/>
            <w:vMerge w:val="restart"/>
          </w:tcPr>
          <w:p>
            <w:pPr>
              <w:ind w:left="1180"/>
              <w:spacing w:after="0"/>
              <w:rPr>
                <w:sz w:val="20"/>
                <w:szCs w:val="20"/>
                <w:color w:val="auto"/>
              </w:rPr>
            </w:pPr>
            <w:r>
              <w:rPr>
                <w:rFonts w:ascii="Arial" w:cs="Arial" w:eastAsia="Arial" w:hAnsi="Arial"/>
                <w:sz w:val="18"/>
                <w:szCs w:val="18"/>
                <w:b w:val="1"/>
                <w:bCs w:val="1"/>
                <w:color w:val="auto"/>
              </w:rPr>
              <w:t>None</w:t>
            </w:r>
          </w:p>
        </w:tc>
        <w:tc>
          <w:tcPr>
            <w:tcW w:w="0" w:type="dxa"/>
            <w:vAlign w:val="bottom"/>
          </w:tcPr>
          <w:p>
            <w:pPr>
              <w:spacing w:after="0"/>
              <w:rPr>
                <w:sz w:val="1"/>
                <w:szCs w:val="1"/>
                <w:color w:val="auto"/>
              </w:rPr>
            </w:pPr>
          </w:p>
        </w:tc>
      </w:tr>
      <w:tr>
        <w:trPr>
          <w:trHeight w:val="63"/>
        </w:trPr>
        <w:tc>
          <w:tcPr>
            <w:tcW w:w="3440" w:type="dxa"/>
            <w:vAlign w:val="bottom"/>
          </w:tcPr>
          <w:p>
            <w:pPr>
              <w:spacing w:after="0"/>
              <w:rPr>
                <w:sz w:val="5"/>
                <w:szCs w:val="5"/>
                <w:color w:val="auto"/>
              </w:rPr>
            </w:pPr>
          </w:p>
        </w:tc>
        <w:tc>
          <w:tcPr>
            <w:tcW w:w="1420" w:type="dxa"/>
            <w:vAlign w:val="bottom"/>
            <w:vMerge w:val="continue"/>
          </w:tcPr>
          <w:p>
            <w:pPr>
              <w:spacing w:after="0"/>
              <w:rPr>
                <w:sz w:val="5"/>
                <w:szCs w:val="5"/>
                <w:color w:val="auto"/>
              </w:rPr>
            </w:pPr>
          </w:p>
        </w:tc>
        <w:tc>
          <w:tcPr>
            <w:tcW w:w="65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34"/>
        </w:trPr>
        <w:tc>
          <w:tcPr>
            <w:tcW w:w="3440" w:type="dxa"/>
            <w:vAlign w:val="bottom"/>
          </w:tcPr>
          <w:p>
            <w:pPr>
              <w:spacing w:after="0"/>
              <w:rPr>
                <w:sz w:val="20"/>
                <w:szCs w:val="20"/>
                <w:color w:val="auto"/>
              </w:rPr>
            </w:pPr>
          </w:p>
        </w:tc>
        <w:tc>
          <w:tcPr>
            <w:tcW w:w="1420" w:type="dxa"/>
            <w:vAlign w:val="bottom"/>
          </w:tcPr>
          <w:p>
            <w:pPr>
              <w:spacing w:after="0"/>
              <w:rPr>
                <w:sz w:val="20"/>
                <w:szCs w:val="20"/>
                <w:color w:val="auto"/>
              </w:rPr>
            </w:pPr>
            <w:r>
              <w:rPr>
                <w:rFonts w:ascii="Arial" w:cs="Arial" w:eastAsia="Arial" w:hAnsi="Arial"/>
                <w:sz w:val="18"/>
                <w:szCs w:val="18"/>
                <w:b w:val="1"/>
                <w:bCs w:val="1"/>
                <w:color w:val="auto"/>
              </w:rPr>
              <w:t>:</w:t>
            </w:r>
          </w:p>
        </w:tc>
        <w:tc>
          <w:tcPr>
            <w:tcW w:w="65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ind w:left="840" w:right="5720" w:hanging="832"/>
        <w:spacing w:after="0" w:line="516" w:lineRule="auto"/>
        <w:tabs>
          <w:tab w:leader="none" w:pos="84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Aggregate amount beneficially owned by each reporting person 129,300 (Item 5)</w:t>
      </w:r>
    </w:p>
    <w:p>
      <w:pPr>
        <w:spacing w:after="0" w:line="1" w:lineRule="exact"/>
        <w:rPr>
          <w:rFonts w:ascii="Arial" w:cs="Arial" w:eastAsia="Arial" w:hAnsi="Arial"/>
          <w:sz w:val="18"/>
          <w:szCs w:val="18"/>
          <w:b w:val="1"/>
          <w:bCs w:val="1"/>
          <w:color w:val="auto"/>
        </w:rPr>
      </w:pPr>
    </w:p>
    <w:p>
      <w:pPr>
        <w:ind w:left="840" w:hanging="832"/>
        <w:spacing w:after="0"/>
        <w:tabs>
          <w:tab w:leader="none" w:pos="84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Check box if the aggregate amount in row (11) excludes certain shares</w:t>
      </w:r>
    </w:p>
    <w:p>
      <w:pPr>
        <w:spacing w:after="0" w:line="27" w:lineRule="exact"/>
        <w:rPr>
          <w:rFonts w:ascii="Arial" w:cs="Arial" w:eastAsia="Arial" w:hAnsi="Arial"/>
          <w:sz w:val="18"/>
          <w:szCs w:val="18"/>
          <w:b w:val="1"/>
          <w:bCs w:val="1"/>
          <w:color w:val="auto"/>
        </w:rPr>
      </w:pPr>
    </w:p>
    <w:p>
      <w:pPr>
        <w:ind w:left="84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(SEE INSTRUCTIONS)</w:t>
      </w:r>
    </w:p>
    <w:p>
      <w:pPr>
        <w:spacing w:after="0" w:line="200" w:lineRule="exact"/>
        <w:rPr>
          <w:rFonts w:ascii="Arial" w:cs="Arial" w:eastAsia="Arial" w:hAnsi="Arial"/>
          <w:sz w:val="18"/>
          <w:szCs w:val="18"/>
          <w:b w:val="1"/>
          <w:bCs w:val="1"/>
          <w:color w:val="auto"/>
        </w:rPr>
      </w:pPr>
    </w:p>
    <w:p>
      <w:pPr>
        <w:spacing w:after="0" w:line="249" w:lineRule="exact"/>
        <w:rPr>
          <w:rFonts w:ascii="Arial" w:cs="Arial" w:eastAsia="Arial" w:hAnsi="Arial"/>
          <w:sz w:val="18"/>
          <w:szCs w:val="18"/>
          <w:b w:val="1"/>
          <w:bCs w:val="1"/>
          <w:color w:val="auto"/>
        </w:rPr>
      </w:pPr>
    </w:p>
    <w:p>
      <w:pPr>
        <w:ind w:left="840" w:right="6700" w:hanging="832"/>
        <w:spacing w:after="0" w:line="516" w:lineRule="auto"/>
        <w:tabs>
          <w:tab w:leader="none" w:pos="84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Percent of class represented by amount in row (11) 2.56%</w:t>
      </w:r>
    </w:p>
    <w:p>
      <w:pPr>
        <w:spacing w:after="0" w:line="1" w:lineRule="exact"/>
        <w:rPr>
          <w:rFonts w:ascii="Arial" w:cs="Arial" w:eastAsia="Arial" w:hAnsi="Arial"/>
          <w:sz w:val="18"/>
          <w:szCs w:val="18"/>
          <w:b w:val="1"/>
          <w:bCs w:val="1"/>
          <w:color w:val="auto"/>
        </w:rPr>
      </w:pPr>
    </w:p>
    <w:p>
      <w:pPr>
        <w:ind w:left="840" w:hanging="832"/>
        <w:spacing w:after="0"/>
        <w:tabs>
          <w:tab w:leader="none" w:pos="84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Type of reporting person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-1268095</wp:posOffset>
            </wp:positionV>
            <wp:extent cx="72466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-702310</wp:posOffset>
            </wp:positionV>
            <wp:extent cx="72466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-136525</wp:posOffset>
            </wp:positionV>
            <wp:extent cx="72466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7" w:lineRule="exact"/>
        <w:rPr>
          <w:sz w:val="20"/>
          <w:szCs w:val="20"/>
          <w:color w:val="auto"/>
        </w:rPr>
      </w:pPr>
    </w:p>
    <w:p>
      <w:pPr>
        <w:ind w:left="1020"/>
        <w:spacing w:after="0"/>
        <w:rPr>
          <w:sz w:val="20"/>
          <w:szCs w:val="20"/>
          <w:color w:val="auto"/>
        </w:rPr>
      </w:pPr>
      <w:r>
        <w:rPr>
          <w:rFonts w:ascii="Arial" w:cs="Arial" w:eastAsia="Arial" w:hAnsi="Arial"/>
          <w:sz w:val="18"/>
          <w:szCs w:val="18"/>
          <w:b w:val="1"/>
          <w:bCs w:val="1"/>
          <w:color w:val="auto"/>
        </w:rPr>
        <w:t>IA,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2466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t>CUSIP No. 677864100</w:t>
      </w:r>
    </w:p>
    <w:p>
      <w:pPr>
        <w:spacing w:after="0" w:line="23" w:lineRule="exact"/>
        <w:rPr>
          <w:sz w:val="20"/>
          <w:szCs w:val="20"/>
          <w:color w:val="auto"/>
        </w:rPr>
      </w:pPr>
    </w:p>
    <w:p>
      <w:pPr>
        <w:ind w:left="840" w:hanging="458"/>
        <w:spacing w:after="0"/>
        <w:tabs>
          <w:tab w:leader="none" w:pos="84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Names of reporting persons</w:t>
      </w:r>
    </w:p>
    <w:p>
      <w:pPr>
        <w:spacing w:after="0" w:line="9" w:lineRule="exact"/>
        <w:rPr>
          <w:rFonts w:ascii="Arial" w:cs="Arial" w:eastAsia="Arial" w:hAnsi="Arial"/>
          <w:sz w:val="18"/>
          <w:szCs w:val="18"/>
          <w:b w:val="1"/>
          <w:bCs w:val="1"/>
          <w:color w:val="auto"/>
        </w:rPr>
      </w:pPr>
    </w:p>
    <w:p>
      <w:pPr>
        <w:ind w:left="84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I.R.S. identification nos. of above persons (entities only)</w:t>
      </w:r>
    </w:p>
    <w:p>
      <w:pPr>
        <w:spacing w:after="0" w:line="9" w:lineRule="exact"/>
        <w:rPr>
          <w:sz w:val="20"/>
          <w:szCs w:val="20"/>
          <w:color w:val="auto"/>
        </w:rPr>
      </w:pPr>
    </w:p>
    <w:p>
      <w:pPr>
        <w:ind w:left="840"/>
        <w:spacing w:after="0"/>
        <w:tabs>
          <w:tab w:leader="none" w:pos="3520" w:val="left"/>
        </w:tabs>
        <w:rPr>
          <w:sz w:val="20"/>
          <w:szCs w:val="20"/>
          <w:color w:val="auto"/>
        </w:rPr>
      </w:pPr>
      <w:r>
        <w:rPr>
          <w:rFonts w:ascii="Arial" w:cs="Arial" w:eastAsia="Arial" w:hAnsi="Arial"/>
          <w:sz w:val="18"/>
          <w:szCs w:val="18"/>
          <w:b w:val="1"/>
          <w:bCs w:val="1"/>
          <w:color w:val="auto"/>
        </w:rPr>
        <w:t>GGCP, Inc.</w:t>
      </w:r>
      <w:r>
        <w:rPr>
          <w:sz w:val="20"/>
          <w:szCs w:val="20"/>
          <w:color w:val="auto"/>
        </w:rPr>
        <w:tab/>
      </w:r>
      <w:r>
        <w:rPr>
          <w:rFonts w:ascii="Arial" w:cs="Arial" w:eastAsia="Arial" w:hAnsi="Arial"/>
          <w:sz w:val="17"/>
          <w:szCs w:val="17"/>
          <w:b w:val="1"/>
          <w:bCs w:val="1"/>
          <w:color w:val="auto"/>
        </w:rPr>
        <w:t>I.D. No. 13-3056041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ind w:left="840" w:hanging="458"/>
        <w:spacing w:after="0"/>
        <w:tabs>
          <w:tab w:leader="none" w:pos="84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Check the appropriate box if a member of a group (SEE INSTRUCTIONS) (a)</w:t>
      </w:r>
    </w:p>
    <w:p>
      <w:pPr>
        <w:spacing w:after="0" w:line="200" w:lineRule="exact"/>
        <w:rPr>
          <w:sz w:val="20"/>
          <w:szCs w:val="20"/>
          <w:color w:val="auto"/>
        </w:rPr>
      </w:pPr>
    </w:p>
    <w:p>
      <w:pPr>
        <w:spacing w:after="0" w:line="241" w:lineRule="exact"/>
        <w:rPr>
          <w:sz w:val="20"/>
          <w:szCs w:val="20"/>
          <w:color w:val="auto"/>
        </w:rPr>
      </w:pPr>
    </w:p>
    <w:p>
      <w:pPr>
        <w:ind w:left="7320"/>
        <w:spacing w:after="0"/>
        <w:rPr>
          <w:sz w:val="20"/>
          <w:szCs w:val="20"/>
          <w:color w:val="auto"/>
        </w:rPr>
      </w:pPr>
      <w:r>
        <w:rPr>
          <w:rFonts w:ascii="Arial" w:cs="Arial" w:eastAsia="Arial" w:hAnsi="Arial"/>
          <w:sz w:val="18"/>
          <w:szCs w:val="18"/>
          <w:b w:val="1"/>
          <w:bCs w:val="1"/>
          <w:color w:val="auto"/>
        </w:rPr>
        <w:t>(b)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 w:lineRule="exact"/>
        <w:rPr>
          <w:sz w:val="20"/>
          <w:szCs w:val="20"/>
          <w:color w:val="auto"/>
        </w:rPr>
      </w:pPr>
    </w:p>
    <w:p>
      <w:pPr>
        <w:ind w:left="840" w:hanging="458"/>
        <w:spacing w:after="0"/>
        <w:tabs>
          <w:tab w:leader="none" w:pos="84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2466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2" w:lineRule="exact"/>
        <w:rPr>
          <w:sz w:val="20"/>
          <w:szCs w:val="20"/>
          <w:color w:val="auto"/>
        </w:rPr>
      </w:pPr>
    </w:p>
    <w:p>
      <w:pPr>
        <w:ind w:left="980" w:right="7460" w:hanging="598"/>
        <w:spacing w:after="0" w:line="282" w:lineRule="auto"/>
        <w:tabs>
          <w:tab w:leader="none" w:pos="845"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Source of funds (SEE INSTRUCTIONS) 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9" w:lineRule="exact"/>
        <w:rPr>
          <w:sz w:val="20"/>
          <w:szCs w:val="20"/>
          <w:color w:val="auto"/>
        </w:rPr>
      </w:pPr>
    </w:p>
    <w:p>
      <w:pPr>
        <w:ind w:left="840" w:hanging="458"/>
        <w:spacing w:after="0"/>
        <w:tabs>
          <w:tab w:leader="none" w:pos="84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Check box if disclosure of legal proceedings is required pursuant to items 2 (d) or 2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292100</wp:posOffset>
            </wp:positionV>
            <wp:extent cx="72466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840" w:right="7840" w:hanging="458"/>
        <w:spacing w:after="0" w:line="282" w:lineRule="auto"/>
        <w:tabs>
          <w:tab w:leader="none" w:pos="84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Citizenship or place of organization Wyoming</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34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Number Of</w:t>
            </w:r>
          </w:p>
        </w:tc>
        <w:tc>
          <w:tcPr>
            <w:tcW w:w="142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 7</w:t>
            </w:r>
          </w:p>
        </w:tc>
        <w:tc>
          <w:tcPr>
            <w:tcW w:w="6560" w:type="dxa"/>
            <w:vAlign w:val="bottom"/>
            <w:tcBorders>
              <w:top w:val="single" w:sz="8" w:color="auto"/>
            </w:tcBorders>
          </w:tcPr>
          <w:p>
            <w:pPr>
              <w:ind w:left="1180"/>
              <w:spacing w:after="0"/>
              <w:rPr>
                <w:sz w:val="20"/>
                <w:szCs w:val="20"/>
                <w:color w:val="auto"/>
              </w:rPr>
            </w:pPr>
            <w:r>
              <w:rPr>
                <w:rFonts w:ascii="Arial" w:cs="Arial" w:eastAsia="Arial" w:hAnsi="Arial"/>
                <w:sz w:val="18"/>
                <w:szCs w:val="18"/>
                <w:b w:val="1"/>
                <w:bCs w:val="1"/>
                <w:color w:val="auto"/>
              </w:rPr>
              <w:t>Sole voting power</w:t>
            </w:r>
          </w:p>
        </w:tc>
        <w:tc>
          <w:tcPr>
            <w:tcW w:w="0" w:type="dxa"/>
            <w:vAlign w:val="bottom"/>
          </w:tcPr>
          <w:p>
            <w:pPr>
              <w:spacing w:after="0"/>
              <w:rPr>
                <w:sz w:val="1"/>
                <w:szCs w:val="1"/>
                <w:color w:val="auto"/>
              </w:rPr>
            </w:pPr>
          </w:p>
        </w:tc>
      </w:tr>
      <w:tr>
        <w:trPr>
          <w:trHeight w:val="216"/>
        </w:trPr>
        <w:tc>
          <w:tcPr>
            <w:tcW w:w="3440" w:type="dxa"/>
            <w:vAlign w:val="bottom"/>
          </w:tcPr>
          <w:p>
            <w:pPr>
              <w:spacing w:after="0"/>
              <w:rPr>
                <w:sz w:val="18"/>
                <w:szCs w:val="18"/>
                <w:color w:val="auto"/>
              </w:rPr>
            </w:pPr>
          </w:p>
        </w:tc>
        <w:tc>
          <w:tcPr>
            <w:tcW w:w="1420" w:type="dxa"/>
            <w:vAlign w:val="bottom"/>
          </w:tcPr>
          <w:p>
            <w:pPr>
              <w:spacing w:after="0"/>
              <w:rPr>
                <w:sz w:val="20"/>
                <w:szCs w:val="20"/>
                <w:color w:val="auto"/>
              </w:rPr>
            </w:pPr>
            <w:r>
              <w:rPr>
                <w:rFonts w:ascii="Arial" w:cs="Arial" w:eastAsia="Arial" w:hAnsi="Arial"/>
                <w:sz w:val="18"/>
                <w:szCs w:val="18"/>
                <w:b w:val="1"/>
                <w:bCs w:val="1"/>
                <w:color w:val="auto"/>
              </w:rPr>
              <w:t>:</w:t>
            </w:r>
          </w:p>
        </w:tc>
        <w:tc>
          <w:tcPr>
            <w:tcW w:w="6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40" w:type="dxa"/>
            <w:vAlign w:val="bottom"/>
          </w:tcPr>
          <w:p>
            <w:pPr>
              <w:jc w:val="center"/>
              <w:spacing w:after="0"/>
              <w:rPr>
                <w:sz w:val="20"/>
                <w:szCs w:val="20"/>
                <w:color w:val="auto"/>
              </w:rPr>
            </w:pPr>
            <w:r>
              <w:rPr>
                <w:rFonts w:ascii="Arial" w:cs="Arial" w:eastAsia="Arial" w:hAnsi="Arial"/>
                <w:sz w:val="18"/>
                <w:szCs w:val="18"/>
                <w:b w:val="1"/>
                <w:bCs w:val="1"/>
                <w:color w:val="auto"/>
                <w:w w:val="86"/>
              </w:rPr>
              <w:t>Shares</w:t>
            </w:r>
          </w:p>
        </w:tc>
        <w:tc>
          <w:tcPr>
            <w:tcW w:w="1420" w:type="dxa"/>
            <w:vAlign w:val="bottom"/>
          </w:tcPr>
          <w:p>
            <w:pPr>
              <w:spacing w:after="0"/>
              <w:rPr>
                <w:sz w:val="20"/>
                <w:szCs w:val="20"/>
                <w:color w:val="auto"/>
              </w:rPr>
            </w:pPr>
            <w:r>
              <w:rPr>
                <w:rFonts w:ascii="Arial" w:cs="Arial" w:eastAsia="Arial" w:hAnsi="Arial"/>
                <w:sz w:val="18"/>
                <w:szCs w:val="18"/>
                <w:b w:val="1"/>
                <w:bCs w:val="1"/>
                <w:color w:val="auto"/>
              </w:rPr>
              <w:t>:</w:t>
            </w:r>
          </w:p>
        </w:tc>
        <w:tc>
          <w:tcPr>
            <w:tcW w:w="6560" w:type="dxa"/>
            <w:vAlign w:val="bottom"/>
          </w:tcPr>
          <w:p>
            <w:pPr>
              <w:ind w:left="1180"/>
              <w:spacing w:after="0"/>
              <w:rPr>
                <w:sz w:val="20"/>
                <w:szCs w:val="20"/>
                <w:color w:val="auto"/>
              </w:rPr>
            </w:pPr>
            <w:r>
              <w:rPr>
                <w:rFonts w:ascii="Arial" w:cs="Arial" w:eastAsia="Arial" w:hAnsi="Arial"/>
                <w:sz w:val="18"/>
                <w:szCs w:val="18"/>
                <w:b w:val="1"/>
                <w:bCs w:val="1"/>
                <w:color w:val="auto"/>
              </w:rPr>
              <w:t>None</w:t>
            </w:r>
          </w:p>
        </w:tc>
        <w:tc>
          <w:tcPr>
            <w:tcW w:w="0" w:type="dxa"/>
            <w:vAlign w:val="bottom"/>
          </w:tcPr>
          <w:p>
            <w:pPr>
              <w:spacing w:after="0"/>
              <w:rPr>
                <w:sz w:val="1"/>
                <w:szCs w:val="1"/>
                <w:color w:val="auto"/>
              </w:rPr>
            </w:pPr>
          </w:p>
        </w:tc>
      </w:tr>
      <w:tr>
        <w:trPr>
          <w:trHeight w:val="241"/>
        </w:trPr>
        <w:tc>
          <w:tcPr>
            <w:tcW w:w="34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9"/>
              </w:rPr>
              <w:t>Beneficially</w:t>
            </w:r>
          </w:p>
        </w:tc>
        <w:tc>
          <w:tcPr>
            <w:tcW w:w="14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5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440" w:type="dxa"/>
            <w:vAlign w:val="bottom"/>
            <w:vMerge w:val="continue"/>
          </w:tcPr>
          <w:p>
            <w:pPr>
              <w:spacing w:after="0"/>
              <w:rPr>
                <w:sz w:val="17"/>
                <w:szCs w:val="17"/>
                <w:color w:val="auto"/>
              </w:rPr>
            </w:pPr>
          </w:p>
        </w:tc>
        <w:tc>
          <w:tcPr>
            <w:tcW w:w="1420" w:type="dxa"/>
            <w:vAlign w:val="bottom"/>
          </w:tcPr>
          <w:p>
            <w:pPr>
              <w:spacing w:after="0" w:line="198" w:lineRule="exact"/>
              <w:rPr>
                <w:sz w:val="20"/>
                <w:szCs w:val="20"/>
                <w:color w:val="auto"/>
              </w:rPr>
            </w:pPr>
            <w:r>
              <w:rPr>
                <w:rFonts w:ascii="Arial" w:cs="Arial" w:eastAsia="Arial" w:hAnsi="Arial"/>
                <w:sz w:val="18"/>
                <w:szCs w:val="18"/>
                <w:b w:val="1"/>
                <w:bCs w:val="1"/>
                <w:color w:val="auto"/>
              </w:rPr>
              <w:t>: 8</w:t>
            </w:r>
          </w:p>
        </w:tc>
        <w:tc>
          <w:tcPr>
            <w:tcW w:w="6560" w:type="dxa"/>
            <w:vAlign w:val="bottom"/>
          </w:tcPr>
          <w:p>
            <w:pPr>
              <w:ind w:left="1180"/>
              <w:spacing w:after="0" w:line="198" w:lineRule="exact"/>
              <w:rPr>
                <w:sz w:val="20"/>
                <w:szCs w:val="20"/>
                <w:color w:val="auto"/>
              </w:rPr>
            </w:pPr>
            <w:r>
              <w:rPr>
                <w:rFonts w:ascii="Arial" w:cs="Arial" w:eastAsia="Arial" w:hAnsi="Arial"/>
                <w:sz w:val="18"/>
                <w:szCs w:val="18"/>
                <w:b w:val="1"/>
                <w:bCs w:val="1"/>
                <w:color w:val="auto"/>
              </w:rPr>
              <w:t>Shared voting power</w:t>
            </w:r>
          </w:p>
        </w:tc>
        <w:tc>
          <w:tcPr>
            <w:tcW w:w="0" w:type="dxa"/>
            <w:vAlign w:val="bottom"/>
          </w:tcPr>
          <w:p>
            <w:pPr>
              <w:spacing w:after="0"/>
              <w:rPr>
                <w:sz w:val="1"/>
                <w:szCs w:val="1"/>
                <w:color w:val="auto"/>
              </w:rPr>
            </w:pPr>
          </w:p>
        </w:tc>
      </w:tr>
      <w:tr>
        <w:trPr>
          <w:trHeight w:val="216"/>
        </w:trPr>
        <w:tc>
          <w:tcPr>
            <w:tcW w:w="34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3"/>
              </w:rPr>
              <w:t>Owned</w:t>
            </w:r>
          </w:p>
        </w:tc>
        <w:tc>
          <w:tcPr>
            <w:tcW w:w="1420" w:type="dxa"/>
            <w:vAlign w:val="bottom"/>
          </w:tcPr>
          <w:p>
            <w:pPr>
              <w:spacing w:after="0"/>
              <w:rPr>
                <w:sz w:val="20"/>
                <w:szCs w:val="20"/>
                <w:color w:val="auto"/>
              </w:rPr>
            </w:pPr>
            <w:r>
              <w:rPr>
                <w:rFonts w:ascii="Arial" w:cs="Arial" w:eastAsia="Arial" w:hAnsi="Arial"/>
                <w:sz w:val="18"/>
                <w:szCs w:val="18"/>
                <w:b w:val="1"/>
                <w:bCs w:val="1"/>
                <w:color w:val="auto"/>
              </w:rPr>
              <w:t>:</w:t>
            </w:r>
          </w:p>
        </w:tc>
        <w:tc>
          <w:tcPr>
            <w:tcW w:w="6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40" w:type="dxa"/>
            <w:vAlign w:val="bottom"/>
            <w:vMerge w:val="continue"/>
          </w:tcPr>
          <w:p>
            <w:pPr>
              <w:spacing w:after="0"/>
              <w:rPr>
                <w:sz w:val="18"/>
                <w:szCs w:val="18"/>
                <w:color w:val="auto"/>
              </w:rPr>
            </w:pPr>
          </w:p>
        </w:tc>
        <w:tc>
          <w:tcPr>
            <w:tcW w:w="1420" w:type="dxa"/>
            <w:vAlign w:val="bottom"/>
          </w:tcPr>
          <w:p>
            <w:pPr>
              <w:spacing w:after="0"/>
              <w:rPr>
                <w:sz w:val="20"/>
                <w:szCs w:val="20"/>
                <w:color w:val="auto"/>
              </w:rPr>
            </w:pPr>
            <w:r>
              <w:rPr>
                <w:rFonts w:ascii="Arial" w:cs="Arial" w:eastAsia="Arial" w:hAnsi="Arial"/>
                <w:sz w:val="18"/>
                <w:szCs w:val="18"/>
                <w:b w:val="1"/>
                <w:bCs w:val="1"/>
                <w:color w:val="auto"/>
              </w:rPr>
              <w:t>:</w:t>
            </w:r>
          </w:p>
        </w:tc>
        <w:tc>
          <w:tcPr>
            <w:tcW w:w="6560" w:type="dxa"/>
            <w:vAlign w:val="bottom"/>
          </w:tcPr>
          <w:p>
            <w:pPr>
              <w:ind w:left="1180"/>
              <w:spacing w:after="0"/>
              <w:rPr>
                <w:sz w:val="20"/>
                <w:szCs w:val="20"/>
                <w:color w:val="auto"/>
              </w:rPr>
            </w:pPr>
            <w:r>
              <w:rPr>
                <w:rFonts w:ascii="Arial" w:cs="Arial" w:eastAsia="Arial" w:hAnsi="Arial"/>
                <w:sz w:val="18"/>
                <w:szCs w:val="18"/>
                <w:b w:val="1"/>
                <w:bCs w:val="1"/>
                <w:color w:val="auto"/>
              </w:rPr>
              <w:t>None</w:t>
            </w:r>
          </w:p>
        </w:tc>
        <w:tc>
          <w:tcPr>
            <w:tcW w:w="0" w:type="dxa"/>
            <w:vAlign w:val="bottom"/>
          </w:tcPr>
          <w:p>
            <w:pPr>
              <w:spacing w:after="0"/>
              <w:rPr>
                <w:sz w:val="1"/>
                <w:szCs w:val="1"/>
                <w:color w:val="auto"/>
              </w:rPr>
            </w:pPr>
          </w:p>
        </w:tc>
      </w:tr>
      <w:tr>
        <w:trPr>
          <w:trHeight w:val="241"/>
        </w:trPr>
        <w:tc>
          <w:tcPr>
            <w:tcW w:w="34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0"/>
              </w:rPr>
              <w:t>By Each</w:t>
            </w:r>
          </w:p>
        </w:tc>
        <w:tc>
          <w:tcPr>
            <w:tcW w:w="14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5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440" w:type="dxa"/>
            <w:vAlign w:val="bottom"/>
            <w:vMerge w:val="continue"/>
          </w:tcPr>
          <w:p>
            <w:pPr>
              <w:spacing w:after="0"/>
              <w:rPr>
                <w:sz w:val="17"/>
                <w:szCs w:val="17"/>
                <w:color w:val="auto"/>
              </w:rPr>
            </w:pPr>
          </w:p>
        </w:tc>
        <w:tc>
          <w:tcPr>
            <w:tcW w:w="1420" w:type="dxa"/>
            <w:vAlign w:val="bottom"/>
          </w:tcPr>
          <w:p>
            <w:pPr>
              <w:spacing w:after="0" w:line="198" w:lineRule="exact"/>
              <w:rPr>
                <w:sz w:val="20"/>
                <w:szCs w:val="20"/>
                <w:color w:val="auto"/>
              </w:rPr>
            </w:pPr>
            <w:r>
              <w:rPr>
                <w:rFonts w:ascii="Arial" w:cs="Arial" w:eastAsia="Arial" w:hAnsi="Arial"/>
                <w:sz w:val="18"/>
                <w:szCs w:val="18"/>
                <w:b w:val="1"/>
                <w:bCs w:val="1"/>
                <w:color w:val="auto"/>
              </w:rPr>
              <w:t>: 9</w:t>
            </w:r>
          </w:p>
        </w:tc>
        <w:tc>
          <w:tcPr>
            <w:tcW w:w="6560" w:type="dxa"/>
            <w:vAlign w:val="bottom"/>
          </w:tcPr>
          <w:p>
            <w:pPr>
              <w:ind w:left="1180"/>
              <w:spacing w:after="0" w:line="198" w:lineRule="exact"/>
              <w:rPr>
                <w:sz w:val="20"/>
                <w:szCs w:val="20"/>
                <w:color w:val="auto"/>
              </w:rPr>
            </w:pPr>
            <w:r>
              <w:rPr>
                <w:rFonts w:ascii="Arial" w:cs="Arial" w:eastAsia="Arial" w:hAnsi="Arial"/>
                <w:sz w:val="18"/>
                <w:szCs w:val="18"/>
                <w:b w:val="1"/>
                <w:bCs w:val="1"/>
                <w:color w:val="auto"/>
              </w:rPr>
              <w:t>Sole dispositive power</w:t>
            </w:r>
          </w:p>
        </w:tc>
        <w:tc>
          <w:tcPr>
            <w:tcW w:w="0" w:type="dxa"/>
            <w:vAlign w:val="bottom"/>
          </w:tcPr>
          <w:p>
            <w:pPr>
              <w:spacing w:after="0"/>
              <w:rPr>
                <w:sz w:val="1"/>
                <w:szCs w:val="1"/>
                <w:color w:val="auto"/>
              </w:rPr>
            </w:pPr>
          </w:p>
        </w:tc>
      </w:tr>
      <w:tr>
        <w:trPr>
          <w:trHeight w:val="216"/>
        </w:trPr>
        <w:tc>
          <w:tcPr>
            <w:tcW w:w="34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1"/>
              </w:rPr>
              <w:t>Reporting</w:t>
            </w:r>
          </w:p>
        </w:tc>
        <w:tc>
          <w:tcPr>
            <w:tcW w:w="1420" w:type="dxa"/>
            <w:vAlign w:val="bottom"/>
          </w:tcPr>
          <w:p>
            <w:pPr>
              <w:spacing w:after="0"/>
              <w:rPr>
                <w:sz w:val="20"/>
                <w:szCs w:val="20"/>
                <w:color w:val="auto"/>
              </w:rPr>
            </w:pPr>
            <w:r>
              <w:rPr>
                <w:rFonts w:ascii="Arial" w:cs="Arial" w:eastAsia="Arial" w:hAnsi="Arial"/>
                <w:sz w:val="18"/>
                <w:szCs w:val="18"/>
                <w:b w:val="1"/>
                <w:bCs w:val="1"/>
                <w:color w:val="auto"/>
              </w:rPr>
              <w:t>:</w:t>
            </w:r>
          </w:p>
        </w:tc>
        <w:tc>
          <w:tcPr>
            <w:tcW w:w="6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40" w:type="dxa"/>
            <w:vAlign w:val="bottom"/>
            <w:vMerge w:val="continue"/>
          </w:tcPr>
          <w:p>
            <w:pPr>
              <w:spacing w:after="0"/>
              <w:rPr>
                <w:sz w:val="18"/>
                <w:szCs w:val="18"/>
                <w:color w:val="auto"/>
              </w:rPr>
            </w:pPr>
          </w:p>
        </w:tc>
        <w:tc>
          <w:tcPr>
            <w:tcW w:w="1420" w:type="dxa"/>
            <w:vAlign w:val="bottom"/>
          </w:tcPr>
          <w:p>
            <w:pPr>
              <w:spacing w:after="0"/>
              <w:rPr>
                <w:sz w:val="20"/>
                <w:szCs w:val="20"/>
                <w:color w:val="auto"/>
              </w:rPr>
            </w:pPr>
            <w:r>
              <w:rPr>
                <w:rFonts w:ascii="Arial" w:cs="Arial" w:eastAsia="Arial" w:hAnsi="Arial"/>
                <w:sz w:val="18"/>
                <w:szCs w:val="18"/>
                <w:b w:val="1"/>
                <w:bCs w:val="1"/>
                <w:color w:val="auto"/>
              </w:rPr>
              <w:t>:</w:t>
            </w:r>
          </w:p>
        </w:tc>
        <w:tc>
          <w:tcPr>
            <w:tcW w:w="6560" w:type="dxa"/>
            <w:vAlign w:val="bottom"/>
          </w:tcPr>
          <w:p>
            <w:pPr>
              <w:ind w:left="1180"/>
              <w:spacing w:after="0"/>
              <w:rPr>
                <w:sz w:val="20"/>
                <w:szCs w:val="20"/>
                <w:color w:val="auto"/>
              </w:rPr>
            </w:pPr>
            <w:r>
              <w:rPr>
                <w:rFonts w:ascii="Arial" w:cs="Arial" w:eastAsia="Arial" w:hAnsi="Arial"/>
                <w:sz w:val="18"/>
                <w:szCs w:val="18"/>
                <w:b w:val="1"/>
                <w:bCs w:val="1"/>
                <w:color w:val="auto"/>
              </w:rPr>
              <w:t>None</w:t>
            </w:r>
          </w:p>
        </w:tc>
        <w:tc>
          <w:tcPr>
            <w:tcW w:w="0" w:type="dxa"/>
            <w:vAlign w:val="bottom"/>
          </w:tcPr>
          <w:p>
            <w:pPr>
              <w:spacing w:after="0"/>
              <w:rPr>
                <w:sz w:val="1"/>
                <w:szCs w:val="1"/>
                <w:color w:val="auto"/>
              </w:rPr>
            </w:pPr>
          </w:p>
        </w:tc>
      </w:tr>
      <w:tr>
        <w:trPr>
          <w:trHeight w:val="241"/>
        </w:trPr>
        <w:tc>
          <w:tcPr>
            <w:tcW w:w="34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5"/>
              </w:rPr>
              <w:t>Person</w:t>
            </w:r>
          </w:p>
        </w:tc>
        <w:tc>
          <w:tcPr>
            <w:tcW w:w="14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5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35"/>
        </w:trPr>
        <w:tc>
          <w:tcPr>
            <w:tcW w:w="3440" w:type="dxa"/>
            <w:vAlign w:val="bottom"/>
            <w:vMerge w:val="continue"/>
          </w:tcPr>
          <w:p>
            <w:pPr>
              <w:spacing w:after="0"/>
              <w:rPr>
                <w:sz w:val="11"/>
                <w:szCs w:val="11"/>
                <w:color w:val="auto"/>
              </w:rPr>
            </w:pPr>
          </w:p>
        </w:tc>
        <w:tc>
          <w:tcPr>
            <w:tcW w:w="1420" w:type="dxa"/>
            <w:vAlign w:val="bottom"/>
            <w:vMerge w:val="restart"/>
          </w:tcPr>
          <w:p>
            <w:pPr>
              <w:spacing w:after="0" w:line="198" w:lineRule="exact"/>
              <w:rPr>
                <w:sz w:val="20"/>
                <w:szCs w:val="20"/>
                <w:color w:val="auto"/>
              </w:rPr>
            </w:pPr>
            <w:r>
              <w:rPr>
                <w:rFonts w:ascii="Arial" w:cs="Arial" w:eastAsia="Arial" w:hAnsi="Arial"/>
                <w:sz w:val="18"/>
                <w:szCs w:val="18"/>
                <w:b w:val="1"/>
                <w:bCs w:val="1"/>
                <w:color w:val="auto"/>
              </w:rPr>
              <w:t>:10</w:t>
            </w:r>
          </w:p>
        </w:tc>
        <w:tc>
          <w:tcPr>
            <w:tcW w:w="6560" w:type="dxa"/>
            <w:vAlign w:val="bottom"/>
            <w:vMerge w:val="restart"/>
          </w:tcPr>
          <w:p>
            <w:pPr>
              <w:ind w:left="1180"/>
              <w:spacing w:after="0" w:line="198" w:lineRule="exact"/>
              <w:rPr>
                <w:sz w:val="20"/>
                <w:szCs w:val="20"/>
                <w:color w:val="auto"/>
              </w:rPr>
            </w:pPr>
            <w:r>
              <w:rPr>
                <w:rFonts w:ascii="Arial" w:cs="Arial" w:eastAsia="Arial" w:hAnsi="Arial"/>
                <w:sz w:val="18"/>
                <w:szCs w:val="18"/>
                <w:b w:val="1"/>
                <w:bCs w:val="1"/>
                <w:color w:val="auto"/>
              </w:rPr>
              <w:t>Shared dispositive power</w:t>
            </w:r>
          </w:p>
        </w:tc>
        <w:tc>
          <w:tcPr>
            <w:tcW w:w="0" w:type="dxa"/>
            <w:vAlign w:val="bottom"/>
          </w:tcPr>
          <w:p>
            <w:pPr>
              <w:spacing w:after="0"/>
              <w:rPr>
                <w:sz w:val="1"/>
                <w:szCs w:val="1"/>
                <w:color w:val="auto"/>
              </w:rPr>
            </w:pPr>
          </w:p>
        </w:tc>
      </w:tr>
      <w:tr>
        <w:trPr>
          <w:trHeight w:val="63"/>
        </w:trPr>
        <w:tc>
          <w:tcPr>
            <w:tcW w:w="3440" w:type="dxa"/>
            <w:vAlign w:val="bottom"/>
          </w:tcPr>
          <w:p>
            <w:pPr>
              <w:spacing w:after="0"/>
              <w:rPr>
                <w:sz w:val="5"/>
                <w:szCs w:val="5"/>
                <w:color w:val="auto"/>
              </w:rPr>
            </w:pPr>
          </w:p>
        </w:tc>
        <w:tc>
          <w:tcPr>
            <w:tcW w:w="1420" w:type="dxa"/>
            <w:vAlign w:val="bottom"/>
            <w:vMerge w:val="continue"/>
          </w:tcPr>
          <w:p>
            <w:pPr>
              <w:spacing w:after="0"/>
              <w:rPr>
                <w:sz w:val="5"/>
                <w:szCs w:val="5"/>
                <w:color w:val="auto"/>
              </w:rPr>
            </w:pPr>
          </w:p>
        </w:tc>
        <w:tc>
          <w:tcPr>
            <w:tcW w:w="65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3440" w:type="dxa"/>
            <w:vAlign w:val="bottom"/>
            <w:vMerge w:val="restart"/>
          </w:tcPr>
          <w:p>
            <w:pPr>
              <w:jc w:val="center"/>
              <w:spacing w:after="0"/>
              <w:rPr>
                <w:sz w:val="20"/>
                <w:szCs w:val="20"/>
                <w:color w:val="auto"/>
              </w:rPr>
            </w:pPr>
            <w:r>
              <w:rPr>
                <w:rFonts w:ascii="Arial" w:cs="Arial" w:eastAsia="Arial" w:hAnsi="Arial"/>
                <w:sz w:val="18"/>
                <w:szCs w:val="18"/>
                <w:b w:val="1"/>
                <w:bCs w:val="1"/>
                <w:color w:val="auto"/>
              </w:rPr>
              <w:t>With</w:t>
            </w:r>
          </w:p>
        </w:tc>
        <w:tc>
          <w:tcPr>
            <w:tcW w:w="1420" w:type="dxa"/>
            <w:vAlign w:val="bottom"/>
          </w:tcPr>
          <w:p>
            <w:pPr>
              <w:spacing w:after="0"/>
              <w:rPr>
                <w:sz w:val="20"/>
                <w:szCs w:val="20"/>
                <w:color w:val="auto"/>
              </w:rPr>
            </w:pPr>
            <w:r>
              <w:rPr>
                <w:rFonts w:ascii="Arial" w:cs="Arial" w:eastAsia="Arial" w:hAnsi="Arial"/>
                <w:sz w:val="18"/>
                <w:szCs w:val="18"/>
                <w:b w:val="1"/>
                <w:bCs w:val="1"/>
                <w:color w:val="auto"/>
              </w:rPr>
              <w:t>:</w:t>
            </w:r>
          </w:p>
        </w:tc>
        <w:tc>
          <w:tcPr>
            <w:tcW w:w="6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3"/>
        </w:trPr>
        <w:tc>
          <w:tcPr>
            <w:tcW w:w="3440" w:type="dxa"/>
            <w:vAlign w:val="bottom"/>
            <w:vMerge w:val="continue"/>
          </w:tcPr>
          <w:p>
            <w:pPr>
              <w:spacing w:after="0"/>
              <w:rPr>
                <w:sz w:val="13"/>
                <w:szCs w:val="13"/>
                <w:color w:val="auto"/>
              </w:rPr>
            </w:pPr>
          </w:p>
        </w:tc>
        <w:tc>
          <w:tcPr>
            <w:tcW w:w="1420" w:type="dxa"/>
            <w:vAlign w:val="bottom"/>
            <w:vMerge w:val="restart"/>
          </w:tcPr>
          <w:p>
            <w:pPr>
              <w:spacing w:after="0"/>
              <w:rPr>
                <w:sz w:val="20"/>
                <w:szCs w:val="20"/>
                <w:color w:val="auto"/>
              </w:rPr>
            </w:pPr>
            <w:r>
              <w:rPr>
                <w:rFonts w:ascii="Arial" w:cs="Arial" w:eastAsia="Arial" w:hAnsi="Arial"/>
                <w:sz w:val="18"/>
                <w:szCs w:val="18"/>
                <w:b w:val="1"/>
                <w:bCs w:val="1"/>
                <w:color w:val="auto"/>
              </w:rPr>
              <w:t>:</w:t>
            </w:r>
          </w:p>
        </w:tc>
        <w:tc>
          <w:tcPr>
            <w:tcW w:w="6560" w:type="dxa"/>
            <w:vAlign w:val="bottom"/>
            <w:vMerge w:val="restart"/>
          </w:tcPr>
          <w:p>
            <w:pPr>
              <w:ind w:left="1180"/>
              <w:spacing w:after="0"/>
              <w:rPr>
                <w:sz w:val="20"/>
                <w:szCs w:val="20"/>
                <w:color w:val="auto"/>
              </w:rPr>
            </w:pPr>
            <w:r>
              <w:rPr>
                <w:rFonts w:ascii="Arial" w:cs="Arial" w:eastAsia="Arial" w:hAnsi="Arial"/>
                <w:sz w:val="18"/>
                <w:szCs w:val="18"/>
                <w:b w:val="1"/>
                <w:bCs w:val="1"/>
                <w:color w:val="auto"/>
              </w:rPr>
              <w:t>None</w:t>
            </w:r>
          </w:p>
        </w:tc>
        <w:tc>
          <w:tcPr>
            <w:tcW w:w="0" w:type="dxa"/>
            <w:vAlign w:val="bottom"/>
          </w:tcPr>
          <w:p>
            <w:pPr>
              <w:spacing w:after="0"/>
              <w:rPr>
                <w:sz w:val="1"/>
                <w:szCs w:val="1"/>
                <w:color w:val="auto"/>
              </w:rPr>
            </w:pPr>
          </w:p>
        </w:tc>
      </w:tr>
      <w:tr>
        <w:trPr>
          <w:trHeight w:val="63"/>
        </w:trPr>
        <w:tc>
          <w:tcPr>
            <w:tcW w:w="3440" w:type="dxa"/>
            <w:vAlign w:val="bottom"/>
          </w:tcPr>
          <w:p>
            <w:pPr>
              <w:spacing w:after="0"/>
              <w:rPr>
                <w:sz w:val="5"/>
                <w:szCs w:val="5"/>
                <w:color w:val="auto"/>
              </w:rPr>
            </w:pPr>
          </w:p>
        </w:tc>
        <w:tc>
          <w:tcPr>
            <w:tcW w:w="1420" w:type="dxa"/>
            <w:vAlign w:val="bottom"/>
            <w:vMerge w:val="continue"/>
          </w:tcPr>
          <w:p>
            <w:pPr>
              <w:spacing w:after="0"/>
              <w:rPr>
                <w:sz w:val="5"/>
                <w:szCs w:val="5"/>
                <w:color w:val="auto"/>
              </w:rPr>
            </w:pPr>
          </w:p>
        </w:tc>
        <w:tc>
          <w:tcPr>
            <w:tcW w:w="65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34"/>
        </w:trPr>
        <w:tc>
          <w:tcPr>
            <w:tcW w:w="3440" w:type="dxa"/>
            <w:vAlign w:val="bottom"/>
          </w:tcPr>
          <w:p>
            <w:pPr>
              <w:spacing w:after="0"/>
              <w:rPr>
                <w:sz w:val="20"/>
                <w:szCs w:val="20"/>
                <w:color w:val="auto"/>
              </w:rPr>
            </w:pPr>
          </w:p>
        </w:tc>
        <w:tc>
          <w:tcPr>
            <w:tcW w:w="1420" w:type="dxa"/>
            <w:vAlign w:val="bottom"/>
          </w:tcPr>
          <w:p>
            <w:pPr>
              <w:spacing w:after="0"/>
              <w:rPr>
                <w:sz w:val="20"/>
                <w:szCs w:val="20"/>
                <w:color w:val="auto"/>
              </w:rPr>
            </w:pPr>
            <w:r>
              <w:rPr>
                <w:rFonts w:ascii="Arial" w:cs="Arial" w:eastAsia="Arial" w:hAnsi="Arial"/>
                <w:sz w:val="18"/>
                <w:szCs w:val="18"/>
                <w:b w:val="1"/>
                <w:bCs w:val="1"/>
                <w:color w:val="auto"/>
              </w:rPr>
              <w:t>:</w:t>
            </w:r>
          </w:p>
        </w:tc>
        <w:tc>
          <w:tcPr>
            <w:tcW w:w="65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ind w:left="840" w:right="5720" w:hanging="832"/>
        <w:spacing w:after="0" w:line="516" w:lineRule="auto"/>
        <w:tabs>
          <w:tab w:leader="none" w:pos="84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Aggregate amount beneficially owned by each reporting person None</w:t>
      </w:r>
    </w:p>
    <w:p>
      <w:pPr>
        <w:spacing w:after="0" w:line="1" w:lineRule="exact"/>
        <w:rPr>
          <w:rFonts w:ascii="Arial" w:cs="Arial" w:eastAsia="Arial" w:hAnsi="Arial"/>
          <w:sz w:val="18"/>
          <w:szCs w:val="18"/>
          <w:b w:val="1"/>
          <w:bCs w:val="1"/>
          <w:color w:val="auto"/>
        </w:rPr>
      </w:pPr>
    </w:p>
    <w:p>
      <w:pPr>
        <w:ind w:left="84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Check box if the aggregate amount in row (11) excludes certain shares</w:t>
      </w:r>
    </w:p>
    <w:p>
      <w:pPr>
        <w:spacing w:after="0" w:line="27" w:lineRule="exact"/>
        <w:rPr>
          <w:rFonts w:ascii="Arial" w:cs="Arial" w:eastAsia="Arial" w:hAnsi="Arial"/>
          <w:sz w:val="18"/>
          <w:szCs w:val="18"/>
          <w:b w:val="1"/>
          <w:bCs w:val="1"/>
          <w:color w:val="auto"/>
        </w:rPr>
      </w:pPr>
    </w:p>
    <w:p>
      <w:pPr>
        <w:ind w:left="840" w:hanging="832"/>
        <w:spacing w:after="0" w:line="180" w:lineRule="auto"/>
        <w:tabs>
          <w:tab w:leader="none" w:pos="840" w:val="left"/>
        </w:tabs>
        <w:numPr>
          <w:ilvl w:val="0"/>
          <w:numId w:val="27"/>
        </w:numPr>
        <w:rPr>
          <w:rFonts w:ascii="Arial" w:cs="Arial" w:eastAsia="Arial" w:hAnsi="Arial"/>
          <w:sz w:val="25"/>
          <w:szCs w:val="25"/>
          <w:b w:val="1"/>
          <w:bCs w:val="1"/>
          <w:color w:val="auto"/>
          <w:vertAlign w:val="subscript"/>
        </w:rPr>
      </w:pPr>
      <w:r>
        <w:rPr>
          <w:rFonts w:ascii="Arial" w:cs="Arial" w:eastAsia="Arial" w:hAnsi="Arial"/>
          <w:sz w:val="14"/>
          <w:szCs w:val="14"/>
          <w:b w:val="1"/>
          <w:bCs w:val="1"/>
          <w:color w:val="auto"/>
        </w:rPr>
        <w:t>(SEE INSTRUCTIONS) X</w:t>
      </w:r>
    </w:p>
    <w:p>
      <w:pPr>
        <w:spacing w:after="0" w:line="200" w:lineRule="exact"/>
        <w:rPr>
          <w:rFonts w:ascii="Arial" w:cs="Arial" w:eastAsia="Arial" w:hAnsi="Arial"/>
          <w:sz w:val="25"/>
          <w:szCs w:val="25"/>
          <w:b w:val="1"/>
          <w:bCs w:val="1"/>
          <w:color w:val="auto"/>
          <w:vertAlign w:val="subscript"/>
        </w:rPr>
      </w:pPr>
    </w:p>
    <w:p>
      <w:pPr>
        <w:spacing w:after="0" w:line="200" w:lineRule="exact"/>
        <w:rPr>
          <w:rFonts w:ascii="Arial" w:cs="Arial" w:eastAsia="Arial" w:hAnsi="Arial"/>
          <w:sz w:val="25"/>
          <w:szCs w:val="25"/>
          <w:b w:val="1"/>
          <w:bCs w:val="1"/>
          <w:color w:val="auto"/>
          <w:vertAlign w:val="subscript"/>
        </w:rPr>
      </w:pPr>
    </w:p>
    <w:p>
      <w:pPr>
        <w:spacing w:after="0" w:line="338" w:lineRule="exact"/>
        <w:rPr>
          <w:rFonts w:ascii="Arial" w:cs="Arial" w:eastAsia="Arial" w:hAnsi="Arial"/>
          <w:sz w:val="25"/>
          <w:szCs w:val="25"/>
          <w:b w:val="1"/>
          <w:bCs w:val="1"/>
          <w:color w:val="auto"/>
          <w:vertAlign w:val="subscript"/>
        </w:rPr>
      </w:pPr>
    </w:p>
    <w:p>
      <w:pPr>
        <w:ind w:left="840" w:right="6700" w:hanging="832"/>
        <w:spacing w:after="0" w:line="516" w:lineRule="auto"/>
        <w:tabs>
          <w:tab w:leader="none" w:pos="84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Percent of class represented by amount in row (11) 0.00%</w:t>
      </w:r>
    </w:p>
    <w:p>
      <w:pPr>
        <w:spacing w:after="0" w:line="1" w:lineRule="exact"/>
        <w:rPr>
          <w:rFonts w:ascii="Arial" w:cs="Arial" w:eastAsia="Arial" w:hAnsi="Arial"/>
          <w:sz w:val="18"/>
          <w:szCs w:val="18"/>
          <w:b w:val="1"/>
          <w:bCs w:val="1"/>
          <w:color w:val="auto"/>
        </w:rPr>
      </w:pPr>
    </w:p>
    <w:p>
      <w:pPr>
        <w:ind w:left="840" w:hanging="832"/>
        <w:spacing w:after="0"/>
        <w:tabs>
          <w:tab w:leader="none" w:pos="84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Type of reporting person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-1456690</wp:posOffset>
            </wp:positionV>
            <wp:extent cx="72466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-702310</wp:posOffset>
            </wp:positionV>
            <wp:extent cx="72466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-136525</wp:posOffset>
            </wp:positionV>
            <wp:extent cx="72466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7" w:lineRule="exact"/>
        <w:rPr>
          <w:sz w:val="20"/>
          <w:szCs w:val="20"/>
          <w:color w:val="auto"/>
        </w:rPr>
      </w:pPr>
    </w:p>
    <w:p>
      <w:pPr>
        <w:ind w:left="1020"/>
        <w:spacing w:after="0"/>
        <w:rPr>
          <w:sz w:val="20"/>
          <w:szCs w:val="20"/>
          <w:color w:val="auto"/>
        </w:rPr>
      </w:pPr>
      <w:r>
        <w:rPr>
          <w:rFonts w:ascii="Arial" w:cs="Arial" w:eastAsia="Arial" w:hAnsi="Arial"/>
          <w:sz w:val="18"/>
          <w:szCs w:val="18"/>
          <w:b w:val="1"/>
          <w:bCs w:val="1"/>
          <w:color w:val="auto"/>
        </w:rPr>
        <w:t>HC,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2466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t>CUSIP No. 677864100</w:t>
      </w:r>
    </w:p>
    <w:p>
      <w:pPr>
        <w:spacing w:after="0" w:line="14" w:lineRule="exact"/>
        <w:rPr>
          <w:sz w:val="20"/>
          <w:szCs w:val="20"/>
          <w:color w:val="auto"/>
        </w:rPr>
      </w:pPr>
    </w:p>
    <w:tbl>
      <w:tblPr>
        <w:tblLayout w:type="fixed"/>
        <w:tblInd w:w="380" w:type="dxa"/>
        <w:tblCellMar>
          <w:top w:w="0" w:type="dxa"/>
          <w:left w:w="0" w:type="dxa"/>
          <w:bottom w:w="0" w:type="dxa"/>
          <w:right w:w="0" w:type="dxa"/>
        </w:tblCellMar>
      </w:tblPr>
      <w:tr>
        <w:trPr>
          <w:trHeight w:val="207"/>
        </w:trPr>
        <w:tc>
          <w:tcPr>
            <w:tcW w:w="280" w:type="dxa"/>
            <w:vAlign w:val="bottom"/>
          </w:tcPr>
          <w:p>
            <w:pPr>
              <w:jc w:val="right"/>
              <w:ind w:right="90"/>
              <w:spacing w:after="0"/>
              <w:rPr>
                <w:sz w:val="20"/>
                <w:szCs w:val="20"/>
                <w:color w:val="auto"/>
              </w:rPr>
            </w:pPr>
            <w:r>
              <w:rPr>
                <w:rFonts w:ascii="Arial" w:cs="Arial" w:eastAsia="Arial" w:hAnsi="Arial"/>
                <w:sz w:val="18"/>
                <w:szCs w:val="18"/>
                <w:b w:val="1"/>
                <w:bCs w:val="1"/>
                <w:color w:val="auto"/>
                <w:w w:val="79"/>
              </w:rPr>
              <w:t>1</w:t>
            </w:r>
          </w:p>
        </w:tc>
        <w:tc>
          <w:tcPr>
            <w:tcW w:w="5200" w:type="dxa"/>
            <w:vAlign w:val="bottom"/>
          </w:tcPr>
          <w:p>
            <w:pPr>
              <w:ind w:left="180"/>
              <w:spacing w:after="0"/>
              <w:rPr>
                <w:sz w:val="20"/>
                <w:szCs w:val="20"/>
                <w:color w:val="auto"/>
              </w:rPr>
            </w:pPr>
            <w:r>
              <w:rPr>
                <w:rFonts w:ascii="Arial" w:cs="Arial" w:eastAsia="Arial" w:hAnsi="Arial"/>
                <w:sz w:val="18"/>
                <w:szCs w:val="18"/>
                <w:b w:val="1"/>
                <w:bCs w:val="1"/>
                <w:color w:val="auto"/>
              </w:rPr>
              <w:t>Names of reporting persons</w:t>
            </w:r>
          </w:p>
        </w:tc>
        <w:tc>
          <w:tcPr>
            <w:tcW w:w="2320" w:type="dxa"/>
            <w:vAlign w:val="bottom"/>
          </w:tcPr>
          <w:p>
            <w:pPr>
              <w:spacing w:after="0"/>
              <w:rPr>
                <w:sz w:val="17"/>
                <w:szCs w:val="17"/>
                <w:color w:val="auto"/>
              </w:rPr>
            </w:pPr>
          </w:p>
        </w:tc>
      </w:tr>
      <w:tr>
        <w:trPr>
          <w:trHeight w:val="216"/>
        </w:trPr>
        <w:tc>
          <w:tcPr>
            <w:tcW w:w="280" w:type="dxa"/>
            <w:vAlign w:val="bottom"/>
          </w:tcPr>
          <w:p>
            <w:pPr>
              <w:spacing w:after="0"/>
              <w:rPr>
                <w:sz w:val="18"/>
                <w:szCs w:val="18"/>
                <w:color w:val="auto"/>
              </w:rPr>
            </w:pPr>
          </w:p>
        </w:tc>
        <w:tc>
          <w:tcPr>
            <w:tcW w:w="5200" w:type="dxa"/>
            <w:vAlign w:val="bottom"/>
          </w:tcPr>
          <w:p>
            <w:pPr>
              <w:ind w:left="180"/>
              <w:spacing w:after="0"/>
              <w:rPr>
                <w:sz w:val="20"/>
                <w:szCs w:val="20"/>
                <w:color w:val="auto"/>
              </w:rPr>
            </w:pPr>
            <w:r>
              <w:rPr>
                <w:rFonts w:ascii="Arial" w:cs="Arial" w:eastAsia="Arial" w:hAnsi="Arial"/>
                <w:sz w:val="18"/>
                <w:szCs w:val="18"/>
                <w:b w:val="1"/>
                <w:bCs w:val="1"/>
                <w:color w:val="auto"/>
              </w:rPr>
              <w:t>I.R.S. identification nos. of above persons (entities only)</w:t>
            </w:r>
          </w:p>
        </w:tc>
        <w:tc>
          <w:tcPr>
            <w:tcW w:w="2320" w:type="dxa"/>
            <w:vAlign w:val="bottom"/>
          </w:tcPr>
          <w:p>
            <w:pPr>
              <w:spacing w:after="0"/>
              <w:rPr>
                <w:sz w:val="18"/>
                <w:szCs w:val="18"/>
                <w:color w:val="auto"/>
              </w:rPr>
            </w:pPr>
          </w:p>
        </w:tc>
      </w:tr>
      <w:tr>
        <w:trPr>
          <w:trHeight w:val="234"/>
        </w:trPr>
        <w:tc>
          <w:tcPr>
            <w:tcW w:w="280" w:type="dxa"/>
            <w:vAlign w:val="bottom"/>
          </w:tcPr>
          <w:p>
            <w:pPr>
              <w:spacing w:after="0"/>
              <w:rPr>
                <w:sz w:val="20"/>
                <w:szCs w:val="20"/>
                <w:color w:val="auto"/>
              </w:rPr>
            </w:pPr>
          </w:p>
        </w:tc>
        <w:tc>
          <w:tcPr>
            <w:tcW w:w="5200" w:type="dxa"/>
            <w:vAlign w:val="bottom"/>
          </w:tcPr>
          <w:p>
            <w:pPr>
              <w:ind w:left="180"/>
              <w:spacing w:after="0"/>
              <w:rPr>
                <w:sz w:val="20"/>
                <w:szCs w:val="20"/>
                <w:color w:val="auto"/>
              </w:rPr>
            </w:pPr>
            <w:r>
              <w:rPr>
                <w:rFonts w:ascii="Arial" w:cs="Arial" w:eastAsia="Arial" w:hAnsi="Arial"/>
                <w:sz w:val="18"/>
                <w:szCs w:val="18"/>
                <w:b w:val="1"/>
                <w:bCs w:val="1"/>
                <w:color w:val="auto"/>
              </w:rPr>
              <w:t>GAMCO Investors, Inc.</w:t>
            </w:r>
          </w:p>
        </w:tc>
        <w:tc>
          <w:tcPr>
            <w:tcW w:w="2320" w:type="dxa"/>
            <w:vAlign w:val="bottom"/>
          </w:tcPr>
          <w:p>
            <w:pPr>
              <w:ind w:left="760"/>
              <w:spacing w:after="0"/>
              <w:rPr>
                <w:sz w:val="20"/>
                <w:szCs w:val="20"/>
                <w:color w:val="auto"/>
              </w:rPr>
            </w:pPr>
            <w:r>
              <w:rPr>
                <w:rFonts w:ascii="Arial" w:cs="Arial" w:eastAsia="Arial" w:hAnsi="Arial"/>
                <w:sz w:val="18"/>
                <w:szCs w:val="18"/>
                <w:b w:val="1"/>
                <w:bCs w:val="1"/>
                <w:color w:val="auto"/>
                <w:w w:val="94"/>
              </w:rPr>
              <w:t>I.D. No. 13-4007862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ind w:left="840" w:hanging="458"/>
        <w:spacing w:after="0"/>
        <w:tabs>
          <w:tab w:leader="none" w:pos="84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Check the appropriate box if a member of a group (SEE INSTRUCTIONS) (a)</w:t>
      </w:r>
    </w:p>
    <w:p>
      <w:pPr>
        <w:spacing w:after="0" w:line="200" w:lineRule="exact"/>
        <w:rPr>
          <w:sz w:val="20"/>
          <w:szCs w:val="20"/>
          <w:color w:val="auto"/>
        </w:rPr>
      </w:pPr>
    </w:p>
    <w:p>
      <w:pPr>
        <w:spacing w:after="0" w:line="241" w:lineRule="exact"/>
        <w:rPr>
          <w:sz w:val="20"/>
          <w:szCs w:val="20"/>
          <w:color w:val="auto"/>
        </w:rPr>
      </w:pPr>
    </w:p>
    <w:p>
      <w:pPr>
        <w:ind w:left="7320"/>
        <w:spacing w:after="0"/>
        <w:rPr>
          <w:sz w:val="20"/>
          <w:szCs w:val="20"/>
          <w:color w:val="auto"/>
        </w:rPr>
      </w:pPr>
      <w:r>
        <w:rPr>
          <w:rFonts w:ascii="Arial" w:cs="Arial" w:eastAsia="Arial" w:hAnsi="Arial"/>
          <w:sz w:val="18"/>
          <w:szCs w:val="18"/>
          <w:b w:val="1"/>
          <w:bCs w:val="1"/>
          <w:color w:val="auto"/>
        </w:rPr>
        <w:t>(b)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2466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2" w:lineRule="exact"/>
        <w:rPr>
          <w:sz w:val="20"/>
          <w:szCs w:val="20"/>
          <w:color w:val="auto"/>
        </w:rPr>
      </w:pPr>
    </w:p>
    <w:p>
      <w:pPr>
        <w:ind w:left="840" w:hanging="458"/>
        <w:spacing w:after="0"/>
        <w:tabs>
          <w:tab w:leader="none" w:pos="84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2466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2" w:lineRule="exact"/>
        <w:rPr>
          <w:sz w:val="20"/>
          <w:szCs w:val="20"/>
          <w:color w:val="auto"/>
        </w:rPr>
      </w:pPr>
    </w:p>
    <w:p>
      <w:pPr>
        <w:ind w:left="840" w:right="7460" w:hanging="458"/>
        <w:spacing w:after="0" w:line="282" w:lineRule="auto"/>
        <w:tabs>
          <w:tab w:leader="none" w:pos="84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Source of funds (SEE INSTRUCTIONS) WC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9" w:lineRule="exact"/>
        <w:rPr>
          <w:sz w:val="20"/>
          <w:szCs w:val="20"/>
          <w:color w:val="auto"/>
        </w:rPr>
      </w:pPr>
    </w:p>
    <w:p>
      <w:pPr>
        <w:ind w:left="840" w:hanging="458"/>
        <w:spacing w:after="0"/>
        <w:tabs>
          <w:tab w:leader="none" w:pos="84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Check box if disclosure of legal proceedings is required pursuant to items 2 (d) or 2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292100</wp:posOffset>
            </wp:positionV>
            <wp:extent cx="72466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980" w:right="7840" w:hanging="598"/>
        <w:spacing w:after="0" w:line="282" w:lineRule="auto"/>
        <w:tabs>
          <w:tab w:leader="none" w:pos="845"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Citizenship or place of organization Delaware</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34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Number Of</w:t>
            </w:r>
          </w:p>
        </w:tc>
        <w:tc>
          <w:tcPr>
            <w:tcW w:w="142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 7</w:t>
            </w:r>
          </w:p>
        </w:tc>
        <w:tc>
          <w:tcPr>
            <w:tcW w:w="6560" w:type="dxa"/>
            <w:vAlign w:val="bottom"/>
            <w:tcBorders>
              <w:top w:val="single" w:sz="8" w:color="auto"/>
            </w:tcBorders>
          </w:tcPr>
          <w:p>
            <w:pPr>
              <w:ind w:left="1180"/>
              <w:spacing w:after="0"/>
              <w:rPr>
                <w:sz w:val="20"/>
                <w:szCs w:val="20"/>
                <w:color w:val="auto"/>
              </w:rPr>
            </w:pPr>
            <w:r>
              <w:rPr>
                <w:rFonts w:ascii="Arial" w:cs="Arial" w:eastAsia="Arial" w:hAnsi="Arial"/>
                <w:sz w:val="18"/>
                <w:szCs w:val="18"/>
                <w:b w:val="1"/>
                <w:bCs w:val="1"/>
                <w:color w:val="auto"/>
              </w:rPr>
              <w:t>Sole voting power</w:t>
            </w:r>
          </w:p>
        </w:tc>
        <w:tc>
          <w:tcPr>
            <w:tcW w:w="0" w:type="dxa"/>
            <w:vAlign w:val="bottom"/>
          </w:tcPr>
          <w:p>
            <w:pPr>
              <w:spacing w:after="0"/>
              <w:rPr>
                <w:sz w:val="1"/>
                <w:szCs w:val="1"/>
                <w:color w:val="auto"/>
              </w:rPr>
            </w:pPr>
          </w:p>
        </w:tc>
      </w:tr>
      <w:tr>
        <w:trPr>
          <w:trHeight w:val="216"/>
        </w:trPr>
        <w:tc>
          <w:tcPr>
            <w:tcW w:w="3440" w:type="dxa"/>
            <w:vAlign w:val="bottom"/>
          </w:tcPr>
          <w:p>
            <w:pPr>
              <w:spacing w:after="0"/>
              <w:rPr>
                <w:sz w:val="18"/>
                <w:szCs w:val="18"/>
                <w:color w:val="auto"/>
              </w:rPr>
            </w:pPr>
          </w:p>
        </w:tc>
        <w:tc>
          <w:tcPr>
            <w:tcW w:w="1420" w:type="dxa"/>
            <w:vAlign w:val="bottom"/>
          </w:tcPr>
          <w:p>
            <w:pPr>
              <w:spacing w:after="0"/>
              <w:rPr>
                <w:sz w:val="20"/>
                <w:szCs w:val="20"/>
                <w:color w:val="auto"/>
              </w:rPr>
            </w:pPr>
            <w:r>
              <w:rPr>
                <w:rFonts w:ascii="Arial" w:cs="Arial" w:eastAsia="Arial" w:hAnsi="Arial"/>
                <w:sz w:val="18"/>
                <w:szCs w:val="18"/>
                <w:b w:val="1"/>
                <w:bCs w:val="1"/>
                <w:color w:val="auto"/>
              </w:rPr>
              <w:t>:</w:t>
            </w:r>
          </w:p>
        </w:tc>
        <w:tc>
          <w:tcPr>
            <w:tcW w:w="6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40" w:type="dxa"/>
            <w:vAlign w:val="bottom"/>
          </w:tcPr>
          <w:p>
            <w:pPr>
              <w:jc w:val="center"/>
              <w:spacing w:after="0"/>
              <w:rPr>
                <w:sz w:val="20"/>
                <w:szCs w:val="20"/>
                <w:color w:val="auto"/>
              </w:rPr>
            </w:pPr>
            <w:r>
              <w:rPr>
                <w:rFonts w:ascii="Arial" w:cs="Arial" w:eastAsia="Arial" w:hAnsi="Arial"/>
                <w:sz w:val="18"/>
                <w:szCs w:val="18"/>
                <w:b w:val="1"/>
                <w:bCs w:val="1"/>
                <w:color w:val="auto"/>
                <w:w w:val="86"/>
              </w:rPr>
              <w:t>Shares</w:t>
            </w:r>
          </w:p>
        </w:tc>
        <w:tc>
          <w:tcPr>
            <w:tcW w:w="1420" w:type="dxa"/>
            <w:vAlign w:val="bottom"/>
          </w:tcPr>
          <w:p>
            <w:pPr>
              <w:spacing w:after="0"/>
              <w:rPr>
                <w:sz w:val="20"/>
                <w:szCs w:val="20"/>
                <w:color w:val="auto"/>
              </w:rPr>
            </w:pPr>
            <w:r>
              <w:rPr>
                <w:rFonts w:ascii="Arial" w:cs="Arial" w:eastAsia="Arial" w:hAnsi="Arial"/>
                <w:sz w:val="18"/>
                <w:szCs w:val="18"/>
                <w:b w:val="1"/>
                <w:bCs w:val="1"/>
                <w:color w:val="auto"/>
              </w:rPr>
              <w:t>:</w:t>
            </w:r>
          </w:p>
        </w:tc>
        <w:tc>
          <w:tcPr>
            <w:tcW w:w="6560" w:type="dxa"/>
            <w:vAlign w:val="bottom"/>
          </w:tcPr>
          <w:p>
            <w:pPr>
              <w:ind w:left="1180"/>
              <w:spacing w:after="0"/>
              <w:rPr>
                <w:sz w:val="20"/>
                <w:szCs w:val="20"/>
                <w:color w:val="auto"/>
              </w:rPr>
            </w:pPr>
            <w:r>
              <w:rPr>
                <w:rFonts w:ascii="Arial" w:cs="Arial" w:eastAsia="Arial" w:hAnsi="Arial"/>
                <w:sz w:val="18"/>
                <w:szCs w:val="18"/>
                <w:b w:val="1"/>
                <w:bCs w:val="1"/>
                <w:color w:val="auto"/>
              </w:rPr>
              <w:t>3,494 (Item 5)</w:t>
            </w:r>
          </w:p>
        </w:tc>
        <w:tc>
          <w:tcPr>
            <w:tcW w:w="0" w:type="dxa"/>
            <w:vAlign w:val="bottom"/>
          </w:tcPr>
          <w:p>
            <w:pPr>
              <w:spacing w:after="0"/>
              <w:rPr>
                <w:sz w:val="1"/>
                <w:szCs w:val="1"/>
                <w:color w:val="auto"/>
              </w:rPr>
            </w:pPr>
          </w:p>
        </w:tc>
      </w:tr>
      <w:tr>
        <w:trPr>
          <w:trHeight w:val="241"/>
        </w:trPr>
        <w:tc>
          <w:tcPr>
            <w:tcW w:w="34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9"/>
              </w:rPr>
              <w:t>Beneficially</w:t>
            </w:r>
          </w:p>
        </w:tc>
        <w:tc>
          <w:tcPr>
            <w:tcW w:w="14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5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440" w:type="dxa"/>
            <w:vAlign w:val="bottom"/>
            <w:vMerge w:val="continue"/>
          </w:tcPr>
          <w:p>
            <w:pPr>
              <w:spacing w:after="0"/>
              <w:rPr>
                <w:sz w:val="17"/>
                <w:szCs w:val="17"/>
                <w:color w:val="auto"/>
              </w:rPr>
            </w:pPr>
          </w:p>
        </w:tc>
        <w:tc>
          <w:tcPr>
            <w:tcW w:w="1420" w:type="dxa"/>
            <w:vAlign w:val="bottom"/>
          </w:tcPr>
          <w:p>
            <w:pPr>
              <w:spacing w:after="0" w:line="198" w:lineRule="exact"/>
              <w:rPr>
                <w:sz w:val="20"/>
                <w:szCs w:val="20"/>
                <w:color w:val="auto"/>
              </w:rPr>
            </w:pPr>
            <w:r>
              <w:rPr>
                <w:rFonts w:ascii="Arial" w:cs="Arial" w:eastAsia="Arial" w:hAnsi="Arial"/>
                <w:sz w:val="18"/>
                <w:szCs w:val="18"/>
                <w:b w:val="1"/>
                <w:bCs w:val="1"/>
                <w:color w:val="auto"/>
              </w:rPr>
              <w:t>: 8</w:t>
            </w:r>
          </w:p>
        </w:tc>
        <w:tc>
          <w:tcPr>
            <w:tcW w:w="6560" w:type="dxa"/>
            <w:vAlign w:val="bottom"/>
          </w:tcPr>
          <w:p>
            <w:pPr>
              <w:ind w:left="1180"/>
              <w:spacing w:after="0" w:line="198" w:lineRule="exact"/>
              <w:rPr>
                <w:sz w:val="20"/>
                <w:szCs w:val="20"/>
                <w:color w:val="auto"/>
              </w:rPr>
            </w:pPr>
            <w:r>
              <w:rPr>
                <w:rFonts w:ascii="Arial" w:cs="Arial" w:eastAsia="Arial" w:hAnsi="Arial"/>
                <w:sz w:val="18"/>
                <w:szCs w:val="18"/>
                <w:b w:val="1"/>
                <w:bCs w:val="1"/>
                <w:color w:val="auto"/>
              </w:rPr>
              <w:t>Shared voting power</w:t>
            </w:r>
          </w:p>
        </w:tc>
        <w:tc>
          <w:tcPr>
            <w:tcW w:w="0" w:type="dxa"/>
            <w:vAlign w:val="bottom"/>
          </w:tcPr>
          <w:p>
            <w:pPr>
              <w:spacing w:after="0"/>
              <w:rPr>
                <w:sz w:val="1"/>
                <w:szCs w:val="1"/>
                <w:color w:val="auto"/>
              </w:rPr>
            </w:pPr>
          </w:p>
        </w:tc>
      </w:tr>
      <w:tr>
        <w:trPr>
          <w:trHeight w:val="216"/>
        </w:trPr>
        <w:tc>
          <w:tcPr>
            <w:tcW w:w="34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3"/>
              </w:rPr>
              <w:t>Owned</w:t>
            </w:r>
          </w:p>
        </w:tc>
        <w:tc>
          <w:tcPr>
            <w:tcW w:w="1420" w:type="dxa"/>
            <w:vAlign w:val="bottom"/>
          </w:tcPr>
          <w:p>
            <w:pPr>
              <w:spacing w:after="0"/>
              <w:rPr>
                <w:sz w:val="20"/>
                <w:szCs w:val="20"/>
                <w:color w:val="auto"/>
              </w:rPr>
            </w:pPr>
            <w:r>
              <w:rPr>
                <w:rFonts w:ascii="Arial" w:cs="Arial" w:eastAsia="Arial" w:hAnsi="Arial"/>
                <w:sz w:val="18"/>
                <w:szCs w:val="18"/>
                <w:b w:val="1"/>
                <w:bCs w:val="1"/>
                <w:color w:val="auto"/>
              </w:rPr>
              <w:t>:</w:t>
            </w:r>
          </w:p>
        </w:tc>
        <w:tc>
          <w:tcPr>
            <w:tcW w:w="6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40" w:type="dxa"/>
            <w:vAlign w:val="bottom"/>
            <w:vMerge w:val="continue"/>
          </w:tcPr>
          <w:p>
            <w:pPr>
              <w:spacing w:after="0"/>
              <w:rPr>
                <w:sz w:val="18"/>
                <w:szCs w:val="18"/>
                <w:color w:val="auto"/>
              </w:rPr>
            </w:pPr>
          </w:p>
        </w:tc>
        <w:tc>
          <w:tcPr>
            <w:tcW w:w="1420" w:type="dxa"/>
            <w:vAlign w:val="bottom"/>
          </w:tcPr>
          <w:p>
            <w:pPr>
              <w:spacing w:after="0"/>
              <w:rPr>
                <w:sz w:val="20"/>
                <w:szCs w:val="20"/>
                <w:color w:val="auto"/>
              </w:rPr>
            </w:pPr>
            <w:r>
              <w:rPr>
                <w:rFonts w:ascii="Arial" w:cs="Arial" w:eastAsia="Arial" w:hAnsi="Arial"/>
                <w:sz w:val="18"/>
                <w:szCs w:val="18"/>
                <w:b w:val="1"/>
                <w:bCs w:val="1"/>
                <w:color w:val="auto"/>
              </w:rPr>
              <w:t>:</w:t>
            </w:r>
          </w:p>
        </w:tc>
        <w:tc>
          <w:tcPr>
            <w:tcW w:w="6560" w:type="dxa"/>
            <w:vAlign w:val="bottom"/>
          </w:tcPr>
          <w:p>
            <w:pPr>
              <w:ind w:left="1180"/>
              <w:spacing w:after="0"/>
              <w:rPr>
                <w:sz w:val="20"/>
                <w:szCs w:val="20"/>
                <w:color w:val="auto"/>
              </w:rPr>
            </w:pPr>
            <w:r>
              <w:rPr>
                <w:rFonts w:ascii="Arial" w:cs="Arial" w:eastAsia="Arial" w:hAnsi="Arial"/>
                <w:sz w:val="18"/>
                <w:szCs w:val="18"/>
                <w:b w:val="1"/>
                <w:bCs w:val="1"/>
                <w:color w:val="auto"/>
              </w:rPr>
              <w:t>None</w:t>
            </w:r>
          </w:p>
        </w:tc>
        <w:tc>
          <w:tcPr>
            <w:tcW w:w="0" w:type="dxa"/>
            <w:vAlign w:val="bottom"/>
          </w:tcPr>
          <w:p>
            <w:pPr>
              <w:spacing w:after="0"/>
              <w:rPr>
                <w:sz w:val="1"/>
                <w:szCs w:val="1"/>
                <w:color w:val="auto"/>
              </w:rPr>
            </w:pPr>
          </w:p>
        </w:tc>
      </w:tr>
      <w:tr>
        <w:trPr>
          <w:trHeight w:val="241"/>
        </w:trPr>
        <w:tc>
          <w:tcPr>
            <w:tcW w:w="34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0"/>
              </w:rPr>
              <w:t>By Each</w:t>
            </w:r>
          </w:p>
        </w:tc>
        <w:tc>
          <w:tcPr>
            <w:tcW w:w="14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5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440" w:type="dxa"/>
            <w:vAlign w:val="bottom"/>
            <w:vMerge w:val="continue"/>
          </w:tcPr>
          <w:p>
            <w:pPr>
              <w:spacing w:after="0"/>
              <w:rPr>
                <w:sz w:val="17"/>
                <w:szCs w:val="17"/>
                <w:color w:val="auto"/>
              </w:rPr>
            </w:pPr>
          </w:p>
        </w:tc>
        <w:tc>
          <w:tcPr>
            <w:tcW w:w="1420" w:type="dxa"/>
            <w:vAlign w:val="bottom"/>
          </w:tcPr>
          <w:p>
            <w:pPr>
              <w:spacing w:after="0" w:line="198" w:lineRule="exact"/>
              <w:rPr>
                <w:sz w:val="20"/>
                <w:szCs w:val="20"/>
                <w:color w:val="auto"/>
              </w:rPr>
            </w:pPr>
            <w:r>
              <w:rPr>
                <w:rFonts w:ascii="Arial" w:cs="Arial" w:eastAsia="Arial" w:hAnsi="Arial"/>
                <w:sz w:val="18"/>
                <w:szCs w:val="18"/>
                <w:b w:val="1"/>
                <w:bCs w:val="1"/>
                <w:color w:val="auto"/>
              </w:rPr>
              <w:t>: 9</w:t>
            </w:r>
          </w:p>
        </w:tc>
        <w:tc>
          <w:tcPr>
            <w:tcW w:w="6560" w:type="dxa"/>
            <w:vAlign w:val="bottom"/>
          </w:tcPr>
          <w:p>
            <w:pPr>
              <w:ind w:left="1180"/>
              <w:spacing w:after="0" w:line="198" w:lineRule="exact"/>
              <w:rPr>
                <w:sz w:val="20"/>
                <w:szCs w:val="20"/>
                <w:color w:val="auto"/>
              </w:rPr>
            </w:pPr>
            <w:r>
              <w:rPr>
                <w:rFonts w:ascii="Arial" w:cs="Arial" w:eastAsia="Arial" w:hAnsi="Arial"/>
                <w:sz w:val="18"/>
                <w:szCs w:val="18"/>
                <w:b w:val="1"/>
                <w:bCs w:val="1"/>
                <w:color w:val="auto"/>
              </w:rPr>
              <w:t>Sole dispositive power</w:t>
            </w:r>
          </w:p>
        </w:tc>
        <w:tc>
          <w:tcPr>
            <w:tcW w:w="0" w:type="dxa"/>
            <w:vAlign w:val="bottom"/>
          </w:tcPr>
          <w:p>
            <w:pPr>
              <w:spacing w:after="0"/>
              <w:rPr>
                <w:sz w:val="1"/>
                <w:szCs w:val="1"/>
                <w:color w:val="auto"/>
              </w:rPr>
            </w:pPr>
          </w:p>
        </w:tc>
      </w:tr>
      <w:tr>
        <w:trPr>
          <w:trHeight w:val="216"/>
        </w:trPr>
        <w:tc>
          <w:tcPr>
            <w:tcW w:w="34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1"/>
              </w:rPr>
              <w:t>Reporting</w:t>
            </w:r>
          </w:p>
        </w:tc>
        <w:tc>
          <w:tcPr>
            <w:tcW w:w="1420" w:type="dxa"/>
            <w:vAlign w:val="bottom"/>
          </w:tcPr>
          <w:p>
            <w:pPr>
              <w:spacing w:after="0"/>
              <w:rPr>
                <w:sz w:val="20"/>
                <w:szCs w:val="20"/>
                <w:color w:val="auto"/>
              </w:rPr>
            </w:pPr>
            <w:r>
              <w:rPr>
                <w:rFonts w:ascii="Arial" w:cs="Arial" w:eastAsia="Arial" w:hAnsi="Arial"/>
                <w:sz w:val="18"/>
                <w:szCs w:val="18"/>
                <w:b w:val="1"/>
                <w:bCs w:val="1"/>
                <w:color w:val="auto"/>
              </w:rPr>
              <w:t>:</w:t>
            </w:r>
          </w:p>
        </w:tc>
        <w:tc>
          <w:tcPr>
            <w:tcW w:w="6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40" w:type="dxa"/>
            <w:vAlign w:val="bottom"/>
            <w:vMerge w:val="continue"/>
          </w:tcPr>
          <w:p>
            <w:pPr>
              <w:spacing w:after="0"/>
              <w:rPr>
                <w:sz w:val="18"/>
                <w:szCs w:val="18"/>
                <w:color w:val="auto"/>
              </w:rPr>
            </w:pPr>
          </w:p>
        </w:tc>
        <w:tc>
          <w:tcPr>
            <w:tcW w:w="1420" w:type="dxa"/>
            <w:vAlign w:val="bottom"/>
          </w:tcPr>
          <w:p>
            <w:pPr>
              <w:spacing w:after="0"/>
              <w:rPr>
                <w:sz w:val="20"/>
                <w:szCs w:val="20"/>
                <w:color w:val="auto"/>
              </w:rPr>
            </w:pPr>
            <w:r>
              <w:rPr>
                <w:rFonts w:ascii="Arial" w:cs="Arial" w:eastAsia="Arial" w:hAnsi="Arial"/>
                <w:sz w:val="18"/>
                <w:szCs w:val="18"/>
                <w:b w:val="1"/>
                <w:bCs w:val="1"/>
                <w:color w:val="auto"/>
              </w:rPr>
              <w:t>:</w:t>
            </w:r>
          </w:p>
        </w:tc>
        <w:tc>
          <w:tcPr>
            <w:tcW w:w="6560" w:type="dxa"/>
            <w:vAlign w:val="bottom"/>
          </w:tcPr>
          <w:p>
            <w:pPr>
              <w:ind w:left="1180"/>
              <w:spacing w:after="0"/>
              <w:rPr>
                <w:sz w:val="20"/>
                <w:szCs w:val="20"/>
                <w:color w:val="auto"/>
              </w:rPr>
            </w:pPr>
            <w:r>
              <w:rPr>
                <w:rFonts w:ascii="Arial" w:cs="Arial" w:eastAsia="Arial" w:hAnsi="Arial"/>
                <w:sz w:val="18"/>
                <w:szCs w:val="18"/>
                <w:b w:val="1"/>
                <w:bCs w:val="1"/>
                <w:color w:val="auto"/>
              </w:rPr>
              <w:t>3,494 (Item 5)</w:t>
            </w:r>
          </w:p>
        </w:tc>
        <w:tc>
          <w:tcPr>
            <w:tcW w:w="0" w:type="dxa"/>
            <w:vAlign w:val="bottom"/>
          </w:tcPr>
          <w:p>
            <w:pPr>
              <w:spacing w:after="0"/>
              <w:rPr>
                <w:sz w:val="1"/>
                <w:szCs w:val="1"/>
                <w:color w:val="auto"/>
              </w:rPr>
            </w:pPr>
          </w:p>
        </w:tc>
      </w:tr>
      <w:tr>
        <w:trPr>
          <w:trHeight w:val="241"/>
        </w:trPr>
        <w:tc>
          <w:tcPr>
            <w:tcW w:w="34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5"/>
              </w:rPr>
              <w:t>Person</w:t>
            </w:r>
          </w:p>
        </w:tc>
        <w:tc>
          <w:tcPr>
            <w:tcW w:w="14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5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35"/>
        </w:trPr>
        <w:tc>
          <w:tcPr>
            <w:tcW w:w="3440" w:type="dxa"/>
            <w:vAlign w:val="bottom"/>
            <w:vMerge w:val="continue"/>
          </w:tcPr>
          <w:p>
            <w:pPr>
              <w:spacing w:after="0"/>
              <w:rPr>
                <w:sz w:val="11"/>
                <w:szCs w:val="11"/>
                <w:color w:val="auto"/>
              </w:rPr>
            </w:pPr>
          </w:p>
        </w:tc>
        <w:tc>
          <w:tcPr>
            <w:tcW w:w="1420" w:type="dxa"/>
            <w:vAlign w:val="bottom"/>
            <w:vMerge w:val="restart"/>
          </w:tcPr>
          <w:p>
            <w:pPr>
              <w:spacing w:after="0" w:line="198" w:lineRule="exact"/>
              <w:rPr>
                <w:sz w:val="20"/>
                <w:szCs w:val="20"/>
                <w:color w:val="auto"/>
              </w:rPr>
            </w:pPr>
            <w:r>
              <w:rPr>
                <w:rFonts w:ascii="Arial" w:cs="Arial" w:eastAsia="Arial" w:hAnsi="Arial"/>
                <w:sz w:val="18"/>
                <w:szCs w:val="18"/>
                <w:b w:val="1"/>
                <w:bCs w:val="1"/>
                <w:color w:val="auto"/>
              </w:rPr>
              <w:t>:10</w:t>
            </w:r>
          </w:p>
        </w:tc>
        <w:tc>
          <w:tcPr>
            <w:tcW w:w="6560" w:type="dxa"/>
            <w:vAlign w:val="bottom"/>
            <w:vMerge w:val="restart"/>
          </w:tcPr>
          <w:p>
            <w:pPr>
              <w:ind w:left="1180"/>
              <w:spacing w:after="0" w:line="198" w:lineRule="exact"/>
              <w:rPr>
                <w:sz w:val="20"/>
                <w:szCs w:val="20"/>
                <w:color w:val="auto"/>
              </w:rPr>
            </w:pPr>
            <w:r>
              <w:rPr>
                <w:rFonts w:ascii="Arial" w:cs="Arial" w:eastAsia="Arial" w:hAnsi="Arial"/>
                <w:sz w:val="18"/>
                <w:szCs w:val="18"/>
                <w:b w:val="1"/>
                <w:bCs w:val="1"/>
                <w:color w:val="auto"/>
              </w:rPr>
              <w:t>Shared dispositive power</w:t>
            </w:r>
          </w:p>
        </w:tc>
        <w:tc>
          <w:tcPr>
            <w:tcW w:w="0" w:type="dxa"/>
            <w:vAlign w:val="bottom"/>
          </w:tcPr>
          <w:p>
            <w:pPr>
              <w:spacing w:after="0"/>
              <w:rPr>
                <w:sz w:val="1"/>
                <w:szCs w:val="1"/>
                <w:color w:val="auto"/>
              </w:rPr>
            </w:pPr>
          </w:p>
        </w:tc>
      </w:tr>
      <w:tr>
        <w:trPr>
          <w:trHeight w:val="63"/>
        </w:trPr>
        <w:tc>
          <w:tcPr>
            <w:tcW w:w="3440" w:type="dxa"/>
            <w:vAlign w:val="bottom"/>
          </w:tcPr>
          <w:p>
            <w:pPr>
              <w:spacing w:after="0"/>
              <w:rPr>
                <w:sz w:val="5"/>
                <w:szCs w:val="5"/>
                <w:color w:val="auto"/>
              </w:rPr>
            </w:pPr>
          </w:p>
        </w:tc>
        <w:tc>
          <w:tcPr>
            <w:tcW w:w="1420" w:type="dxa"/>
            <w:vAlign w:val="bottom"/>
            <w:vMerge w:val="continue"/>
          </w:tcPr>
          <w:p>
            <w:pPr>
              <w:spacing w:after="0"/>
              <w:rPr>
                <w:sz w:val="5"/>
                <w:szCs w:val="5"/>
                <w:color w:val="auto"/>
              </w:rPr>
            </w:pPr>
          </w:p>
        </w:tc>
        <w:tc>
          <w:tcPr>
            <w:tcW w:w="65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3440" w:type="dxa"/>
            <w:vAlign w:val="bottom"/>
            <w:vMerge w:val="restart"/>
          </w:tcPr>
          <w:p>
            <w:pPr>
              <w:jc w:val="center"/>
              <w:spacing w:after="0"/>
              <w:rPr>
                <w:sz w:val="20"/>
                <w:szCs w:val="20"/>
                <w:color w:val="auto"/>
              </w:rPr>
            </w:pPr>
            <w:r>
              <w:rPr>
                <w:rFonts w:ascii="Arial" w:cs="Arial" w:eastAsia="Arial" w:hAnsi="Arial"/>
                <w:sz w:val="18"/>
                <w:szCs w:val="18"/>
                <w:b w:val="1"/>
                <w:bCs w:val="1"/>
                <w:color w:val="auto"/>
              </w:rPr>
              <w:t>With</w:t>
            </w:r>
          </w:p>
        </w:tc>
        <w:tc>
          <w:tcPr>
            <w:tcW w:w="1420" w:type="dxa"/>
            <w:vAlign w:val="bottom"/>
          </w:tcPr>
          <w:p>
            <w:pPr>
              <w:spacing w:after="0"/>
              <w:rPr>
                <w:sz w:val="20"/>
                <w:szCs w:val="20"/>
                <w:color w:val="auto"/>
              </w:rPr>
            </w:pPr>
            <w:r>
              <w:rPr>
                <w:rFonts w:ascii="Arial" w:cs="Arial" w:eastAsia="Arial" w:hAnsi="Arial"/>
                <w:sz w:val="18"/>
                <w:szCs w:val="18"/>
                <w:b w:val="1"/>
                <w:bCs w:val="1"/>
                <w:color w:val="auto"/>
              </w:rPr>
              <w:t>:</w:t>
            </w:r>
          </w:p>
        </w:tc>
        <w:tc>
          <w:tcPr>
            <w:tcW w:w="6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3"/>
        </w:trPr>
        <w:tc>
          <w:tcPr>
            <w:tcW w:w="3440" w:type="dxa"/>
            <w:vAlign w:val="bottom"/>
            <w:vMerge w:val="continue"/>
          </w:tcPr>
          <w:p>
            <w:pPr>
              <w:spacing w:after="0"/>
              <w:rPr>
                <w:sz w:val="13"/>
                <w:szCs w:val="13"/>
                <w:color w:val="auto"/>
              </w:rPr>
            </w:pPr>
          </w:p>
        </w:tc>
        <w:tc>
          <w:tcPr>
            <w:tcW w:w="1420" w:type="dxa"/>
            <w:vAlign w:val="bottom"/>
            <w:vMerge w:val="restart"/>
          </w:tcPr>
          <w:p>
            <w:pPr>
              <w:spacing w:after="0"/>
              <w:rPr>
                <w:sz w:val="20"/>
                <w:szCs w:val="20"/>
                <w:color w:val="auto"/>
              </w:rPr>
            </w:pPr>
            <w:r>
              <w:rPr>
                <w:rFonts w:ascii="Arial" w:cs="Arial" w:eastAsia="Arial" w:hAnsi="Arial"/>
                <w:sz w:val="18"/>
                <w:szCs w:val="18"/>
                <w:b w:val="1"/>
                <w:bCs w:val="1"/>
                <w:color w:val="auto"/>
              </w:rPr>
              <w:t>:</w:t>
            </w:r>
          </w:p>
        </w:tc>
        <w:tc>
          <w:tcPr>
            <w:tcW w:w="6560" w:type="dxa"/>
            <w:vAlign w:val="bottom"/>
            <w:vMerge w:val="restart"/>
          </w:tcPr>
          <w:p>
            <w:pPr>
              <w:ind w:left="1180"/>
              <w:spacing w:after="0"/>
              <w:rPr>
                <w:sz w:val="20"/>
                <w:szCs w:val="20"/>
                <w:color w:val="auto"/>
              </w:rPr>
            </w:pPr>
            <w:r>
              <w:rPr>
                <w:rFonts w:ascii="Arial" w:cs="Arial" w:eastAsia="Arial" w:hAnsi="Arial"/>
                <w:sz w:val="18"/>
                <w:szCs w:val="18"/>
                <w:b w:val="1"/>
                <w:bCs w:val="1"/>
                <w:color w:val="auto"/>
              </w:rPr>
              <w:t>None</w:t>
            </w:r>
          </w:p>
        </w:tc>
        <w:tc>
          <w:tcPr>
            <w:tcW w:w="0" w:type="dxa"/>
            <w:vAlign w:val="bottom"/>
          </w:tcPr>
          <w:p>
            <w:pPr>
              <w:spacing w:after="0"/>
              <w:rPr>
                <w:sz w:val="1"/>
                <w:szCs w:val="1"/>
                <w:color w:val="auto"/>
              </w:rPr>
            </w:pPr>
          </w:p>
        </w:tc>
      </w:tr>
      <w:tr>
        <w:trPr>
          <w:trHeight w:val="63"/>
        </w:trPr>
        <w:tc>
          <w:tcPr>
            <w:tcW w:w="3440" w:type="dxa"/>
            <w:vAlign w:val="bottom"/>
          </w:tcPr>
          <w:p>
            <w:pPr>
              <w:spacing w:after="0"/>
              <w:rPr>
                <w:sz w:val="5"/>
                <w:szCs w:val="5"/>
                <w:color w:val="auto"/>
              </w:rPr>
            </w:pPr>
          </w:p>
        </w:tc>
        <w:tc>
          <w:tcPr>
            <w:tcW w:w="1420" w:type="dxa"/>
            <w:vAlign w:val="bottom"/>
            <w:vMerge w:val="continue"/>
          </w:tcPr>
          <w:p>
            <w:pPr>
              <w:spacing w:after="0"/>
              <w:rPr>
                <w:sz w:val="5"/>
                <w:szCs w:val="5"/>
                <w:color w:val="auto"/>
              </w:rPr>
            </w:pPr>
          </w:p>
        </w:tc>
        <w:tc>
          <w:tcPr>
            <w:tcW w:w="65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34"/>
        </w:trPr>
        <w:tc>
          <w:tcPr>
            <w:tcW w:w="3440" w:type="dxa"/>
            <w:vAlign w:val="bottom"/>
          </w:tcPr>
          <w:p>
            <w:pPr>
              <w:spacing w:after="0"/>
              <w:rPr>
                <w:sz w:val="20"/>
                <w:szCs w:val="20"/>
                <w:color w:val="auto"/>
              </w:rPr>
            </w:pPr>
          </w:p>
        </w:tc>
        <w:tc>
          <w:tcPr>
            <w:tcW w:w="1420" w:type="dxa"/>
            <w:vAlign w:val="bottom"/>
          </w:tcPr>
          <w:p>
            <w:pPr>
              <w:spacing w:after="0"/>
              <w:rPr>
                <w:sz w:val="20"/>
                <w:szCs w:val="20"/>
                <w:color w:val="auto"/>
              </w:rPr>
            </w:pPr>
            <w:r>
              <w:rPr>
                <w:rFonts w:ascii="Arial" w:cs="Arial" w:eastAsia="Arial" w:hAnsi="Arial"/>
                <w:sz w:val="18"/>
                <w:szCs w:val="18"/>
                <w:b w:val="1"/>
                <w:bCs w:val="1"/>
                <w:color w:val="auto"/>
              </w:rPr>
              <w:t>:</w:t>
            </w:r>
          </w:p>
        </w:tc>
        <w:tc>
          <w:tcPr>
            <w:tcW w:w="65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ind w:left="840" w:right="5720" w:hanging="832"/>
        <w:spacing w:after="0" w:line="516" w:lineRule="auto"/>
        <w:tabs>
          <w:tab w:leader="none" w:pos="84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Aggregate amount beneficially owned by each reporting person 3,494 (Item 5)</w:t>
      </w:r>
    </w:p>
    <w:p>
      <w:pPr>
        <w:spacing w:after="0" w:line="1" w:lineRule="exact"/>
        <w:rPr>
          <w:rFonts w:ascii="Arial" w:cs="Arial" w:eastAsia="Arial" w:hAnsi="Arial"/>
          <w:sz w:val="18"/>
          <w:szCs w:val="18"/>
          <w:b w:val="1"/>
          <w:bCs w:val="1"/>
          <w:color w:val="auto"/>
        </w:rPr>
      </w:pPr>
    </w:p>
    <w:p>
      <w:pPr>
        <w:ind w:left="84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Check box if the aggregate amount in row (11) excludes certain shares</w:t>
      </w:r>
    </w:p>
    <w:p>
      <w:pPr>
        <w:spacing w:after="0" w:line="27" w:lineRule="exact"/>
        <w:rPr>
          <w:rFonts w:ascii="Arial" w:cs="Arial" w:eastAsia="Arial" w:hAnsi="Arial"/>
          <w:sz w:val="18"/>
          <w:szCs w:val="18"/>
          <w:b w:val="1"/>
          <w:bCs w:val="1"/>
          <w:color w:val="auto"/>
        </w:rPr>
      </w:pPr>
    </w:p>
    <w:p>
      <w:pPr>
        <w:ind w:left="840" w:hanging="832"/>
        <w:spacing w:after="0" w:line="180" w:lineRule="auto"/>
        <w:tabs>
          <w:tab w:leader="none" w:pos="840" w:val="left"/>
        </w:tabs>
        <w:numPr>
          <w:ilvl w:val="0"/>
          <w:numId w:val="33"/>
        </w:numPr>
        <w:rPr>
          <w:rFonts w:ascii="Arial" w:cs="Arial" w:eastAsia="Arial" w:hAnsi="Arial"/>
          <w:sz w:val="25"/>
          <w:szCs w:val="25"/>
          <w:b w:val="1"/>
          <w:bCs w:val="1"/>
          <w:color w:val="auto"/>
          <w:vertAlign w:val="subscript"/>
        </w:rPr>
      </w:pPr>
      <w:r>
        <w:rPr>
          <w:rFonts w:ascii="Arial" w:cs="Arial" w:eastAsia="Arial" w:hAnsi="Arial"/>
          <w:sz w:val="14"/>
          <w:szCs w:val="14"/>
          <w:b w:val="1"/>
          <w:bCs w:val="1"/>
          <w:color w:val="auto"/>
        </w:rPr>
        <w:t>(SEE INSTRUCTIONS) X</w:t>
      </w:r>
    </w:p>
    <w:p>
      <w:pPr>
        <w:spacing w:after="0" w:line="200" w:lineRule="exact"/>
        <w:rPr>
          <w:rFonts w:ascii="Arial" w:cs="Arial" w:eastAsia="Arial" w:hAnsi="Arial"/>
          <w:sz w:val="25"/>
          <w:szCs w:val="25"/>
          <w:b w:val="1"/>
          <w:bCs w:val="1"/>
          <w:color w:val="auto"/>
          <w:vertAlign w:val="subscript"/>
        </w:rPr>
      </w:pPr>
    </w:p>
    <w:p>
      <w:pPr>
        <w:spacing w:after="0" w:line="200" w:lineRule="exact"/>
        <w:rPr>
          <w:rFonts w:ascii="Arial" w:cs="Arial" w:eastAsia="Arial" w:hAnsi="Arial"/>
          <w:sz w:val="25"/>
          <w:szCs w:val="25"/>
          <w:b w:val="1"/>
          <w:bCs w:val="1"/>
          <w:color w:val="auto"/>
          <w:vertAlign w:val="subscript"/>
        </w:rPr>
      </w:pPr>
    </w:p>
    <w:p>
      <w:pPr>
        <w:spacing w:after="0" w:line="338" w:lineRule="exact"/>
        <w:rPr>
          <w:rFonts w:ascii="Arial" w:cs="Arial" w:eastAsia="Arial" w:hAnsi="Arial"/>
          <w:sz w:val="25"/>
          <w:szCs w:val="25"/>
          <w:b w:val="1"/>
          <w:bCs w:val="1"/>
          <w:color w:val="auto"/>
          <w:vertAlign w:val="subscript"/>
        </w:rPr>
      </w:pPr>
    </w:p>
    <w:p>
      <w:pPr>
        <w:ind w:left="840" w:right="6700" w:hanging="832"/>
        <w:spacing w:after="0" w:line="516" w:lineRule="auto"/>
        <w:tabs>
          <w:tab w:leader="none" w:pos="84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Percent of class represented by amount in row (11) 0.07%</w:t>
      </w:r>
    </w:p>
    <w:p>
      <w:pPr>
        <w:spacing w:after="0" w:line="1" w:lineRule="exact"/>
        <w:rPr>
          <w:rFonts w:ascii="Arial" w:cs="Arial" w:eastAsia="Arial" w:hAnsi="Arial"/>
          <w:sz w:val="18"/>
          <w:szCs w:val="18"/>
          <w:b w:val="1"/>
          <w:bCs w:val="1"/>
          <w:color w:val="auto"/>
        </w:rPr>
      </w:pPr>
    </w:p>
    <w:p>
      <w:pPr>
        <w:ind w:left="840" w:hanging="832"/>
        <w:spacing w:after="0"/>
        <w:tabs>
          <w:tab w:leader="none" w:pos="84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Type of reporting person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-1456690</wp:posOffset>
            </wp:positionV>
            <wp:extent cx="72466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-702310</wp:posOffset>
            </wp:positionV>
            <wp:extent cx="72466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-136525</wp:posOffset>
            </wp:positionV>
            <wp:extent cx="72466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7" w:lineRule="exact"/>
        <w:rPr>
          <w:sz w:val="20"/>
          <w:szCs w:val="20"/>
          <w:color w:val="auto"/>
        </w:rPr>
      </w:pPr>
    </w:p>
    <w:p>
      <w:pPr>
        <w:ind w:left="1020"/>
        <w:spacing w:after="0"/>
        <w:rPr>
          <w:sz w:val="20"/>
          <w:szCs w:val="20"/>
          <w:color w:val="auto"/>
        </w:rPr>
      </w:pPr>
      <w:r>
        <w:rPr>
          <w:rFonts w:ascii="Arial" w:cs="Arial" w:eastAsia="Arial" w:hAnsi="Arial"/>
          <w:sz w:val="18"/>
          <w:szCs w:val="18"/>
          <w:b w:val="1"/>
          <w:bCs w:val="1"/>
          <w:color w:val="auto"/>
        </w:rPr>
        <w:t>HC,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2466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color w:val="auto"/>
        </w:rPr>
        <w:t>CUSIP No. 677864100</w:t>
      </w:r>
    </w:p>
    <w:p>
      <w:pPr>
        <w:spacing w:after="0" w:line="23" w:lineRule="exact"/>
        <w:rPr>
          <w:sz w:val="20"/>
          <w:szCs w:val="20"/>
          <w:color w:val="auto"/>
        </w:rPr>
      </w:pPr>
    </w:p>
    <w:p>
      <w:pPr>
        <w:ind w:left="840" w:hanging="458"/>
        <w:spacing w:after="0"/>
        <w:tabs>
          <w:tab w:leader="none" w:pos="84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Names of reporting persons</w:t>
      </w:r>
    </w:p>
    <w:tbl>
      <w:tblPr>
        <w:tblLayout w:type="fixed"/>
        <w:tblInd w:w="0" w:type="dxa"/>
        <w:tblCellMar>
          <w:top w:w="0" w:type="dxa"/>
          <w:left w:w="0" w:type="dxa"/>
          <w:bottom w:w="0" w:type="dxa"/>
          <w:right w:w="0" w:type="dxa"/>
        </w:tblCellMar>
      </w:tblPr>
      <w:tr>
        <w:trPr>
          <w:trHeight w:val="207"/>
        </w:trPr>
        <w:tc>
          <w:tcPr>
            <w:tcW w:w="660" w:type="dxa"/>
            <w:vAlign w:val="bottom"/>
          </w:tcPr>
          <w:p>
            <w:pPr>
              <w:spacing w:after="0"/>
              <w:rPr>
                <w:sz w:val="17"/>
                <w:szCs w:val="17"/>
                <w:color w:val="auto"/>
              </w:rPr>
            </w:pPr>
          </w:p>
        </w:tc>
        <w:tc>
          <w:tcPr>
            <w:tcW w:w="6120" w:type="dxa"/>
            <w:vAlign w:val="bottom"/>
          </w:tcPr>
          <w:p>
            <w:pPr>
              <w:ind w:left="180"/>
              <w:spacing w:after="0"/>
              <w:rPr>
                <w:sz w:val="20"/>
                <w:szCs w:val="20"/>
                <w:color w:val="auto"/>
              </w:rPr>
            </w:pPr>
            <w:r>
              <w:rPr>
                <w:rFonts w:ascii="Arial" w:cs="Arial" w:eastAsia="Arial" w:hAnsi="Arial"/>
                <w:sz w:val="18"/>
                <w:szCs w:val="18"/>
                <w:b w:val="1"/>
                <w:bCs w:val="1"/>
                <w:color w:val="auto"/>
              </w:rPr>
              <w:t>I.R.S. identification nos. of above persons (entities only)</w:t>
            </w:r>
          </w:p>
        </w:tc>
        <w:tc>
          <w:tcPr>
            <w:tcW w:w="4640" w:type="dxa"/>
            <w:vAlign w:val="bottom"/>
          </w:tcPr>
          <w:p>
            <w:pPr>
              <w:spacing w:after="0"/>
              <w:rPr>
                <w:sz w:val="17"/>
                <w:szCs w:val="17"/>
                <w:color w:val="auto"/>
              </w:rPr>
            </w:pPr>
          </w:p>
        </w:tc>
      </w:tr>
      <w:tr>
        <w:trPr>
          <w:trHeight w:val="241"/>
        </w:trPr>
        <w:tc>
          <w:tcPr>
            <w:tcW w:w="660" w:type="dxa"/>
            <w:vAlign w:val="bottom"/>
            <w:tcBorders>
              <w:bottom w:val="single" w:sz="8" w:color="auto"/>
            </w:tcBorders>
          </w:tcPr>
          <w:p>
            <w:pPr>
              <w:spacing w:after="0"/>
              <w:rPr>
                <w:sz w:val="20"/>
                <w:szCs w:val="20"/>
                <w:color w:val="auto"/>
              </w:rPr>
            </w:pPr>
          </w:p>
        </w:tc>
        <w:tc>
          <w:tcPr>
            <w:tcW w:w="612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Associated Capital Group, Inc.</w:t>
            </w:r>
          </w:p>
        </w:tc>
        <w:tc>
          <w:tcPr>
            <w:tcW w:w="464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I.D. No. 47-3965991</w:t>
            </w:r>
          </w:p>
        </w:tc>
      </w:tr>
      <w:tr>
        <w:trPr>
          <w:trHeight w:val="234"/>
        </w:trPr>
        <w:tc>
          <w:tcPr>
            <w:tcW w:w="660" w:type="dxa"/>
            <w:vAlign w:val="bottom"/>
          </w:tcPr>
          <w:p>
            <w:pPr>
              <w:spacing w:after="0"/>
              <w:rPr>
                <w:sz w:val="20"/>
                <w:szCs w:val="20"/>
                <w:color w:val="auto"/>
              </w:rPr>
            </w:pPr>
          </w:p>
        </w:tc>
        <w:tc>
          <w:tcPr>
            <w:tcW w:w="6120" w:type="dxa"/>
            <w:vAlign w:val="bottom"/>
          </w:tcPr>
          <w:p>
            <w:pPr>
              <w:ind w:left="180"/>
              <w:spacing w:after="0"/>
              <w:rPr>
                <w:sz w:val="20"/>
                <w:szCs w:val="20"/>
                <w:color w:val="auto"/>
              </w:rPr>
            </w:pPr>
            <w:r>
              <w:rPr>
                <w:rFonts w:ascii="Arial" w:cs="Arial" w:eastAsia="Arial" w:hAnsi="Arial"/>
                <w:sz w:val="18"/>
                <w:szCs w:val="18"/>
                <w:b w:val="1"/>
                <w:bCs w:val="1"/>
                <w:color w:val="auto"/>
                <w:w w:val="95"/>
              </w:rPr>
              <w:t>Check the appropriate box if a member of a group (SEE INSTRUCTIONS)</w:t>
            </w:r>
          </w:p>
        </w:tc>
        <w:tc>
          <w:tcPr>
            <w:tcW w:w="4640" w:type="dxa"/>
            <w:vAlign w:val="bottom"/>
          </w:tcPr>
          <w:p>
            <w:pPr>
              <w:ind w:left="4000"/>
              <w:spacing w:after="0"/>
              <w:rPr>
                <w:sz w:val="20"/>
                <w:szCs w:val="20"/>
                <w:color w:val="auto"/>
              </w:rPr>
            </w:pPr>
            <w:r>
              <w:rPr>
                <w:rFonts w:ascii="Arial" w:cs="Arial" w:eastAsia="Arial" w:hAnsi="Arial"/>
                <w:sz w:val="18"/>
                <w:szCs w:val="18"/>
                <w:b w:val="1"/>
                <w:bCs w:val="1"/>
                <w:color w:val="auto"/>
              </w:rPr>
              <w:t>(a)</w:t>
            </w:r>
          </w:p>
        </w:tc>
      </w:tr>
      <w:tr>
        <w:trPr>
          <w:trHeight w:val="637"/>
        </w:trPr>
        <w:tc>
          <w:tcPr>
            <w:tcW w:w="660" w:type="dxa"/>
            <w:vAlign w:val="bottom"/>
            <w:tcBorders>
              <w:bottom w:val="single" w:sz="8" w:color="auto"/>
            </w:tcBorders>
          </w:tcPr>
          <w:p>
            <w:pPr>
              <w:spacing w:after="0"/>
              <w:rPr>
                <w:sz w:val="24"/>
                <w:szCs w:val="24"/>
                <w:color w:val="auto"/>
              </w:rPr>
            </w:pPr>
          </w:p>
        </w:tc>
        <w:tc>
          <w:tcPr>
            <w:tcW w:w="6120" w:type="dxa"/>
            <w:vAlign w:val="bottom"/>
            <w:tcBorders>
              <w:bottom w:val="single" w:sz="8" w:color="auto"/>
            </w:tcBorders>
          </w:tcPr>
          <w:p>
            <w:pPr>
              <w:spacing w:after="0"/>
              <w:rPr>
                <w:sz w:val="24"/>
                <w:szCs w:val="24"/>
                <w:color w:val="auto"/>
              </w:rPr>
            </w:pPr>
          </w:p>
        </w:tc>
        <w:tc>
          <w:tcPr>
            <w:tcW w:w="4640" w:type="dxa"/>
            <w:vAlign w:val="bottom"/>
            <w:tcBorders>
              <w:bottom w:val="single" w:sz="8" w:color="auto"/>
            </w:tcBorders>
          </w:tcPr>
          <w:p>
            <w:pPr>
              <w:ind w:left="540"/>
              <w:spacing w:after="0"/>
              <w:rPr>
                <w:sz w:val="20"/>
                <w:szCs w:val="20"/>
                <w:color w:val="auto"/>
              </w:rPr>
            </w:pPr>
            <w:r>
              <w:rPr>
                <w:rFonts w:ascii="Arial" w:cs="Arial" w:eastAsia="Arial" w:hAnsi="Arial"/>
                <w:sz w:val="18"/>
                <w:szCs w:val="18"/>
                <w:b w:val="1"/>
                <w:bCs w:val="1"/>
                <w:color w:val="auto"/>
              </w:rPr>
              <w:t>(b)</w:t>
            </w:r>
          </w:p>
        </w:tc>
      </w:tr>
      <w:tr>
        <w:trPr>
          <w:trHeight w:val="234"/>
        </w:trPr>
        <w:tc>
          <w:tcPr>
            <w:tcW w:w="660" w:type="dxa"/>
            <w:vAlign w:val="bottom"/>
          </w:tcPr>
          <w:p>
            <w:pPr>
              <w:jc w:val="right"/>
              <w:ind w:right="90"/>
              <w:spacing w:after="0"/>
              <w:rPr>
                <w:sz w:val="20"/>
                <w:szCs w:val="20"/>
                <w:color w:val="auto"/>
              </w:rPr>
            </w:pPr>
            <w:r>
              <w:rPr>
                <w:rFonts w:ascii="Arial" w:cs="Arial" w:eastAsia="Arial" w:hAnsi="Arial"/>
                <w:sz w:val="18"/>
                <w:szCs w:val="18"/>
                <w:b w:val="1"/>
                <w:bCs w:val="1"/>
                <w:color w:val="auto"/>
              </w:rPr>
              <w:t>3</w:t>
            </w:r>
          </w:p>
        </w:tc>
        <w:tc>
          <w:tcPr>
            <w:tcW w:w="6120" w:type="dxa"/>
            <w:vAlign w:val="bottom"/>
          </w:tcPr>
          <w:p>
            <w:pPr>
              <w:ind w:left="180"/>
              <w:spacing w:after="0"/>
              <w:rPr>
                <w:sz w:val="20"/>
                <w:szCs w:val="20"/>
                <w:color w:val="auto"/>
              </w:rPr>
            </w:pPr>
            <w:r>
              <w:rPr>
                <w:rFonts w:ascii="Arial" w:cs="Arial" w:eastAsia="Arial" w:hAnsi="Arial"/>
                <w:sz w:val="18"/>
                <w:szCs w:val="18"/>
                <w:b w:val="1"/>
                <w:bCs w:val="1"/>
                <w:color w:val="auto"/>
              </w:rPr>
              <w:t>Sec use only</w:t>
            </w:r>
          </w:p>
        </w:tc>
        <w:tc>
          <w:tcPr>
            <w:tcW w:w="464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86" w:lineRule="exact"/>
        <w:rPr>
          <w:sz w:val="20"/>
          <w:szCs w:val="20"/>
          <w:color w:val="auto"/>
        </w:rPr>
      </w:pPr>
    </w:p>
    <w:p>
      <w:pPr>
        <w:ind w:left="840" w:right="7460" w:hanging="458"/>
        <w:spacing w:after="0" w:line="282" w:lineRule="auto"/>
        <w:tabs>
          <w:tab w:leader="none" w:pos="840"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Source of funds (SEE INSTRUCTIONS) 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9" w:lineRule="exact"/>
        <w:rPr>
          <w:sz w:val="20"/>
          <w:szCs w:val="20"/>
          <w:color w:val="auto"/>
        </w:rPr>
      </w:pPr>
    </w:p>
    <w:p>
      <w:pPr>
        <w:ind w:left="840" w:hanging="458"/>
        <w:spacing w:after="0"/>
        <w:tabs>
          <w:tab w:leader="none" w:pos="840"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Check box if disclosure of legal proceedings is required pursuant to items 2 (d) or 2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292100</wp:posOffset>
            </wp:positionV>
            <wp:extent cx="72466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940" w:right="7840" w:hanging="558"/>
        <w:spacing w:after="0" w:line="282" w:lineRule="auto"/>
        <w:tabs>
          <w:tab w:leader="none" w:pos="85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Citizenship or place of organization Delaware</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34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Number Of</w:t>
            </w:r>
          </w:p>
        </w:tc>
        <w:tc>
          <w:tcPr>
            <w:tcW w:w="142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 7</w:t>
            </w:r>
          </w:p>
        </w:tc>
        <w:tc>
          <w:tcPr>
            <w:tcW w:w="6560" w:type="dxa"/>
            <w:vAlign w:val="bottom"/>
            <w:tcBorders>
              <w:top w:val="single" w:sz="8" w:color="auto"/>
            </w:tcBorders>
          </w:tcPr>
          <w:p>
            <w:pPr>
              <w:ind w:left="1180"/>
              <w:spacing w:after="0"/>
              <w:rPr>
                <w:sz w:val="20"/>
                <w:szCs w:val="20"/>
                <w:color w:val="auto"/>
              </w:rPr>
            </w:pPr>
            <w:r>
              <w:rPr>
                <w:rFonts w:ascii="Arial" w:cs="Arial" w:eastAsia="Arial" w:hAnsi="Arial"/>
                <w:sz w:val="18"/>
                <w:szCs w:val="18"/>
                <w:b w:val="1"/>
                <w:bCs w:val="1"/>
                <w:color w:val="auto"/>
              </w:rPr>
              <w:t>Sole voting power</w:t>
            </w:r>
          </w:p>
        </w:tc>
        <w:tc>
          <w:tcPr>
            <w:tcW w:w="0" w:type="dxa"/>
            <w:vAlign w:val="bottom"/>
          </w:tcPr>
          <w:p>
            <w:pPr>
              <w:spacing w:after="0"/>
              <w:rPr>
                <w:sz w:val="1"/>
                <w:szCs w:val="1"/>
                <w:color w:val="auto"/>
              </w:rPr>
            </w:pPr>
          </w:p>
        </w:tc>
      </w:tr>
      <w:tr>
        <w:trPr>
          <w:trHeight w:val="216"/>
        </w:trPr>
        <w:tc>
          <w:tcPr>
            <w:tcW w:w="3440" w:type="dxa"/>
            <w:vAlign w:val="bottom"/>
          </w:tcPr>
          <w:p>
            <w:pPr>
              <w:spacing w:after="0"/>
              <w:rPr>
                <w:sz w:val="18"/>
                <w:szCs w:val="18"/>
                <w:color w:val="auto"/>
              </w:rPr>
            </w:pPr>
          </w:p>
        </w:tc>
        <w:tc>
          <w:tcPr>
            <w:tcW w:w="1420" w:type="dxa"/>
            <w:vAlign w:val="bottom"/>
          </w:tcPr>
          <w:p>
            <w:pPr>
              <w:spacing w:after="0"/>
              <w:rPr>
                <w:sz w:val="20"/>
                <w:szCs w:val="20"/>
                <w:color w:val="auto"/>
              </w:rPr>
            </w:pPr>
            <w:r>
              <w:rPr>
                <w:rFonts w:ascii="Arial" w:cs="Arial" w:eastAsia="Arial" w:hAnsi="Arial"/>
                <w:sz w:val="18"/>
                <w:szCs w:val="18"/>
                <w:b w:val="1"/>
                <w:bCs w:val="1"/>
                <w:color w:val="auto"/>
              </w:rPr>
              <w:t>:</w:t>
            </w:r>
          </w:p>
        </w:tc>
        <w:tc>
          <w:tcPr>
            <w:tcW w:w="6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40" w:type="dxa"/>
            <w:vAlign w:val="bottom"/>
          </w:tcPr>
          <w:p>
            <w:pPr>
              <w:jc w:val="center"/>
              <w:spacing w:after="0"/>
              <w:rPr>
                <w:sz w:val="20"/>
                <w:szCs w:val="20"/>
                <w:color w:val="auto"/>
              </w:rPr>
            </w:pPr>
            <w:r>
              <w:rPr>
                <w:rFonts w:ascii="Arial" w:cs="Arial" w:eastAsia="Arial" w:hAnsi="Arial"/>
                <w:sz w:val="18"/>
                <w:szCs w:val="18"/>
                <w:b w:val="1"/>
                <w:bCs w:val="1"/>
                <w:color w:val="auto"/>
                <w:w w:val="86"/>
              </w:rPr>
              <w:t>Shares</w:t>
            </w:r>
          </w:p>
        </w:tc>
        <w:tc>
          <w:tcPr>
            <w:tcW w:w="1420" w:type="dxa"/>
            <w:vAlign w:val="bottom"/>
          </w:tcPr>
          <w:p>
            <w:pPr>
              <w:spacing w:after="0"/>
              <w:rPr>
                <w:sz w:val="20"/>
                <w:szCs w:val="20"/>
                <w:color w:val="auto"/>
              </w:rPr>
            </w:pPr>
            <w:r>
              <w:rPr>
                <w:rFonts w:ascii="Arial" w:cs="Arial" w:eastAsia="Arial" w:hAnsi="Arial"/>
                <w:sz w:val="18"/>
                <w:szCs w:val="18"/>
                <w:b w:val="1"/>
                <w:bCs w:val="1"/>
                <w:color w:val="auto"/>
              </w:rPr>
              <w:t>:</w:t>
            </w:r>
          </w:p>
        </w:tc>
        <w:tc>
          <w:tcPr>
            <w:tcW w:w="6560" w:type="dxa"/>
            <w:vAlign w:val="bottom"/>
          </w:tcPr>
          <w:p>
            <w:pPr>
              <w:ind w:left="1180"/>
              <w:spacing w:after="0"/>
              <w:rPr>
                <w:sz w:val="20"/>
                <w:szCs w:val="20"/>
                <w:color w:val="auto"/>
              </w:rPr>
            </w:pPr>
            <w:r>
              <w:rPr>
                <w:rFonts w:ascii="Arial" w:cs="Arial" w:eastAsia="Arial" w:hAnsi="Arial"/>
                <w:sz w:val="18"/>
                <w:szCs w:val="18"/>
                <w:b w:val="1"/>
                <w:bCs w:val="1"/>
                <w:color w:val="auto"/>
              </w:rPr>
              <w:t>None  (Item 5)</w:t>
            </w:r>
          </w:p>
        </w:tc>
        <w:tc>
          <w:tcPr>
            <w:tcW w:w="0" w:type="dxa"/>
            <w:vAlign w:val="bottom"/>
          </w:tcPr>
          <w:p>
            <w:pPr>
              <w:spacing w:after="0"/>
              <w:rPr>
                <w:sz w:val="1"/>
                <w:szCs w:val="1"/>
                <w:color w:val="auto"/>
              </w:rPr>
            </w:pPr>
          </w:p>
        </w:tc>
      </w:tr>
      <w:tr>
        <w:trPr>
          <w:trHeight w:val="241"/>
        </w:trPr>
        <w:tc>
          <w:tcPr>
            <w:tcW w:w="34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9"/>
              </w:rPr>
              <w:t>Beneficially</w:t>
            </w:r>
          </w:p>
        </w:tc>
        <w:tc>
          <w:tcPr>
            <w:tcW w:w="14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5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440" w:type="dxa"/>
            <w:vAlign w:val="bottom"/>
            <w:vMerge w:val="continue"/>
          </w:tcPr>
          <w:p>
            <w:pPr>
              <w:spacing w:after="0"/>
              <w:rPr>
                <w:sz w:val="17"/>
                <w:szCs w:val="17"/>
                <w:color w:val="auto"/>
              </w:rPr>
            </w:pPr>
          </w:p>
        </w:tc>
        <w:tc>
          <w:tcPr>
            <w:tcW w:w="1420" w:type="dxa"/>
            <w:vAlign w:val="bottom"/>
          </w:tcPr>
          <w:p>
            <w:pPr>
              <w:spacing w:after="0" w:line="198" w:lineRule="exact"/>
              <w:rPr>
                <w:sz w:val="20"/>
                <w:szCs w:val="20"/>
                <w:color w:val="auto"/>
              </w:rPr>
            </w:pPr>
            <w:r>
              <w:rPr>
                <w:rFonts w:ascii="Arial" w:cs="Arial" w:eastAsia="Arial" w:hAnsi="Arial"/>
                <w:sz w:val="18"/>
                <w:szCs w:val="18"/>
                <w:b w:val="1"/>
                <w:bCs w:val="1"/>
                <w:color w:val="auto"/>
              </w:rPr>
              <w:t>: 8</w:t>
            </w:r>
          </w:p>
        </w:tc>
        <w:tc>
          <w:tcPr>
            <w:tcW w:w="6560" w:type="dxa"/>
            <w:vAlign w:val="bottom"/>
          </w:tcPr>
          <w:p>
            <w:pPr>
              <w:ind w:left="1180"/>
              <w:spacing w:after="0" w:line="198" w:lineRule="exact"/>
              <w:rPr>
                <w:sz w:val="20"/>
                <w:szCs w:val="20"/>
                <w:color w:val="auto"/>
              </w:rPr>
            </w:pPr>
            <w:r>
              <w:rPr>
                <w:rFonts w:ascii="Arial" w:cs="Arial" w:eastAsia="Arial" w:hAnsi="Arial"/>
                <w:sz w:val="18"/>
                <w:szCs w:val="18"/>
                <w:b w:val="1"/>
                <w:bCs w:val="1"/>
                <w:color w:val="auto"/>
              </w:rPr>
              <w:t>Shared voting power</w:t>
            </w:r>
          </w:p>
        </w:tc>
        <w:tc>
          <w:tcPr>
            <w:tcW w:w="0" w:type="dxa"/>
            <w:vAlign w:val="bottom"/>
          </w:tcPr>
          <w:p>
            <w:pPr>
              <w:spacing w:after="0"/>
              <w:rPr>
                <w:sz w:val="1"/>
                <w:szCs w:val="1"/>
                <w:color w:val="auto"/>
              </w:rPr>
            </w:pPr>
          </w:p>
        </w:tc>
      </w:tr>
      <w:tr>
        <w:trPr>
          <w:trHeight w:val="216"/>
        </w:trPr>
        <w:tc>
          <w:tcPr>
            <w:tcW w:w="34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3"/>
              </w:rPr>
              <w:t>Owned</w:t>
            </w:r>
          </w:p>
        </w:tc>
        <w:tc>
          <w:tcPr>
            <w:tcW w:w="1420" w:type="dxa"/>
            <w:vAlign w:val="bottom"/>
          </w:tcPr>
          <w:p>
            <w:pPr>
              <w:spacing w:after="0"/>
              <w:rPr>
                <w:sz w:val="20"/>
                <w:szCs w:val="20"/>
                <w:color w:val="auto"/>
              </w:rPr>
            </w:pPr>
            <w:r>
              <w:rPr>
                <w:rFonts w:ascii="Arial" w:cs="Arial" w:eastAsia="Arial" w:hAnsi="Arial"/>
                <w:sz w:val="18"/>
                <w:szCs w:val="18"/>
                <w:b w:val="1"/>
                <w:bCs w:val="1"/>
                <w:color w:val="auto"/>
              </w:rPr>
              <w:t>:</w:t>
            </w:r>
          </w:p>
        </w:tc>
        <w:tc>
          <w:tcPr>
            <w:tcW w:w="6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40" w:type="dxa"/>
            <w:vAlign w:val="bottom"/>
            <w:vMerge w:val="continue"/>
          </w:tcPr>
          <w:p>
            <w:pPr>
              <w:spacing w:after="0"/>
              <w:rPr>
                <w:sz w:val="18"/>
                <w:szCs w:val="18"/>
                <w:color w:val="auto"/>
              </w:rPr>
            </w:pPr>
          </w:p>
        </w:tc>
        <w:tc>
          <w:tcPr>
            <w:tcW w:w="1420" w:type="dxa"/>
            <w:vAlign w:val="bottom"/>
          </w:tcPr>
          <w:p>
            <w:pPr>
              <w:spacing w:after="0"/>
              <w:rPr>
                <w:sz w:val="20"/>
                <w:szCs w:val="20"/>
                <w:color w:val="auto"/>
              </w:rPr>
            </w:pPr>
            <w:r>
              <w:rPr>
                <w:rFonts w:ascii="Arial" w:cs="Arial" w:eastAsia="Arial" w:hAnsi="Arial"/>
                <w:sz w:val="18"/>
                <w:szCs w:val="18"/>
                <w:b w:val="1"/>
                <w:bCs w:val="1"/>
                <w:color w:val="auto"/>
              </w:rPr>
              <w:t>:</w:t>
            </w:r>
          </w:p>
        </w:tc>
        <w:tc>
          <w:tcPr>
            <w:tcW w:w="6560" w:type="dxa"/>
            <w:vAlign w:val="bottom"/>
          </w:tcPr>
          <w:p>
            <w:pPr>
              <w:ind w:left="1180"/>
              <w:spacing w:after="0"/>
              <w:rPr>
                <w:sz w:val="20"/>
                <w:szCs w:val="20"/>
                <w:color w:val="auto"/>
              </w:rPr>
            </w:pPr>
            <w:r>
              <w:rPr>
                <w:rFonts w:ascii="Arial" w:cs="Arial" w:eastAsia="Arial" w:hAnsi="Arial"/>
                <w:sz w:val="18"/>
                <w:szCs w:val="18"/>
                <w:b w:val="1"/>
                <w:bCs w:val="1"/>
                <w:color w:val="auto"/>
              </w:rPr>
              <w:t>None</w:t>
            </w:r>
          </w:p>
        </w:tc>
        <w:tc>
          <w:tcPr>
            <w:tcW w:w="0" w:type="dxa"/>
            <w:vAlign w:val="bottom"/>
          </w:tcPr>
          <w:p>
            <w:pPr>
              <w:spacing w:after="0"/>
              <w:rPr>
                <w:sz w:val="1"/>
                <w:szCs w:val="1"/>
                <w:color w:val="auto"/>
              </w:rPr>
            </w:pPr>
          </w:p>
        </w:tc>
      </w:tr>
      <w:tr>
        <w:trPr>
          <w:trHeight w:val="241"/>
        </w:trPr>
        <w:tc>
          <w:tcPr>
            <w:tcW w:w="34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0"/>
              </w:rPr>
              <w:t>By Each</w:t>
            </w:r>
          </w:p>
        </w:tc>
        <w:tc>
          <w:tcPr>
            <w:tcW w:w="14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5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440" w:type="dxa"/>
            <w:vAlign w:val="bottom"/>
            <w:vMerge w:val="continue"/>
          </w:tcPr>
          <w:p>
            <w:pPr>
              <w:spacing w:after="0"/>
              <w:rPr>
                <w:sz w:val="17"/>
                <w:szCs w:val="17"/>
                <w:color w:val="auto"/>
              </w:rPr>
            </w:pPr>
          </w:p>
        </w:tc>
        <w:tc>
          <w:tcPr>
            <w:tcW w:w="1420" w:type="dxa"/>
            <w:vAlign w:val="bottom"/>
          </w:tcPr>
          <w:p>
            <w:pPr>
              <w:spacing w:after="0" w:line="198" w:lineRule="exact"/>
              <w:rPr>
                <w:sz w:val="20"/>
                <w:szCs w:val="20"/>
                <w:color w:val="auto"/>
              </w:rPr>
            </w:pPr>
            <w:r>
              <w:rPr>
                <w:rFonts w:ascii="Arial" w:cs="Arial" w:eastAsia="Arial" w:hAnsi="Arial"/>
                <w:sz w:val="18"/>
                <w:szCs w:val="18"/>
                <w:b w:val="1"/>
                <w:bCs w:val="1"/>
                <w:color w:val="auto"/>
              </w:rPr>
              <w:t>: 9</w:t>
            </w:r>
          </w:p>
        </w:tc>
        <w:tc>
          <w:tcPr>
            <w:tcW w:w="6560" w:type="dxa"/>
            <w:vAlign w:val="bottom"/>
          </w:tcPr>
          <w:p>
            <w:pPr>
              <w:ind w:left="1180"/>
              <w:spacing w:after="0" w:line="198" w:lineRule="exact"/>
              <w:rPr>
                <w:sz w:val="20"/>
                <w:szCs w:val="20"/>
                <w:color w:val="auto"/>
              </w:rPr>
            </w:pPr>
            <w:r>
              <w:rPr>
                <w:rFonts w:ascii="Arial" w:cs="Arial" w:eastAsia="Arial" w:hAnsi="Arial"/>
                <w:sz w:val="18"/>
                <w:szCs w:val="18"/>
                <w:b w:val="1"/>
                <w:bCs w:val="1"/>
                <w:color w:val="auto"/>
              </w:rPr>
              <w:t>Sole dispositive power</w:t>
            </w:r>
          </w:p>
        </w:tc>
        <w:tc>
          <w:tcPr>
            <w:tcW w:w="0" w:type="dxa"/>
            <w:vAlign w:val="bottom"/>
          </w:tcPr>
          <w:p>
            <w:pPr>
              <w:spacing w:after="0"/>
              <w:rPr>
                <w:sz w:val="1"/>
                <w:szCs w:val="1"/>
                <w:color w:val="auto"/>
              </w:rPr>
            </w:pPr>
          </w:p>
        </w:tc>
      </w:tr>
      <w:tr>
        <w:trPr>
          <w:trHeight w:val="216"/>
        </w:trPr>
        <w:tc>
          <w:tcPr>
            <w:tcW w:w="34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1"/>
              </w:rPr>
              <w:t>Reporting</w:t>
            </w:r>
          </w:p>
        </w:tc>
        <w:tc>
          <w:tcPr>
            <w:tcW w:w="1420" w:type="dxa"/>
            <w:vAlign w:val="bottom"/>
          </w:tcPr>
          <w:p>
            <w:pPr>
              <w:spacing w:after="0"/>
              <w:rPr>
                <w:sz w:val="20"/>
                <w:szCs w:val="20"/>
                <w:color w:val="auto"/>
              </w:rPr>
            </w:pPr>
            <w:r>
              <w:rPr>
                <w:rFonts w:ascii="Arial" w:cs="Arial" w:eastAsia="Arial" w:hAnsi="Arial"/>
                <w:sz w:val="18"/>
                <w:szCs w:val="18"/>
                <w:b w:val="1"/>
                <w:bCs w:val="1"/>
                <w:color w:val="auto"/>
              </w:rPr>
              <w:t>:</w:t>
            </w:r>
          </w:p>
        </w:tc>
        <w:tc>
          <w:tcPr>
            <w:tcW w:w="6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40" w:type="dxa"/>
            <w:vAlign w:val="bottom"/>
            <w:vMerge w:val="continue"/>
          </w:tcPr>
          <w:p>
            <w:pPr>
              <w:spacing w:after="0"/>
              <w:rPr>
                <w:sz w:val="18"/>
                <w:szCs w:val="18"/>
                <w:color w:val="auto"/>
              </w:rPr>
            </w:pPr>
          </w:p>
        </w:tc>
        <w:tc>
          <w:tcPr>
            <w:tcW w:w="1420" w:type="dxa"/>
            <w:vAlign w:val="bottom"/>
          </w:tcPr>
          <w:p>
            <w:pPr>
              <w:spacing w:after="0"/>
              <w:rPr>
                <w:sz w:val="20"/>
                <w:szCs w:val="20"/>
                <w:color w:val="auto"/>
              </w:rPr>
            </w:pPr>
            <w:r>
              <w:rPr>
                <w:rFonts w:ascii="Arial" w:cs="Arial" w:eastAsia="Arial" w:hAnsi="Arial"/>
                <w:sz w:val="18"/>
                <w:szCs w:val="18"/>
                <w:b w:val="1"/>
                <w:bCs w:val="1"/>
                <w:color w:val="auto"/>
              </w:rPr>
              <w:t>:</w:t>
            </w:r>
          </w:p>
        </w:tc>
        <w:tc>
          <w:tcPr>
            <w:tcW w:w="6560" w:type="dxa"/>
            <w:vAlign w:val="bottom"/>
          </w:tcPr>
          <w:p>
            <w:pPr>
              <w:ind w:left="1180"/>
              <w:spacing w:after="0"/>
              <w:rPr>
                <w:sz w:val="20"/>
                <w:szCs w:val="20"/>
                <w:color w:val="auto"/>
              </w:rPr>
            </w:pPr>
            <w:r>
              <w:rPr>
                <w:rFonts w:ascii="Arial" w:cs="Arial" w:eastAsia="Arial" w:hAnsi="Arial"/>
                <w:sz w:val="18"/>
                <w:szCs w:val="18"/>
                <w:b w:val="1"/>
                <w:bCs w:val="1"/>
                <w:color w:val="auto"/>
              </w:rPr>
              <w:t>None  (Item 5)</w:t>
            </w:r>
          </w:p>
        </w:tc>
        <w:tc>
          <w:tcPr>
            <w:tcW w:w="0" w:type="dxa"/>
            <w:vAlign w:val="bottom"/>
          </w:tcPr>
          <w:p>
            <w:pPr>
              <w:spacing w:after="0"/>
              <w:rPr>
                <w:sz w:val="1"/>
                <w:szCs w:val="1"/>
                <w:color w:val="auto"/>
              </w:rPr>
            </w:pPr>
          </w:p>
        </w:tc>
      </w:tr>
      <w:tr>
        <w:trPr>
          <w:trHeight w:val="241"/>
        </w:trPr>
        <w:tc>
          <w:tcPr>
            <w:tcW w:w="34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5"/>
              </w:rPr>
              <w:t>Person</w:t>
            </w:r>
          </w:p>
        </w:tc>
        <w:tc>
          <w:tcPr>
            <w:tcW w:w="14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5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35"/>
        </w:trPr>
        <w:tc>
          <w:tcPr>
            <w:tcW w:w="3440" w:type="dxa"/>
            <w:vAlign w:val="bottom"/>
            <w:vMerge w:val="continue"/>
          </w:tcPr>
          <w:p>
            <w:pPr>
              <w:spacing w:after="0"/>
              <w:rPr>
                <w:sz w:val="11"/>
                <w:szCs w:val="11"/>
                <w:color w:val="auto"/>
              </w:rPr>
            </w:pPr>
          </w:p>
        </w:tc>
        <w:tc>
          <w:tcPr>
            <w:tcW w:w="1420" w:type="dxa"/>
            <w:vAlign w:val="bottom"/>
            <w:vMerge w:val="restart"/>
          </w:tcPr>
          <w:p>
            <w:pPr>
              <w:spacing w:after="0" w:line="198" w:lineRule="exact"/>
              <w:rPr>
                <w:sz w:val="20"/>
                <w:szCs w:val="20"/>
                <w:color w:val="auto"/>
              </w:rPr>
            </w:pPr>
            <w:r>
              <w:rPr>
                <w:rFonts w:ascii="Arial" w:cs="Arial" w:eastAsia="Arial" w:hAnsi="Arial"/>
                <w:sz w:val="18"/>
                <w:szCs w:val="18"/>
                <w:b w:val="1"/>
                <w:bCs w:val="1"/>
                <w:color w:val="auto"/>
              </w:rPr>
              <w:t>:10</w:t>
            </w:r>
          </w:p>
        </w:tc>
        <w:tc>
          <w:tcPr>
            <w:tcW w:w="6560" w:type="dxa"/>
            <w:vAlign w:val="bottom"/>
            <w:vMerge w:val="restart"/>
          </w:tcPr>
          <w:p>
            <w:pPr>
              <w:ind w:left="1180"/>
              <w:spacing w:after="0" w:line="198" w:lineRule="exact"/>
              <w:rPr>
                <w:sz w:val="20"/>
                <w:szCs w:val="20"/>
                <w:color w:val="auto"/>
              </w:rPr>
            </w:pPr>
            <w:r>
              <w:rPr>
                <w:rFonts w:ascii="Arial" w:cs="Arial" w:eastAsia="Arial" w:hAnsi="Arial"/>
                <w:sz w:val="18"/>
                <w:szCs w:val="18"/>
                <w:b w:val="1"/>
                <w:bCs w:val="1"/>
                <w:color w:val="auto"/>
              </w:rPr>
              <w:t>Shared dispositive power</w:t>
            </w:r>
          </w:p>
        </w:tc>
        <w:tc>
          <w:tcPr>
            <w:tcW w:w="0" w:type="dxa"/>
            <w:vAlign w:val="bottom"/>
          </w:tcPr>
          <w:p>
            <w:pPr>
              <w:spacing w:after="0"/>
              <w:rPr>
                <w:sz w:val="1"/>
                <w:szCs w:val="1"/>
                <w:color w:val="auto"/>
              </w:rPr>
            </w:pPr>
          </w:p>
        </w:tc>
      </w:tr>
      <w:tr>
        <w:trPr>
          <w:trHeight w:val="63"/>
        </w:trPr>
        <w:tc>
          <w:tcPr>
            <w:tcW w:w="3440" w:type="dxa"/>
            <w:vAlign w:val="bottom"/>
          </w:tcPr>
          <w:p>
            <w:pPr>
              <w:spacing w:after="0"/>
              <w:rPr>
                <w:sz w:val="5"/>
                <w:szCs w:val="5"/>
                <w:color w:val="auto"/>
              </w:rPr>
            </w:pPr>
          </w:p>
        </w:tc>
        <w:tc>
          <w:tcPr>
            <w:tcW w:w="1420" w:type="dxa"/>
            <w:vAlign w:val="bottom"/>
            <w:vMerge w:val="continue"/>
          </w:tcPr>
          <w:p>
            <w:pPr>
              <w:spacing w:after="0"/>
              <w:rPr>
                <w:sz w:val="5"/>
                <w:szCs w:val="5"/>
                <w:color w:val="auto"/>
              </w:rPr>
            </w:pPr>
          </w:p>
        </w:tc>
        <w:tc>
          <w:tcPr>
            <w:tcW w:w="65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3440" w:type="dxa"/>
            <w:vAlign w:val="bottom"/>
            <w:vMerge w:val="restart"/>
          </w:tcPr>
          <w:p>
            <w:pPr>
              <w:jc w:val="center"/>
              <w:spacing w:after="0"/>
              <w:rPr>
                <w:sz w:val="20"/>
                <w:szCs w:val="20"/>
                <w:color w:val="auto"/>
              </w:rPr>
            </w:pPr>
            <w:r>
              <w:rPr>
                <w:rFonts w:ascii="Arial" w:cs="Arial" w:eastAsia="Arial" w:hAnsi="Arial"/>
                <w:sz w:val="18"/>
                <w:szCs w:val="18"/>
                <w:b w:val="1"/>
                <w:bCs w:val="1"/>
                <w:color w:val="auto"/>
              </w:rPr>
              <w:t>With</w:t>
            </w:r>
          </w:p>
        </w:tc>
        <w:tc>
          <w:tcPr>
            <w:tcW w:w="1420" w:type="dxa"/>
            <w:vAlign w:val="bottom"/>
          </w:tcPr>
          <w:p>
            <w:pPr>
              <w:spacing w:after="0"/>
              <w:rPr>
                <w:sz w:val="20"/>
                <w:szCs w:val="20"/>
                <w:color w:val="auto"/>
              </w:rPr>
            </w:pPr>
            <w:r>
              <w:rPr>
                <w:rFonts w:ascii="Arial" w:cs="Arial" w:eastAsia="Arial" w:hAnsi="Arial"/>
                <w:sz w:val="18"/>
                <w:szCs w:val="18"/>
                <w:b w:val="1"/>
                <w:bCs w:val="1"/>
                <w:color w:val="auto"/>
              </w:rPr>
              <w:t>:</w:t>
            </w:r>
          </w:p>
        </w:tc>
        <w:tc>
          <w:tcPr>
            <w:tcW w:w="6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3"/>
        </w:trPr>
        <w:tc>
          <w:tcPr>
            <w:tcW w:w="3440" w:type="dxa"/>
            <w:vAlign w:val="bottom"/>
            <w:vMerge w:val="continue"/>
          </w:tcPr>
          <w:p>
            <w:pPr>
              <w:spacing w:after="0"/>
              <w:rPr>
                <w:sz w:val="13"/>
                <w:szCs w:val="13"/>
                <w:color w:val="auto"/>
              </w:rPr>
            </w:pPr>
          </w:p>
        </w:tc>
        <w:tc>
          <w:tcPr>
            <w:tcW w:w="1420" w:type="dxa"/>
            <w:vAlign w:val="bottom"/>
            <w:vMerge w:val="restart"/>
          </w:tcPr>
          <w:p>
            <w:pPr>
              <w:spacing w:after="0"/>
              <w:rPr>
                <w:sz w:val="20"/>
                <w:szCs w:val="20"/>
                <w:color w:val="auto"/>
              </w:rPr>
            </w:pPr>
            <w:r>
              <w:rPr>
                <w:rFonts w:ascii="Arial" w:cs="Arial" w:eastAsia="Arial" w:hAnsi="Arial"/>
                <w:sz w:val="18"/>
                <w:szCs w:val="18"/>
                <w:b w:val="1"/>
                <w:bCs w:val="1"/>
                <w:color w:val="auto"/>
              </w:rPr>
              <w:t>:</w:t>
            </w:r>
          </w:p>
        </w:tc>
        <w:tc>
          <w:tcPr>
            <w:tcW w:w="6560" w:type="dxa"/>
            <w:vAlign w:val="bottom"/>
            <w:vMerge w:val="restart"/>
          </w:tcPr>
          <w:p>
            <w:pPr>
              <w:ind w:left="1180"/>
              <w:spacing w:after="0"/>
              <w:rPr>
                <w:sz w:val="20"/>
                <w:szCs w:val="20"/>
                <w:color w:val="auto"/>
              </w:rPr>
            </w:pPr>
            <w:r>
              <w:rPr>
                <w:rFonts w:ascii="Arial" w:cs="Arial" w:eastAsia="Arial" w:hAnsi="Arial"/>
                <w:sz w:val="18"/>
                <w:szCs w:val="18"/>
                <w:b w:val="1"/>
                <w:bCs w:val="1"/>
                <w:color w:val="auto"/>
              </w:rPr>
              <w:t>None</w:t>
            </w:r>
          </w:p>
        </w:tc>
        <w:tc>
          <w:tcPr>
            <w:tcW w:w="0" w:type="dxa"/>
            <w:vAlign w:val="bottom"/>
          </w:tcPr>
          <w:p>
            <w:pPr>
              <w:spacing w:after="0"/>
              <w:rPr>
                <w:sz w:val="1"/>
                <w:szCs w:val="1"/>
                <w:color w:val="auto"/>
              </w:rPr>
            </w:pPr>
          </w:p>
        </w:tc>
      </w:tr>
      <w:tr>
        <w:trPr>
          <w:trHeight w:val="63"/>
        </w:trPr>
        <w:tc>
          <w:tcPr>
            <w:tcW w:w="3440" w:type="dxa"/>
            <w:vAlign w:val="bottom"/>
          </w:tcPr>
          <w:p>
            <w:pPr>
              <w:spacing w:after="0"/>
              <w:rPr>
                <w:sz w:val="5"/>
                <w:szCs w:val="5"/>
                <w:color w:val="auto"/>
              </w:rPr>
            </w:pPr>
          </w:p>
        </w:tc>
        <w:tc>
          <w:tcPr>
            <w:tcW w:w="1420" w:type="dxa"/>
            <w:vAlign w:val="bottom"/>
            <w:vMerge w:val="continue"/>
          </w:tcPr>
          <w:p>
            <w:pPr>
              <w:spacing w:after="0"/>
              <w:rPr>
                <w:sz w:val="5"/>
                <w:szCs w:val="5"/>
                <w:color w:val="auto"/>
              </w:rPr>
            </w:pPr>
          </w:p>
        </w:tc>
        <w:tc>
          <w:tcPr>
            <w:tcW w:w="65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34"/>
        </w:trPr>
        <w:tc>
          <w:tcPr>
            <w:tcW w:w="3440" w:type="dxa"/>
            <w:vAlign w:val="bottom"/>
          </w:tcPr>
          <w:p>
            <w:pPr>
              <w:spacing w:after="0"/>
              <w:rPr>
                <w:sz w:val="20"/>
                <w:szCs w:val="20"/>
                <w:color w:val="auto"/>
              </w:rPr>
            </w:pPr>
          </w:p>
        </w:tc>
        <w:tc>
          <w:tcPr>
            <w:tcW w:w="1420" w:type="dxa"/>
            <w:vAlign w:val="bottom"/>
          </w:tcPr>
          <w:p>
            <w:pPr>
              <w:spacing w:after="0"/>
              <w:rPr>
                <w:sz w:val="20"/>
                <w:szCs w:val="20"/>
                <w:color w:val="auto"/>
              </w:rPr>
            </w:pPr>
            <w:r>
              <w:rPr>
                <w:rFonts w:ascii="Arial" w:cs="Arial" w:eastAsia="Arial" w:hAnsi="Arial"/>
                <w:sz w:val="18"/>
                <w:szCs w:val="18"/>
                <w:b w:val="1"/>
                <w:bCs w:val="1"/>
                <w:color w:val="auto"/>
              </w:rPr>
              <w:t>:</w:t>
            </w:r>
          </w:p>
        </w:tc>
        <w:tc>
          <w:tcPr>
            <w:tcW w:w="65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ind w:left="840" w:right="5720" w:hanging="832"/>
        <w:spacing w:after="0" w:line="516" w:lineRule="auto"/>
        <w:tabs>
          <w:tab w:leader="none" w:pos="840"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Aggregate amount beneficially owned by each reporting person None (Item 5)</w:t>
      </w:r>
    </w:p>
    <w:p>
      <w:pPr>
        <w:spacing w:after="0" w:line="1" w:lineRule="exact"/>
        <w:rPr>
          <w:rFonts w:ascii="Arial" w:cs="Arial" w:eastAsia="Arial" w:hAnsi="Arial"/>
          <w:sz w:val="18"/>
          <w:szCs w:val="18"/>
          <w:b w:val="1"/>
          <w:bCs w:val="1"/>
          <w:color w:val="auto"/>
        </w:rPr>
      </w:pPr>
    </w:p>
    <w:p>
      <w:pPr>
        <w:ind w:left="84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Check box if the aggregate amount in row (11) excludes certain shares</w:t>
      </w:r>
    </w:p>
    <w:p>
      <w:pPr>
        <w:spacing w:after="0" w:line="27" w:lineRule="exact"/>
        <w:rPr>
          <w:rFonts w:ascii="Arial" w:cs="Arial" w:eastAsia="Arial" w:hAnsi="Arial"/>
          <w:sz w:val="18"/>
          <w:szCs w:val="18"/>
          <w:b w:val="1"/>
          <w:bCs w:val="1"/>
          <w:color w:val="auto"/>
        </w:rPr>
      </w:pPr>
    </w:p>
    <w:p>
      <w:pPr>
        <w:ind w:left="840" w:hanging="832"/>
        <w:spacing w:after="0"/>
        <w:tabs>
          <w:tab w:leader="none" w:pos="840"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(SEE INSTRUCTIONS) X</w:t>
      </w:r>
    </w:p>
    <w:p>
      <w:pPr>
        <w:spacing w:after="0" w:line="200" w:lineRule="exact"/>
        <w:rPr>
          <w:rFonts w:ascii="Arial" w:cs="Arial" w:eastAsia="Arial" w:hAnsi="Arial"/>
          <w:sz w:val="18"/>
          <w:szCs w:val="18"/>
          <w:b w:val="1"/>
          <w:bCs w:val="1"/>
          <w:color w:val="auto"/>
        </w:rPr>
      </w:pPr>
    </w:p>
    <w:p>
      <w:pPr>
        <w:spacing w:after="0" w:line="200" w:lineRule="exact"/>
        <w:rPr>
          <w:rFonts w:ascii="Arial" w:cs="Arial" w:eastAsia="Arial" w:hAnsi="Arial"/>
          <w:sz w:val="18"/>
          <w:szCs w:val="18"/>
          <w:b w:val="1"/>
          <w:bCs w:val="1"/>
          <w:color w:val="auto"/>
        </w:rPr>
      </w:pPr>
    </w:p>
    <w:p>
      <w:pPr>
        <w:spacing w:after="0" w:line="266" w:lineRule="exact"/>
        <w:rPr>
          <w:rFonts w:ascii="Arial" w:cs="Arial" w:eastAsia="Arial" w:hAnsi="Arial"/>
          <w:sz w:val="18"/>
          <w:szCs w:val="18"/>
          <w:b w:val="1"/>
          <w:bCs w:val="1"/>
          <w:color w:val="auto"/>
        </w:rPr>
      </w:pPr>
    </w:p>
    <w:p>
      <w:pPr>
        <w:ind w:left="840" w:right="6700" w:hanging="832"/>
        <w:spacing w:after="0" w:line="516" w:lineRule="auto"/>
        <w:tabs>
          <w:tab w:leader="none" w:pos="840"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Percent of class represented by amount in row (11) 0.00%</w:t>
      </w:r>
    </w:p>
    <w:p>
      <w:pPr>
        <w:spacing w:after="0" w:line="1" w:lineRule="exact"/>
        <w:rPr>
          <w:rFonts w:ascii="Arial" w:cs="Arial" w:eastAsia="Arial" w:hAnsi="Arial"/>
          <w:sz w:val="18"/>
          <w:szCs w:val="18"/>
          <w:b w:val="1"/>
          <w:bCs w:val="1"/>
          <w:color w:val="auto"/>
        </w:rPr>
      </w:pPr>
    </w:p>
    <w:p>
      <w:pPr>
        <w:ind w:left="840" w:hanging="832"/>
        <w:spacing w:after="0"/>
        <w:tabs>
          <w:tab w:leader="none" w:pos="840"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Type of reporting person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-1405255</wp:posOffset>
            </wp:positionV>
            <wp:extent cx="72466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-702310</wp:posOffset>
            </wp:positionV>
            <wp:extent cx="72466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-136525</wp:posOffset>
            </wp:positionV>
            <wp:extent cx="72466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7" w:lineRule="exact"/>
        <w:rPr>
          <w:sz w:val="20"/>
          <w:szCs w:val="20"/>
          <w:color w:val="auto"/>
        </w:rPr>
      </w:pPr>
    </w:p>
    <w:p>
      <w:pPr>
        <w:ind w:left="1020"/>
        <w:spacing w:after="0"/>
        <w:rPr>
          <w:sz w:val="20"/>
          <w:szCs w:val="20"/>
          <w:color w:val="auto"/>
        </w:rPr>
      </w:pPr>
      <w:r>
        <w:rPr>
          <w:rFonts w:ascii="Arial" w:cs="Arial" w:eastAsia="Arial" w:hAnsi="Arial"/>
          <w:sz w:val="18"/>
          <w:szCs w:val="18"/>
          <w:b w:val="1"/>
          <w:bCs w:val="1"/>
          <w:color w:val="auto"/>
        </w:rPr>
        <w:t>HC,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2466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t>CUSIP No. 677864100</w:t>
      </w:r>
    </w:p>
    <w:p>
      <w:pPr>
        <w:spacing w:after="0" w:line="23" w:lineRule="exact"/>
        <w:rPr>
          <w:sz w:val="20"/>
          <w:szCs w:val="20"/>
          <w:color w:val="auto"/>
        </w:rPr>
      </w:pPr>
    </w:p>
    <w:p>
      <w:pPr>
        <w:ind w:left="840" w:hanging="458"/>
        <w:spacing w:after="0"/>
        <w:tabs>
          <w:tab w:leader="none" w:pos="840"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Names of reporting persons</w:t>
      </w:r>
    </w:p>
    <w:p>
      <w:pPr>
        <w:spacing w:after="0" w:line="9" w:lineRule="exact"/>
        <w:rPr>
          <w:rFonts w:ascii="Arial" w:cs="Arial" w:eastAsia="Arial" w:hAnsi="Arial"/>
          <w:sz w:val="18"/>
          <w:szCs w:val="18"/>
          <w:b w:val="1"/>
          <w:bCs w:val="1"/>
          <w:color w:val="auto"/>
        </w:rPr>
      </w:pPr>
    </w:p>
    <w:p>
      <w:pPr>
        <w:ind w:left="840" w:right="6300"/>
        <w:spacing w:after="0" w:line="255" w:lineRule="auto"/>
        <w:rPr>
          <w:rFonts w:ascii="Arial" w:cs="Arial" w:eastAsia="Arial" w:hAnsi="Arial"/>
          <w:sz w:val="18"/>
          <w:szCs w:val="18"/>
          <w:b w:val="1"/>
          <w:bCs w:val="1"/>
          <w:color w:val="auto"/>
        </w:rPr>
      </w:pPr>
      <w:r>
        <w:rPr>
          <w:rFonts w:ascii="Arial" w:cs="Arial" w:eastAsia="Arial" w:hAnsi="Arial"/>
          <w:sz w:val="18"/>
          <w:szCs w:val="18"/>
          <w:b w:val="1"/>
          <w:bCs w:val="1"/>
          <w:color w:val="auto"/>
        </w:rPr>
        <w:t>I.R.S. identification nos. of above persons (entities only) Mario J. Gabelli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2466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ind w:left="840" w:hanging="458"/>
        <w:spacing w:after="0"/>
        <w:tabs>
          <w:tab w:leader="none" w:pos="840"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t>Check the appropriate box if a member of a group (SEE INSTRUCTIONS) (a)</w:t>
      </w:r>
    </w:p>
    <w:p>
      <w:pPr>
        <w:spacing w:after="0" w:line="200" w:lineRule="exact"/>
        <w:rPr>
          <w:sz w:val="20"/>
          <w:szCs w:val="20"/>
          <w:color w:val="auto"/>
        </w:rPr>
      </w:pPr>
    </w:p>
    <w:p>
      <w:pPr>
        <w:spacing w:after="0" w:line="241" w:lineRule="exact"/>
        <w:rPr>
          <w:sz w:val="20"/>
          <w:szCs w:val="20"/>
          <w:color w:val="auto"/>
        </w:rPr>
      </w:pPr>
    </w:p>
    <w:p>
      <w:pPr>
        <w:ind w:left="7320"/>
        <w:spacing w:after="0"/>
        <w:rPr>
          <w:sz w:val="20"/>
          <w:szCs w:val="20"/>
          <w:color w:val="auto"/>
        </w:rPr>
      </w:pPr>
      <w:r>
        <w:rPr>
          <w:rFonts w:ascii="Arial" w:cs="Arial" w:eastAsia="Arial" w:hAnsi="Arial"/>
          <w:sz w:val="18"/>
          <w:szCs w:val="18"/>
          <w:b w:val="1"/>
          <w:bCs w:val="1"/>
          <w:color w:val="auto"/>
        </w:rPr>
        <w:t>(b)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2466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2" w:lineRule="exact"/>
        <w:rPr>
          <w:sz w:val="20"/>
          <w:szCs w:val="20"/>
          <w:color w:val="auto"/>
        </w:rPr>
      </w:pPr>
    </w:p>
    <w:p>
      <w:pPr>
        <w:ind w:left="840" w:hanging="458"/>
        <w:spacing w:after="0"/>
        <w:tabs>
          <w:tab w:leader="none" w:pos="840"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2466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2" w:lineRule="exact"/>
        <w:rPr>
          <w:sz w:val="20"/>
          <w:szCs w:val="20"/>
          <w:color w:val="auto"/>
        </w:rPr>
      </w:pPr>
    </w:p>
    <w:p>
      <w:pPr>
        <w:ind w:left="900" w:right="7460" w:hanging="518"/>
        <w:spacing w:after="0" w:line="282" w:lineRule="auto"/>
        <w:tabs>
          <w:tab w:leader="none" w:pos="855"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color w:val="auto"/>
        </w:rPr>
        <w:t>Source of funds (SEE INSTRUCTIONS) 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9" w:lineRule="exact"/>
        <w:rPr>
          <w:sz w:val="20"/>
          <w:szCs w:val="20"/>
          <w:color w:val="auto"/>
        </w:rPr>
      </w:pPr>
    </w:p>
    <w:p>
      <w:pPr>
        <w:ind w:left="840" w:hanging="458"/>
        <w:spacing w:after="0"/>
        <w:tabs>
          <w:tab w:leader="none" w:pos="840"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color w:val="auto"/>
        </w:rPr>
        <w:t>Check box if disclosure of legal proceedings is required pursuant to items 2 (d) or 2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292100</wp:posOffset>
            </wp:positionV>
            <wp:extent cx="72466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840" w:hanging="458"/>
        <w:spacing w:after="0"/>
        <w:tabs>
          <w:tab w:leader="none" w:pos="840"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color w:val="auto"/>
        </w:rPr>
        <w:t>Citizenship or place of organization</w:t>
      </w:r>
    </w:p>
    <w:p>
      <w:pPr>
        <w:spacing w:after="0" w:line="27" w:lineRule="exact"/>
        <w:rPr>
          <w:rFonts w:ascii="Arial" w:cs="Arial" w:eastAsia="Arial" w:hAnsi="Arial"/>
          <w:sz w:val="18"/>
          <w:szCs w:val="18"/>
          <w:b w:val="1"/>
          <w:bCs w:val="1"/>
          <w:color w:val="auto"/>
        </w:rPr>
      </w:pPr>
    </w:p>
    <w:p>
      <w:pPr>
        <w:ind w:left="98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USA</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34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Number Of</w:t>
            </w:r>
          </w:p>
        </w:tc>
        <w:tc>
          <w:tcPr>
            <w:tcW w:w="142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 7</w:t>
            </w:r>
          </w:p>
        </w:tc>
        <w:tc>
          <w:tcPr>
            <w:tcW w:w="6560" w:type="dxa"/>
            <w:vAlign w:val="bottom"/>
            <w:tcBorders>
              <w:top w:val="single" w:sz="8" w:color="auto"/>
            </w:tcBorders>
          </w:tcPr>
          <w:p>
            <w:pPr>
              <w:ind w:left="1180"/>
              <w:spacing w:after="0"/>
              <w:rPr>
                <w:sz w:val="20"/>
                <w:szCs w:val="20"/>
                <w:color w:val="auto"/>
              </w:rPr>
            </w:pPr>
            <w:r>
              <w:rPr>
                <w:rFonts w:ascii="Arial" w:cs="Arial" w:eastAsia="Arial" w:hAnsi="Arial"/>
                <w:sz w:val="18"/>
                <w:szCs w:val="18"/>
                <w:b w:val="1"/>
                <w:bCs w:val="1"/>
                <w:color w:val="auto"/>
              </w:rPr>
              <w:t>Sole voting power</w:t>
            </w:r>
          </w:p>
        </w:tc>
        <w:tc>
          <w:tcPr>
            <w:tcW w:w="0" w:type="dxa"/>
            <w:vAlign w:val="bottom"/>
          </w:tcPr>
          <w:p>
            <w:pPr>
              <w:spacing w:after="0"/>
              <w:rPr>
                <w:sz w:val="1"/>
                <w:szCs w:val="1"/>
                <w:color w:val="auto"/>
              </w:rPr>
            </w:pPr>
          </w:p>
        </w:tc>
      </w:tr>
      <w:tr>
        <w:trPr>
          <w:trHeight w:val="216"/>
        </w:trPr>
        <w:tc>
          <w:tcPr>
            <w:tcW w:w="3440" w:type="dxa"/>
            <w:vAlign w:val="bottom"/>
          </w:tcPr>
          <w:p>
            <w:pPr>
              <w:spacing w:after="0"/>
              <w:rPr>
                <w:sz w:val="18"/>
                <w:szCs w:val="18"/>
                <w:color w:val="auto"/>
              </w:rPr>
            </w:pPr>
          </w:p>
        </w:tc>
        <w:tc>
          <w:tcPr>
            <w:tcW w:w="1420" w:type="dxa"/>
            <w:vAlign w:val="bottom"/>
          </w:tcPr>
          <w:p>
            <w:pPr>
              <w:spacing w:after="0"/>
              <w:rPr>
                <w:sz w:val="20"/>
                <w:szCs w:val="20"/>
                <w:color w:val="auto"/>
              </w:rPr>
            </w:pPr>
            <w:r>
              <w:rPr>
                <w:rFonts w:ascii="Arial" w:cs="Arial" w:eastAsia="Arial" w:hAnsi="Arial"/>
                <w:sz w:val="18"/>
                <w:szCs w:val="18"/>
                <w:b w:val="1"/>
                <w:bCs w:val="1"/>
                <w:color w:val="auto"/>
              </w:rPr>
              <w:t>:</w:t>
            </w:r>
          </w:p>
        </w:tc>
        <w:tc>
          <w:tcPr>
            <w:tcW w:w="6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40" w:type="dxa"/>
            <w:vAlign w:val="bottom"/>
          </w:tcPr>
          <w:p>
            <w:pPr>
              <w:jc w:val="center"/>
              <w:spacing w:after="0"/>
              <w:rPr>
                <w:sz w:val="20"/>
                <w:szCs w:val="20"/>
                <w:color w:val="auto"/>
              </w:rPr>
            </w:pPr>
            <w:r>
              <w:rPr>
                <w:rFonts w:ascii="Arial" w:cs="Arial" w:eastAsia="Arial" w:hAnsi="Arial"/>
                <w:sz w:val="18"/>
                <w:szCs w:val="18"/>
                <w:b w:val="1"/>
                <w:bCs w:val="1"/>
                <w:color w:val="auto"/>
                <w:w w:val="86"/>
              </w:rPr>
              <w:t>Shares</w:t>
            </w:r>
          </w:p>
        </w:tc>
        <w:tc>
          <w:tcPr>
            <w:tcW w:w="1420" w:type="dxa"/>
            <w:vAlign w:val="bottom"/>
          </w:tcPr>
          <w:p>
            <w:pPr>
              <w:spacing w:after="0"/>
              <w:rPr>
                <w:sz w:val="20"/>
                <w:szCs w:val="20"/>
                <w:color w:val="auto"/>
              </w:rPr>
            </w:pPr>
            <w:r>
              <w:rPr>
                <w:rFonts w:ascii="Arial" w:cs="Arial" w:eastAsia="Arial" w:hAnsi="Arial"/>
                <w:sz w:val="18"/>
                <w:szCs w:val="18"/>
                <w:b w:val="1"/>
                <w:bCs w:val="1"/>
                <w:color w:val="auto"/>
              </w:rPr>
              <w:t>:</w:t>
            </w:r>
          </w:p>
        </w:tc>
        <w:tc>
          <w:tcPr>
            <w:tcW w:w="6560" w:type="dxa"/>
            <w:vAlign w:val="bottom"/>
          </w:tcPr>
          <w:p>
            <w:pPr>
              <w:ind w:left="1180"/>
              <w:spacing w:after="0"/>
              <w:rPr>
                <w:sz w:val="20"/>
                <w:szCs w:val="20"/>
                <w:color w:val="auto"/>
              </w:rPr>
            </w:pPr>
            <w:r>
              <w:rPr>
                <w:rFonts w:ascii="Arial" w:cs="Arial" w:eastAsia="Arial" w:hAnsi="Arial"/>
                <w:sz w:val="18"/>
                <w:szCs w:val="18"/>
                <w:b w:val="1"/>
                <w:bCs w:val="1"/>
                <w:color w:val="auto"/>
              </w:rPr>
              <w:t>None</w:t>
            </w:r>
          </w:p>
        </w:tc>
        <w:tc>
          <w:tcPr>
            <w:tcW w:w="0" w:type="dxa"/>
            <w:vAlign w:val="bottom"/>
          </w:tcPr>
          <w:p>
            <w:pPr>
              <w:spacing w:after="0"/>
              <w:rPr>
                <w:sz w:val="1"/>
                <w:szCs w:val="1"/>
                <w:color w:val="auto"/>
              </w:rPr>
            </w:pPr>
          </w:p>
        </w:tc>
      </w:tr>
      <w:tr>
        <w:trPr>
          <w:trHeight w:val="241"/>
        </w:trPr>
        <w:tc>
          <w:tcPr>
            <w:tcW w:w="34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9"/>
              </w:rPr>
              <w:t>Beneficially</w:t>
            </w:r>
          </w:p>
        </w:tc>
        <w:tc>
          <w:tcPr>
            <w:tcW w:w="14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5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440" w:type="dxa"/>
            <w:vAlign w:val="bottom"/>
            <w:vMerge w:val="continue"/>
          </w:tcPr>
          <w:p>
            <w:pPr>
              <w:spacing w:after="0"/>
              <w:rPr>
                <w:sz w:val="17"/>
                <w:szCs w:val="17"/>
                <w:color w:val="auto"/>
              </w:rPr>
            </w:pPr>
          </w:p>
        </w:tc>
        <w:tc>
          <w:tcPr>
            <w:tcW w:w="1420" w:type="dxa"/>
            <w:vAlign w:val="bottom"/>
          </w:tcPr>
          <w:p>
            <w:pPr>
              <w:spacing w:after="0" w:line="198" w:lineRule="exact"/>
              <w:rPr>
                <w:sz w:val="20"/>
                <w:szCs w:val="20"/>
                <w:color w:val="auto"/>
              </w:rPr>
            </w:pPr>
            <w:r>
              <w:rPr>
                <w:rFonts w:ascii="Arial" w:cs="Arial" w:eastAsia="Arial" w:hAnsi="Arial"/>
                <w:sz w:val="18"/>
                <w:szCs w:val="18"/>
                <w:b w:val="1"/>
                <w:bCs w:val="1"/>
                <w:color w:val="auto"/>
              </w:rPr>
              <w:t>: 8</w:t>
            </w:r>
          </w:p>
        </w:tc>
        <w:tc>
          <w:tcPr>
            <w:tcW w:w="6560" w:type="dxa"/>
            <w:vAlign w:val="bottom"/>
          </w:tcPr>
          <w:p>
            <w:pPr>
              <w:ind w:left="1180"/>
              <w:spacing w:after="0" w:line="198" w:lineRule="exact"/>
              <w:rPr>
                <w:sz w:val="20"/>
                <w:szCs w:val="20"/>
                <w:color w:val="auto"/>
              </w:rPr>
            </w:pPr>
            <w:r>
              <w:rPr>
                <w:rFonts w:ascii="Arial" w:cs="Arial" w:eastAsia="Arial" w:hAnsi="Arial"/>
                <w:sz w:val="18"/>
                <w:szCs w:val="18"/>
                <w:b w:val="1"/>
                <w:bCs w:val="1"/>
                <w:color w:val="auto"/>
              </w:rPr>
              <w:t>Shared voting power</w:t>
            </w:r>
          </w:p>
        </w:tc>
        <w:tc>
          <w:tcPr>
            <w:tcW w:w="0" w:type="dxa"/>
            <w:vAlign w:val="bottom"/>
          </w:tcPr>
          <w:p>
            <w:pPr>
              <w:spacing w:after="0"/>
              <w:rPr>
                <w:sz w:val="1"/>
                <w:szCs w:val="1"/>
                <w:color w:val="auto"/>
              </w:rPr>
            </w:pPr>
          </w:p>
        </w:tc>
      </w:tr>
      <w:tr>
        <w:trPr>
          <w:trHeight w:val="216"/>
        </w:trPr>
        <w:tc>
          <w:tcPr>
            <w:tcW w:w="34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3"/>
              </w:rPr>
              <w:t>Owned</w:t>
            </w:r>
          </w:p>
        </w:tc>
        <w:tc>
          <w:tcPr>
            <w:tcW w:w="1420" w:type="dxa"/>
            <w:vAlign w:val="bottom"/>
          </w:tcPr>
          <w:p>
            <w:pPr>
              <w:spacing w:after="0"/>
              <w:rPr>
                <w:sz w:val="20"/>
                <w:szCs w:val="20"/>
                <w:color w:val="auto"/>
              </w:rPr>
            </w:pPr>
            <w:r>
              <w:rPr>
                <w:rFonts w:ascii="Arial" w:cs="Arial" w:eastAsia="Arial" w:hAnsi="Arial"/>
                <w:sz w:val="18"/>
                <w:szCs w:val="18"/>
                <w:b w:val="1"/>
                <w:bCs w:val="1"/>
                <w:color w:val="auto"/>
              </w:rPr>
              <w:t>:</w:t>
            </w:r>
          </w:p>
        </w:tc>
        <w:tc>
          <w:tcPr>
            <w:tcW w:w="6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40" w:type="dxa"/>
            <w:vAlign w:val="bottom"/>
            <w:vMerge w:val="continue"/>
          </w:tcPr>
          <w:p>
            <w:pPr>
              <w:spacing w:after="0"/>
              <w:rPr>
                <w:sz w:val="18"/>
                <w:szCs w:val="18"/>
                <w:color w:val="auto"/>
              </w:rPr>
            </w:pPr>
          </w:p>
        </w:tc>
        <w:tc>
          <w:tcPr>
            <w:tcW w:w="1420" w:type="dxa"/>
            <w:vAlign w:val="bottom"/>
          </w:tcPr>
          <w:p>
            <w:pPr>
              <w:spacing w:after="0"/>
              <w:rPr>
                <w:sz w:val="20"/>
                <w:szCs w:val="20"/>
                <w:color w:val="auto"/>
              </w:rPr>
            </w:pPr>
            <w:r>
              <w:rPr>
                <w:rFonts w:ascii="Arial" w:cs="Arial" w:eastAsia="Arial" w:hAnsi="Arial"/>
                <w:sz w:val="18"/>
                <w:szCs w:val="18"/>
                <w:b w:val="1"/>
                <w:bCs w:val="1"/>
                <w:color w:val="auto"/>
              </w:rPr>
              <w:t>:</w:t>
            </w:r>
          </w:p>
        </w:tc>
        <w:tc>
          <w:tcPr>
            <w:tcW w:w="6560" w:type="dxa"/>
            <w:vAlign w:val="bottom"/>
          </w:tcPr>
          <w:p>
            <w:pPr>
              <w:ind w:left="1180"/>
              <w:spacing w:after="0"/>
              <w:rPr>
                <w:sz w:val="20"/>
                <w:szCs w:val="20"/>
                <w:color w:val="auto"/>
              </w:rPr>
            </w:pPr>
            <w:r>
              <w:rPr>
                <w:rFonts w:ascii="Arial" w:cs="Arial" w:eastAsia="Arial" w:hAnsi="Arial"/>
                <w:sz w:val="18"/>
                <w:szCs w:val="18"/>
                <w:b w:val="1"/>
                <w:bCs w:val="1"/>
                <w:color w:val="auto"/>
              </w:rPr>
              <w:t>None</w:t>
            </w:r>
          </w:p>
        </w:tc>
        <w:tc>
          <w:tcPr>
            <w:tcW w:w="0" w:type="dxa"/>
            <w:vAlign w:val="bottom"/>
          </w:tcPr>
          <w:p>
            <w:pPr>
              <w:spacing w:after="0"/>
              <w:rPr>
                <w:sz w:val="1"/>
                <w:szCs w:val="1"/>
                <w:color w:val="auto"/>
              </w:rPr>
            </w:pPr>
          </w:p>
        </w:tc>
      </w:tr>
      <w:tr>
        <w:trPr>
          <w:trHeight w:val="241"/>
        </w:trPr>
        <w:tc>
          <w:tcPr>
            <w:tcW w:w="34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0"/>
              </w:rPr>
              <w:t>By Each</w:t>
            </w:r>
          </w:p>
        </w:tc>
        <w:tc>
          <w:tcPr>
            <w:tcW w:w="14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5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440" w:type="dxa"/>
            <w:vAlign w:val="bottom"/>
            <w:vMerge w:val="continue"/>
          </w:tcPr>
          <w:p>
            <w:pPr>
              <w:spacing w:after="0"/>
              <w:rPr>
                <w:sz w:val="17"/>
                <w:szCs w:val="17"/>
                <w:color w:val="auto"/>
              </w:rPr>
            </w:pPr>
          </w:p>
        </w:tc>
        <w:tc>
          <w:tcPr>
            <w:tcW w:w="1420" w:type="dxa"/>
            <w:vAlign w:val="bottom"/>
          </w:tcPr>
          <w:p>
            <w:pPr>
              <w:spacing w:after="0" w:line="198" w:lineRule="exact"/>
              <w:rPr>
                <w:sz w:val="20"/>
                <w:szCs w:val="20"/>
                <w:color w:val="auto"/>
              </w:rPr>
            </w:pPr>
            <w:r>
              <w:rPr>
                <w:rFonts w:ascii="Arial" w:cs="Arial" w:eastAsia="Arial" w:hAnsi="Arial"/>
                <w:sz w:val="18"/>
                <w:szCs w:val="18"/>
                <w:b w:val="1"/>
                <w:bCs w:val="1"/>
                <w:color w:val="auto"/>
              </w:rPr>
              <w:t>: 9</w:t>
            </w:r>
          </w:p>
        </w:tc>
        <w:tc>
          <w:tcPr>
            <w:tcW w:w="6560" w:type="dxa"/>
            <w:vAlign w:val="bottom"/>
          </w:tcPr>
          <w:p>
            <w:pPr>
              <w:ind w:left="1180"/>
              <w:spacing w:after="0" w:line="198" w:lineRule="exact"/>
              <w:rPr>
                <w:sz w:val="20"/>
                <w:szCs w:val="20"/>
                <w:color w:val="auto"/>
              </w:rPr>
            </w:pPr>
            <w:r>
              <w:rPr>
                <w:rFonts w:ascii="Arial" w:cs="Arial" w:eastAsia="Arial" w:hAnsi="Arial"/>
                <w:sz w:val="18"/>
                <w:szCs w:val="18"/>
                <w:b w:val="1"/>
                <w:bCs w:val="1"/>
                <w:color w:val="auto"/>
              </w:rPr>
              <w:t>Sole dispositive power</w:t>
            </w:r>
          </w:p>
        </w:tc>
        <w:tc>
          <w:tcPr>
            <w:tcW w:w="0" w:type="dxa"/>
            <w:vAlign w:val="bottom"/>
          </w:tcPr>
          <w:p>
            <w:pPr>
              <w:spacing w:after="0"/>
              <w:rPr>
                <w:sz w:val="1"/>
                <w:szCs w:val="1"/>
                <w:color w:val="auto"/>
              </w:rPr>
            </w:pPr>
          </w:p>
        </w:tc>
      </w:tr>
      <w:tr>
        <w:trPr>
          <w:trHeight w:val="216"/>
        </w:trPr>
        <w:tc>
          <w:tcPr>
            <w:tcW w:w="34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1"/>
              </w:rPr>
              <w:t>Reporting</w:t>
            </w:r>
          </w:p>
        </w:tc>
        <w:tc>
          <w:tcPr>
            <w:tcW w:w="1420" w:type="dxa"/>
            <w:vAlign w:val="bottom"/>
          </w:tcPr>
          <w:p>
            <w:pPr>
              <w:spacing w:after="0"/>
              <w:rPr>
                <w:sz w:val="20"/>
                <w:szCs w:val="20"/>
                <w:color w:val="auto"/>
              </w:rPr>
            </w:pPr>
            <w:r>
              <w:rPr>
                <w:rFonts w:ascii="Arial" w:cs="Arial" w:eastAsia="Arial" w:hAnsi="Arial"/>
                <w:sz w:val="18"/>
                <w:szCs w:val="18"/>
                <w:b w:val="1"/>
                <w:bCs w:val="1"/>
                <w:color w:val="auto"/>
              </w:rPr>
              <w:t>:</w:t>
            </w:r>
          </w:p>
        </w:tc>
        <w:tc>
          <w:tcPr>
            <w:tcW w:w="6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40" w:type="dxa"/>
            <w:vAlign w:val="bottom"/>
            <w:vMerge w:val="continue"/>
          </w:tcPr>
          <w:p>
            <w:pPr>
              <w:spacing w:after="0"/>
              <w:rPr>
                <w:sz w:val="18"/>
                <w:szCs w:val="18"/>
                <w:color w:val="auto"/>
              </w:rPr>
            </w:pPr>
          </w:p>
        </w:tc>
        <w:tc>
          <w:tcPr>
            <w:tcW w:w="1420" w:type="dxa"/>
            <w:vAlign w:val="bottom"/>
          </w:tcPr>
          <w:p>
            <w:pPr>
              <w:spacing w:after="0"/>
              <w:rPr>
                <w:sz w:val="20"/>
                <w:szCs w:val="20"/>
                <w:color w:val="auto"/>
              </w:rPr>
            </w:pPr>
            <w:r>
              <w:rPr>
                <w:rFonts w:ascii="Arial" w:cs="Arial" w:eastAsia="Arial" w:hAnsi="Arial"/>
                <w:sz w:val="18"/>
                <w:szCs w:val="18"/>
                <w:b w:val="1"/>
                <w:bCs w:val="1"/>
                <w:color w:val="auto"/>
              </w:rPr>
              <w:t>:</w:t>
            </w:r>
          </w:p>
        </w:tc>
        <w:tc>
          <w:tcPr>
            <w:tcW w:w="6560" w:type="dxa"/>
            <w:vAlign w:val="bottom"/>
          </w:tcPr>
          <w:p>
            <w:pPr>
              <w:ind w:left="1180"/>
              <w:spacing w:after="0"/>
              <w:rPr>
                <w:sz w:val="20"/>
                <w:szCs w:val="20"/>
                <w:color w:val="auto"/>
              </w:rPr>
            </w:pPr>
            <w:r>
              <w:rPr>
                <w:rFonts w:ascii="Arial" w:cs="Arial" w:eastAsia="Arial" w:hAnsi="Arial"/>
                <w:sz w:val="18"/>
                <w:szCs w:val="18"/>
                <w:b w:val="1"/>
                <w:bCs w:val="1"/>
                <w:color w:val="auto"/>
              </w:rPr>
              <w:t>None</w:t>
            </w:r>
          </w:p>
        </w:tc>
        <w:tc>
          <w:tcPr>
            <w:tcW w:w="0" w:type="dxa"/>
            <w:vAlign w:val="bottom"/>
          </w:tcPr>
          <w:p>
            <w:pPr>
              <w:spacing w:after="0"/>
              <w:rPr>
                <w:sz w:val="1"/>
                <w:szCs w:val="1"/>
                <w:color w:val="auto"/>
              </w:rPr>
            </w:pPr>
          </w:p>
        </w:tc>
      </w:tr>
      <w:tr>
        <w:trPr>
          <w:trHeight w:val="241"/>
        </w:trPr>
        <w:tc>
          <w:tcPr>
            <w:tcW w:w="34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5"/>
              </w:rPr>
              <w:t>Person</w:t>
            </w:r>
          </w:p>
        </w:tc>
        <w:tc>
          <w:tcPr>
            <w:tcW w:w="14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5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35"/>
        </w:trPr>
        <w:tc>
          <w:tcPr>
            <w:tcW w:w="3440" w:type="dxa"/>
            <w:vAlign w:val="bottom"/>
            <w:vMerge w:val="continue"/>
          </w:tcPr>
          <w:p>
            <w:pPr>
              <w:spacing w:after="0"/>
              <w:rPr>
                <w:sz w:val="11"/>
                <w:szCs w:val="11"/>
                <w:color w:val="auto"/>
              </w:rPr>
            </w:pPr>
          </w:p>
        </w:tc>
        <w:tc>
          <w:tcPr>
            <w:tcW w:w="1420" w:type="dxa"/>
            <w:vAlign w:val="bottom"/>
            <w:vMerge w:val="restart"/>
          </w:tcPr>
          <w:p>
            <w:pPr>
              <w:spacing w:after="0" w:line="198" w:lineRule="exact"/>
              <w:rPr>
                <w:sz w:val="20"/>
                <w:szCs w:val="20"/>
                <w:color w:val="auto"/>
              </w:rPr>
            </w:pPr>
            <w:r>
              <w:rPr>
                <w:rFonts w:ascii="Arial" w:cs="Arial" w:eastAsia="Arial" w:hAnsi="Arial"/>
                <w:sz w:val="18"/>
                <w:szCs w:val="18"/>
                <w:b w:val="1"/>
                <w:bCs w:val="1"/>
                <w:color w:val="auto"/>
              </w:rPr>
              <w:t>:10</w:t>
            </w:r>
          </w:p>
        </w:tc>
        <w:tc>
          <w:tcPr>
            <w:tcW w:w="6560" w:type="dxa"/>
            <w:vAlign w:val="bottom"/>
            <w:vMerge w:val="restart"/>
          </w:tcPr>
          <w:p>
            <w:pPr>
              <w:ind w:left="1180"/>
              <w:spacing w:after="0" w:line="198" w:lineRule="exact"/>
              <w:rPr>
                <w:sz w:val="20"/>
                <w:szCs w:val="20"/>
                <w:color w:val="auto"/>
              </w:rPr>
            </w:pPr>
            <w:r>
              <w:rPr>
                <w:rFonts w:ascii="Arial" w:cs="Arial" w:eastAsia="Arial" w:hAnsi="Arial"/>
                <w:sz w:val="18"/>
                <w:szCs w:val="18"/>
                <w:b w:val="1"/>
                <w:bCs w:val="1"/>
                <w:color w:val="auto"/>
              </w:rPr>
              <w:t>Shared dispositive power</w:t>
            </w:r>
          </w:p>
        </w:tc>
        <w:tc>
          <w:tcPr>
            <w:tcW w:w="0" w:type="dxa"/>
            <w:vAlign w:val="bottom"/>
          </w:tcPr>
          <w:p>
            <w:pPr>
              <w:spacing w:after="0"/>
              <w:rPr>
                <w:sz w:val="1"/>
                <w:szCs w:val="1"/>
                <w:color w:val="auto"/>
              </w:rPr>
            </w:pPr>
          </w:p>
        </w:tc>
      </w:tr>
      <w:tr>
        <w:trPr>
          <w:trHeight w:val="63"/>
        </w:trPr>
        <w:tc>
          <w:tcPr>
            <w:tcW w:w="3440" w:type="dxa"/>
            <w:vAlign w:val="bottom"/>
          </w:tcPr>
          <w:p>
            <w:pPr>
              <w:spacing w:after="0"/>
              <w:rPr>
                <w:sz w:val="5"/>
                <w:szCs w:val="5"/>
                <w:color w:val="auto"/>
              </w:rPr>
            </w:pPr>
          </w:p>
        </w:tc>
        <w:tc>
          <w:tcPr>
            <w:tcW w:w="1420" w:type="dxa"/>
            <w:vAlign w:val="bottom"/>
            <w:vMerge w:val="continue"/>
          </w:tcPr>
          <w:p>
            <w:pPr>
              <w:spacing w:after="0"/>
              <w:rPr>
                <w:sz w:val="5"/>
                <w:szCs w:val="5"/>
                <w:color w:val="auto"/>
              </w:rPr>
            </w:pPr>
          </w:p>
        </w:tc>
        <w:tc>
          <w:tcPr>
            <w:tcW w:w="65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3440" w:type="dxa"/>
            <w:vAlign w:val="bottom"/>
            <w:vMerge w:val="restart"/>
          </w:tcPr>
          <w:p>
            <w:pPr>
              <w:jc w:val="center"/>
              <w:spacing w:after="0"/>
              <w:rPr>
                <w:sz w:val="20"/>
                <w:szCs w:val="20"/>
                <w:color w:val="auto"/>
              </w:rPr>
            </w:pPr>
            <w:r>
              <w:rPr>
                <w:rFonts w:ascii="Arial" w:cs="Arial" w:eastAsia="Arial" w:hAnsi="Arial"/>
                <w:sz w:val="18"/>
                <w:szCs w:val="18"/>
                <w:b w:val="1"/>
                <w:bCs w:val="1"/>
                <w:color w:val="auto"/>
              </w:rPr>
              <w:t>With</w:t>
            </w:r>
          </w:p>
        </w:tc>
        <w:tc>
          <w:tcPr>
            <w:tcW w:w="1420" w:type="dxa"/>
            <w:vAlign w:val="bottom"/>
          </w:tcPr>
          <w:p>
            <w:pPr>
              <w:spacing w:after="0"/>
              <w:rPr>
                <w:sz w:val="20"/>
                <w:szCs w:val="20"/>
                <w:color w:val="auto"/>
              </w:rPr>
            </w:pPr>
            <w:r>
              <w:rPr>
                <w:rFonts w:ascii="Arial" w:cs="Arial" w:eastAsia="Arial" w:hAnsi="Arial"/>
                <w:sz w:val="18"/>
                <w:szCs w:val="18"/>
                <w:b w:val="1"/>
                <w:bCs w:val="1"/>
                <w:color w:val="auto"/>
              </w:rPr>
              <w:t>:</w:t>
            </w:r>
          </w:p>
        </w:tc>
        <w:tc>
          <w:tcPr>
            <w:tcW w:w="6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3"/>
        </w:trPr>
        <w:tc>
          <w:tcPr>
            <w:tcW w:w="3440" w:type="dxa"/>
            <w:vAlign w:val="bottom"/>
            <w:vMerge w:val="continue"/>
          </w:tcPr>
          <w:p>
            <w:pPr>
              <w:spacing w:after="0"/>
              <w:rPr>
                <w:sz w:val="13"/>
                <w:szCs w:val="13"/>
                <w:color w:val="auto"/>
              </w:rPr>
            </w:pPr>
          </w:p>
        </w:tc>
        <w:tc>
          <w:tcPr>
            <w:tcW w:w="1420" w:type="dxa"/>
            <w:vAlign w:val="bottom"/>
            <w:vMerge w:val="restart"/>
          </w:tcPr>
          <w:p>
            <w:pPr>
              <w:spacing w:after="0"/>
              <w:rPr>
                <w:sz w:val="20"/>
                <w:szCs w:val="20"/>
                <w:color w:val="auto"/>
              </w:rPr>
            </w:pPr>
            <w:r>
              <w:rPr>
                <w:rFonts w:ascii="Arial" w:cs="Arial" w:eastAsia="Arial" w:hAnsi="Arial"/>
                <w:sz w:val="18"/>
                <w:szCs w:val="18"/>
                <w:b w:val="1"/>
                <w:bCs w:val="1"/>
                <w:color w:val="auto"/>
              </w:rPr>
              <w:t>:</w:t>
            </w:r>
          </w:p>
        </w:tc>
        <w:tc>
          <w:tcPr>
            <w:tcW w:w="6560" w:type="dxa"/>
            <w:vAlign w:val="bottom"/>
            <w:vMerge w:val="restart"/>
          </w:tcPr>
          <w:p>
            <w:pPr>
              <w:ind w:left="1180"/>
              <w:spacing w:after="0"/>
              <w:rPr>
                <w:sz w:val="20"/>
                <w:szCs w:val="20"/>
                <w:color w:val="auto"/>
              </w:rPr>
            </w:pPr>
            <w:r>
              <w:rPr>
                <w:rFonts w:ascii="Arial" w:cs="Arial" w:eastAsia="Arial" w:hAnsi="Arial"/>
                <w:sz w:val="18"/>
                <w:szCs w:val="18"/>
                <w:b w:val="1"/>
                <w:bCs w:val="1"/>
                <w:color w:val="auto"/>
              </w:rPr>
              <w:t>None</w:t>
            </w:r>
          </w:p>
        </w:tc>
        <w:tc>
          <w:tcPr>
            <w:tcW w:w="0" w:type="dxa"/>
            <w:vAlign w:val="bottom"/>
          </w:tcPr>
          <w:p>
            <w:pPr>
              <w:spacing w:after="0"/>
              <w:rPr>
                <w:sz w:val="1"/>
                <w:szCs w:val="1"/>
                <w:color w:val="auto"/>
              </w:rPr>
            </w:pPr>
          </w:p>
        </w:tc>
      </w:tr>
      <w:tr>
        <w:trPr>
          <w:trHeight w:val="63"/>
        </w:trPr>
        <w:tc>
          <w:tcPr>
            <w:tcW w:w="3440" w:type="dxa"/>
            <w:vAlign w:val="bottom"/>
          </w:tcPr>
          <w:p>
            <w:pPr>
              <w:spacing w:after="0"/>
              <w:rPr>
                <w:sz w:val="5"/>
                <w:szCs w:val="5"/>
                <w:color w:val="auto"/>
              </w:rPr>
            </w:pPr>
          </w:p>
        </w:tc>
        <w:tc>
          <w:tcPr>
            <w:tcW w:w="1420" w:type="dxa"/>
            <w:vAlign w:val="bottom"/>
            <w:vMerge w:val="continue"/>
          </w:tcPr>
          <w:p>
            <w:pPr>
              <w:spacing w:after="0"/>
              <w:rPr>
                <w:sz w:val="5"/>
                <w:szCs w:val="5"/>
                <w:color w:val="auto"/>
              </w:rPr>
            </w:pPr>
          </w:p>
        </w:tc>
        <w:tc>
          <w:tcPr>
            <w:tcW w:w="65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34"/>
        </w:trPr>
        <w:tc>
          <w:tcPr>
            <w:tcW w:w="3440" w:type="dxa"/>
            <w:vAlign w:val="bottom"/>
          </w:tcPr>
          <w:p>
            <w:pPr>
              <w:spacing w:after="0"/>
              <w:rPr>
                <w:sz w:val="20"/>
                <w:szCs w:val="20"/>
                <w:color w:val="auto"/>
              </w:rPr>
            </w:pPr>
          </w:p>
        </w:tc>
        <w:tc>
          <w:tcPr>
            <w:tcW w:w="1420" w:type="dxa"/>
            <w:vAlign w:val="bottom"/>
          </w:tcPr>
          <w:p>
            <w:pPr>
              <w:spacing w:after="0"/>
              <w:rPr>
                <w:sz w:val="20"/>
                <w:szCs w:val="20"/>
                <w:color w:val="auto"/>
              </w:rPr>
            </w:pPr>
            <w:r>
              <w:rPr>
                <w:rFonts w:ascii="Arial" w:cs="Arial" w:eastAsia="Arial" w:hAnsi="Arial"/>
                <w:sz w:val="18"/>
                <w:szCs w:val="18"/>
                <w:b w:val="1"/>
                <w:bCs w:val="1"/>
                <w:color w:val="auto"/>
              </w:rPr>
              <w:t>:</w:t>
            </w:r>
          </w:p>
        </w:tc>
        <w:tc>
          <w:tcPr>
            <w:tcW w:w="65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ind w:left="840" w:right="5720" w:hanging="832"/>
        <w:spacing w:after="0" w:line="516" w:lineRule="auto"/>
        <w:tabs>
          <w:tab w:leader="none" w:pos="840"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color w:val="auto"/>
        </w:rPr>
        <w:t>Aggregate amount beneficially owned by each reporting person None</w:t>
      </w:r>
    </w:p>
    <w:p>
      <w:pPr>
        <w:spacing w:after="0" w:line="1" w:lineRule="exact"/>
        <w:rPr>
          <w:rFonts w:ascii="Arial" w:cs="Arial" w:eastAsia="Arial" w:hAnsi="Arial"/>
          <w:sz w:val="18"/>
          <w:szCs w:val="18"/>
          <w:b w:val="1"/>
          <w:bCs w:val="1"/>
          <w:color w:val="auto"/>
        </w:rPr>
      </w:pPr>
    </w:p>
    <w:p>
      <w:pPr>
        <w:ind w:left="84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Check box if the aggregate amount in row (11) excludes certain shares</w:t>
      </w:r>
    </w:p>
    <w:p>
      <w:pPr>
        <w:spacing w:after="0" w:line="27" w:lineRule="exact"/>
        <w:rPr>
          <w:rFonts w:ascii="Arial" w:cs="Arial" w:eastAsia="Arial" w:hAnsi="Arial"/>
          <w:sz w:val="18"/>
          <w:szCs w:val="18"/>
          <w:b w:val="1"/>
          <w:bCs w:val="1"/>
          <w:color w:val="auto"/>
        </w:rPr>
      </w:pPr>
    </w:p>
    <w:p>
      <w:pPr>
        <w:ind w:left="840" w:hanging="832"/>
        <w:spacing w:after="0" w:line="180" w:lineRule="auto"/>
        <w:tabs>
          <w:tab w:leader="none" w:pos="840" w:val="left"/>
        </w:tabs>
        <w:numPr>
          <w:ilvl w:val="0"/>
          <w:numId w:val="45"/>
        </w:numPr>
        <w:rPr>
          <w:rFonts w:ascii="Arial" w:cs="Arial" w:eastAsia="Arial" w:hAnsi="Arial"/>
          <w:sz w:val="25"/>
          <w:szCs w:val="25"/>
          <w:b w:val="1"/>
          <w:bCs w:val="1"/>
          <w:color w:val="auto"/>
          <w:vertAlign w:val="subscript"/>
        </w:rPr>
      </w:pPr>
      <w:r>
        <w:rPr>
          <w:rFonts w:ascii="Arial" w:cs="Arial" w:eastAsia="Arial" w:hAnsi="Arial"/>
          <w:sz w:val="14"/>
          <w:szCs w:val="14"/>
          <w:b w:val="1"/>
          <w:bCs w:val="1"/>
          <w:color w:val="auto"/>
        </w:rPr>
        <w:t>(SEE INSTRUCTIONS) X</w:t>
      </w:r>
    </w:p>
    <w:p>
      <w:pPr>
        <w:spacing w:after="0" w:line="200" w:lineRule="exact"/>
        <w:rPr>
          <w:rFonts w:ascii="Arial" w:cs="Arial" w:eastAsia="Arial" w:hAnsi="Arial"/>
          <w:sz w:val="25"/>
          <w:szCs w:val="25"/>
          <w:b w:val="1"/>
          <w:bCs w:val="1"/>
          <w:color w:val="auto"/>
          <w:vertAlign w:val="subscript"/>
        </w:rPr>
      </w:pPr>
    </w:p>
    <w:p>
      <w:pPr>
        <w:spacing w:after="0" w:line="200" w:lineRule="exact"/>
        <w:rPr>
          <w:rFonts w:ascii="Arial" w:cs="Arial" w:eastAsia="Arial" w:hAnsi="Arial"/>
          <w:sz w:val="25"/>
          <w:szCs w:val="25"/>
          <w:b w:val="1"/>
          <w:bCs w:val="1"/>
          <w:color w:val="auto"/>
          <w:vertAlign w:val="subscript"/>
        </w:rPr>
      </w:pPr>
    </w:p>
    <w:p>
      <w:pPr>
        <w:spacing w:after="0" w:line="338" w:lineRule="exact"/>
        <w:rPr>
          <w:rFonts w:ascii="Arial" w:cs="Arial" w:eastAsia="Arial" w:hAnsi="Arial"/>
          <w:sz w:val="25"/>
          <w:szCs w:val="25"/>
          <w:b w:val="1"/>
          <w:bCs w:val="1"/>
          <w:color w:val="auto"/>
          <w:vertAlign w:val="subscript"/>
        </w:rPr>
      </w:pPr>
    </w:p>
    <w:p>
      <w:pPr>
        <w:ind w:left="840" w:right="6700" w:hanging="832"/>
        <w:spacing w:after="0" w:line="516" w:lineRule="auto"/>
        <w:tabs>
          <w:tab w:leader="none" w:pos="840"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color w:val="auto"/>
        </w:rPr>
        <w:t>Percent of class represented by amount in row (11) 0.00%</w:t>
      </w:r>
    </w:p>
    <w:p>
      <w:pPr>
        <w:spacing w:after="0" w:line="1" w:lineRule="exact"/>
        <w:rPr>
          <w:rFonts w:ascii="Arial" w:cs="Arial" w:eastAsia="Arial" w:hAnsi="Arial"/>
          <w:sz w:val="18"/>
          <w:szCs w:val="18"/>
          <w:b w:val="1"/>
          <w:bCs w:val="1"/>
          <w:color w:val="auto"/>
        </w:rPr>
      </w:pPr>
    </w:p>
    <w:p>
      <w:pPr>
        <w:ind w:left="840" w:hanging="832"/>
        <w:spacing w:after="0"/>
        <w:tabs>
          <w:tab w:leader="none" w:pos="840"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color w:val="auto"/>
        </w:rPr>
        <w:t>Type of reporting person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-1456690</wp:posOffset>
            </wp:positionV>
            <wp:extent cx="72466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-702310</wp:posOffset>
            </wp:positionV>
            <wp:extent cx="72466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-136525</wp:posOffset>
            </wp:positionV>
            <wp:extent cx="72466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7" w:lineRule="exact"/>
        <w:rPr>
          <w:sz w:val="20"/>
          <w:szCs w:val="20"/>
          <w:color w:val="auto"/>
        </w:rPr>
      </w:pPr>
    </w:p>
    <w:p>
      <w:pPr>
        <w:ind w:left="1020"/>
        <w:spacing w:after="0"/>
        <w:rPr>
          <w:sz w:val="20"/>
          <w:szCs w:val="20"/>
          <w:color w:val="auto"/>
        </w:rPr>
      </w:pPr>
      <w:r>
        <w:rPr>
          <w:rFonts w:ascii="Arial" w:cs="Arial" w:eastAsia="Arial" w:hAnsi="Arial"/>
          <w:sz w:val="18"/>
          <w:szCs w:val="18"/>
          <w:b w:val="1"/>
          <w:bCs w:val="1"/>
          <w:color w:val="auto"/>
        </w:rPr>
        <w: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2466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8" w:name="page9"/>
    <w:bookmarkEnd w:id="8"/>
    <w:p>
      <w:pPr>
        <w:spacing w:after="0"/>
        <w:tabs>
          <w:tab w:leader="none" w:pos="1420" w:val="left"/>
        </w:tabs>
        <w:rPr>
          <w:sz w:val="20"/>
          <w:szCs w:val="20"/>
          <w:color w:val="auto"/>
        </w:rPr>
      </w:pPr>
      <w:r>
        <w:rPr>
          <w:rFonts w:ascii="Arial" w:cs="Arial" w:eastAsia="Arial" w:hAnsi="Arial"/>
          <w:sz w:val="18"/>
          <w:szCs w:val="18"/>
          <w:color w:val="auto"/>
        </w:rPr>
        <w:t>Item 1.</w:t>
      </w:r>
      <w:r>
        <w:rPr>
          <w:sz w:val="20"/>
          <w:szCs w:val="20"/>
          <w:color w:val="auto"/>
        </w:rPr>
        <w:tab/>
      </w:r>
      <w:r>
        <w:rPr>
          <w:rFonts w:ascii="Arial" w:cs="Arial" w:eastAsia="Arial" w:hAnsi="Arial"/>
          <w:sz w:val="16"/>
          <w:szCs w:val="16"/>
          <w:u w:val="single" w:color="auto"/>
          <w:color w:val="auto"/>
        </w:rPr>
        <w:t>Security and Issuer</w:t>
      </w:r>
    </w:p>
    <w:p>
      <w:pPr>
        <w:spacing w:after="0" w:line="23" w:lineRule="exact"/>
        <w:rPr>
          <w:sz w:val="20"/>
          <w:szCs w:val="20"/>
          <w:color w:val="auto"/>
        </w:rPr>
      </w:pPr>
    </w:p>
    <w:p>
      <w:pPr>
        <w:ind w:right="80" w:firstLine="1297"/>
        <w:spacing w:after="0" w:line="277" w:lineRule="auto"/>
        <w:rPr>
          <w:sz w:val="20"/>
          <w:szCs w:val="20"/>
          <w:color w:val="auto"/>
        </w:rPr>
      </w:pPr>
      <w:r>
        <w:rPr>
          <w:rFonts w:ascii="Arial" w:cs="Arial" w:eastAsia="Arial" w:hAnsi="Arial"/>
          <w:sz w:val="17"/>
          <w:szCs w:val="17"/>
          <w:color w:val="auto"/>
        </w:rPr>
        <w:t>This Amendment No. 23 to Schedule 13D on the Common Stock of Oil-Dri Corporation of America (the "Issuer") is being filed on behalf of the undersigned to amend the Schedule 13D, as amended (the "Schedule 13D") which was originally filed on November 22, 2000. Unless otherwise indicated, all capitalized terms used herein but not defined herein shall have the same meanings as set forth in the Schedule 13D.</w:t>
      </w:r>
    </w:p>
    <w:p>
      <w:pPr>
        <w:spacing w:after="0" w:line="200" w:lineRule="exact"/>
        <w:rPr>
          <w:sz w:val="20"/>
          <w:szCs w:val="20"/>
          <w:color w:val="auto"/>
        </w:rPr>
      </w:pPr>
    </w:p>
    <w:p>
      <w:pPr>
        <w:spacing w:after="0"/>
        <w:tabs>
          <w:tab w:leader="none" w:pos="1420" w:val="left"/>
        </w:tabs>
        <w:rPr>
          <w:sz w:val="20"/>
          <w:szCs w:val="20"/>
          <w:color w:val="auto"/>
        </w:rPr>
      </w:pPr>
      <w:r>
        <w:rPr>
          <w:rFonts w:ascii="Arial" w:cs="Arial" w:eastAsia="Arial" w:hAnsi="Arial"/>
          <w:sz w:val="18"/>
          <w:szCs w:val="18"/>
          <w:color w:val="auto"/>
        </w:rPr>
        <w:t>Item 2.</w:t>
      </w:r>
      <w:r>
        <w:rPr>
          <w:sz w:val="20"/>
          <w:szCs w:val="20"/>
          <w:color w:val="auto"/>
        </w:rPr>
        <w:tab/>
      </w:r>
      <w:r>
        <w:rPr>
          <w:rFonts w:ascii="Arial" w:cs="Arial" w:eastAsia="Arial" w:hAnsi="Arial"/>
          <w:sz w:val="16"/>
          <w:szCs w:val="16"/>
          <w:u w:val="single" w:color="auto"/>
          <w:color w:val="auto"/>
        </w:rPr>
        <w:t>Identity and Background</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Item 2 to Schedule 13D is amended, in pertinent part, as follows:</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This statement is being filed by Mario J. Gabelli ("Mario Gabelli") and various entities which he</w:t>
      </w:r>
    </w:p>
    <w:p>
      <w:pPr>
        <w:spacing w:after="0" w:line="9" w:lineRule="exact"/>
        <w:rPr>
          <w:sz w:val="20"/>
          <w:szCs w:val="20"/>
          <w:color w:val="auto"/>
        </w:rPr>
      </w:pPr>
    </w:p>
    <w:p>
      <w:pPr>
        <w:ind w:right="60"/>
        <w:spacing w:after="0" w:line="250" w:lineRule="auto"/>
        <w:rPr>
          <w:sz w:val="20"/>
          <w:szCs w:val="20"/>
          <w:color w:val="auto"/>
        </w:rPr>
      </w:pPr>
      <w:r>
        <w:rPr>
          <w:rFonts w:ascii="Arial" w:cs="Arial" w:eastAsia="Arial" w:hAnsi="Arial"/>
          <w:sz w:val="18"/>
          <w:szCs w:val="18"/>
          <w:color w:val="auto"/>
        </w:rPr>
        <w:t>directly or indirectly controls or for which he acts as chief investment officer. These entities, except for LICT Corporation ("LICT), CIBL, Inc. ("CIBL") and ICTC Group, Inc. ("ICTC"), engage in various aspects of the securities business, primarily as investment adviser to various institutional and individual clients, including registered investment companies and pension plans, and as general partner or the equivalent of various private investment partnerships or private funds. Certain of these entities may also make investments for their own accounts.</w:t>
      </w:r>
    </w:p>
    <w:p>
      <w:pPr>
        <w:spacing w:after="0" w:line="2" w:lineRule="exact"/>
        <w:rPr>
          <w:sz w:val="20"/>
          <w:szCs w:val="20"/>
          <w:color w:val="auto"/>
        </w:rPr>
      </w:pPr>
    </w:p>
    <w:p>
      <w:pPr>
        <w:ind w:right="80" w:firstLine="1297"/>
        <w:spacing w:after="0" w:line="265" w:lineRule="auto"/>
        <w:rPr>
          <w:sz w:val="20"/>
          <w:szCs w:val="20"/>
          <w:color w:val="auto"/>
        </w:rPr>
      </w:pPr>
      <w:r>
        <w:rPr>
          <w:rFonts w:ascii="Arial" w:cs="Arial" w:eastAsia="Arial" w:hAnsi="Arial"/>
          <w:sz w:val="17"/>
          <w:szCs w:val="17"/>
          <w:color w:val="auto"/>
        </w:rPr>
        <w:t>The foregoing persons in the aggregate often own beneficially more than 5% of a class of equity securities of a particular issuer. Although several of the foregoing persons are treated as institutional investors for purposes of reporting their beneficial ownership on the short-form Schedule 13G, the holdings of those who do not qualify as institutional investors may exceed the 1% threshold presented for filing on Schedule 13G or implementation of their investment philosophy may from time to time require action which could be viewed as not completely passive. In order to avoid any question as to whether their beneficial ownership is being reported on the proper form and in order to provide greater investment flexibility and administrative uniformity, these persons have decided to file their beneficial ownership reports on the more detailed Schedule 13D form rather than on the short-form Schedule 13G and thereby to provide more expansive disclosure than may be necessary.</w:t>
      </w:r>
    </w:p>
    <w:p>
      <w:pPr>
        <w:spacing w:after="0" w:line="2" w:lineRule="exact"/>
        <w:rPr>
          <w:sz w:val="20"/>
          <w:szCs w:val="20"/>
          <w:color w:val="auto"/>
        </w:rPr>
      </w:pPr>
    </w:p>
    <w:p>
      <w:pPr>
        <w:ind w:right="100" w:firstLine="1297"/>
        <w:spacing w:after="0" w:line="265" w:lineRule="auto"/>
        <w:rPr>
          <w:sz w:val="20"/>
          <w:szCs w:val="20"/>
          <w:color w:val="auto"/>
        </w:rPr>
      </w:pPr>
      <w:r>
        <w:rPr>
          <w:rFonts w:ascii="Arial" w:cs="Arial" w:eastAsia="Arial" w:hAnsi="Arial"/>
          <w:sz w:val="17"/>
          <w:szCs w:val="17"/>
          <w:color w:val="auto"/>
        </w:rPr>
        <w:t>(a), (b) and (c) - This statement is being filed by one or more of the following persons: GGCP, Inc. ("GGCP"), GGCP Holdings LLC ("GGCP Holdings"), GAMCO Investors, Inc. ("GBL"), Associated Capital Group, Inc. ("AC"), Gabelli Funds, LLC ("Gabelli Funds"), GAMCO Asset Management Inc. ("GAMCO"), Teton Advisors, Inc. ("Teton Advisors"), Gabelli Securities, Inc. ("GSI"), G.research, LLC ("G.research"), MJG Associates, Inc. ("MJG Associates"), Gabelli Foundation, Inc. ("Foundation"), MJG-IV Limited Partnership ("MJG-IV"), Mario Gabelli, LICT, CIBL and ICTC. Those of the foregoing persons signing this Schedule 13D are hereinafter referred to as the "Reporting Persons".</w:t>
      </w:r>
    </w:p>
    <w:p>
      <w:pPr>
        <w:spacing w:after="0" w:line="1" w:lineRule="exact"/>
        <w:rPr>
          <w:sz w:val="20"/>
          <w:szCs w:val="20"/>
          <w:color w:val="auto"/>
        </w:rPr>
      </w:pPr>
    </w:p>
    <w:p>
      <w:pPr>
        <w:ind w:right="80" w:firstLine="1297"/>
        <w:spacing w:after="0" w:line="250" w:lineRule="auto"/>
        <w:rPr>
          <w:sz w:val="20"/>
          <w:szCs w:val="20"/>
          <w:color w:val="auto"/>
        </w:rPr>
      </w:pPr>
      <w:r>
        <w:rPr>
          <w:rFonts w:ascii="Arial" w:cs="Arial" w:eastAsia="Arial" w:hAnsi="Arial"/>
          <w:sz w:val="18"/>
          <w:szCs w:val="18"/>
          <w:color w:val="auto"/>
        </w:rPr>
        <w:t>GGCP makes investments for its own account and is the manager and a member of GGCP Holdings which is the controlling shareholder of GBL and AC. GBL, a public company listed on the New York Stock Exchange, is the parent company for a variety of companies engaged in the securities business, including certain of those named below. AC, a public company listed on the New York Stock Exchange, is the parent company for a variety of companies engaged in the securities business, including certain of those listed below.</w:t>
      </w:r>
    </w:p>
    <w:p>
      <w:pPr>
        <w:spacing w:after="0" w:line="2" w:lineRule="exact"/>
        <w:rPr>
          <w:sz w:val="20"/>
          <w:szCs w:val="20"/>
          <w:color w:val="auto"/>
        </w:rPr>
      </w:pPr>
    </w:p>
    <w:p>
      <w:pPr>
        <w:ind w:right="140" w:firstLine="1297"/>
        <w:spacing w:after="0" w:line="250" w:lineRule="auto"/>
        <w:rPr>
          <w:sz w:val="20"/>
          <w:szCs w:val="20"/>
          <w:color w:val="auto"/>
        </w:rPr>
      </w:pPr>
      <w:r>
        <w:rPr>
          <w:rFonts w:ascii="Arial" w:cs="Arial" w:eastAsia="Arial" w:hAnsi="Arial"/>
          <w:sz w:val="18"/>
          <w:szCs w:val="18"/>
          <w:color w:val="auto"/>
        </w:rPr>
        <w:t>GAMCO, a wholly-owned subsidiary of GBL, is an investment adviser registered under the Investment Advisers Act of 1940, as amended ("Advisers Act"). GAMCO is an investment manager providing discretionary managed account services for employee benefit plans, private investors, endowments, foundations and others.</w:t>
      </w:r>
    </w:p>
    <w:p>
      <w:pPr>
        <w:spacing w:after="0" w:line="1" w:lineRule="exact"/>
        <w:rPr>
          <w:sz w:val="20"/>
          <w:szCs w:val="20"/>
          <w:color w:val="auto"/>
        </w:rPr>
      </w:pPr>
    </w:p>
    <w:p>
      <w:pPr>
        <w:ind w:right="100" w:firstLine="1297"/>
        <w:spacing w:after="0" w:line="250" w:lineRule="auto"/>
        <w:rPr>
          <w:sz w:val="20"/>
          <w:szCs w:val="20"/>
          <w:color w:val="auto"/>
        </w:rPr>
      </w:pPr>
      <w:r>
        <w:rPr>
          <w:rFonts w:ascii="Arial" w:cs="Arial" w:eastAsia="Arial" w:hAnsi="Arial"/>
          <w:sz w:val="18"/>
          <w:szCs w:val="18"/>
          <w:color w:val="auto"/>
        </w:rPr>
        <w:t>GSI, a majority-owned subsidiary of AC, is an investment adviser registered under the Advisers Act and serves as a general partner or investment manager to limited partnerships and offshore investment companies and other accounts. As a part of its business, GSI may purchase or sell securities for its own account. GSI is a general partner or investment manager of a number of funds or partnerships, including Gabelli Associates Fund, L.P., Gabelli Associates Fund II, L.P., Gabelli Associates Limited, Gabelli Associates Limited II E, ALCE Partners, L.P., Gabelli Capital Structure Arbitrage Fund LP, Gabelli Capital Structure Arbitrage Fund Limited, Gabelli Intermediate Credit Fund L.P., Gabelli Japanese Value Partners L.P., GAMA Select Energy + L.P., GAMCO Medical Opportunities L.P., GAMCO Long/Short Equity Fund, L.P., Gabelli Multimedia Partners, L.P, Gabelli International Gold Fund Limited and Gabelli Green Long/Short Fund, L.P.</w:t>
      </w:r>
    </w:p>
    <w:p>
      <w:pPr>
        <w:spacing w:after="0" w:line="3" w:lineRule="exact"/>
        <w:rPr>
          <w:sz w:val="20"/>
          <w:szCs w:val="20"/>
          <w:color w:val="auto"/>
        </w:rPr>
      </w:pPr>
    </w:p>
    <w:p>
      <w:pPr>
        <w:ind w:right="60" w:firstLine="1297"/>
        <w:spacing w:after="0" w:line="250" w:lineRule="auto"/>
        <w:rPr>
          <w:sz w:val="20"/>
          <w:szCs w:val="20"/>
          <w:color w:val="auto"/>
        </w:rPr>
      </w:pPr>
      <w:r>
        <w:rPr>
          <w:rFonts w:ascii="Arial" w:cs="Arial" w:eastAsia="Arial" w:hAnsi="Arial"/>
          <w:sz w:val="18"/>
          <w:szCs w:val="18"/>
          <w:color w:val="auto"/>
        </w:rPr>
        <w:t>G.research, a wholly-owned subsidiary of GSI, is a broker-dealer registered under the Securities Exchange Act of 1934, as amended ("1934 Act"), which as a part of its business regularly purchases and sells securities for its own account.</w:t>
      </w:r>
    </w:p>
    <w:p>
      <w:pPr>
        <w:spacing w:after="0" w:line="1" w:lineRule="exact"/>
        <w:rPr>
          <w:sz w:val="20"/>
          <w:szCs w:val="20"/>
          <w:color w:val="auto"/>
        </w:rPr>
      </w:pPr>
    </w:p>
    <w:p>
      <w:pPr>
        <w:ind w:right="80" w:firstLine="1297"/>
        <w:spacing w:after="0" w:line="251" w:lineRule="auto"/>
        <w:rPr>
          <w:sz w:val="20"/>
          <w:szCs w:val="20"/>
          <w:color w:val="auto"/>
        </w:rPr>
      </w:pPr>
      <w:r>
        <w:rPr>
          <w:rFonts w:ascii="Arial" w:cs="Arial" w:eastAsia="Arial" w:hAnsi="Arial"/>
          <w:sz w:val="17"/>
          <w:szCs w:val="17"/>
          <w:color w:val="auto"/>
        </w:rPr>
        <w:t xml:space="preserve">Gabelli Funds, a wholly owned subsidiary of GBL, is a limited liability company. Gabelli Funds is an investment adviser registered under the Advisers Act which provides advisory services for The Gabelli Equity Trust Inc., The Gabelli Asset Fund, The GAMCO Growth Fund, The Gabelli Convertible and Income Securities Fund Inc., The Gabelli Value 25 Fund Inc., The Gabelli Small Cap Growth Fund, The Gabelli Equity Income Fund, The Gabelli ABC Fund, The GAMCO Global Telecommunications Fund, The Gabelli Gold Fund, Inc., The Gabelli Multimedia Trust Inc., The Gabelli Global Rising Income &amp; Dividend Fund, The Gabelli Capital Asset Fund, The GAMCO International Growth Fund, Inc., The GAMCO Global Growth Fund, The Gabelli Utility Trust, The GAMCO Global Opportunity Fund, The Gabelli Utilities Fund, The Gabelli Dividend Growth Fund, The GAMCO Mathers Fund, The Gabelli Focus Five Fund, The Comstock Capital Value Fund, The Gabelli Dividend and Income Trust, The Gabelli Global Utility &amp; Income Trust, The GAMCO Global Gold, Natural Resources, &amp; Income Trust, The GAMCO Natural Resources Gold &amp; Income Trust, The GDL Fund, Gabelli Enterprise Mergers &amp; Acquisitions Fund, The Gabelli SRI Fund, Inc., The Gabelli Healthcare &amp; Wellness </w:t>
      </w:r>
      <w:r>
        <w:rPr>
          <w:rFonts w:ascii="Arial" w:cs="Arial" w:eastAsia="Arial" w:hAnsi="Arial"/>
          <w:sz w:val="28"/>
          <w:szCs w:val="28"/>
          <w:color w:val="auto"/>
          <w:vertAlign w:val="superscript"/>
        </w:rPr>
        <w:t>Rx</w:t>
      </w:r>
      <w:r>
        <w:rPr>
          <w:rFonts w:ascii="Arial" w:cs="Arial" w:eastAsia="Arial" w:hAnsi="Arial"/>
          <w:sz w:val="17"/>
          <w:szCs w:val="17"/>
          <w:color w:val="auto"/>
        </w:rPr>
        <w:t xml:space="preserve"> Trust, The Gabelli Global Small and Mid Cap Value Trust, Gabelli Value Plus+ Trust, Bancroft Fund Ltd. and Ellsworth Growth &amp; Income Fund Ltd. (collectively, the "Funds"), which are registered investment companies. Gabelli Funds is also the investment adviser to The GAMCO International SICAV (sub-funds GAMCO Merger Arbitrage and GAMCO All Cap Value), a UCITS III vehicle.</w:t>
      </w:r>
    </w:p>
    <w:p>
      <w:pPr>
        <w:spacing w:after="0" w:line="7" w:lineRule="exact"/>
        <w:rPr>
          <w:sz w:val="20"/>
          <w:szCs w:val="20"/>
          <w:color w:val="auto"/>
        </w:rPr>
      </w:pPr>
    </w:p>
    <w:p>
      <w:pPr>
        <w:ind w:right="220" w:firstLine="1297"/>
        <w:spacing w:after="0" w:line="204" w:lineRule="auto"/>
        <w:rPr>
          <w:sz w:val="20"/>
          <w:szCs w:val="20"/>
          <w:color w:val="auto"/>
        </w:rPr>
      </w:pPr>
      <w:r>
        <w:rPr>
          <w:rFonts w:ascii="Arial" w:cs="Arial" w:eastAsia="Arial" w:hAnsi="Arial"/>
          <w:sz w:val="18"/>
          <w:szCs w:val="18"/>
          <w:color w:val="auto"/>
        </w:rPr>
        <w:t>Teton Advisors, an investment adviser registered under the Advisers Act, provides discretionary advisory services to The TETON Westwood Mighty Mites</w:t>
      </w:r>
      <w:r>
        <w:rPr>
          <w:rFonts w:ascii="Arial" w:cs="Arial" w:eastAsia="Arial" w:hAnsi="Arial"/>
          <w:sz w:val="30"/>
          <w:szCs w:val="30"/>
          <w:color w:val="auto"/>
          <w:vertAlign w:val="superscript"/>
        </w:rPr>
        <w:t>sm</w:t>
      </w:r>
      <w:r>
        <w:rPr>
          <w:rFonts w:ascii="Arial" w:cs="Arial" w:eastAsia="Arial" w:hAnsi="Arial"/>
          <w:sz w:val="18"/>
          <w:szCs w:val="18"/>
          <w:color w:val="auto"/>
        </w:rPr>
        <w:t xml:space="preserve"> Fund, The TETON Westwood Income Fund, The TETON Westwood SmallCap Equity Fund, and The TETON Westwood Mid-Cap Equity Fund.</w:t>
      </w:r>
    </w:p>
    <w:p>
      <w:pPr>
        <w:spacing w:after="0" w:line="3" w:lineRule="exact"/>
        <w:rPr>
          <w:sz w:val="20"/>
          <w:szCs w:val="20"/>
          <w:color w:val="auto"/>
        </w:rPr>
      </w:pPr>
    </w:p>
    <w:p>
      <w:pPr>
        <w:jc w:val="both"/>
        <w:ind w:right="240" w:firstLine="1297"/>
        <w:spacing w:after="0" w:line="250" w:lineRule="auto"/>
        <w:rPr>
          <w:sz w:val="20"/>
          <w:szCs w:val="20"/>
          <w:color w:val="auto"/>
        </w:rPr>
      </w:pPr>
      <w:r>
        <w:rPr>
          <w:rFonts w:ascii="Arial" w:cs="Arial" w:eastAsia="Arial" w:hAnsi="Arial"/>
          <w:sz w:val="18"/>
          <w:szCs w:val="18"/>
          <w:color w:val="auto"/>
        </w:rPr>
        <w:t>MJG Associates provides advisory services to private investment partnerships and offshore funds. Mario Gabelli is the sole shareholder, director and employee of MJG Associates. MJG Associates is the Investment Manager of Gabelli International Limited and Gabelli Fund, LDC. Mario J. Gabelli is the general partner of Gabelli Performance Partnership, LP.</w:t>
      </w:r>
    </w:p>
    <w:p>
      <w:pPr>
        <w:spacing w:after="0" w:line="1"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The Foundation is a private foundation. Mario Gabelli is the Chairman, a Trustee and the Investment Manager of the Foundation. Elisa M.</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Wilson is the President of the Foundation.</w:t>
      </w:r>
    </w:p>
    <w:p>
      <w:pPr>
        <w:spacing w:after="0" w:line="9" w:lineRule="exact"/>
        <w:rPr>
          <w:sz w:val="20"/>
          <w:szCs w:val="20"/>
          <w:color w:val="auto"/>
        </w:rPr>
      </w:pPr>
    </w:p>
    <w:p>
      <w:pPr>
        <w:ind w:right="160" w:firstLine="1297"/>
        <w:spacing w:after="0" w:line="250" w:lineRule="auto"/>
        <w:rPr>
          <w:sz w:val="20"/>
          <w:szCs w:val="20"/>
          <w:color w:val="auto"/>
        </w:rPr>
      </w:pPr>
      <w:r>
        <w:rPr>
          <w:rFonts w:ascii="Arial" w:cs="Arial" w:eastAsia="Arial" w:hAnsi="Arial"/>
          <w:sz w:val="18"/>
          <w:szCs w:val="18"/>
          <w:color w:val="auto"/>
        </w:rPr>
        <w:t>LICT is a holding company with operating subsidiaries engaged primarily in the rural telephone industry. LICT actively pursues new business ventures and acquisitions. LICT makes investments in marketable securities to preserve capital and maintain liquidity for financing their business activities and acquisitions and are not engaged in the business of investing, or trading in securities. Mario J. Gabelli is a director, and substantial shareholder of LICT.</w:t>
      </w:r>
    </w:p>
    <w:p>
      <w:pPr>
        <w:spacing w:after="0" w:line="2" w:lineRule="exact"/>
        <w:rPr>
          <w:sz w:val="20"/>
          <w:szCs w:val="20"/>
          <w:color w:val="auto"/>
        </w:rPr>
      </w:pPr>
    </w:p>
    <w:p>
      <w:pPr>
        <w:jc w:val="both"/>
        <w:ind w:right="200" w:firstLine="1297"/>
        <w:spacing w:after="0" w:line="281" w:lineRule="auto"/>
        <w:rPr>
          <w:sz w:val="20"/>
          <w:szCs w:val="20"/>
          <w:color w:val="auto"/>
        </w:rPr>
      </w:pPr>
      <w:r>
        <w:rPr>
          <w:rFonts w:ascii="Arial" w:cs="Arial" w:eastAsia="Arial" w:hAnsi="Arial"/>
          <w:sz w:val="16"/>
          <w:szCs w:val="16"/>
          <w:color w:val="auto"/>
        </w:rPr>
        <w:t>ICTC is a holding company with subsidiaries in voice, broadband and other telecommunications services, primarily in the rural telephone industry. ICTC makes investments in marketable securities to preserve capital and maintain liquidity for financing their business activities and acquisitions and are not engaged in the business of investing, or trading in securities. Mario J. Gabelli is a director, and substantial shareholder of ICTC.</w:t>
      </w:r>
    </w:p>
    <w:p>
      <w:pPr>
        <w:spacing w:after="0" w:line="2" w:lineRule="exact"/>
        <w:rPr>
          <w:sz w:val="20"/>
          <w:szCs w:val="20"/>
          <w:color w:val="auto"/>
        </w:rPr>
      </w:pPr>
    </w:p>
    <w:p>
      <w:pPr>
        <w:ind w:firstLine="1297"/>
        <w:spacing w:after="0" w:line="250" w:lineRule="auto"/>
        <w:rPr>
          <w:sz w:val="20"/>
          <w:szCs w:val="20"/>
          <w:color w:val="auto"/>
        </w:rPr>
      </w:pPr>
      <w:r>
        <w:rPr>
          <w:rFonts w:ascii="Arial" w:cs="Arial" w:eastAsia="Arial" w:hAnsi="Arial"/>
          <w:sz w:val="18"/>
          <w:szCs w:val="18"/>
          <w:color w:val="auto"/>
        </w:rPr>
        <w:t>CIBL is a holding company with interests in telecommunications operations, primarily in the rural telephone industry. CIBL actively pursues new business ventures and acquisitions. CIBL makes investments in marketable securities to preserve capital and maintain liquidity for financing their business activities and acquisitions and are not engaged in the business of investing, or trading in securities. Mario J. Gabelli is a director, and substantial shareholder of CIBL.</w:t>
      </w:r>
    </w:p>
    <w:p>
      <w:pPr>
        <w:spacing w:after="0" w:line="2" w:lineRule="exact"/>
        <w:rPr>
          <w:sz w:val="20"/>
          <w:szCs w:val="20"/>
          <w:color w:val="auto"/>
        </w:rPr>
      </w:pPr>
    </w:p>
    <w:p>
      <w:pPr>
        <w:ind w:right="60" w:firstLine="1297"/>
        <w:spacing w:after="0" w:line="250" w:lineRule="auto"/>
        <w:rPr>
          <w:sz w:val="20"/>
          <w:szCs w:val="20"/>
          <w:color w:val="auto"/>
        </w:rPr>
      </w:pPr>
      <w:r>
        <w:rPr>
          <w:rFonts w:ascii="Arial" w:cs="Arial" w:eastAsia="Arial" w:hAnsi="Arial"/>
          <w:sz w:val="18"/>
          <w:szCs w:val="18"/>
          <w:color w:val="auto"/>
        </w:rPr>
        <w:t>Mario Gabelli is the controlling stockholder, Chief Executive Officer and a director of GGCP and Chairman and Chief Executive Officer of GBL and AC. Mario Gabelli is also a member of GGCP Holdings. Mario Gabelli is the controlling shareholder of Teton.</w:t>
      </w:r>
    </w:p>
    <w:p>
      <w:pPr>
        <w:spacing w:after="0" w:line="1" w:lineRule="exact"/>
        <w:rPr>
          <w:sz w:val="20"/>
          <w:szCs w:val="20"/>
          <w:color w:val="auto"/>
        </w:rPr>
      </w:pPr>
    </w:p>
    <w:p>
      <w:pPr>
        <w:ind w:left="1320"/>
        <w:spacing w:after="0"/>
        <w:rPr>
          <w:sz w:val="20"/>
          <w:szCs w:val="20"/>
          <w:color w:val="auto"/>
        </w:rPr>
      </w:pPr>
      <w:r>
        <w:rPr>
          <w:rFonts w:ascii="Arial" w:cs="Arial" w:eastAsia="Arial" w:hAnsi="Arial"/>
          <w:sz w:val="17"/>
          <w:szCs w:val="17"/>
          <w:color w:val="auto"/>
        </w:rPr>
        <w:t>MJG-IV is a family partnership in which Mario Gabelli is the general partner. Mario Gabelli has less than a 100% interest in MJG-IV.</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MJG-IV makes investments for its own account. Mario Gabelli disclaims ownership of the securities held by MJG-IV beyond his pecuniary interest.</w:t>
      </w:r>
    </w:p>
    <w:p>
      <w:pPr>
        <w:spacing w:after="0" w:line="2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The Reporting Persons do not admit that they constitute a group.</w:t>
      </w:r>
    </w:p>
    <w:p>
      <w:pPr>
        <w:sectPr>
          <w:pgSz w:w="11900" w:h="16838" w:orient="portrait"/>
          <w:cols w:equalWidth="0" w:num="1">
            <w:col w:w="11420"/>
          </w:cols>
          <w:pgMar w:left="240" w:top="125" w:right="239" w:bottom="0" w:gutter="0" w:footer="0" w:header="0"/>
        </w:sectPr>
      </w:pPr>
    </w:p>
    <w:bookmarkStart w:id="9" w:name="page10"/>
    <w:bookmarkEnd w:id="9"/>
    <w:p>
      <w:pPr>
        <w:ind w:right="40" w:firstLine="1297"/>
        <w:spacing w:after="0" w:line="252" w:lineRule="auto"/>
        <w:rPr>
          <w:sz w:val="20"/>
          <w:szCs w:val="20"/>
          <w:color w:val="auto"/>
        </w:rPr>
      </w:pPr>
      <w:r>
        <w:rPr>
          <w:rFonts w:ascii="Arial" w:cs="Arial" w:eastAsia="Arial" w:hAnsi="Arial"/>
          <w:sz w:val="18"/>
          <w:szCs w:val="18"/>
          <w:color w:val="auto"/>
        </w:rPr>
        <w:t>GAMCO and G.research are New York corporations and GBL, AC, GSI, and Teton Advisors are Delaware corporations, each having its principal business office at One Corporate Center, Rye, New York 10580. GGCP is a Wyoming corporation having its principal business office at 140 Greenwich Avenue, Greenwich, CT 06830. GGCP Holdings is a Delaware limited liability corporation having its principal business office at 140 Greenwich Avenue, Greenwich, CT 06830. Gabelli Funds is a New York limited liability company having its principal business office at One Corporate Center, Rye, New York 10580. MJG Associates is a Connecticut corporation having its principal business office at 140 Greenwich Avenue, Greenwich, CT 06830. The Foundation is a Nevada corporation having its principal offices at 165 West Liberty Street, Reno, Nevada 89501. LICT is a Delaware corporation having its principal place of business as 401 Theodore Fremd Avenue, Rye, New York 10580. CIBL, Inc. is a Delaware corporation having its principal place of business as 165 West Liberty Street, Suite 220, Reno, NV 89501. ICTC Group Inc. is a Delaware corporation having its principal place of business as 556 Main Street, Nome, North Dakota 58062.</w:t>
      </w:r>
    </w:p>
    <w:p>
      <w:pPr>
        <w:spacing w:after="0" w:line="3" w:lineRule="exact"/>
        <w:rPr>
          <w:sz w:val="20"/>
          <w:szCs w:val="20"/>
          <w:color w:val="auto"/>
        </w:rPr>
      </w:pPr>
    </w:p>
    <w:p>
      <w:pPr>
        <w:ind w:right="120" w:firstLine="1297"/>
        <w:spacing w:after="0" w:line="265" w:lineRule="auto"/>
        <w:rPr>
          <w:sz w:val="20"/>
          <w:szCs w:val="20"/>
          <w:color w:val="auto"/>
        </w:rPr>
      </w:pPr>
      <w:r>
        <w:rPr>
          <w:rFonts w:ascii="Arial" w:cs="Arial" w:eastAsia="Arial" w:hAnsi="Arial"/>
          <w:sz w:val="17"/>
          <w:szCs w:val="17"/>
          <w:color w:val="auto"/>
        </w:rPr>
        <w:t>For information required by instruction C to Schedule 13D with respect to the executive officers and directors of the foregoing entities and other related persons (collectively, "Covered Persons"), reference is made to Schedule I annexed hereto and incorporated herein by reference.</w:t>
      </w:r>
    </w:p>
    <w:p>
      <w:pPr>
        <w:ind w:left="1560" w:hanging="255"/>
        <w:spacing w:after="0"/>
        <w:tabs>
          <w:tab w:leader="none" w:pos="1560" w:val="left"/>
        </w:tabs>
        <w:numPr>
          <w:ilvl w:val="1"/>
          <w:numId w:val="46"/>
        </w:numPr>
        <w:rPr>
          <w:rFonts w:ascii="Arial" w:cs="Arial" w:eastAsia="Arial" w:hAnsi="Arial"/>
          <w:sz w:val="18"/>
          <w:szCs w:val="18"/>
          <w:color w:val="auto"/>
        </w:rPr>
      </w:pPr>
      <w:r>
        <w:rPr>
          <w:rFonts w:ascii="Arial" w:cs="Arial" w:eastAsia="Arial" w:hAnsi="Arial"/>
          <w:sz w:val="18"/>
          <w:szCs w:val="18"/>
          <w:color w:val="auto"/>
        </w:rPr>
        <w:t>– Not applicable.</w:t>
      </w:r>
    </w:p>
    <w:p>
      <w:pPr>
        <w:spacing w:after="0" w:line="9" w:lineRule="exact"/>
        <w:rPr>
          <w:rFonts w:ascii="Arial" w:cs="Arial" w:eastAsia="Arial" w:hAnsi="Arial"/>
          <w:sz w:val="18"/>
          <w:szCs w:val="18"/>
          <w:color w:val="auto"/>
        </w:rPr>
      </w:pPr>
    </w:p>
    <w:p>
      <w:pPr>
        <w:ind w:left="1540" w:hanging="235"/>
        <w:spacing w:after="0"/>
        <w:tabs>
          <w:tab w:leader="none" w:pos="1540" w:val="left"/>
        </w:tabs>
        <w:numPr>
          <w:ilvl w:val="1"/>
          <w:numId w:val="46"/>
        </w:numPr>
        <w:rPr>
          <w:rFonts w:ascii="Arial" w:cs="Arial" w:eastAsia="Arial" w:hAnsi="Arial"/>
          <w:sz w:val="18"/>
          <w:szCs w:val="18"/>
          <w:color w:val="auto"/>
        </w:rPr>
      </w:pPr>
      <w:r>
        <w:rPr>
          <w:rFonts w:ascii="Arial" w:cs="Arial" w:eastAsia="Arial" w:hAnsi="Arial"/>
          <w:sz w:val="18"/>
          <w:szCs w:val="18"/>
          <w:color w:val="auto"/>
        </w:rPr>
        <w:t>– Not applicable.</w:t>
      </w:r>
    </w:p>
    <w:p>
      <w:pPr>
        <w:spacing w:after="0" w:line="9" w:lineRule="exact"/>
        <w:rPr>
          <w:rFonts w:ascii="Arial" w:cs="Arial" w:eastAsia="Arial" w:hAnsi="Arial"/>
          <w:sz w:val="18"/>
          <w:szCs w:val="18"/>
          <w:color w:val="auto"/>
        </w:rPr>
      </w:pPr>
    </w:p>
    <w:p>
      <w:pPr>
        <w:ind w:left="840" w:hanging="231"/>
        <w:spacing w:after="0"/>
        <w:tabs>
          <w:tab w:leader="none" w:pos="8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 Reference is made to Schedule I hereto.</w:t>
      </w:r>
    </w:p>
    <w:p>
      <w:pPr>
        <w:spacing w:after="0" w:line="238" w:lineRule="exact"/>
        <w:rPr>
          <w:sz w:val="20"/>
          <w:szCs w:val="20"/>
          <w:color w:val="auto"/>
        </w:rPr>
      </w:pPr>
    </w:p>
    <w:p>
      <w:pPr>
        <w:spacing w:after="0"/>
        <w:tabs>
          <w:tab w:leader="none" w:pos="1420" w:val="left"/>
        </w:tabs>
        <w:rPr>
          <w:sz w:val="20"/>
          <w:szCs w:val="20"/>
          <w:color w:val="auto"/>
        </w:rPr>
      </w:pPr>
      <w:r>
        <w:rPr>
          <w:rFonts w:ascii="Arial" w:cs="Arial" w:eastAsia="Arial" w:hAnsi="Arial"/>
          <w:sz w:val="18"/>
          <w:szCs w:val="18"/>
          <w:color w:val="auto"/>
        </w:rPr>
        <w:t>Item 5.</w:t>
      </w:r>
      <w:r>
        <w:rPr>
          <w:sz w:val="20"/>
          <w:szCs w:val="20"/>
          <w:color w:val="auto"/>
        </w:rPr>
        <w:tab/>
      </w:r>
      <w:r>
        <w:rPr>
          <w:rFonts w:ascii="Arial" w:cs="Arial" w:eastAsia="Arial" w:hAnsi="Arial"/>
          <w:sz w:val="16"/>
          <w:szCs w:val="16"/>
          <w:u w:val="single" w:color="auto"/>
          <w:color w:val="auto"/>
        </w:rPr>
        <w:t>Interest In Securities Of The Issuer</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Item 5 to Schedule 13D is amended, in pertinent part, as follows:</w:t>
      </w:r>
    </w:p>
    <w:p>
      <w:pPr>
        <w:spacing w:after="0" w:line="9" w:lineRule="exact"/>
        <w:rPr>
          <w:sz w:val="20"/>
          <w:szCs w:val="20"/>
          <w:color w:val="auto"/>
        </w:rPr>
      </w:pPr>
    </w:p>
    <w:p>
      <w:pPr>
        <w:ind w:right="20" w:firstLine="1305"/>
        <w:spacing w:after="0" w:line="250" w:lineRule="auto"/>
        <w:tabs>
          <w:tab w:leader="none" w:pos="1541"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aggregate number of Securities to which this Schedule 13D relates is 827,348 shares, representing 16.37% of the 5,053,190 shares outstanding as reported in the Issuer's most recent Form 10-Q for the quarterly period ended October 31, 2015. The Reporting Persons beneficially own those Securities as follows:</w:t>
      </w:r>
    </w:p>
    <w:tbl>
      <w:tblPr>
        <w:tblLayout w:type="fixed"/>
        <w:tblInd w:w="0" w:type="dxa"/>
        <w:tblCellMar>
          <w:top w:w="0" w:type="dxa"/>
          <w:left w:w="0" w:type="dxa"/>
          <w:bottom w:w="0" w:type="dxa"/>
          <w:right w:w="0" w:type="dxa"/>
        </w:tblCellMar>
      </w:tblPr>
      <w:tr>
        <w:trPr>
          <w:trHeight w:val="203"/>
        </w:trPr>
        <w:tc>
          <w:tcPr>
            <w:tcW w:w="3280" w:type="dxa"/>
            <w:vAlign w:val="bottom"/>
          </w:tcPr>
          <w:p>
            <w:pPr>
              <w:spacing w:after="0"/>
              <w:rPr>
                <w:sz w:val="17"/>
                <w:szCs w:val="17"/>
                <w:color w:val="auto"/>
              </w:rPr>
            </w:pPr>
          </w:p>
        </w:tc>
        <w:tc>
          <w:tcPr>
            <w:tcW w:w="4520" w:type="dxa"/>
            <w:vAlign w:val="bottom"/>
          </w:tcPr>
          <w:p>
            <w:pPr>
              <w:jc w:val="center"/>
              <w:ind w:left="870"/>
              <w:spacing w:after="0" w:line="203" w:lineRule="exact"/>
              <w:rPr>
                <w:sz w:val="20"/>
                <w:szCs w:val="20"/>
                <w:color w:val="auto"/>
              </w:rPr>
            </w:pPr>
            <w:r>
              <w:rPr>
                <w:rFonts w:ascii="Arial" w:cs="Arial" w:eastAsia="Arial" w:hAnsi="Arial"/>
                <w:sz w:val="18"/>
                <w:szCs w:val="18"/>
                <w:color w:val="auto"/>
                <w:w w:val="88"/>
              </w:rPr>
              <w:t>Shares of</w:t>
            </w:r>
          </w:p>
        </w:tc>
        <w:tc>
          <w:tcPr>
            <w:tcW w:w="3620" w:type="dxa"/>
            <w:vAlign w:val="bottom"/>
          </w:tcPr>
          <w:p>
            <w:pPr>
              <w:jc w:val="center"/>
              <w:ind w:right="150"/>
              <w:spacing w:after="0" w:line="203" w:lineRule="exact"/>
              <w:rPr>
                <w:sz w:val="20"/>
                <w:szCs w:val="20"/>
                <w:color w:val="auto"/>
              </w:rPr>
            </w:pPr>
            <w:r>
              <w:rPr>
                <w:rFonts w:ascii="Arial" w:cs="Arial" w:eastAsia="Arial" w:hAnsi="Arial"/>
                <w:sz w:val="18"/>
                <w:szCs w:val="18"/>
                <w:color w:val="auto"/>
                <w:w w:val="92"/>
              </w:rPr>
              <w:t>% of Class of</w:t>
            </w:r>
          </w:p>
        </w:tc>
      </w:tr>
      <w:tr>
        <w:trPr>
          <w:trHeight w:val="230"/>
        </w:trPr>
        <w:tc>
          <w:tcPr>
            <w:tcW w:w="3280" w:type="dxa"/>
            <w:vAlign w:val="bottom"/>
          </w:tcPr>
          <w:p>
            <w:pPr>
              <w:spacing w:after="0"/>
              <w:rPr>
                <w:sz w:val="20"/>
                <w:szCs w:val="20"/>
                <w:color w:val="auto"/>
              </w:rPr>
            </w:pPr>
            <w:r>
              <w:rPr>
                <w:rFonts w:ascii="Arial" w:cs="Arial" w:eastAsia="Arial" w:hAnsi="Arial"/>
                <w:sz w:val="18"/>
                <w:szCs w:val="18"/>
                <w:color w:val="auto"/>
              </w:rPr>
              <w:t>Name</w:t>
            </w:r>
          </w:p>
        </w:tc>
        <w:tc>
          <w:tcPr>
            <w:tcW w:w="4520" w:type="dxa"/>
            <w:vAlign w:val="bottom"/>
          </w:tcPr>
          <w:p>
            <w:pPr>
              <w:jc w:val="center"/>
              <w:ind w:left="870"/>
              <w:spacing w:after="0"/>
              <w:rPr>
                <w:sz w:val="20"/>
                <w:szCs w:val="20"/>
                <w:color w:val="auto"/>
              </w:rPr>
            </w:pPr>
            <w:r>
              <w:rPr>
                <w:rFonts w:ascii="Arial" w:cs="Arial" w:eastAsia="Arial" w:hAnsi="Arial"/>
                <w:sz w:val="18"/>
                <w:szCs w:val="18"/>
                <w:color w:val="auto"/>
                <w:w w:val="90"/>
              </w:rPr>
              <w:t>Common Stock</w:t>
            </w:r>
          </w:p>
        </w:tc>
        <w:tc>
          <w:tcPr>
            <w:tcW w:w="3620" w:type="dxa"/>
            <w:vAlign w:val="bottom"/>
          </w:tcPr>
          <w:p>
            <w:pPr>
              <w:jc w:val="center"/>
              <w:ind w:right="130"/>
              <w:spacing w:after="0"/>
              <w:rPr>
                <w:sz w:val="20"/>
                <w:szCs w:val="20"/>
                <w:color w:val="auto"/>
              </w:rPr>
            </w:pPr>
            <w:r>
              <w:rPr>
                <w:rFonts w:ascii="Arial" w:cs="Arial" w:eastAsia="Arial" w:hAnsi="Arial"/>
                <w:sz w:val="18"/>
                <w:szCs w:val="18"/>
                <w:color w:val="auto"/>
                <w:w w:val="93"/>
              </w:rPr>
              <w:t>Common</w:t>
            </w:r>
          </w:p>
        </w:tc>
      </w:tr>
      <w:tr>
        <w:trPr>
          <w:trHeight w:val="223"/>
        </w:trPr>
        <w:tc>
          <w:tcPr>
            <w:tcW w:w="3280" w:type="dxa"/>
            <w:vAlign w:val="bottom"/>
            <w:tcBorders>
              <w:bottom w:val="single" w:sz="8" w:color="auto"/>
            </w:tcBorders>
          </w:tcPr>
          <w:p>
            <w:pPr>
              <w:spacing w:after="0"/>
              <w:rPr>
                <w:sz w:val="19"/>
                <w:szCs w:val="19"/>
                <w:color w:val="auto"/>
              </w:rPr>
            </w:pPr>
          </w:p>
        </w:tc>
        <w:tc>
          <w:tcPr>
            <w:tcW w:w="4520" w:type="dxa"/>
            <w:vAlign w:val="bottom"/>
            <w:tcBorders>
              <w:bottom w:val="single" w:sz="8" w:color="auto"/>
            </w:tcBorders>
          </w:tcPr>
          <w:p>
            <w:pPr>
              <w:spacing w:after="0"/>
              <w:rPr>
                <w:sz w:val="19"/>
                <w:szCs w:val="19"/>
                <w:color w:val="auto"/>
              </w:rPr>
            </w:pPr>
          </w:p>
        </w:tc>
        <w:tc>
          <w:tcPr>
            <w:tcW w:w="3620" w:type="dxa"/>
            <w:vAlign w:val="bottom"/>
            <w:tcBorders>
              <w:bottom w:val="single" w:sz="8" w:color="auto"/>
            </w:tcBorders>
          </w:tcPr>
          <w:p>
            <w:pPr>
              <w:spacing w:after="0"/>
              <w:rPr>
                <w:sz w:val="19"/>
                <w:szCs w:val="19"/>
                <w:color w:val="auto"/>
              </w:rPr>
            </w:pPr>
          </w:p>
        </w:tc>
      </w:tr>
      <w:tr>
        <w:trPr>
          <w:trHeight w:val="230"/>
        </w:trPr>
        <w:tc>
          <w:tcPr>
            <w:tcW w:w="3280" w:type="dxa"/>
            <w:vAlign w:val="bottom"/>
          </w:tcPr>
          <w:p>
            <w:pPr>
              <w:spacing w:after="0"/>
              <w:rPr>
                <w:sz w:val="20"/>
                <w:szCs w:val="20"/>
                <w:color w:val="auto"/>
              </w:rPr>
            </w:pPr>
            <w:r>
              <w:rPr>
                <w:rFonts w:ascii="Arial" w:cs="Arial" w:eastAsia="Arial" w:hAnsi="Arial"/>
                <w:sz w:val="18"/>
                <w:szCs w:val="18"/>
                <w:color w:val="auto"/>
              </w:rPr>
              <w:t>Gabelli Funds</w:t>
            </w:r>
          </w:p>
        </w:tc>
        <w:tc>
          <w:tcPr>
            <w:tcW w:w="4520" w:type="dxa"/>
            <w:vAlign w:val="bottom"/>
          </w:tcPr>
          <w:p>
            <w:pPr>
              <w:jc w:val="center"/>
              <w:ind w:left="890"/>
              <w:spacing w:after="0"/>
              <w:rPr>
                <w:sz w:val="20"/>
                <w:szCs w:val="20"/>
                <w:color w:val="auto"/>
              </w:rPr>
            </w:pPr>
            <w:r>
              <w:rPr>
                <w:rFonts w:ascii="Arial" w:cs="Arial" w:eastAsia="Arial" w:hAnsi="Arial"/>
                <w:sz w:val="18"/>
                <w:szCs w:val="18"/>
                <w:color w:val="auto"/>
                <w:w w:val="89"/>
              </w:rPr>
              <w:t>144,000</w:t>
            </w:r>
          </w:p>
        </w:tc>
        <w:tc>
          <w:tcPr>
            <w:tcW w:w="3620" w:type="dxa"/>
            <w:vAlign w:val="bottom"/>
          </w:tcPr>
          <w:p>
            <w:pPr>
              <w:jc w:val="center"/>
              <w:ind w:right="150"/>
              <w:spacing w:after="0"/>
              <w:rPr>
                <w:sz w:val="20"/>
                <w:szCs w:val="20"/>
                <w:color w:val="auto"/>
              </w:rPr>
            </w:pPr>
            <w:r>
              <w:rPr>
                <w:rFonts w:ascii="Arial" w:cs="Arial" w:eastAsia="Arial" w:hAnsi="Arial"/>
                <w:sz w:val="18"/>
                <w:szCs w:val="18"/>
                <w:color w:val="auto"/>
                <w:w w:val="90"/>
              </w:rPr>
              <w:t>2.85%</w:t>
            </w:r>
          </w:p>
        </w:tc>
      </w:tr>
      <w:tr>
        <w:trPr>
          <w:trHeight w:val="418"/>
        </w:trPr>
        <w:tc>
          <w:tcPr>
            <w:tcW w:w="3280" w:type="dxa"/>
            <w:vAlign w:val="bottom"/>
          </w:tcPr>
          <w:p>
            <w:pPr>
              <w:spacing w:after="0"/>
              <w:rPr>
                <w:sz w:val="20"/>
                <w:szCs w:val="20"/>
                <w:color w:val="auto"/>
              </w:rPr>
            </w:pPr>
            <w:r>
              <w:rPr>
                <w:rFonts w:ascii="Arial" w:cs="Arial" w:eastAsia="Arial" w:hAnsi="Arial"/>
                <w:sz w:val="18"/>
                <w:szCs w:val="18"/>
                <w:color w:val="auto"/>
              </w:rPr>
              <w:t>GAMCO</w:t>
            </w:r>
          </w:p>
        </w:tc>
        <w:tc>
          <w:tcPr>
            <w:tcW w:w="4520" w:type="dxa"/>
            <w:vAlign w:val="bottom"/>
          </w:tcPr>
          <w:p>
            <w:pPr>
              <w:jc w:val="center"/>
              <w:ind w:left="890"/>
              <w:spacing w:after="0"/>
              <w:rPr>
                <w:sz w:val="20"/>
                <w:szCs w:val="20"/>
                <w:color w:val="auto"/>
              </w:rPr>
            </w:pPr>
            <w:r>
              <w:rPr>
                <w:rFonts w:ascii="Arial" w:cs="Arial" w:eastAsia="Arial" w:hAnsi="Arial"/>
                <w:sz w:val="18"/>
                <w:szCs w:val="18"/>
                <w:color w:val="auto"/>
                <w:w w:val="89"/>
              </w:rPr>
              <w:t>550,554</w:t>
            </w:r>
          </w:p>
        </w:tc>
        <w:tc>
          <w:tcPr>
            <w:tcW w:w="3620" w:type="dxa"/>
            <w:vAlign w:val="bottom"/>
          </w:tcPr>
          <w:p>
            <w:pPr>
              <w:jc w:val="center"/>
              <w:ind w:right="130"/>
              <w:spacing w:after="0"/>
              <w:rPr>
                <w:sz w:val="20"/>
                <w:szCs w:val="20"/>
                <w:color w:val="auto"/>
              </w:rPr>
            </w:pPr>
            <w:r>
              <w:rPr>
                <w:rFonts w:ascii="Arial" w:cs="Arial" w:eastAsia="Arial" w:hAnsi="Arial"/>
                <w:sz w:val="18"/>
                <w:szCs w:val="18"/>
                <w:color w:val="auto"/>
                <w:w w:val="91"/>
              </w:rPr>
              <w:t>10.90%</w:t>
            </w:r>
          </w:p>
        </w:tc>
      </w:tr>
      <w:tr>
        <w:trPr>
          <w:trHeight w:val="432"/>
        </w:trPr>
        <w:tc>
          <w:tcPr>
            <w:tcW w:w="3280" w:type="dxa"/>
            <w:vAlign w:val="bottom"/>
          </w:tcPr>
          <w:p>
            <w:pPr>
              <w:spacing w:after="0"/>
              <w:rPr>
                <w:sz w:val="20"/>
                <w:szCs w:val="20"/>
                <w:color w:val="auto"/>
              </w:rPr>
            </w:pPr>
            <w:r>
              <w:rPr>
                <w:rFonts w:ascii="Arial" w:cs="Arial" w:eastAsia="Arial" w:hAnsi="Arial"/>
                <w:sz w:val="18"/>
                <w:szCs w:val="18"/>
                <w:color w:val="auto"/>
              </w:rPr>
              <w:t>Teton Advisors</w:t>
            </w:r>
          </w:p>
        </w:tc>
        <w:tc>
          <w:tcPr>
            <w:tcW w:w="4520" w:type="dxa"/>
            <w:vAlign w:val="bottom"/>
          </w:tcPr>
          <w:p>
            <w:pPr>
              <w:jc w:val="center"/>
              <w:ind w:left="890"/>
              <w:spacing w:after="0"/>
              <w:rPr>
                <w:sz w:val="20"/>
                <w:szCs w:val="20"/>
                <w:color w:val="auto"/>
              </w:rPr>
            </w:pPr>
            <w:r>
              <w:rPr>
                <w:rFonts w:ascii="Arial" w:cs="Arial" w:eastAsia="Arial" w:hAnsi="Arial"/>
                <w:sz w:val="18"/>
                <w:szCs w:val="18"/>
                <w:color w:val="auto"/>
                <w:w w:val="89"/>
              </w:rPr>
              <w:t>129,300</w:t>
            </w:r>
          </w:p>
        </w:tc>
        <w:tc>
          <w:tcPr>
            <w:tcW w:w="3620" w:type="dxa"/>
            <w:vAlign w:val="bottom"/>
          </w:tcPr>
          <w:p>
            <w:pPr>
              <w:jc w:val="center"/>
              <w:ind w:right="150"/>
              <w:spacing w:after="0"/>
              <w:rPr>
                <w:sz w:val="20"/>
                <w:szCs w:val="20"/>
                <w:color w:val="auto"/>
              </w:rPr>
            </w:pPr>
            <w:r>
              <w:rPr>
                <w:rFonts w:ascii="Arial" w:cs="Arial" w:eastAsia="Arial" w:hAnsi="Arial"/>
                <w:sz w:val="18"/>
                <w:szCs w:val="18"/>
                <w:color w:val="auto"/>
                <w:w w:val="90"/>
              </w:rPr>
              <w:t>2.56%</w:t>
            </w:r>
          </w:p>
        </w:tc>
      </w:tr>
      <w:tr>
        <w:trPr>
          <w:trHeight w:val="432"/>
        </w:trPr>
        <w:tc>
          <w:tcPr>
            <w:tcW w:w="3280" w:type="dxa"/>
            <w:vAlign w:val="bottom"/>
          </w:tcPr>
          <w:p>
            <w:pPr>
              <w:spacing w:after="0"/>
              <w:rPr>
                <w:sz w:val="20"/>
                <w:szCs w:val="20"/>
                <w:color w:val="auto"/>
              </w:rPr>
            </w:pPr>
            <w:r>
              <w:rPr>
                <w:rFonts w:ascii="Arial" w:cs="Arial" w:eastAsia="Arial" w:hAnsi="Arial"/>
                <w:sz w:val="18"/>
                <w:szCs w:val="18"/>
                <w:color w:val="auto"/>
              </w:rPr>
              <w:t>GBL</w:t>
            </w:r>
          </w:p>
        </w:tc>
        <w:tc>
          <w:tcPr>
            <w:tcW w:w="4520" w:type="dxa"/>
            <w:vAlign w:val="bottom"/>
          </w:tcPr>
          <w:p>
            <w:pPr>
              <w:jc w:val="center"/>
              <w:ind w:left="870"/>
              <w:spacing w:after="0"/>
              <w:rPr>
                <w:sz w:val="20"/>
                <w:szCs w:val="20"/>
                <w:color w:val="auto"/>
              </w:rPr>
            </w:pPr>
            <w:r>
              <w:rPr>
                <w:rFonts w:ascii="Arial" w:cs="Arial" w:eastAsia="Arial" w:hAnsi="Arial"/>
                <w:sz w:val="18"/>
                <w:szCs w:val="18"/>
                <w:color w:val="auto"/>
                <w:w w:val="87"/>
              </w:rPr>
              <w:t>3.,494</w:t>
            </w:r>
          </w:p>
        </w:tc>
        <w:tc>
          <w:tcPr>
            <w:tcW w:w="3620" w:type="dxa"/>
            <w:vAlign w:val="bottom"/>
          </w:tcPr>
          <w:p>
            <w:pPr>
              <w:jc w:val="center"/>
              <w:ind w:right="150"/>
              <w:spacing w:after="0"/>
              <w:rPr>
                <w:sz w:val="20"/>
                <w:szCs w:val="20"/>
                <w:color w:val="auto"/>
              </w:rPr>
            </w:pPr>
            <w:r>
              <w:rPr>
                <w:rFonts w:ascii="Arial" w:cs="Arial" w:eastAsia="Arial" w:hAnsi="Arial"/>
                <w:sz w:val="18"/>
                <w:szCs w:val="18"/>
                <w:color w:val="auto"/>
                <w:w w:val="90"/>
              </w:rPr>
              <w:t>0.07%</w:t>
            </w:r>
          </w:p>
        </w:tc>
      </w:tr>
    </w:tbl>
    <w:p>
      <w:pPr>
        <w:spacing w:after="0" w:line="229" w:lineRule="exact"/>
        <w:rPr>
          <w:sz w:val="20"/>
          <w:szCs w:val="20"/>
          <w:color w:val="auto"/>
        </w:rPr>
      </w:pPr>
    </w:p>
    <w:p>
      <w:pPr>
        <w:ind w:right="200" w:firstLine="1297"/>
        <w:spacing w:after="0" w:line="256" w:lineRule="auto"/>
        <w:rPr>
          <w:sz w:val="20"/>
          <w:szCs w:val="20"/>
          <w:color w:val="auto"/>
        </w:rPr>
      </w:pPr>
      <w:r>
        <w:rPr>
          <w:rFonts w:ascii="Arial" w:cs="Arial" w:eastAsia="Arial" w:hAnsi="Arial"/>
          <w:sz w:val="18"/>
          <w:szCs w:val="18"/>
          <w:color w:val="auto"/>
        </w:rPr>
        <w:t>Mario Gabelli is deemed to have beneficial ownership of the Securities owned beneficially by each of the foregoing persons. GSI is deemed to have beneficial ownership of the Securities owned beneficially by G.research. AC, GBL and GGCP are deemed to have beneficial ownership of the Securities owned beneficially by each of the foregoing persons other than Mario Gabelli and the Foundation.</w:t>
      </w:r>
    </w:p>
    <w:p>
      <w:pPr>
        <w:jc w:val="both"/>
        <w:ind w:right="180" w:firstLine="1305"/>
        <w:spacing w:after="0" w:line="281" w:lineRule="auto"/>
        <w:tabs>
          <w:tab w:leader="none" w:pos="1551" w:val="left"/>
        </w:tabs>
        <w:numPr>
          <w:ilvl w:val="0"/>
          <w:numId w:val="49"/>
        </w:numPr>
        <w:rPr>
          <w:rFonts w:ascii="Arial" w:cs="Arial" w:eastAsia="Arial" w:hAnsi="Arial"/>
          <w:sz w:val="16"/>
          <w:szCs w:val="16"/>
          <w:color w:val="auto"/>
        </w:rPr>
      </w:pPr>
      <w:r>
        <w:rPr>
          <w:rFonts w:ascii="Arial" w:cs="Arial" w:eastAsia="Arial" w:hAnsi="Arial"/>
          <w:sz w:val="16"/>
          <w:szCs w:val="16"/>
          <w:color w:val="auto"/>
        </w:rPr>
        <w:t>Each of the Reporting Persons and Covered Persons has the sole power to vote or direct the vote and sole power to dispose or to direct the disposition of the Securities reported for it, either for its own benefit or for the benefit of its investment clients or its partners, as the case may be, except</w:t>
      </w:r>
    </w:p>
    <w:p>
      <w:pPr>
        <w:spacing w:after="0" w:line="1" w:lineRule="exact"/>
        <w:rPr>
          <w:sz w:val="20"/>
          <w:szCs w:val="20"/>
          <w:color w:val="auto"/>
        </w:rPr>
      </w:pPr>
    </w:p>
    <w:p>
      <w:pPr>
        <w:ind w:right="20"/>
        <w:spacing w:after="0" w:line="250" w:lineRule="auto"/>
        <w:rPr>
          <w:sz w:val="20"/>
          <w:szCs w:val="20"/>
          <w:color w:val="auto"/>
        </w:rPr>
      </w:pPr>
      <w:r>
        <w:rPr>
          <w:rFonts w:ascii="Arial" w:cs="Arial" w:eastAsia="Arial" w:hAnsi="Arial"/>
          <w:sz w:val="18"/>
          <w:szCs w:val="18"/>
          <w:color w:val="auto"/>
        </w:rPr>
        <w:t>that that (i) GAMCO does not have the authority to vote 38,500 of the reported shares, (ii) Gabelli Funds has sole dispositive and voting power with respect to the shares of the Issuer held by the Funds so long as the aggregate voting interest of all joint filers does not exceed 25% of their total voting interest in the Issuer and, in that event, the Proxy Voting Committee of each Fund shall respectively vote that Fund's shares, (iii) at any time, the Proxy Voting Committee of each such Fund may take and exercise in its sole discretion the entire voting power with respect to the shares held by such fund under special circumstances such as regulatory considerations, and (iv) the power of Mario Gabelli, AC, GBL, and GGCP is indirect with respect to Securities beneficially owned directly by other Reporting Persons.</w:t>
      </w:r>
    </w:p>
    <w:p>
      <w:pPr>
        <w:spacing w:after="0" w:line="3" w:lineRule="exact"/>
        <w:rPr>
          <w:sz w:val="20"/>
          <w:szCs w:val="20"/>
          <w:color w:val="auto"/>
        </w:rPr>
      </w:pPr>
    </w:p>
    <w:p>
      <w:pPr>
        <w:ind w:right="80" w:firstLine="1305"/>
        <w:spacing w:after="0" w:line="250" w:lineRule="auto"/>
        <w:tabs>
          <w:tab w:leader="none" w:pos="1541"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Information with respect to all transactions in the Securities which were effected during the past sixty days or since the most recent filing on Schedule 13D, whichever is less, by each of the Reporting Persons and Covered Persons is set forth on Schedule II annexed hereto and incorporated herein by reference.</w:t>
      </w:r>
    </w:p>
    <w:p>
      <w:pPr>
        <w:spacing w:after="0" w:line="1" w:lineRule="exact"/>
        <w:rPr>
          <w:rFonts w:ascii="Arial" w:cs="Arial" w:eastAsia="Arial" w:hAnsi="Arial"/>
          <w:sz w:val="18"/>
          <w:szCs w:val="18"/>
          <w:color w:val="auto"/>
        </w:rPr>
      </w:pPr>
    </w:p>
    <w:p>
      <w:pPr>
        <w:ind w:left="1540" w:hanging="235"/>
        <w:spacing w:after="0"/>
        <w:tabs>
          <w:tab w:leader="none" w:pos="15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auto"/>
        </w:rPr>
        <w:t>Signature</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pacing w:after="0" w:line="9"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December 14, 2015</w:t>
      </w:r>
    </w:p>
    <w:p>
      <w:pPr>
        <w:spacing w:after="0" w:line="238"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GGCP, INC.</w:t>
      </w:r>
    </w:p>
    <w:p>
      <w:pPr>
        <w:spacing w:after="0" w:line="2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MARIO J. GABELLI</w:t>
      </w:r>
    </w:p>
    <w:p>
      <w:pPr>
        <w:spacing w:after="0" w:line="200" w:lineRule="exact"/>
        <w:rPr>
          <w:sz w:val="20"/>
          <w:szCs w:val="20"/>
          <w:color w:val="auto"/>
        </w:rPr>
      </w:pPr>
    </w:p>
    <w:p>
      <w:pPr>
        <w:spacing w:after="0" w:line="281"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By:</w:t>
      </w:r>
      <w:r>
        <w:rPr>
          <w:rFonts w:ascii="Arial" w:cs="Arial" w:eastAsia="Arial" w:hAnsi="Arial"/>
          <w:sz w:val="18"/>
          <w:szCs w:val="18"/>
          <w:u w:val="single" w:color="auto"/>
          <w:color w:val="auto"/>
        </w:rPr>
        <w:t>/s/ Douglas R. Jamieson</w:t>
      </w:r>
    </w:p>
    <w:p>
      <w:pPr>
        <w:spacing w:after="0" w:line="23"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Douglas R. Jamieson</w:t>
      </w:r>
    </w:p>
    <w:p>
      <w:pPr>
        <w:spacing w:after="0" w:line="9"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Attorney-in-Fact</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TETON ADVISORS, INC.</w:t>
      </w:r>
    </w:p>
    <w:p>
      <w:pPr>
        <w:spacing w:after="0" w:line="2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ASSOCIATED CAPITAL GROUP, INC.</w:t>
      </w:r>
    </w:p>
    <w:p>
      <w:pPr>
        <w:spacing w:after="0" w:line="200" w:lineRule="exact"/>
        <w:rPr>
          <w:sz w:val="20"/>
          <w:szCs w:val="20"/>
          <w:color w:val="auto"/>
        </w:rPr>
      </w:pPr>
    </w:p>
    <w:p>
      <w:pPr>
        <w:spacing w:after="0" w:line="281"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By:</w:t>
      </w:r>
      <w:r>
        <w:rPr>
          <w:rFonts w:ascii="Arial" w:cs="Arial" w:eastAsia="Arial" w:hAnsi="Arial"/>
          <w:sz w:val="18"/>
          <w:szCs w:val="18"/>
          <w:u w:val="single" w:color="auto"/>
          <w:color w:val="auto"/>
        </w:rPr>
        <w:t>/s/ David Goldman</w:t>
      </w:r>
    </w:p>
    <w:p>
      <w:pPr>
        <w:spacing w:after="0" w:line="23"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David Goldman</w:t>
      </w:r>
    </w:p>
    <w:p>
      <w:pPr>
        <w:spacing w:after="0" w:line="9"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General Counsel – Teton Advisors, Inc.</w:t>
      </w:r>
    </w:p>
    <w:p>
      <w:pPr>
        <w:spacing w:after="0" w:line="9" w:lineRule="exact"/>
        <w:rPr>
          <w:sz w:val="20"/>
          <w:szCs w:val="20"/>
          <w:color w:val="auto"/>
        </w:rPr>
      </w:pPr>
    </w:p>
    <w:p>
      <w:pPr>
        <w:ind w:left="4080"/>
        <w:spacing w:after="0"/>
        <w:rPr>
          <w:sz w:val="20"/>
          <w:szCs w:val="20"/>
          <w:color w:val="auto"/>
        </w:rPr>
      </w:pPr>
      <w:r>
        <w:rPr>
          <w:rFonts w:ascii="Arial" w:cs="Arial" w:eastAsia="Arial" w:hAnsi="Arial"/>
          <w:sz w:val="18"/>
          <w:szCs w:val="18"/>
          <w:color w:val="auto"/>
        </w:rPr>
        <w:t>Secretary – Associated Capital Group, Inc.</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GAMCO ASSET MANAGEMENT INC.</w:t>
      </w:r>
    </w:p>
    <w:p>
      <w:pPr>
        <w:spacing w:after="0" w:line="2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GAMCO INVESTORS, INC.</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GABELLI FUNDS, LLC</w:t>
      </w:r>
    </w:p>
    <w:p>
      <w:pPr>
        <w:spacing w:after="0" w:line="200" w:lineRule="exact"/>
        <w:rPr>
          <w:sz w:val="20"/>
          <w:szCs w:val="20"/>
          <w:color w:val="auto"/>
        </w:rPr>
      </w:pPr>
    </w:p>
    <w:p>
      <w:pPr>
        <w:spacing w:after="0" w:line="281"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By:</w:t>
      </w:r>
      <w:r>
        <w:rPr>
          <w:rFonts w:ascii="Arial" w:cs="Arial" w:eastAsia="Arial" w:hAnsi="Arial"/>
          <w:sz w:val="18"/>
          <w:szCs w:val="18"/>
          <w:u w:val="single" w:color="auto"/>
          <w:color w:val="auto"/>
        </w:rPr>
        <w:t>/s/ Douglas R. Jamieson</w:t>
      </w:r>
    </w:p>
    <w:p>
      <w:pPr>
        <w:spacing w:after="0" w:line="23"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Douglas R. Jamieson</w:t>
      </w:r>
    </w:p>
    <w:p>
      <w:pPr>
        <w:spacing w:after="0" w:line="9" w:lineRule="exact"/>
        <w:rPr>
          <w:sz w:val="20"/>
          <w:szCs w:val="20"/>
          <w:color w:val="auto"/>
        </w:rPr>
      </w:pPr>
    </w:p>
    <w:p>
      <w:pPr>
        <w:ind w:left="4140"/>
        <w:spacing w:after="0"/>
        <w:rPr>
          <w:sz w:val="20"/>
          <w:szCs w:val="20"/>
          <w:color w:val="auto"/>
        </w:rPr>
      </w:pPr>
      <w:r>
        <w:rPr>
          <w:rFonts w:ascii="Arial" w:cs="Arial" w:eastAsia="Arial" w:hAnsi="Arial"/>
          <w:sz w:val="18"/>
          <w:szCs w:val="18"/>
          <w:color w:val="auto"/>
        </w:rPr>
        <w:t>President &amp; Chief Operating Officer – GAMCO Investors, Inc.</w:t>
      </w:r>
    </w:p>
    <w:p>
      <w:pPr>
        <w:spacing w:after="0" w:line="9" w:lineRule="exact"/>
        <w:rPr>
          <w:sz w:val="20"/>
          <w:szCs w:val="20"/>
          <w:color w:val="auto"/>
        </w:rPr>
      </w:pPr>
    </w:p>
    <w:p>
      <w:pPr>
        <w:ind w:left="4160"/>
        <w:spacing w:after="0"/>
        <w:rPr>
          <w:sz w:val="20"/>
          <w:szCs w:val="20"/>
          <w:color w:val="auto"/>
        </w:rPr>
      </w:pPr>
      <w:r>
        <w:rPr>
          <w:rFonts w:ascii="Arial" w:cs="Arial" w:eastAsia="Arial" w:hAnsi="Arial"/>
          <w:sz w:val="18"/>
          <w:szCs w:val="18"/>
          <w:color w:val="auto"/>
        </w:rPr>
        <w:t>President – GAMCO Asset Management Inc.</w:t>
      </w:r>
    </w:p>
    <w:p>
      <w:pPr>
        <w:spacing w:after="0" w:line="9" w:lineRule="exact"/>
        <w:rPr>
          <w:sz w:val="20"/>
          <w:szCs w:val="20"/>
          <w:color w:val="auto"/>
        </w:rPr>
      </w:pPr>
    </w:p>
    <w:p>
      <w:pPr>
        <w:ind w:left="2500"/>
        <w:spacing w:after="0"/>
        <w:rPr>
          <w:sz w:val="20"/>
          <w:szCs w:val="20"/>
          <w:color w:val="auto"/>
        </w:rPr>
      </w:pPr>
      <w:r>
        <w:rPr>
          <w:rFonts w:ascii="Arial" w:cs="Arial" w:eastAsia="Arial" w:hAnsi="Arial"/>
          <w:sz w:val="18"/>
          <w:szCs w:val="18"/>
          <w:color w:val="auto"/>
        </w:rPr>
        <w:t>President &amp; Chief Operating Officer of the sole member of</w:t>
      </w:r>
    </w:p>
    <w:p>
      <w:pPr>
        <w:spacing w:after="0" w:line="9"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Gabelli Funds, LLC</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1" w:name="page12"/>
    <w:bookmarkEnd w:id="11"/>
    <w:p>
      <w:pPr>
        <w:ind w:left="5460"/>
        <w:spacing w:after="0"/>
        <w:rPr>
          <w:sz w:val="20"/>
          <w:szCs w:val="20"/>
          <w:color w:val="auto"/>
        </w:rPr>
      </w:pPr>
      <w:r>
        <w:rPr>
          <w:rFonts w:ascii="Arial" w:cs="Arial" w:eastAsia="Arial" w:hAnsi="Arial"/>
          <w:sz w:val="18"/>
          <w:szCs w:val="18"/>
          <w:color w:val="auto"/>
        </w:rPr>
        <w:t>Schedule I</w:t>
      </w:r>
    </w:p>
    <w:p>
      <w:pPr>
        <w:spacing w:after="0" w:line="23" w:lineRule="exact"/>
        <w:rPr>
          <w:sz w:val="20"/>
          <w:szCs w:val="20"/>
          <w:color w:val="auto"/>
        </w:rPr>
      </w:pPr>
    </w:p>
    <w:p>
      <w:pPr>
        <w:ind w:left="2820"/>
        <w:spacing w:after="0"/>
        <w:rPr>
          <w:sz w:val="20"/>
          <w:szCs w:val="20"/>
          <w:color w:val="auto"/>
        </w:rPr>
      </w:pPr>
      <w:r>
        <w:rPr>
          <w:rFonts w:ascii="Arial" w:cs="Arial" w:eastAsia="Arial" w:hAnsi="Arial"/>
          <w:sz w:val="18"/>
          <w:szCs w:val="18"/>
          <w:color w:val="auto"/>
        </w:rPr>
        <w:t>Information with Respect to Executive</w:t>
      </w:r>
    </w:p>
    <w:p>
      <w:pPr>
        <w:spacing w:after="0" w:line="9" w:lineRule="exact"/>
        <w:rPr>
          <w:sz w:val="20"/>
          <w:szCs w:val="20"/>
          <w:color w:val="auto"/>
        </w:rPr>
      </w:pPr>
    </w:p>
    <w:p>
      <w:pPr>
        <w:ind w:left="4200"/>
        <w:spacing w:after="0"/>
        <w:rPr>
          <w:sz w:val="20"/>
          <w:szCs w:val="20"/>
          <w:color w:val="auto"/>
        </w:rPr>
      </w:pPr>
      <w:r>
        <w:rPr>
          <w:rFonts w:ascii="Arial" w:cs="Arial" w:eastAsia="Arial" w:hAnsi="Arial"/>
          <w:sz w:val="18"/>
          <w:szCs w:val="18"/>
          <w:u w:val="single" w:color="auto"/>
          <w:color w:val="auto"/>
        </w:rPr>
        <w:t>Officers and Directors of the Undersigned</w:t>
      </w:r>
    </w:p>
    <w:p>
      <w:pPr>
        <w:spacing w:after="0" w:line="9" w:lineRule="exact"/>
        <w:rPr>
          <w:sz w:val="20"/>
          <w:szCs w:val="20"/>
          <w:color w:val="auto"/>
        </w:rPr>
      </w:pPr>
    </w:p>
    <w:p>
      <w:pPr>
        <w:ind w:left="3220"/>
        <w:spacing w:after="0"/>
        <w:rPr>
          <w:sz w:val="20"/>
          <w:szCs w:val="20"/>
          <w:color w:val="auto"/>
        </w:rPr>
      </w:pPr>
      <w:r>
        <w:rPr>
          <w:rFonts w:ascii="Arial" w:cs="Arial" w:eastAsia="Arial" w:hAnsi="Arial"/>
          <w:sz w:val="18"/>
          <w:szCs w:val="18"/>
          <w:color w:val="auto"/>
        </w:rPr>
        <w:t>Schedule I to Schedule 13D is amended, in pertinent part, as follows:</w:t>
      </w:r>
    </w:p>
    <w:p>
      <w:pPr>
        <w:spacing w:after="0" w:line="23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following sets forth as to each of the executive officers and directors of the undersigned: his name; his business address; his present principal occupation or employment and the name, principal business and address of any corporation or other organization in which such employment is conducted. Unless otherwise specified, the principal employer of each such individual is GAMCO Asset Management Inc., Gabelli Funds, LLC, Gabelli Securities, Inc., G.research, Inc., Teton Advisors, Inc., Associated Capital Group, Inc. or GAMCO Investors, Inc., the business address of each of which is One Corporate Center, Rye, New York 10580, and each such individual identified below is a citizen of the United States. To the knowledge of the undersigned, during the last five years, no such person has been convicted in a criminal proceeding (excluding traffic violations or similar misdemeanors), and no such person was a party to a civil proceeding of a judicial or administrative body of competent jurisdiction as a result of which he was or is subject to a judgment, decree or final order enjoining future violations of, or prohibiting or mandating activities subject to, federal or state securities law or finding any violation with respect to such laws except as reported in Item 2(d) and (e) of this Schedule 13D.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2" w:name="page13"/>
    <w:bookmarkEnd w:id="12"/>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GAMCO Investors,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260731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2607310" cy="17145"/>
                    </a:xfrm>
                    <a:prstGeom prst="rect">
                      <a:avLst/>
                    </a:prstGeom>
                    <a:noFill/>
                  </pic:spPr>
                </pic:pic>
              </a:graphicData>
            </a:graphic>
          </wp:anchor>
        </w:drawing>
      </w:r>
    </w:p>
    <w:p>
      <w:pPr>
        <w:spacing w:after="0" w:line="218" w:lineRule="exact"/>
        <w:rPr>
          <w:sz w:val="20"/>
          <w:szCs w:val="20"/>
          <w:color w:val="auto"/>
        </w:rPr>
      </w:pPr>
    </w:p>
    <w:p>
      <w:pPr>
        <w:ind w:left="680"/>
        <w:spacing w:after="0"/>
        <w:rPr>
          <w:sz w:val="20"/>
          <w:szCs w:val="20"/>
          <w:color w:val="auto"/>
        </w:rPr>
      </w:pPr>
      <w:r>
        <w:rPr>
          <w:rFonts w:ascii="Arial" w:cs="Arial" w:eastAsia="Arial" w:hAnsi="Arial"/>
          <w:sz w:val="18"/>
          <w:szCs w:val="18"/>
          <w:color w:val="auto"/>
        </w:rPr>
        <w:t>Edwin L. Artzt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660"/>
        <w:spacing w:after="0"/>
        <w:rPr>
          <w:sz w:val="20"/>
          <w:szCs w:val="20"/>
          <w:color w:val="auto"/>
        </w:rPr>
      </w:pPr>
      <w:r>
        <w:rPr>
          <w:rFonts w:ascii="Arial" w:cs="Arial" w:eastAsia="Arial" w:hAnsi="Arial"/>
          <w:sz w:val="17"/>
          <w:szCs w:val="17"/>
          <w:color w:val="auto"/>
        </w:rPr>
        <w:t>Raymond C. Avansino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680"/>
        <w:spacing w:after="0"/>
        <w:rPr>
          <w:sz w:val="20"/>
          <w:szCs w:val="20"/>
          <w:color w:val="auto"/>
        </w:rPr>
      </w:pPr>
      <w:r>
        <w:rPr>
          <w:rFonts w:ascii="Arial" w:cs="Arial" w:eastAsia="Arial" w:hAnsi="Arial"/>
          <w:sz w:val="18"/>
          <w:szCs w:val="18"/>
          <w:color w:val="auto"/>
        </w:rPr>
        <w:t>Richard L. Bready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Marc Gabelli</w:t>
      </w:r>
    </w:p>
    <w:p>
      <w:pPr>
        <w:spacing w:after="0" w:line="200" w:lineRule="exact"/>
        <w:rPr>
          <w:sz w:val="20"/>
          <w:szCs w:val="20"/>
          <w:color w:val="auto"/>
        </w:rPr>
      </w:pPr>
    </w:p>
    <w:p>
      <w:pPr>
        <w:spacing w:after="0" w:line="24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Mario J. Gabelli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Elisa M. Wilson</w:t>
      </w:r>
    </w:p>
    <w:p>
      <w:pPr>
        <w:spacing w:after="0" w:line="200" w:lineRule="exact"/>
        <w:rPr>
          <w:sz w:val="20"/>
          <w:szCs w:val="20"/>
          <w:color w:val="auto"/>
        </w:rPr>
      </w:pPr>
    </w:p>
    <w:p>
      <w:pPr>
        <w:spacing w:after="0" w:line="241" w:lineRule="exact"/>
        <w:rPr>
          <w:sz w:val="20"/>
          <w:szCs w:val="20"/>
          <w:color w:val="auto"/>
        </w:rPr>
      </w:pPr>
    </w:p>
    <w:p>
      <w:pPr>
        <w:ind w:left="680"/>
        <w:spacing w:after="0"/>
        <w:rPr>
          <w:sz w:val="20"/>
          <w:szCs w:val="20"/>
          <w:color w:val="auto"/>
        </w:rPr>
      </w:pPr>
      <w:r>
        <w:rPr>
          <w:rFonts w:ascii="Arial" w:cs="Arial" w:eastAsia="Arial" w:hAnsi="Arial"/>
          <w:sz w:val="18"/>
          <w:szCs w:val="18"/>
          <w:color w:val="auto"/>
        </w:rPr>
        <w:t>Eugene R. McGrath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680"/>
        <w:spacing w:after="0"/>
        <w:rPr>
          <w:sz w:val="20"/>
          <w:szCs w:val="20"/>
          <w:color w:val="auto"/>
        </w:rPr>
      </w:pPr>
      <w:r>
        <w:rPr>
          <w:rFonts w:ascii="Arial" w:cs="Arial" w:eastAsia="Arial" w:hAnsi="Arial"/>
          <w:sz w:val="18"/>
          <w:szCs w:val="18"/>
          <w:color w:val="auto"/>
        </w:rPr>
        <w:t>Robert S. Prather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color w:val="auto"/>
        </w:rPr>
        <w:t>Officers:</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Mario J. Gabelli</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Douglas R. Jamieson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Henry G. Van der Eb</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Bruce N. Alpert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Agnes Mullady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Kevin Handwerker</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color w:val="auto"/>
        </w:rPr>
        <w:t>GAMCO Asset Management Inc.</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260731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2607310" cy="17145"/>
                    </a:xfrm>
                    <a:prstGeom prst="rect">
                      <a:avLst/>
                    </a:prstGeom>
                    <a:noFill/>
                  </pic:spPr>
                </pic:pic>
              </a:graphicData>
            </a:graphic>
          </wp:anchor>
        </w:drawing>
      </w:r>
    </w:p>
    <w:p>
      <w:pPr>
        <w:spacing w:after="0" w:line="21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Douglas R. Jamieson</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Regina M. Pitaro</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William S. Selby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Officers: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Mario J. Gabelli</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Douglas R. Jamieson</w:t>
      </w:r>
    </w:p>
    <w:p>
      <w:pPr>
        <w:spacing w:after="0" w:line="225" w:lineRule="exact"/>
        <w:rPr>
          <w:sz w:val="20"/>
          <w:szCs w:val="20"/>
          <w:color w:val="auto"/>
        </w:rPr>
      </w:pPr>
    </w:p>
    <w:p>
      <w:pPr>
        <w:ind w:left="680"/>
        <w:spacing w:after="0"/>
        <w:rPr>
          <w:sz w:val="20"/>
          <w:szCs w:val="20"/>
          <w:color w:val="auto"/>
        </w:rPr>
      </w:pPr>
      <w:r>
        <w:rPr>
          <w:rFonts w:ascii="Arial" w:cs="Arial" w:eastAsia="Arial" w:hAnsi="Arial"/>
          <w:sz w:val="18"/>
          <w:szCs w:val="18"/>
          <w:color w:val="auto"/>
        </w:rPr>
        <w:t>David Goldman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color w:val="auto"/>
        </w:rPr>
        <w:t>Former Chairman and Chief Executive Officer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Procter &amp; Gamble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900 Adams Crossing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Cincinnati, OH 45202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Chairman &amp; Chief Executive Officer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E.L. Wiegand Foundation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165 West Liberty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Reno, NV 89501</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Former Chairman and Chief Executive Officer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Nortek,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50 Kennedy Plaza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Providence, RI 02903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President of Associated Capital Group,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President and Managing Director of Gabelli Securities, Inc.</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 and Chief Investment Officer of GGCP,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Chairman &amp; Chief Executive Officer of GAMCO Investors,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Executive Chairman &amp; Chief Executive Officer of Associated Capital Group, Inc.</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Director/Trustee of all registered investment companies advised by Gabelli Funds, LLC.</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 GAMCO Investors,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One Corporate Center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Rye, NY 10580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Former Chairman and Chief Executive Officer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Consolidated Edison,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4 Irving Place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10003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President &amp; Chief Executive Officer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Heartland Media,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1843 West Wesley Road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Atlanta, GA 30327</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Chairman and Chief Executive Officer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Operating Officer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Senior Vice President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Senior Vice President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Senior Vice President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Executive Vice President, General Counsel and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 and Chief Investment Officer – Value Portfolios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President, Chief Operating Officer and Managing Director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General Counsel, Secretary &amp; Chief Compliance Officer</w:t>
      </w:r>
    </w:p>
    <w:p>
      <w:pPr>
        <w:sectPr>
          <w:pgSz w:w="11900" w:h="16838" w:orient="portrait"/>
          <w:cols w:equalWidth="0" w:num="2">
            <w:col w:w="3400" w:space="720"/>
            <w:col w:w="6360"/>
          </w:cols>
          <w:pgMar w:left="240" w:top="1440" w:right="1179" w:bottom="0" w:gutter="0" w:footer="0" w:header="0"/>
        </w:sectPr>
      </w:pPr>
    </w:p>
    <w:bookmarkStart w:id="13" w:name="page14"/>
    <w:bookmarkEnd w:id="13"/>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Gabelli Funds,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Officers: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3960" w:type="dxa"/>
            <w:vAlign w:val="bottom"/>
            <w:tcBorders>
              <w:top w:val="single" w:sz="8" w:color="auto"/>
            </w:tcBorders>
          </w:tcPr>
          <w:p>
            <w:pPr>
              <w:ind w:left="660"/>
              <w:spacing w:after="0"/>
              <w:rPr>
                <w:sz w:val="20"/>
                <w:szCs w:val="20"/>
                <w:color w:val="auto"/>
              </w:rPr>
            </w:pPr>
            <w:r>
              <w:rPr>
                <w:rFonts w:ascii="Arial" w:cs="Arial" w:eastAsia="Arial" w:hAnsi="Arial"/>
                <w:sz w:val="18"/>
                <w:szCs w:val="18"/>
                <w:color w:val="auto"/>
              </w:rPr>
              <w:t>Mario J. Gabelli</w:t>
            </w:r>
          </w:p>
        </w:tc>
        <w:tc>
          <w:tcPr>
            <w:tcW w:w="160" w:type="dxa"/>
            <w:vAlign w:val="bottom"/>
            <w:tcBorders>
              <w:top w:val="single" w:sz="8" w:color="auto"/>
            </w:tcBorders>
          </w:tcPr>
          <w:p>
            <w:pPr>
              <w:spacing w:after="0"/>
              <w:rPr>
                <w:sz w:val="22"/>
                <w:szCs w:val="22"/>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Chief Investment Officer – Value Portfolios</w:t>
            </w:r>
          </w:p>
        </w:tc>
      </w:tr>
      <w:tr>
        <w:trPr>
          <w:trHeight w:val="418"/>
        </w:trPr>
        <w:tc>
          <w:tcPr>
            <w:tcW w:w="3960" w:type="dxa"/>
            <w:vAlign w:val="bottom"/>
          </w:tcPr>
          <w:p>
            <w:pPr>
              <w:ind w:left="660"/>
              <w:spacing w:after="0"/>
              <w:rPr>
                <w:sz w:val="20"/>
                <w:szCs w:val="20"/>
                <w:color w:val="auto"/>
              </w:rPr>
            </w:pPr>
            <w:r>
              <w:rPr>
                <w:rFonts w:ascii="Arial" w:cs="Arial" w:eastAsia="Arial" w:hAnsi="Arial"/>
                <w:sz w:val="18"/>
                <w:szCs w:val="18"/>
                <w:color w:val="auto"/>
              </w:rPr>
              <w:t>Bruce N. Alpert</w:t>
            </w:r>
          </w:p>
        </w:tc>
        <w:tc>
          <w:tcPr>
            <w:tcW w:w="160" w:type="dxa"/>
            <w:vAlign w:val="bottom"/>
          </w:tcPr>
          <w:p>
            <w:pPr>
              <w:spacing w:after="0"/>
              <w:rPr>
                <w:sz w:val="24"/>
                <w:szCs w:val="24"/>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Executive Vice President and Chief Operating Officer</w:t>
            </w:r>
          </w:p>
        </w:tc>
      </w:tr>
      <w:tr>
        <w:trPr>
          <w:trHeight w:val="432"/>
        </w:trPr>
        <w:tc>
          <w:tcPr>
            <w:tcW w:w="3960" w:type="dxa"/>
            <w:vAlign w:val="bottom"/>
          </w:tcPr>
          <w:p>
            <w:pPr>
              <w:ind w:left="680"/>
              <w:spacing w:after="0"/>
              <w:rPr>
                <w:sz w:val="20"/>
                <w:szCs w:val="20"/>
                <w:color w:val="auto"/>
              </w:rPr>
            </w:pPr>
            <w:r>
              <w:rPr>
                <w:rFonts w:ascii="Arial" w:cs="Arial" w:eastAsia="Arial" w:hAnsi="Arial"/>
                <w:sz w:val="18"/>
                <w:szCs w:val="18"/>
                <w:color w:val="auto"/>
              </w:rPr>
              <w:t>Agnes Mullady</w:t>
            </w:r>
          </w:p>
        </w:tc>
        <w:tc>
          <w:tcPr>
            <w:tcW w:w="160" w:type="dxa"/>
            <w:vAlign w:val="bottom"/>
          </w:tcPr>
          <w:p>
            <w:pPr>
              <w:spacing w:after="0"/>
              <w:rPr>
                <w:sz w:val="24"/>
                <w:szCs w:val="24"/>
                <w:color w:val="auto"/>
              </w:rPr>
            </w:pPr>
          </w:p>
        </w:tc>
        <w:tc>
          <w:tcPr>
            <w:tcW w:w="4720" w:type="dxa"/>
            <w:vAlign w:val="bottom"/>
          </w:tcPr>
          <w:p>
            <w:pPr>
              <w:spacing w:after="0"/>
              <w:rPr>
                <w:sz w:val="20"/>
                <w:szCs w:val="20"/>
                <w:color w:val="auto"/>
              </w:rPr>
            </w:pPr>
            <w:r>
              <w:rPr>
                <w:rFonts w:ascii="Arial" w:cs="Arial" w:eastAsia="Arial" w:hAnsi="Arial"/>
                <w:sz w:val="18"/>
                <w:szCs w:val="18"/>
                <w:color w:val="auto"/>
                <w:w w:val="91"/>
              </w:rPr>
              <w:t>President and Chief Operating Officer – Open End Fund Division</w:t>
            </w:r>
          </w:p>
        </w:tc>
      </w:tr>
      <w:tr>
        <w:trPr>
          <w:trHeight w:val="432"/>
        </w:trPr>
        <w:tc>
          <w:tcPr>
            <w:tcW w:w="3960" w:type="dxa"/>
            <w:vAlign w:val="bottom"/>
          </w:tcPr>
          <w:p>
            <w:pPr>
              <w:ind w:left="680"/>
              <w:spacing w:after="0"/>
              <w:rPr>
                <w:sz w:val="20"/>
                <w:szCs w:val="20"/>
                <w:color w:val="auto"/>
              </w:rPr>
            </w:pPr>
            <w:r>
              <w:rPr>
                <w:rFonts w:ascii="Arial" w:cs="Arial" w:eastAsia="Arial" w:hAnsi="Arial"/>
                <w:sz w:val="18"/>
                <w:szCs w:val="18"/>
                <w:color w:val="auto"/>
              </w:rPr>
              <w:t>David Goldman</w:t>
            </w:r>
          </w:p>
        </w:tc>
        <w:tc>
          <w:tcPr>
            <w:tcW w:w="160" w:type="dxa"/>
            <w:vAlign w:val="bottom"/>
          </w:tcPr>
          <w:p>
            <w:pPr>
              <w:spacing w:after="0"/>
              <w:rPr>
                <w:sz w:val="24"/>
                <w:szCs w:val="24"/>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General Counsel</w:t>
            </w:r>
          </w:p>
        </w:tc>
      </w:tr>
      <w:tr>
        <w:trPr>
          <w:trHeight w:val="439"/>
        </w:trPr>
        <w:tc>
          <w:tcPr>
            <w:tcW w:w="3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Gabelli Securities, Inc.</w:t>
            </w:r>
          </w:p>
        </w:tc>
        <w:tc>
          <w:tcPr>
            <w:tcW w:w="160" w:type="dxa"/>
            <w:vAlign w:val="bottom"/>
            <w:tcBorders>
              <w:bottom w:val="single" w:sz="8" w:color="auto"/>
            </w:tcBorders>
          </w:tcPr>
          <w:p>
            <w:pPr>
              <w:spacing w:after="0"/>
              <w:rPr>
                <w:sz w:val="24"/>
                <w:szCs w:val="24"/>
                <w:color w:val="auto"/>
              </w:rPr>
            </w:pPr>
          </w:p>
        </w:tc>
        <w:tc>
          <w:tcPr>
            <w:tcW w:w="4720" w:type="dxa"/>
            <w:vAlign w:val="bottom"/>
          </w:tcPr>
          <w:p>
            <w:pPr>
              <w:spacing w:after="0"/>
              <w:rPr>
                <w:sz w:val="24"/>
                <w:szCs w:val="24"/>
                <w:color w:val="auto"/>
              </w:rPr>
            </w:pPr>
          </w:p>
        </w:tc>
      </w:tr>
      <w:tr>
        <w:trPr>
          <w:trHeight w:val="202"/>
        </w:trPr>
        <w:tc>
          <w:tcPr>
            <w:tcW w:w="3960" w:type="dxa"/>
            <w:vAlign w:val="bottom"/>
          </w:tcPr>
          <w:p>
            <w:pPr>
              <w:spacing w:after="0" w:line="201" w:lineRule="exact"/>
              <w:rPr>
                <w:sz w:val="20"/>
                <w:szCs w:val="20"/>
                <w:color w:val="auto"/>
              </w:rPr>
            </w:pPr>
            <w:r>
              <w:rPr>
                <w:rFonts w:ascii="Arial" w:cs="Arial" w:eastAsia="Arial" w:hAnsi="Arial"/>
                <w:sz w:val="18"/>
                <w:szCs w:val="18"/>
                <w:color w:val="auto"/>
              </w:rPr>
              <w:t>Directors:</w:t>
            </w:r>
          </w:p>
        </w:tc>
        <w:tc>
          <w:tcPr>
            <w:tcW w:w="160" w:type="dxa"/>
            <w:vAlign w:val="bottom"/>
          </w:tcPr>
          <w:p>
            <w:pPr>
              <w:spacing w:after="0"/>
              <w:rPr>
                <w:sz w:val="17"/>
                <w:szCs w:val="17"/>
                <w:color w:val="auto"/>
              </w:rPr>
            </w:pPr>
          </w:p>
        </w:tc>
        <w:tc>
          <w:tcPr>
            <w:tcW w:w="4720" w:type="dxa"/>
            <w:vAlign w:val="bottom"/>
          </w:tcPr>
          <w:p>
            <w:pPr>
              <w:spacing w:after="0"/>
              <w:rPr>
                <w:sz w:val="17"/>
                <w:szCs w:val="17"/>
                <w:color w:val="auto"/>
              </w:rPr>
            </w:pPr>
          </w:p>
        </w:tc>
      </w:tr>
      <w:tr>
        <w:trPr>
          <w:trHeight w:val="216"/>
        </w:trPr>
        <w:tc>
          <w:tcPr>
            <w:tcW w:w="3960" w:type="dxa"/>
            <w:vAlign w:val="bottom"/>
          </w:tcPr>
          <w:p>
            <w:pPr>
              <w:ind w:left="660"/>
              <w:spacing w:after="0"/>
              <w:rPr>
                <w:sz w:val="20"/>
                <w:szCs w:val="20"/>
                <w:color w:val="auto"/>
              </w:rPr>
            </w:pPr>
            <w:r>
              <w:rPr>
                <w:rFonts w:ascii="Arial" w:cs="Arial" w:eastAsia="Arial" w:hAnsi="Arial"/>
                <w:sz w:val="18"/>
                <w:szCs w:val="18"/>
                <w:color w:val="auto"/>
              </w:rPr>
              <w:t>Robert W. Blake</w:t>
            </w:r>
          </w:p>
        </w:tc>
        <w:tc>
          <w:tcPr>
            <w:tcW w:w="16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President of W. R. Blake &amp; Sons, Inc.</w:t>
            </w:r>
          </w:p>
        </w:tc>
      </w:tr>
      <w:tr>
        <w:trPr>
          <w:trHeight w:val="216"/>
        </w:trPr>
        <w:tc>
          <w:tcPr>
            <w:tcW w:w="3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196-20 Northern Boulevard</w:t>
            </w:r>
          </w:p>
        </w:tc>
      </w:tr>
      <w:tr>
        <w:trPr>
          <w:trHeight w:val="230"/>
        </w:trPr>
        <w:tc>
          <w:tcPr>
            <w:tcW w:w="3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Flushing, NY  11358</w:t>
            </w:r>
          </w:p>
        </w:tc>
      </w:tr>
      <w:tr>
        <w:trPr>
          <w:trHeight w:val="418"/>
        </w:trPr>
        <w:tc>
          <w:tcPr>
            <w:tcW w:w="3960" w:type="dxa"/>
            <w:vAlign w:val="bottom"/>
          </w:tcPr>
          <w:p>
            <w:pPr>
              <w:ind w:left="660"/>
              <w:spacing w:after="0"/>
              <w:rPr>
                <w:sz w:val="20"/>
                <w:szCs w:val="20"/>
                <w:color w:val="auto"/>
              </w:rPr>
            </w:pPr>
            <w:r>
              <w:rPr>
                <w:rFonts w:ascii="Arial" w:cs="Arial" w:eastAsia="Arial" w:hAnsi="Arial"/>
                <w:sz w:val="18"/>
                <w:szCs w:val="18"/>
                <w:color w:val="auto"/>
              </w:rPr>
              <w:t>Douglas G. DeVivo</w:t>
            </w:r>
          </w:p>
        </w:tc>
        <w:tc>
          <w:tcPr>
            <w:tcW w:w="160" w:type="dxa"/>
            <w:vAlign w:val="bottom"/>
          </w:tcPr>
          <w:p>
            <w:pPr>
              <w:spacing w:after="0"/>
              <w:rPr>
                <w:sz w:val="24"/>
                <w:szCs w:val="24"/>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Co-Chairman of the Board</w:t>
            </w:r>
          </w:p>
        </w:tc>
      </w:tr>
      <w:tr>
        <w:trPr>
          <w:trHeight w:val="216"/>
        </w:trPr>
        <w:tc>
          <w:tcPr>
            <w:tcW w:w="3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Alce Partners, L.P.</w:t>
            </w:r>
          </w:p>
        </w:tc>
      </w:tr>
      <w:tr>
        <w:trPr>
          <w:trHeight w:val="216"/>
        </w:trPr>
        <w:tc>
          <w:tcPr>
            <w:tcW w:w="3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40 Laburnum Road</w:t>
            </w:r>
          </w:p>
        </w:tc>
      </w:tr>
      <w:tr>
        <w:trPr>
          <w:trHeight w:val="230"/>
        </w:trPr>
        <w:tc>
          <w:tcPr>
            <w:tcW w:w="3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Atherton, CA 94027</w:t>
            </w:r>
          </w:p>
        </w:tc>
      </w:tr>
      <w:tr>
        <w:trPr>
          <w:trHeight w:val="418"/>
        </w:trPr>
        <w:tc>
          <w:tcPr>
            <w:tcW w:w="3960" w:type="dxa"/>
            <w:vAlign w:val="bottom"/>
          </w:tcPr>
          <w:p>
            <w:pPr>
              <w:ind w:left="680"/>
              <w:spacing w:after="0"/>
              <w:rPr>
                <w:sz w:val="20"/>
                <w:szCs w:val="20"/>
                <w:color w:val="auto"/>
              </w:rPr>
            </w:pPr>
            <w:r>
              <w:rPr>
                <w:rFonts w:ascii="Arial" w:cs="Arial" w:eastAsia="Arial" w:hAnsi="Arial"/>
                <w:sz w:val="18"/>
                <w:szCs w:val="18"/>
                <w:color w:val="auto"/>
              </w:rPr>
              <w:t>Marc J. Gabelli</w:t>
            </w:r>
          </w:p>
        </w:tc>
        <w:tc>
          <w:tcPr>
            <w:tcW w:w="160" w:type="dxa"/>
            <w:vAlign w:val="bottom"/>
          </w:tcPr>
          <w:p>
            <w:pPr>
              <w:spacing w:after="0"/>
              <w:rPr>
                <w:sz w:val="24"/>
                <w:szCs w:val="24"/>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Co-Chairman of the Board</w:t>
            </w:r>
          </w:p>
        </w:tc>
      </w:tr>
      <w:tr>
        <w:trPr>
          <w:trHeight w:val="230"/>
        </w:trPr>
        <w:tc>
          <w:tcPr>
            <w:tcW w:w="3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See above</w:t>
            </w:r>
          </w:p>
        </w:tc>
      </w:tr>
      <w:tr>
        <w:trPr>
          <w:trHeight w:val="432"/>
        </w:trPr>
        <w:tc>
          <w:tcPr>
            <w:tcW w:w="3960" w:type="dxa"/>
            <w:vAlign w:val="bottom"/>
          </w:tcPr>
          <w:p>
            <w:pPr>
              <w:ind w:left="700"/>
              <w:spacing w:after="0"/>
              <w:rPr>
                <w:sz w:val="20"/>
                <w:szCs w:val="20"/>
                <w:color w:val="auto"/>
              </w:rPr>
            </w:pPr>
            <w:r>
              <w:rPr>
                <w:rFonts w:ascii="Arial" w:cs="Arial" w:eastAsia="Arial" w:hAnsi="Arial"/>
                <w:sz w:val="18"/>
                <w:szCs w:val="18"/>
                <w:color w:val="auto"/>
              </w:rPr>
              <w:t>Douglas R. Jamieson</w:t>
            </w:r>
          </w:p>
        </w:tc>
        <w:tc>
          <w:tcPr>
            <w:tcW w:w="160" w:type="dxa"/>
            <w:vAlign w:val="bottom"/>
          </w:tcPr>
          <w:p>
            <w:pPr>
              <w:spacing w:after="0"/>
              <w:rPr>
                <w:sz w:val="24"/>
                <w:szCs w:val="24"/>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President</w:t>
            </w:r>
          </w:p>
        </w:tc>
      </w:tr>
      <w:tr>
        <w:trPr>
          <w:trHeight w:val="418"/>
        </w:trPr>
        <w:tc>
          <w:tcPr>
            <w:tcW w:w="3960" w:type="dxa"/>
            <w:vAlign w:val="bottom"/>
          </w:tcPr>
          <w:p>
            <w:pPr>
              <w:ind w:left="680"/>
              <w:spacing w:after="0"/>
              <w:rPr>
                <w:sz w:val="20"/>
                <w:szCs w:val="20"/>
                <w:color w:val="auto"/>
              </w:rPr>
            </w:pPr>
            <w:r>
              <w:rPr>
                <w:rFonts w:ascii="Arial" w:cs="Arial" w:eastAsia="Arial" w:hAnsi="Arial"/>
                <w:sz w:val="18"/>
                <w:szCs w:val="18"/>
                <w:color w:val="auto"/>
              </w:rPr>
              <w:t>Daniel R. Lee</w:t>
            </w:r>
          </w:p>
        </w:tc>
        <w:tc>
          <w:tcPr>
            <w:tcW w:w="160" w:type="dxa"/>
            <w:vAlign w:val="bottom"/>
          </w:tcPr>
          <w:p>
            <w:pPr>
              <w:spacing w:after="0"/>
              <w:rPr>
                <w:sz w:val="24"/>
                <w:szCs w:val="24"/>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216"/>
        </w:trPr>
        <w:tc>
          <w:tcPr>
            <w:tcW w:w="3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Full House Resorts, Inc.</w:t>
            </w:r>
          </w:p>
        </w:tc>
      </w:tr>
      <w:tr>
        <w:trPr>
          <w:trHeight w:val="216"/>
        </w:trPr>
        <w:tc>
          <w:tcPr>
            <w:tcW w:w="3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4670 South Ford Apache Road, Suite 190</w:t>
            </w:r>
          </w:p>
        </w:tc>
      </w:tr>
      <w:tr>
        <w:trPr>
          <w:trHeight w:val="230"/>
        </w:trPr>
        <w:tc>
          <w:tcPr>
            <w:tcW w:w="3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Las Vegas, NV 89147</w:t>
            </w:r>
          </w:p>
        </w:tc>
      </w:tr>
      <w:tr>
        <w:trPr>
          <w:trHeight w:val="432"/>
        </w:trPr>
        <w:tc>
          <w:tcPr>
            <w:tcW w:w="3960" w:type="dxa"/>
            <w:vAlign w:val="bottom"/>
          </w:tcPr>
          <w:p>
            <w:pPr>
              <w:ind w:left="680"/>
              <w:spacing w:after="0"/>
              <w:rPr>
                <w:sz w:val="20"/>
                <w:szCs w:val="20"/>
                <w:color w:val="auto"/>
              </w:rPr>
            </w:pPr>
            <w:r>
              <w:rPr>
                <w:rFonts w:ascii="Arial" w:cs="Arial" w:eastAsia="Arial" w:hAnsi="Arial"/>
                <w:sz w:val="18"/>
                <w:szCs w:val="18"/>
                <w:color w:val="auto"/>
              </w:rPr>
              <w:t>William C. Mattison, Jr.</w:t>
            </w:r>
          </w:p>
        </w:tc>
        <w:tc>
          <w:tcPr>
            <w:tcW w:w="160" w:type="dxa"/>
            <w:vAlign w:val="bottom"/>
          </w:tcPr>
          <w:p>
            <w:pPr>
              <w:spacing w:after="0"/>
              <w:rPr>
                <w:sz w:val="24"/>
                <w:szCs w:val="24"/>
                <w:color w:val="auto"/>
              </w:rPr>
            </w:pPr>
          </w:p>
        </w:tc>
        <w:tc>
          <w:tcPr>
            <w:tcW w:w="4720" w:type="dxa"/>
            <w:vAlign w:val="bottom"/>
          </w:tcPr>
          <w:p>
            <w:pPr>
              <w:spacing w:after="0"/>
              <w:rPr>
                <w:sz w:val="20"/>
                <w:szCs w:val="20"/>
                <w:color w:val="auto"/>
              </w:rPr>
            </w:pPr>
            <w:r>
              <w:rPr>
                <w:rFonts w:ascii="Arial" w:cs="Arial" w:eastAsia="Arial" w:hAnsi="Arial"/>
                <w:sz w:val="18"/>
                <w:szCs w:val="18"/>
                <w:color w:val="auto"/>
                <w:w w:val="97"/>
              </w:rPr>
              <w:t>Former Vice Chairman – Gerard, Klauer Mattison &amp; Co., Inc.</w:t>
            </w:r>
          </w:p>
        </w:tc>
      </w:tr>
      <w:tr>
        <w:trPr>
          <w:trHeight w:val="418"/>
        </w:trPr>
        <w:tc>
          <w:tcPr>
            <w:tcW w:w="3960" w:type="dxa"/>
            <w:vAlign w:val="bottom"/>
          </w:tcPr>
          <w:p>
            <w:pPr>
              <w:ind w:left="680"/>
              <w:spacing w:after="0"/>
              <w:rPr>
                <w:sz w:val="20"/>
                <w:szCs w:val="20"/>
                <w:color w:val="auto"/>
              </w:rPr>
            </w:pPr>
            <w:r>
              <w:rPr>
                <w:rFonts w:ascii="Arial" w:cs="Arial" w:eastAsia="Arial" w:hAnsi="Arial"/>
                <w:sz w:val="18"/>
                <w:szCs w:val="18"/>
                <w:color w:val="auto"/>
              </w:rPr>
              <w:t>Salvatore F. Sodano</w:t>
            </w:r>
          </w:p>
        </w:tc>
        <w:tc>
          <w:tcPr>
            <w:tcW w:w="160" w:type="dxa"/>
            <w:vAlign w:val="bottom"/>
          </w:tcPr>
          <w:p>
            <w:pPr>
              <w:spacing w:after="0"/>
              <w:rPr>
                <w:sz w:val="24"/>
                <w:szCs w:val="24"/>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Vice Chairman</w:t>
            </w:r>
          </w:p>
        </w:tc>
      </w:tr>
      <w:tr>
        <w:trPr>
          <w:trHeight w:val="216"/>
        </w:trPr>
        <w:tc>
          <w:tcPr>
            <w:tcW w:w="3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Chairman and Chief Executive Officer</w:t>
            </w:r>
          </w:p>
        </w:tc>
      </w:tr>
      <w:tr>
        <w:trPr>
          <w:trHeight w:val="216"/>
        </w:trPr>
        <w:tc>
          <w:tcPr>
            <w:tcW w:w="3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Worldwide Capital Advisory Partners, LLC</w:t>
            </w:r>
          </w:p>
        </w:tc>
      </w:tr>
      <w:tr>
        <w:trPr>
          <w:trHeight w:val="216"/>
        </w:trPr>
        <w:tc>
          <w:tcPr>
            <w:tcW w:w="3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520 White Plains Road, Suite 500</w:t>
            </w:r>
          </w:p>
        </w:tc>
      </w:tr>
      <w:tr>
        <w:trPr>
          <w:trHeight w:val="230"/>
        </w:trPr>
        <w:tc>
          <w:tcPr>
            <w:tcW w:w="3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Tarrytown, NY 10591</w:t>
            </w:r>
          </w:p>
        </w:tc>
      </w:tr>
      <w:tr>
        <w:trPr>
          <w:trHeight w:val="445"/>
        </w:trPr>
        <w:tc>
          <w:tcPr>
            <w:tcW w:w="3960" w:type="dxa"/>
            <w:vAlign w:val="bottom"/>
          </w:tcPr>
          <w:p>
            <w:pPr>
              <w:spacing w:after="0"/>
              <w:rPr>
                <w:sz w:val="20"/>
                <w:szCs w:val="20"/>
                <w:color w:val="auto"/>
              </w:rPr>
            </w:pPr>
            <w:r>
              <w:rPr>
                <w:rFonts w:ascii="Arial" w:cs="Arial" w:eastAsia="Arial" w:hAnsi="Arial"/>
                <w:sz w:val="18"/>
                <w:szCs w:val="18"/>
                <w:color w:val="auto"/>
              </w:rPr>
              <w:t>Officers:</w:t>
            </w:r>
          </w:p>
        </w:tc>
        <w:tc>
          <w:tcPr>
            <w:tcW w:w="160" w:type="dxa"/>
            <w:vAlign w:val="bottom"/>
          </w:tcPr>
          <w:p>
            <w:pPr>
              <w:spacing w:after="0"/>
              <w:rPr>
                <w:sz w:val="24"/>
                <w:szCs w:val="24"/>
                <w:color w:val="auto"/>
              </w:rPr>
            </w:pPr>
          </w:p>
        </w:tc>
        <w:tc>
          <w:tcPr>
            <w:tcW w:w="4720" w:type="dxa"/>
            <w:vAlign w:val="bottom"/>
          </w:tcPr>
          <w:p>
            <w:pPr>
              <w:spacing w:after="0"/>
              <w:rPr>
                <w:sz w:val="24"/>
                <w:szCs w:val="24"/>
                <w:color w:val="auto"/>
              </w:rPr>
            </w:pPr>
          </w:p>
        </w:tc>
      </w:tr>
      <w:tr>
        <w:trPr>
          <w:trHeight w:val="230"/>
        </w:trPr>
        <w:tc>
          <w:tcPr>
            <w:tcW w:w="3960" w:type="dxa"/>
            <w:vAlign w:val="bottom"/>
          </w:tcPr>
          <w:p>
            <w:pPr>
              <w:ind w:left="660"/>
              <w:spacing w:after="0"/>
              <w:rPr>
                <w:sz w:val="20"/>
                <w:szCs w:val="20"/>
                <w:color w:val="auto"/>
              </w:rPr>
            </w:pPr>
            <w:r>
              <w:rPr>
                <w:rFonts w:ascii="Arial" w:cs="Arial" w:eastAsia="Arial" w:hAnsi="Arial"/>
                <w:sz w:val="18"/>
                <w:szCs w:val="18"/>
                <w:color w:val="auto"/>
              </w:rPr>
              <w:t>Douglas R. Jamieson</w:t>
            </w:r>
          </w:p>
        </w:tc>
        <w:tc>
          <w:tcPr>
            <w:tcW w:w="4880" w:type="dxa"/>
            <w:vAlign w:val="bottom"/>
            <w:gridSpan w:val="2"/>
          </w:tcPr>
          <w:p>
            <w:pPr>
              <w:spacing w:after="0"/>
              <w:rPr>
                <w:sz w:val="20"/>
                <w:szCs w:val="20"/>
                <w:color w:val="auto"/>
              </w:rPr>
            </w:pPr>
            <w:r>
              <w:rPr>
                <w:rFonts w:ascii="Arial" w:cs="Arial" w:eastAsia="Arial" w:hAnsi="Arial"/>
                <w:sz w:val="18"/>
                <w:szCs w:val="18"/>
                <w:color w:val="auto"/>
              </w:rPr>
              <w:t>See above</w:t>
            </w:r>
          </w:p>
        </w:tc>
      </w:tr>
      <w:tr>
        <w:trPr>
          <w:trHeight w:val="432"/>
        </w:trPr>
        <w:tc>
          <w:tcPr>
            <w:tcW w:w="3960" w:type="dxa"/>
            <w:vAlign w:val="bottom"/>
          </w:tcPr>
          <w:p>
            <w:pPr>
              <w:ind w:left="660"/>
              <w:spacing w:after="0"/>
              <w:rPr>
                <w:sz w:val="20"/>
                <w:szCs w:val="20"/>
                <w:color w:val="auto"/>
              </w:rPr>
            </w:pPr>
            <w:r>
              <w:rPr>
                <w:rFonts w:ascii="Arial" w:cs="Arial" w:eastAsia="Arial" w:hAnsi="Arial"/>
                <w:sz w:val="18"/>
                <w:szCs w:val="18"/>
                <w:color w:val="auto"/>
              </w:rPr>
              <w:t>Diane M. LaPointe</w:t>
            </w:r>
          </w:p>
        </w:tc>
        <w:tc>
          <w:tcPr>
            <w:tcW w:w="4880" w:type="dxa"/>
            <w:vAlign w:val="bottom"/>
            <w:gridSpan w:val="2"/>
          </w:tcPr>
          <w:p>
            <w:pPr>
              <w:spacing w:after="0"/>
              <w:rPr>
                <w:sz w:val="20"/>
                <w:szCs w:val="20"/>
                <w:color w:val="auto"/>
              </w:rPr>
            </w:pPr>
            <w:r>
              <w:rPr>
                <w:rFonts w:ascii="Arial" w:cs="Arial" w:eastAsia="Arial" w:hAnsi="Arial"/>
                <w:sz w:val="18"/>
                <w:szCs w:val="18"/>
                <w:color w:val="auto"/>
              </w:rPr>
              <w:t>Controller</w:t>
            </w:r>
          </w:p>
        </w:tc>
      </w:tr>
      <w:tr>
        <w:trPr>
          <w:trHeight w:val="432"/>
        </w:trPr>
        <w:tc>
          <w:tcPr>
            <w:tcW w:w="3960" w:type="dxa"/>
            <w:vAlign w:val="bottom"/>
          </w:tcPr>
          <w:p>
            <w:pPr>
              <w:ind w:left="660"/>
              <w:spacing w:after="0"/>
              <w:rPr>
                <w:sz w:val="20"/>
                <w:szCs w:val="20"/>
                <w:color w:val="auto"/>
              </w:rPr>
            </w:pPr>
            <w:r>
              <w:rPr>
                <w:rFonts w:ascii="Arial" w:cs="Arial" w:eastAsia="Arial" w:hAnsi="Arial"/>
                <w:sz w:val="18"/>
                <w:szCs w:val="18"/>
                <w:color w:val="auto"/>
              </w:rPr>
              <w:t>Kevin Handwerker</w:t>
            </w:r>
          </w:p>
        </w:tc>
        <w:tc>
          <w:tcPr>
            <w:tcW w:w="4880" w:type="dxa"/>
            <w:vAlign w:val="bottom"/>
            <w:gridSpan w:val="2"/>
          </w:tcPr>
          <w:p>
            <w:pPr>
              <w:spacing w:after="0"/>
              <w:rPr>
                <w:sz w:val="20"/>
                <w:szCs w:val="20"/>
                <w:color w:val="auto"/>
              </w:rPr>
            </w:pPr>
            <w:r>
              <w:rPr>
                <w:rFonts w:ascii="Arial" w:cs="Arial" w:eastAsia="Arial" w:hAnsi="Arial"/>
                <w:sz w:val="18"/>
                <w:szCs w:val="18"/>
                <w:color w:val="auto"/>
              </w:rPr>
              <w:t>Secretary</w:t>
            </w:r>
          </w:p>
        </w:tc>
      </w:tr>
      <w:tr>
        <w:trPr>
          <w:trHeight w:val="432"/>
        </w:trPr>
        <w:tc>
          <w:tcPr>
            <w:tcW w:w="3960" w:type="dxa"/>
            <w:vAlign w:val="bottom"/>
          </w:tcPr>
          <w:p>
            <w:pPr>
              <w:ind w:left="660"/>
              <w:spacing w:after="0"/>
              <w:rPr>
                <w:sz w:val="20"/>
                <w:szCs w:val="20"/>
                <w:color w:val="auto"/>
              </w:rPr>
            </w:pPr>
            <w:r>
              <w:rPr>
                <w:rFonts w:ascii="Arial" w:cs="Arial" w:eastAsia="Arial" w:hAnsi="Arial"/>
                <w:sz w:val="18"/>
                <w:szCs w:val="18"/>
                <w:color w:val="auto"/>
              </w:rPr>
              <w:t>David M. Goldman</w:t>
            </w:r>
          </w:p>
        </w:tc>
        <w:tc>
          <w:tcPr>
            <w:tcW w:w="4880" w:type="dxa"/>
            <w:vAlign w:val="bottom"/>
            <w:gridSpan w:val="2"/>
          </w:tcPr>
          <w:p>
            <w:pPr>
              <w:spacing w:after="0"/>
              <w:rPr>
                <w:sz w:val="20"/>
                <w:szCs w:val="20"/>
                <w:color w:val="auto"/>
              </w:rPr>
            </w:pPr>
            <w:r>
              <w:rPr>
                <w:rFonts w:ascii="Arial" w:cs="Arial" w:eastAsia="Arial" w:hAnsi="Arial"/>
                <w:sz w:val="18"/>
                <w:szCs w:val="18"/>
                <w:color w:val="auto"/>
              </w:rPr>
              <w:t>General Counsel &amp; Assistant Secretary</w:t>
            </w:r>
          </w:p>
        </w:tc>
      </w:tr>
      <w:tr>
        <w:trPr>
          <w:trHeight w:val="432"/>
        </w:trPr>
        <w:tc>
          <w:tcPr>
            <w:tcW w:w="3960" w:type="dxa"/>
            <w:vAlign w:val="bottom"/>
          </w:tcPr>
          <w:p>
            <w:pPr>
              <w:ind w:left="660"/>
              <w:spacing w:after="0"/>
              <w:rPr>
                <w:sz w:val="20"/>
                <w:szCs w:val="20"/>
                <w:color w:val="auto"/>
              </w:rPr>
            </w:pPr>
            <w:r>
              <w:rPr>
                <w:rFonts w:ascii="Arial" w:cs="Arial" w:eastAsia="Arial" w:hAnsi="Arial"/>
                <w:sz w:val="18"/>
                <w:szCs w:val="18"/>
                <w:color w:val="auto"/>
              </w:rPr>
              <w:t>David Fitzgerald</w:t>
            </w:r>
          </w:p>
        </w:tc>
        <w:tc>
          <w:tcPr>
            <w:tcW w:w="4880" w:type="dxa"/>
            <w:vAlign w:val="bottom"/>
            <w:gridSpan w:val="2"/>
          </w:tcPr>
          <w:p>
            <w:pPr>
              <w:spacing w:after="0"/>
              <w:rPr>
                <w:sz w:val="20"/>
                <w:szCs w:val="20"/>
                <w:color w:val="auto"/>
              </w:rPr>
            </w:pPr>
            <w:r>
              <w:rPr>
                <w:rFonts w:ascii="Arial" w:cs="Arial" w:eastAsia="Arial" w:hAnsi="Arial"/>
                <w:sz w:val="18"/>
                <w:szCs w:val="18"/>
                <w:color w:val="auto"/>
              </w:rPr>
              <w:t>Chief Compliance Officer</w:t>
            </w:r>
          </w:p>
        </w:tc>
      </w:tr>
      <w:tr>
        <w:trPr>
          <w:trHeight w:val="418"/>
        </w:trPr>
        <w:tc>
          <w:tcPr>
            <w:tcW w:w="3960" w:type="dxa"/>
            <w:vAlign w:val="bottom"/>
          </w:tcPr>
          <w:p>
            <w:pPr>
              <w:spacing w:after="0"/>
              <w:rPr>
                <w:sz w:val="20"/>
                <w:szCs w:val="20"/>
                <w:color w:val="auto"/>
              </w:rPr>
            </w:pPr>
            <w:r>
              <w:rPr>
                <w:rFonts w:ascii="Arial" w:cs="Arial" w:eastAsia="Arial" w:hAnsi="Arial"/>
                <w:sz w:val="18"/>
                <w:szCs w:val="18"/>
                <w:color w:val="auto"/>
              </w:rPr>
              <w:t>G.research, Inc.</w:t>
            </w:r>
          </w:p>
        </w:tc>
        <w:tc>
          <w:tcPr>
            <w:tcW w:w="160" w:type="dxa"/>
            <w:vAlign w:val="bottom"/>
          </w:tcPr>
          <w:p>
            <w:pPr>
              <w:spacing w:after="0"/>
              <w:rPr>
                <w:sz w:val="24"/>
                <w:szCs w:val="24"/>
                <w:color w:val="auto"/>
              </w:rPr>
            </w:pPr>
          </w:p>
        </w:tc>
        <w:tc>
          <w:tcPr>
            <w:tcW w:w="4720" w:type="dxa"/>
            <w:vAlign w:val="bottom"/>
          </w:tcPr>
          <w:p>
            <w:pPr>
              <w:spacing w:after="0"/>
              <w:rPr>
                <w:sz w:val="24"/>
                <w:szCs w:val="24"/>
                <w:color w:val="auto"/>
              </w:rPr>
            </w:pPr>
          </w:p>
        </w:tc>
      </w:tr>
      <w:tr>
        <w:trPr>
          <w:trHeight w:val="237"/>
        </w:trPr>
        <w:tc>
          <w:tcPr>
            <w:tcW w:w="3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Directors:</w:t>
            </w:r>
          </w:p>
        </w:tc>
        <w:tc>
          <w:tcPr>
            <w:tcW w:w="160" w:type="dxa"/>
            <w:vAlign w:val="bottom"/>
          </w:tcPr>
          <w:p>
            <w:pPr>
              <w:spacing w:after="0"/>
              <w:rPr>
                <w:sz w:val="20"/>
                <w:szCs w:val="20"/>
                <w:color w:val="auto"/>
              </w:rPr>
            </w:pPr>
          </w:p>
        </w:tc>
        <w:tc>
          <w:tcPr>
            <w:tcW w:w="4720" w:type="dxa"/>
            <w:vAlign w:val="bottom"/>
          </w:tcPr>
          <w:p>
            <w:pPr>
              <w:spacing w:after="0"/>
              <w:rPr>
                <w:sz w:val="20"/>
                <w:szCs w:val="20"/>
                <w:color w:val="auto"/>
              </w:rPr>
            </w:pPr>
          </w:p>
        </w:tc>
      </w:tr>
      <w:tr>
        <w:trPr>
          <w:trHeight w:val="230"/>
        </w:trPr>
        <w:tc>
          <w:tcPr>
            <w:tcW w:w="3960" w:type="dxa"/>
            <w:vAlign w:val="bottom"/>
          </w:tcPr>
          <w:p>
            <w:pPr>
              <w:ind w:left="680"/>
              <w:spacing w:after="0"/>
              <w:rPr>
                <w:sz w:val="20"/>
                <w:szCs w:val="20"/>
                <w:color w:val="auto"/>
              </w:rPr>
            </w:pPr>
            <w:r>
              <w:rPr>
                <w:rFonts w:ascii="Arial" w:cs="Arial" w:eastAsia="Arial" w:hAnsi="Arial"/>
                <w:sz w:val="18"/>
                <w:szCs w:val="18"/>
                <w:color w:val="auto"/>
              </w:rPr>
              <w:t>Daniel M. Miller</w:t>
            </w:r>
          </w:p>
        </w:tc>
        <w:tc>
          <w:tcPr>
            <w:tcW w:w="4880" w:type="dxa"/>
            <w:vAlign w:val="bottom"/>
            <w:gridSpan w:val="2"/>
          </w:tcPr>
          <w:p>
            <w:pPr>
              <w:spacing w:after="0"/>
              <w:rPr>
                <w:sz w:val="20"/>
                <w:szCs w:val="20"/>
                <w:color w:val="auto"/>
              </w:rPr>
            </w:pPr>
            <w:r>
              <w:rPr>
                <w:rFonts w:ascii="Arial" w:cs="Arial" w:eastAsia="Arial" w:hAnsi="Arial"/>
                <w:sz w:val="18"/>
                <w:szCs w:val="18"/>
                <w:color w:val="auto"/>
              </w:rPr>
              <w:t>Chairman</w:t>
            </w:r>
          </w:p>
        </w:tc>
      </w:tr>
      <w:tr>
        <w:trPr>
          <w:trHeight w:val="418"/>
        </w:trPr>
        <w:tc>
          <w:tcPr>
            <w:tcW w:w="3960" w:type="dxa"/>
            <w:vAlign w:val="bottom"/>
          </w:tcPr>
          <w:p>
            <w:pPr>
              <w:ind w:left="640"/>
              <w:spacing w:after="0"/>
              <w:rPr>
                <w:sz w:val="20"/>
                <w:szCs w:val="20"/>
                <w:color w:val="auto"/>
              </w:rPr>
            </w:pPr>
            <w:r>
              <w:rPr>
                <w:rFonts w:ascii="Arial" w:cs="Arial" w:eastAsia="Arial" w:hAnsi="Arial"/>
                <w:sz w:val="18"/>
                <w:szCs w:val="18"/>
                <w:color w:val="auto"/>
              </w:rPr>
              <w:t>Cornelius V. McGinity</w:t>
            </w:r>
          </w:p>
        </w:tc>
        <w:tc>
          <w:tcPr>
            <w:tcW w:w="4880" w:type="dxa"/>
            <w:vAlign w:val="bottom"/>
            <w:gridSpan w:val="2"/>
          </w:tcPr>
          <w:p>
            <w:pPr>
              <w:spacing w:after="0"/>
              <w:rPr>
                <w:sz w:val="20"/>
                <w:szCs w:val="20"/>
                <w:color w:val="auto"/>
              </w:rPr>
            </w:pPr>
            <w:r>
              <w:rPr>
                <w:rFonts w:ascii="Arial" w:cs="Arial" w:eastAsia="Arial" w:hAnsi="Arial"/>
                <w:sz w:val="18"/>
                <w:szCs w:val="18"/>
                <w:color w:val="auto"/>
              </w:rPr>
              <w:t>President</w:t>
            </w:r>
          </w:p>
        </w:tc>
      </w:tr>
      <w:tr>
        <w:trPr>
          <w:trHeight w:val="418"/>
        </w:trPr>
        <w:tc>
          <w:tcPr>
            <w:tcW w:w="3960" w:type="dxa"/>
            <w:vAlign w:val="bottom"/>
          </w:tcPr>
          <w:p>
            <w:pPr>
              <w:spacing w:after="0"/>
              <w:rPr>
                <w:sz w:val="20"/>
                <w:szCs w:val="20"/>
                <w:color w:val="auto"/>
              </w:rPr>
            </w:pPr>
            <w:r>
              <w:rPr>
                <w:rFonts w:ascii="Arial" w:cs="Arial" w:eastAsia="Arial" w:hAnsi="Arial"/>
                <w:sz w:val="18"/>
                <w:szCs w:val="18"/>
                <w:color w:val="auto"/>
              </w:rPr>
              <w:t>Officers:</w:t>
            </w:r>
          </w:p>
        </w:tc>
        <w:tc>
          <w:tcPr>
            <w:tcW w:w="160" w:type="dxa"/>
            <w:vAlign w:val="bottom"/>
          </w:tcPr>
          <w:p>
            <w:pPr>
              <w:spacing w:after="0"/>
              <w:rPr>
                <w:sz w:val="24"/>
                <w:szCs w:val="24"/>
                <w:color w:val="auto"/>
              </w:rPr>
            </w:pPr>
          </w:p>
        </w:tc>
        <w:tc>
          <w:tcPr>
            <w:tcW w:w="4720" w:type="dxa"/>
            <w:vAlign w:val="bottom"/>
          </w:tcPr>
          <w:p>
            <w:pPr>
              <w:spacing w:after="0"/>
              <w:rPr>
                <w:sz w:val="24"/>
                <w:szCs w:val="24"/>
                <w:color w:val="auto"/>
              </w:rPr>
            </w:pPr>
          </w:p>
        </w:tc>
      </w:tr>
      <w:tr>
        <w:trPr>
          <w:trHeight w:val="230"/>
        </w:trPr>
        <w:tc>
          <w:tcPr>
            <w:tcW w:w="3960" w:type="dxa"/>
            <w:vAlign w:val="bottom"/>
          </w:tcPr>
          <w:p>
            <w:pPr>
              <w:ind w:left="660"/>
              <w:spacing w:after="0"/>
              <w:rPr>
                <w:sz w:val="20"/>
                <w:szCs w:val="20"/>
                <w:color w:val="auto"/>
              </w:rPr>
            </w:pPr>
            <w:r>
              <w:rPr>
                <w:rFonts w:ascii="Arial" w:cs="Arial" w:eastAsia="Arial" w:hAnsi="Arial"/>
                <w:sz w:val="18"/>
                <w:szCs w:val="18"/>
                <w:color w:val="auto"/>
              </w:rPr>
              <w:t>Daniel M. Miller</w:t>
            </w:r>
          </w:p>
        </w:tc>
        <w:tc>
          <w:tcPr>
            <w:tcW w:w="4880" w:type="dxa"/>
            <w:vAlign w:val="bottom"/>
            <w:gridSpan w:val="2"/>
          </w:tcPr>
          <w:p>
            <w:pPr>
              <w:spacing w:after="0"/>
              <w:rPr>
                <w:sz w:val="20"/>
                <w:szCs w:val="20"/>
                <w:color w:val="auto"/>
              </w:rPr>
            </w:pPr>
            <w:r>
              <w:rPr>
                <w:rFonts w:ascii="Arial" w:cs="Arial" w:eastAsia="Arial" w:hAnsi="Arial"/>
                <w:sz w:val="18"/>
                <w:szCs w:val="18"/>
                <w:color w:val="auto"/>
              </w:rPr>
              <w:t>See above</w:t>
            </w:r>
          </w:p>
        </w:tc>
      </w:tr>
      <w:tr>
        <w:trPr>
          <w:trHeight w:val="432"/>
        </w:trPr>
        <w:tc>
          <w:tcPr>
            <w:tcW w:w="3960" w:type="dxa"/>
            <w:vAlign w:val="bottom"/>
          </w:tcPr>
          <w:p>
            <w:pPr>
              <w:ind w:left="680"/>
              <w:spacing w:after="0"/>
              <w:rPr>
                <w:sz w:val="20"/>
                <w:szCs w:val="20"/>
                <w:color w:val="auto"/>
              </w:rPr>
            </w:pPr>
            <w:r>
              <w:rPr>
                <w:rFonts w:ascii="Arial" w:cs="Arial" w:eastAsia="Arial" w:hAnsi="Arial"/>
                <w:sz w:val="18"/>
                <w:szCs w:val="18"/>
                <w:color w:val="auto"/>
              </w:rPr>
              <w:t>Cornelius V. McGinity</w:t>
            </w:r>
          </w:p>
        </w:tc>
        <w:tc>
          <w:tcPr>
            <w:tcW w:w="4880" w:type="dxa"/>
            <w:vAlign w:val="bottom"/>
            <w:gridSpan w:val="2"/>
          </w:tcPr>
          <w:p>
            <w:pPr>
              <w:spacing w:after="0"/>
              <w:rPr>
                <w:sz w:val="20"/>
                <w:szCs w:val="20"/>
                <w:color w:val="auto"/>
              </w:rPr>
            </w:pPr>
            <w:r>
              <w:rPr>
                <w:rFonts w:ascii="Arial" w:cs="Arial" w:eastAsia="Arial" w:hAnsi="Arial"/>
                <w:sz w:val="18"/>
                <w:szCs w:val="18"/>
                <w:color w:val="auto"/>
              </w:rPr>
              <w:t>See above</w:t>
            </w:r>
          </w:p>
        </w:tc>
      </w:tr>
      <w:tr>
        <w:trPr>
          <w:trHeight w:val="432"/>
        </w:trPr>
        <w:tc>
          <w:tcPr>
            <w:tcW w:w="3960" w:type="dxa"/>
            <w:vAlign w:val="bottom"/>
          </w:tcPr>
          <w:p>
            <w:pPr>
              <w:ind w:left="660"/>
              <w:spacing w:after="0"/>
              <w:rPr>
                <w:sz w:val="20"/>
                <w:szCs w:val="20"/>
                <w:color w:val="auto"/>
              </w:rPr>
            </w:pPr>
            <w:r>
              <w:rPr>
                <w:rFonts w:ascii="Arial" w:cs="Arial" w:eastAsia="Arial" w:hAnsi="Arial"/>
                <w:sz w:val="18"/>
                <w:szCs w:val="18"/>
                <w:color w:val="auto"/>
              </w:rPr>
              <w:t>Bruce N. Alpert</w:t>
            </w:r>
          </w:p>
        </w:tc>
        <w:tc>
          <w:tcPr>
            <w:tcW w:w="4880" w:type="dxa"/>
            <w:vAlign w:val="bottom"/>
            <w:gridSpan w:val="2"/>
          </w:tcPr>
          <w:p>
            <w:pPr>
              <w:spacing w:after="0"/>
              <w:rPr>
                <w:sz w:val="20"/>
                <w:szCs w:val="20"/>
                <w:color w:val="auto"/>
              </w:rPr>
            </w:pPr>
            <w:r>
              <w:rPr>
                <w:rFonts w:ascii="Arial" w:cs="Arial" w:eastAsia="Arial" w:hAnsi="Arial"/>
                <w:sz w:val="18"/>
                <w:szCs w:val="18"/>
                <w:color w:val="auto"/>
              </w:rPr>
              <w:t>Vice President</w:t>
            </w:r>
          </w:p>
        </w:tc>
      </w:tr>
      <w:tr>
        <w:trPr>
          <w:trHeight w:val="432"/>
        </w:trPr>
        <w:tc>
          <w:tcPr>
            <w:tcW w:w="3960" w:type="dxa"/>
            <w:vAlign w:val="bottom"/>
          </w:tcPr>
          <w:p>
            <w:pPr>
              <w:ind w:left="680"/>
              <w:spacing w:after="0"/>
              <w:rPr>
                <w:sz w:val="20"/>
                <w:szCs w:val="20"/>
                <w:color w:val="auto"/>
              </w:rPr>
            </w:pPr>
            <w:r>
              <w:rPr>
                <w:rFonts w:ascii="Arial" w:cs="Arial" w:eastAsia="Arial" w:hAnsi="Arial"/>
                <w:sz w:val="18"/>
                <w:szCs w:val="18"/>
                <w:color w:val="auto"/>
              </w:rPr>
              <w:t>Diane M. LaPointe</w:t>
            </w:r>
          </w:p>
        </w:tc>
        <w:tc>
          <w:tcPr>
            <w:tcW w:w="4880" w:type="dxa"/>
            <w:vAlign w:val="bottom"/>
            <w:gridSpan w:val="2"/>
          </w:tcPr>
          <w:p>
            <w:pPr>
              <w:spacing w:after="0"/>
              <w:rPr>
                <w:sz w:val="20"/>
                <w:szCs w:val="20"/>
                <w:color w:val="auto"/>
              </w:rPr>
            </w:pPr>
            <w:r>
              <w:rPr>
                <w:rFonts w:ascii="Arial" w:cs="Arial" w:eastAsia="Arial" w:hAnsi="Arial"/>
                <w:sz w:val="18"/>
                <w:szCs w:val="18"/>
                <w:color w:val="auto"/>
              </w:rPr>
              <w:t>Controller and Financial &amp; Operations Principal</w:t>
            </w:r>
          </w:p>
        </w:tc>
      </w:tr>
      <w:tr>
        <w:trPr>
          <w:trHeight w:val="432"/>
        </w:trPr>
        <w:tc>
          <w:tcPr>
            <w:tcW w:w="3960" w:type="dxa"/>
            <w:vAlign w:val="bottom"/>
          </w:tcPr>
          <w:p>
            <w:pPr>
              <w:ind w:left="680"/>
              <w:spacing w:after="0"/>
              <w:rPr>
                <w:sz w:val="20"/>
                <w:szCs w:val="20"/>
                <w:color w:val="auto"/>
              </w:rPr>
            </w:pPr>
            <w:r>
              <w:rPr>
                <w:rFonts w:ascii="Arial" w:cs="Arial" w:eastAsia="Arial" w:hAnsi="Arial"/>
                <w:sz w:val="18"/>
                <w:szCs w:val="18"/>
                <w:color w:val="auto"/>
              </w:rPr>
              <w:t>Douglas R. Jamieson</w:t>
            </w:r>
          </w:p>
        </w:tc>
        <w:tc>
          <w:tcPr>
            <w:tcW w:w="4880" w:type="dxa"/>
            <w:vAlign w:val="bottom"/>
            <w:gridSpan w:val="2"/>
          </w:tcPr>
          <w:p>
            <w:pPr>
              <w:spacing w:after="0"/>
              <w:rPr>
                <w:sz w:val="20"/>
                <w:szCs w:val="20"/>
                <w:color w:val="auto"/>
              </w:rPr>
            </w:pPr>
            <w:r>
              <w:rPr>
                <w:rFonts w:ascii="Arial" w:cs="Arial" w:eastAsia="Arial" w:hAnsi="Arial"/>
                <w:sz w:val="18"/>
                <w:szCs w:val="18"/>
                <w:color w:val="auto"/>
              </w:rPr>
              <w:t>Secretary</w:t>
            </w:r>
          </w:p>
        </w:tc>
      </w:tr>
      <w:tr>
        <w:trPr>
          <w:trHeight w:val="432"/>
        </w:trPr>
        <w:tc>
          <w:tcPr>
            <w:tcW w:w="3960" w:type="dxa"/>
            <w:vAlign w:val="bottom"/>
          </w:tcPr>
          <w:p>
            <w:pPr>
              <w:ind w:left="680"/>
              <w:spacing w:after="0"/>
              <w:rPr>
                <w:sz w:val="20"/>
                <w:szCs w:val="20"/>
                <w:color w:val="auto"/>
              </w:rPr>
            </w:pPr>
            <w:r>
              <w:rPr>
                <w:rFonts w:ascii="Arial" w:cs="Arial" w:eastAsia="Arial" w:hAnsi="Arial"/>
                <w:sz w:val="18"/>
                <w:szCs w:val="18"/>
                <w:color w:val="auto"/>
              </w:rPr>
              <w:t>David M. Goldman</w:t>
            </w:r>
          </w:p>
        </w:tc>
        <w:tc>
          <w:tcPr>
            <w:tcW w:w="4880" w:type="dxa"/>
            <w:vAlign w:val="bottom"/>
            <w:gridSpan w:val="2"/>
          </w:tcPr>
          <w:p>
            <w:pPr>
              <w:spacing w:after="0"/>
              <w:rPr>
                <w:sz w:val="20"/>
                <w:szCs w:val="20"/>
                <w:color w:val="auto"/>
              </w:rPr>
            </w:pPr>
            <w:r>
              <w:rPr>
                <w:rFonts w:ascii="Arial" w:cs="Arial" w:eastAsia="Arial" w:hAnsi="Arial"/>
                <w:sz w:val="18"/>
                <w:szCs w:val="18"/>
                <w:color w:val="auto"/>
              </w:rPr>
              <w:t>Assistant Secretary</w:t>
            </w:r>
          </w:p>
        </w:tc>
      </w:tr>
      <w:tr>
        <w:trPr>
          <w:trHeight w:val="432"/>
        </w:trPr>
        <w:tc>
          <w:tcPr>
            <w:tcW w:w="3960" w:type="dxa"/>
            <w:vAlign w:val="bottom"/>
          </w:tcPr>
          <w:p>
            <w:pPr>
              <w:ind w:left="680"/>
              <w:spacing w:after="0"/>
              <w:rPr>
                <w:sz w:val="20"/>
                <w:szCs w:val="20"/>
                <w:color w:val="auto"/>
              </w:rPr>
            </w:pPr>
            <w:r>
              <w:rPr>
                <w:rFonts w:ascii="Arial" w:cs="Arial" w:eastAsia="Arial" w:hAnsi="Arial"/>
                <w:sz w:val="18"/>
                <w:szCs w:val="18"/>
                <w:color w:val="auto"/>
              </w:rPr>
              <w:t>Josephine D. LaFauci</w:t>
            </w:r>
          </w:p>
        </w:tc>
        <w:tc>
          <w:tcPr>
            <w:tcW w:w="4880" w:type="dxa"/>
            <w:vAlign w:val="bottom"/>
            <w:gridSpan w:val="2"/>
          </w:tcPr>
          <w:p>
            <w:pPr>
              <w:spacing w:after="0"/>
              <w:rPr>
                <w:sz w:val="20"/>
                <w:szCs w:val="20"/>
                <w:color w:val="auto"/>
              </w:rPr>
            </w:pPr>
            <w:r>
              <w:rPr>
                <w:rFonts w:ascii="Arial" w:cs="Arial" w:eastAsia="Arial" w:hAnsi="Arial"/>
                <w:sz w:val="18"/>
                <w:szCs w:val="18"/>
                <w:color w:val="auto"/>
              </w:rPr>
              <w:t>Chief Compliance Officer</w:t>
            </w:r>
          </w:p>
        </w:tc>
      </w:tr>
      <w:tr>
        <w:trPr>
          <w:trHeight w:val="418"/>
        </w:trPr>
        <w:tc>
          <w:tcPr>
            <w:tcW w:w="3960" w:type="dxa"/>
            <w:vAlign w:val="bottom"/>
          </w:tcPr>
          <w:p>
            <w:pPr>
              <w:spacing w:after="0"/>
              <w:rPr>
                <w:sz w:val="20"/>
                <w:szCs w:val="20"/>
                <w:color w:val="auto"/>
              </w:rPr>
            </w:pPr>
            <w:r>
              <w:rPr>
                <w:rFonts w:ascii="Arial" w:cs="Arial" w:eastAsia="Arial" w:hAnsi="Arial"/>
                <w:sz w:val="18"/>
                <w:szCs w:val="18"/>
                <w:color w:val="auto"/>
              </w:rPr>
              <w:t>Gabelli Foundation, Inc.</w:t>
            </w:r>
          </w:p>
        </w:tc>
        <w:tc>
          <w:tcPr>
            <w:tcW w:w="160" w:type="dxa"/>
            <w:vAlign w:val="bottom"/>
          </w:tcPr>
          <w:p>
            <w:pPr>
              <w:spacing w:after="0"/>
              <w:rPr>
                <w:sz w:val="24"/>
                <w:szCs w:val="24"/>
                <w:color w:val="auto"/>
              </w:rPr>
            </w:pPr>
          </w:p>
        </w:tc>
        <w:tc>
          <w:tcPr>
            <w:tcW w:w="4720" w:type="dxa"/>
            <w:vAlign w:val="bottom"/>
          </w:tcPr>
          <w:p>
            <w:pPr>
              <w:spacing w:after="0"/>
              <w:rPr>
                <w:sz w:val="24"/>
                <w:szCs w:val="24"/>
                <w:color w:val="auto"/>
              </w:rPr>
            </w:pPr>
          </w:p>
        </w:tc>
      </w:tr>
      <w:tr>
        <w:trPr>
          <w:trHeight w:val="237"/>
        </w:trPr>
        <w:tc>
          <w:tcPr>
            <w:tcW w:w="3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Officers:</w:t>
            </w:r>
          </w:p>
        </w:tc>
        <w:tc>
          <w:tcPr>
            <w:tcW w:w="160" w:type="dxa"/>
            <w:vAlign w:val="bottom"/>
          </w:tcPr>
          <w:p>
            <w:pPr>
              <w:spacing w:after="0"/>
              <w:rPr>
                <w:sz w:val="20"/>
                <w:szCs w:val="20"/>
                <w:color w:val="auto"/>
              </w:rPr>
            </w:pPr>
          </w:p>
        </w:tc>
        <w:tc>
          <w:tcPr>
            <w:tcW w:w="4720" w:type="dxa"/>
            <w:vAlign w:val="bottom"/>
          </w:tcPr>
          <w:p>
            <w:pPr>
              <w:spacing w:after="0"/>
              <w:rPr>
                <w:sz w:val="20"/>
                <w:szCs w:val="20"/>
                <w:color w:val="auto"/>
              </w:rPr>
            </w:pPr>
          </w:p>
        </w:tc>
      </w:tr>
      <w:tr>
        <w:trPr>
          <w:trHeight w:val="230"/>
        </w:trPr>
        <w:tc>
          <w:tcPr>
            <w:tcW w:w="3960" w:type="dxa"/>
            <w:vAlign w:val="bottom"/>
          </w:tcPr>
          <w:p>
            <w:pPr>
              <w:ind w:left="720"/>
              <w:spacing w:after="0"/>
              <w:rPr>
                <w:sz w:val="20"/>
                <w:szCs w:val="20"/>
                <w:color w:val="auto"/>
              </w:rPr>
            </w:pPr>
            <w:r>
              <w:rPr>
                <w:rFonts w:ascii="Arial" w:cs="Arial" w:eastAsia="Arial" w:hAnsi="Arial"/>
                <w:sz w:val="18"/>
                <w:szCs w:val="18"/>
                <w:color w:val="auto"/>
              </w:rPr>
              <w:t>Mario J. Gabelli</w:t>
            </w:r>
          </w:p>
        </w:tc>
        <w:tc>
          <w:tcPr>
            <w:tcW w:w="4880" w:type="dxa"/>
            <w:vAlign w:val="bottom"/>
            <w:gridSpan w:val="2"/>
          </w:tcPr>
          <w:p>
            <w:pPr>
              <w:spacing w:after="0"/>
              <w:rPr>
                <w:sz w:val="20"/>
                <w:szCs w:val="20"/>
                <w:color w:val="auto"/>
              </w:rPr>
            </w:pPr>
            <w:r>
              <w:rPr>
                <w:rFonts w:ascii="Arial" w:cs="Arial" w:eastAsia="Arial" w:hAnsi="Arial"/>
                <w:sz w:val="18"/>
                <w:szCs w:val="18"/>
                <w:color w:val="auto"/>
              </w:rPr>
              <w:t>Chairman, Trustee &amp; Chief Investment Officer</w:t>
            </w:r>
          </w:p>
        </w:tc>
      </w:tr>
    </w:tbl>
    <w:p>
      <w:pPr>
        <w:sectPr>
          <w:pgSz w:w="11900" w:h="16912" w:orient="portrait"/>
          <w:cols w:equalWidth="0" w:num="1">
            <w:col w:w="10219"/>
          </w:cols>
          <w:pgMar w:left="240" w:top="341" w:right="1440" w:bottom="0" w:gutter="0" w:footer="0" w:header="0"/>
        </w:sectPr>
      </w:pPr>
    </w:p>
    <w:bookmarkStart w:id="14" w:name="page15"/>
    <w:bookmarkEnd w:id="1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60" w:type="dxa"/>
            <w:vAlign w:val="bottom"/>
          </w:tcPr>
          <w:p>
            <w:pPr>
              <w:ind w:left="720"/>
              <w:spacing w:after="0"/>
              <w:rPr>
                <w:sz w:val="20"/>
                <w:szCs w:val="20"/>
                <w:color w:val="auto"/>
              </w:rPr>
            </w:pPr>
            <w:r>
              <w:rPr>
                <w:rFonts w:ascii="Arial" w:cs="Arial" w:eastAsia="Arial" w:hAnsi="Arial"/>
                <w:sz w:val="18"/>
                <w:szCs w:val="18"/>
                <w:color w:val="auto"/>
              </w:rPr>
              <w:t>Elisa M. Wilson</w:t>
            </w:r>
          </w:p>
        </w:tc>
        <w:tc>
          <w:tcPr>
            <w:tcW w:w="1120" w:type="dxa"/>
            <w:vAlign w:val="bottom"/>
          </w:tcPr>
          <w:p>
            <w:pPr>
              <w:spacing w:after="0"/>
              <w:rPr>
                <w:sz w:val="20"/>
                <w:szCs w:val="20"/>
                <w:color w:val="auto"/>
              </w:rPr>
            </w:pPr>
            <w:r>
              <w:rPr>
                <w:rFonts w:ascii="Arial" w:cs="Arial" w:eastAsia="Arial" w:hAnsi="Arial"/>
                <w:sz w:val="18"/>
                <w:szCs w:val="18"/>
                <w:color w:val="auto"/>
              </w:rPr>
              <w:t>President</w:t>
            </w:r>
          </w:p>
        </w:tc>
      </w:tr>
      <w:tr>
        <w:trPr>
          <w:trHeight w:val="432"/>
        </w:trPr>
        <w:tc>
          <w:tcPr>
            <w:tcW w:w="3960" w:type="dxa"/>
            <w:vAlign w:val="bottom"/>
          </w:tcPr>
          <w:p>
            <w:pPr>
              <w:ind w:left="720"/>
              <w:spacing w:after="0"/>
              <w:rPr>
                <w:sz w:val="20"/>
                <w:szCs w:val="20"/>
                <w:color w:val="auto"/>
              </w:rPr>
            </w:pPr>
            <w:r>
              <w:rPr>
                <w:rFonts w:ascii="Arial" w:cs="Arial" w:eastAsia="Arial" w:hAnsi="Arial"/>
                <w:sz w:val="18"/>
                <w:szCs w:val="18"/>
                <w:color w:val="auto"/>
              </w:rPr>
              <w:t>Marc J. Gabelli</w:t>
            </w:r>
          </w:p>
        </w:tc>
        <w:tc>
          <w:tcPr>
            <w:tcW w:w="1120" w:type="dxa"/>
            <w:vAlign w:val="bottom"/>
          </w:tcPr>
          <w:p>
            <w:pPr>
              <w:spacing w:after="0"/>
              <w:rPr>
                <w:sz w:val="20"/>
                <w:szCs w:val="20"/>
                <w:color w:val="auto"/>
              </w:rPr>
            </w:pPr>
            <w:r>
              <w:rPr>
                <w:rFonts w:ascii="Arial" w:cs="Arial" w:eastAsia="Arial" w:hAnsi="Arial"/>
                <w:sz w:val="18"/>
                <w:szCs w:val="18"/>
                <w:color w:val="auto"/>
              </w:rPr>
              <w:t>Trustee</w:t>
            </w:r>
          </w:p>
        </w:tc>
      </w:tr>
      <w:tr>
        <w:trPr>
          <w:trHeight w:val="432"/>
        </w:trPr>
        <w:tc>
          <w:tcPr>
            <w:tcW w:w="3960" w:type="dxa"/>
            <w:vAlign w:val="bottom"/>
          </w:tcPr>
          <w:p>
            <w:pPr>
              <w:ind w:left="720"/>
              <w:spacing w:after="0"/>
              <w:rPr>
                <w:sz w:val="20"/>
                <w:szCs w:val="20"/>
                <w:color w:val="auto"/>
              </w:rPr>
            </w:pPr>
            <w:r>
              <w:rPr>
                <w:rFonts w:ascii="Arial" w:cs="Arial" w:eastAsia="Arial" w:hAnsi="Arial"/>
                <w:sz w:val="18"/>
                <w:szCs w:val="18"/>
                <w:color w:val="auto"/>
              </w:rPr>
              <w:t>Matthew R. Gabelli</w:t>
            </w:r>
          </w:p>
        </w:tc>
        <w:tc>
          <w:tcPr>
            <w:tcW w:w="1120" w:type="dxa"/>
            <w:vAlign w:val="bottom"/>
          </w:tcPr>
          <w:p>
            <w:pPr>
              <w:spacing w:after="0"/>
              <w:rPr>
                <w:sz w:val="20"/>
                <w:szCs w:val="20"/>
                <w:color w:val="auto"/>
              </w:rPr>
            </w:pPr>
            <w:r>
              <w:rPr>
                <w:rFonts w:ascii="Arial" w:cs="Arial" w:eastAsia="Arial" w:hAnsi="Arial"/>
                <w:sz w:val="18"/>
                <w:szCs w:val="18"/>
                <w:color w:val="auto"/>
              </w:rPr>
              <w:t>Trustee</w:t>
            </w:r>
          </w:p>
        </w:tc>
      </w:tr>
      <w:tr>
        <w:trPr>
          <w:trHeight w:val="432"/>
        </w:trPr>
        <w:tc>
          <w:tcPr>
            <w:tcW w:w="3960" w:type="dxa"/>
            <w:vAlign w:val="bottom"/>
          </w:tcPr>
          <w:p>
            <w:pPr>
              <w:ind w:left="720"/>
              <w:spacing w:after="0"/>
              <w:rPr>
                <w:sz w:val="20"/>
                <w:szCs w:val="20"/>
                <w:color w:val="auto"/>
              </w:rPr>
            </w:pPr>
            <w:r>
              <w:rPr>
                <w:rFonts w:ascii="Arial" w:cs="Arial" w:eastAsia="Arial" w:hAnsi="Arial"/>
                <w:sz w:val="18"/>
                <w:szCs w:val="18"/>
                <w:color w:val="auto"/>
              </w:rPr>
              <w:t>Michael Gabelli</w:t>
            </w:r>
          </w:p>
        </w:tc>
        <w:tc>
          <w:tcPr>
            <w:tcW w:w="1120" w:type="dxa"/>
            <w:vAlign w:val="bottom"/>
          </w:tcPr>
          <w:p>
            <w:pPr>
              <w:spacing w:after="0"/>
              <w:rPr>
                <w:sz w:val="20"/>
                <w:szCs w:val="20"/>
                <w:color w:val="auto"/>
              </w:rPr>
            </w:pPr>
            <w:r>
              <w:rPr>
                <w:rFonts w:ascii="Arial" w:cs="Arial" w:eastAsia="Arial" w:hAnsi="Arial"/>
                <w:sz w:val="18"/>
                <w:szCs w:val="18"/>
                <w:color w:val="auto"/>
              </w:rPr>
              <w:t>Trustee</w:t>
            </w:r>
          </w:p>
        </w:tc>
      </w:tr>
      <w:tr>
        <w:trPr>
          <w:trHeight w:val="418"/>
        </w:trPr>
        <w:tc>
          <w:tcPr>
            <w:tcW w:w="3960" w:type="dxa"/>
            <w:vAlign w:val="bottom"/>
          </w:tcPr>
          <w:p>
            <w:pPr>
              <w:spacing w:after="0"/>
              <w:rPr>
                <w:sz w:val="20"/>
                <w:szCs w:val="20"/>
                <w:color w:val="auto"/>
              </w:rPr>
            </w:pPr>
            <w:r>
              <w:rPr>
                <w:rFonts w:ascii="Arial" w:cs="Arial" w:eastAsia="Arial" w:hAnsi="Arial"/>
                <w:sz w:val="18"/>
                <w:szCs w:val="18"/>
                <w:color w:val="auto"/>
              </w:rPr>
              <w:t>MJG-IV Limited Partnership</w:t>
            </w:r>
          </w:p>
        </w:tc>
        <w:tc>
          <w:tcPr>
            <w:tcW w:w="1120" w:type="dxa"/>
            <w:vAlign w:val="bottom"/>
          </w:tcPr>
          <w:p>
            <w:pPr>
              <w:spacing w:after="0"/>
              <w:rPr>
                <w:sz w:val="24"/>
                <w:szCs w:val="24"/>
                <w:color w:val="auto"/>
              </w:rPr>
            </w:pPr>
          </w:p>
        </w:tc>
      </w:tr>
      <w:tr>
        <w:trPr>
          <w:trHeight w:val="237"/>
        </w:trPr>
        <w:tc>
          <w:tcPr>
            <w:tcW w:w="3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Officers:</w:t>
            </w:r>
          </w:p>
        </w:tc>
        <w:tc>
          <w:tcPr>
            <w:tcW w:w="1120" w:type="dxa"/>
            <w:vAlign w:val="bottom"/>
          </w:tcPr>
          <w:p>
            <w:pPr>
              <w:spacing w:after="0"/>
              <w:rPr>
                <w:sz w:val="20"/>
                <w:szCs w:val="20"/>
                <w:color w:val="auto"/>
              </w:rPr>
            </w:pPr>
          </w:p>
        </w:tc>
      </w:tr>
      <w:tr>
        <w:trPr>
          <w:trHeight w:val="230"/>
        </w:trPr>
        <w:tc>
          <w:tcPr>
            <w:tcW w:w="3960" w:type="dxa"/>
            <w:vAlign w:val="bottom"/>
          </w:tcPr>
          <w:p>
            <w:pPr>
              <w:ind w:left="780"/>
              <w:spacing w:after="0"/>
              <w:rPr>
                <w:sz w:val="20"/>
                <w:szCs w:val="20"/>
                <w:color w:val="auto"/>
              </w:rPr>
            </w:pPr>
            <w:r>
              <w:rPr>
                <w:rFonts w:ascii="Arial" w:cs="Arial" w:eastAsia="Arial" w:hAnsi="Arial"/>
                <w:sz w:val="18"/>
                <w:szCs w:val="18"/>
                <w:color w:val="auto"/>
              </w:rPr>
              <w:t>Mario J. Gabelli</w:t>
            </w:r>
          </w:p>
        </w:tc>
        <w:tc>
          <w:tcPr>
            <w:tcW w:w="1120" w:type="dxa"/>
            <w:vAlign w:val="bottom"/>
          </w:tcPr>
          <w:p>
            <w:pPr>
              <w:spacing w:after="0"/>
              <w:rPr>
                <w:sz w:val="20"/>
                <w:szCs w:val="20"/>
                <w:color w:val="auto"/>
              </w:rPr>
            </w:pPr>
            <w:r>
              <w:rPr>
                <w:rFonts w:ascii="Arial" w:cs="Arial" w:eastAsia="Arial" w:hAnsi="Arial"/>
                <w:sz w:val="18"/>
                <w:szCs w:val="18"/>
                <w:color w:val="auto"/>
                <w:w w:val="85"/>
              </w:rPr>
              <w:t>General Partner</w:t>
            </w:r>
          </w:p>
        </w:tc>
      </w:tr>
    </w:tbl>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right"/>
        <w:ind w:right="4439"/>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19"/>
          </w:cols>
          <w:pgMar w:left="240" w:top="341" w:right="1440" w:bottom="1440" w:gutter="0" w:footer="0" w:header="0"/>
        </w:sectPr>
      </w:pPr>
    </w:p>
    <w:bookmarkStart w:id="15" w:name="page16"/>
    <w:bookmarkEnd w:id="15"/>
    <w:p>
      <w:pPr>
        <w:spacing w:after="0"/>
        <w:rPr>
          <w:sz w:val="20"/>
          <w:szCs w:val="20"/>
          <w:color w:val="auto"/>
        </w:rPr>
      </w:pPr>
      <w:r>
        <w:rPr>
          <w:rFonts w:ascii="Arial" w:cs="Arial" w:eastAsia="Arial" w:hAnsi="Arial"/>
          <w:sz w:val="18"/>
          <w:szCs w:val="18"/>
          <w:color w:val="auto"/>
        </w:rPr>
        <w:t>GGCP,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Directors:</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0"/>
        </w:trPr>
        <w:tc>
          <w:tcPr>
            <w:tcW w:w="4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r>
      <w:tr>
        <w:trPr>
          <w:trHeight w:val="189"/>
        </w:trPr>
        <w:tc>
          <w:tcPr>
            <w:tcW w:w="4120" w:type="dxa"/>
            <w:vAlign w:val="bottom"/>
          </w:tcPr>
          <w:p>
            <w:pPr>
              <w:ind w:left="680"/>
              <w:spacing w:after="0" w:line="189" w:lineRule="exact"/>
              <w:rPr>
                <w:sz w:val="20"/>
                <w:szCs w:val="20"/>
                <w:color w:val="auto"/>
              </w:rPr>
            </w:pPr>
            <w:r>
              <w:rPr>
                <w:rFonts w:ascii="Arial" w:cs="Arial" w:eastAsia="Arial" w:hAnsi="Arial"/>
                <w:sz w:val="18"/>
                <w:szCs w:val="18"/>
                <w:color w:val="auto"/>
              </w:rPr>
              <w:t>Mario J. Gabelli</w:t>
            </w:r>
          </w:p>
        </w:tc>
        <w:tc>
          <w:tcPr>
            <w:tcW w:w="6360" w:type="dxa"/>
            <w:vAlign w:val="bottom"/>
            <w:gridSpan w:val="2"/>
          </w:tcPr>
          <w:p>
            <w:pPr>
              <w:spacing w:after="0" w:line="189" w:lineRule="exact"/>
              <w:rPr>
                <w:sz w:val="20"/>
                <w:szCs w:val="20"/>
                <w:color w:val="auto"/>
              </w:rPr>
            </w:pPr>
            <w:r>
              <w:rPr>
                <w:rFonts w:ascii="Arial" w:cs="Arial" w:eastAsia="Arial" w:hAnsi="Arial"/>
                <w:sz w:val="18"/>
                <w:szCs w:val="18"/>
                <w:color w:val="auto"/>
              </w:rPr>
              <w:t>Chief Executive Officer and Chief Investment Officer of GGCP, Inc.</w:t>
            </w:r>
          </w:p>
        </w:tc>
      </w:tr>
      <w:tr>
        <w:trPr>
          <w:trHeight w:val="216"/>
        </w:trPr>
        <w:tc>
          <w:tcPr>
            <w:tcW w:w="4120" w:type="dxa"/>
            <w:vAlign w:val="bottom"/>
          </w:tcPr>
          <w:p>
            <w:pPr>
              <w:spacing w:after="0"/>
              <w:rPr>
                <w:sz w:val="18"/>
                <w:szCs w:val="18"/>
                <w:color w:val="auto"/>
              </w:rPr>
            </w:pPr>
          </w:p>
        </w:tc>
        <w:tc>
          <w:tcPr>
            <w:tcW w:w="6360" w:type="dxa"/>
            <w:vAlign w:val="bottom"/>
            <w:gridSpan w:val="2"/>
          </w:tcPr>
          <w:p>
            <w:pPr>
              <w:spacing w:after="0"/>
              <w:rPr>
                <w:sz w:val="20"/>
                <w:szCs w:val="20"/>
                <w:color w:val="auto"/>
              </w:rPr>
            </w:pPr>
            <w:r>
              <w:rPr>
                <w:rFonts w:ascii="Arial" w:cs="Arial" w:eastAsia="Arial" w:hAnsi="Arial"/>
                <w:sz w:val="18"/>
                <w:szCs w:val="18"/>
                <w:color w:val="auto"/>
              </w:rPr>
              <w:t>Chairman &amp; Chief Executive Officer of GAMCO Investors, Inc.</w:t>
            </w:r>
          </w:p>
        </w:tc>
      </w:tr>
      <w:tr>
        <w:trPr>
          <w:trHeight w:val="216"/>
        </w:trPr>
        <w:tc>
          <w:tcPr>
            <w:tcW w:w="4120" w:type="dxa"/>
            <w:vAlign w:val="bottom"/>
          </w:tcPr>
          <w:p>
            <w:pPr>
              <w:spacing w:after="0"/>
              <w:rPr>
                <w:sz w:val="18"/>
                <w:szCs w:val="18"/>
                <w:color w:val="auto"/>
              </w:rPr>
            </w:pPr>
          </w:p>
        </w:tc>
        <w:tc>
          <w:tcPr>
            <w:tcW w:w="6360" w:type="dxa"/>
            <w:vAlign w:val="bottom"/>
            <w:gridSpan w:val="2"/>
          </w:tcPr>
          <w:p>
            <w:pPr>
              <w:spacing w:after="0"/>
              <w:rPr>
                <w:sz w:val="20"/>
                <w:szCs w:val="20"/>
                <w:color w:val="auto"/>
              </w:rPr>
            </w:pPr>
            <w:r>
              <w:rPr>
                <w:rFonts w:ascii="Arial" w:cs="Arial" w:eastAsia="Arial" w:hAnsi="Arial"/>
                <w:sz w:val="18"/>
                <w:szCs w:val="18"/>
                <w:color w:val="auto"/>
                <w:w w:val="99"/>
              </w:rPr>
              <w:t>Executive Chairman &amp; Chief Executive Officer of Associated Capital Group, Inc.</w:t>
            </w:r>
          </w:p>
        </w:tc>
      </w:tr>
      <w:tr>
        <w:trPr>
          <w:trHeight w:val="230"/>
        </w:trPr>
        <w:tc>
          <w:tcPr>
            <w:tcW w:w="4120" w:type="dxa"/>
            <w:vAlign w:val="bottom"/>
          </w:tcPr>
          <w:p>
            <w:pPr>
              <w:spacing w:after="0"/>
              <w:rPr>
                <w:sz w:val="20"/>
                <w:szCs w:val="20"/>
                <w:color w:val="auto"/>
              </w:rPr>
            </w:pPr>
          </w:p>
        </w:tc>
        <w:tc>
          <w:tcPr>
            <w:tcW w:w="6360" w:type="dxa"/>
            <w:vAlign w:val="bottom"/>
            <w:gridSpan w:val="2"/>
          </w:tcPr>
          <w:p>
            <w:pPr>
              <w:spacing w:after="0"/>
              <w:rPr>
                <w:sz w:val="20"/>
                <w:szCs w:val="20"/>
                <w:color w:val="auto"/>
              </w:rPr>
            </w:pPr>
            <w:r>
              <w:rPr>
                <w:rFonts w:ascii="Arial" w:cs="Arial" w:eastAsia="Arial" w:hAnsi="Arial"/>
                <w:sz w:val="18"/>
                <w:szCs w:val="18"/>
                <w:color w:val="auto"/>
                <w:w w:val="91"/>
              </w:rPr>
              <w:t>Director/Trustee of all registered investment companies advised by Gabelli Funds, LLC.</w:t>
            </w:r>
          </w:p>
        </w:tc>
      </w:tr>
      <w:tr>
        <w:trPr>
          <w:trHeight w:val="418"/>
        </w:trPr>
        <w:tc>
          <w:tcPr>
            <w:tcW w:w="4120" w:type="dxa"/>
            <w:vAlign w:val="bottom"/>
          </w:tcPr>
          <w:p>
            <w:pPr>
              <w:ind w:left="660"/>
              <w:spacing w:after="0"/>
              <w:rPr>
                <w:sz w:val="20"/>
                <w:szCs w:val="20"/>
                <w:color w:val="auto"/>
              </w:rPr>
            </w:pPr>
            <w:r>
              <w:rPr>
                <w:rFonts w:ascii="Arial" w:cs="Arial" w:eastAsia="Arial" w:hAnsi="Arial"/>
                <w:sz w:val="18"/>
                <w:szCs w:val="18"/>
                <w:color w:val="auto"/>
              </w:rPr>
              <w:t>Marc J. Gabelli</w:t>
            </w:r>
          </w:p>
        </w:tc>
        <w:tc>
          <w:tcPr>
            <w:tcW w:w="6360" w:type="dxa"/>
            <w:vAlign w:val="bottom"/>
            <w:gridSpan w:val="2"/>
          </w:tcPr>
          <w:p>
            <w:pPr>
              <w:spacing w:after="0"/>
              <w:rPr>
                <w:sz w:val="20"/>
                <w:szCs w:val="20"/>
                <w:color w:val="auto"/>
              </w:rPr>
            </w:pPr>
            <w:r>
              <w:rPr>
                <w:rFonts w:ascii="Arial" w:cs="Arial" w:eastAsia="Arial" w:hAnsi="Arial"/>
                <w:sz w:val="18"/>
                <w:szCs w:val="18"/>
                <w:color w:val="auto"/>
              </w:rPr>
              <w:t>President of Associated Capital Group, Inc.</w:t>
            </w:r>
          </w:p>
        </w:tc>
      </w:tr>
      <w:tr>
        <w:trPr>
          <w:trHeight w:val="230"/>
        </w:trPr>
        <w:tc>
          <w:tcPr>
            <w:tcW w:w="4120" w:type="dxa"/>
            <w:vAlign w:val="bottom"/>
          </w:tcPr>
          <w:p>
            <w:pPr>
              <w:spacing w:after="0"/>
              <w:rPr>
                <w:sz w:val="20"/>
                <w:szCs w:val="20"/>
                <w:color w:val="auto"/>
              </w:rPr>
            </w:pPr>
          </w:p>
        </w:tc>
        <w:tc>
          <w:tcPr>
            <w:tcW w:w="6360" w:type="dxa"/>
            <w:vAlign w:val="bottom"/>
            <w:gridSpan w:val="2"/>
          </w:tcPr>
          <w:p>
            <w:pPr>
              <w:spacing w:after="0"/>
              <w:rPr>
                <w:sz w:val="20"/>
                <w:szCs w:val="20"/>
                <w:color w:val="auto"/>
              </w:rPr>
            </w:pPr>
            <w:r>
              <w:rPr>
                <w:rFonts w:ascii="Arial" w:cs="Arial" w:eastAsia="Arial" w:hAnsi="Arial"/>
                <w:sz w:val="18"/>
                <w:szCs w:val="18"/>
                <w:color w:val="auto"/>
              </w:rPr>
              <w:t>President and Managing Director of Gabelli Securities, Inc.</w:t>
            </w:r>
          </w:p>
        </w:tc>
      </w:tr>
      <w:tr>
        <w:trPr>
          <w:trHeight w:val="418"/>
        </w:trPr>
        <w:tc>
          <w:tcPr>
            <w:tcW w:w="4120" w:type="dxa"/>
            <w:vAlign w:val="bottom"/>
          </w:tcPr>
          <w:p>
            <w:pPr>
              <w:ind w:left="660"/>
              <w:spacing w:after="0"/>
              <w:rPr>
                <w:sz w:val="20"/>
                <w:szCs w:val="20"/>
                <w:color w:val="auto"/>
              </w:rPr>
            </w:pPr>
            <w:r>
              <w:rPr>
                <w:rFonts w:ascii="Arial" w:cs="Arial" w:eastAsia="Arial" w:hAnsi="Arial"/>
                <w:sz w:val="18"/>
                <w:szCs w:val="18"/>
                <w:color w:val="auto"/>
              </w:rPr>
              <w:t>Matthew R. Gabelli</w:t>
            </w:r>
          </w:p>
        </w:tc>
        <w:tc>
          <w:tcPr>
            <w:tcW w:w="6360" w:type="dxa"/>
            <w:vAlign w:val="bottom"/>
            <w:gridSpan w:val="2"/>
          </w:tcPr>
          <w:p>
            <w:pPr>
              <w:spacing w:after="0"/>
              <w:rPr>
                <w:sz w:val="20"/>
                <w:szCs w:val="20"/>
                <w:color w:val="auto"/>
              </w:rPr>
            </w:pPr>
            <w:r>
              <w:rPr>
                <w:rFonts w:ascii="Arial" w:cs="Arial" w:eastAsia="Arial" w:hAnsi="Arial"/>
                <w:sz w:val="18"/>
                <w:szCs w:val="18"/>
                <w:color w:val="auto"/>
              </w:rPr>
              <w:t>Vice President – Trading</w:t>
            </w:r>
          </w:p>
        </w:tc>
      </w:tr>
      <w:tr>
        <w:trPr>
          <w:trHeight w:val="216"/>
        </w:trPr>
        <w:tc>
          <w:tcPr>
            <w:tcW w:w="4120" w:type="dxa"/>
            <w:vAlign w:val="bottom"/>
          </w:tcPr>
          <w:p>
            <w:pPr>
              <w:spacing w:after="0"/>
              <w:rPr>
                <w:sz w:val="18"/>
                <w:szCs w:val="18"/>
                <w:color w:val="auto"/>
              </w:rPr>
            </w:pPr>
          </w:p>
        </w:tc>
        <w:tc>
          <w:tcPr>
            <w:tcW w:w="6360" w:type="dxa"/>
            <w:vAlign w:val="bottom"/>
            <w:gridSpan w:val="2"/>
          </w:tcPr>
          <w:p>
            <w:pPr>
              <w:spacing w:after="0"/>
              <w:rPr>
                <w:sz w:val="20"/>
                <w:szCs w:val="20"/>
                <w:color w:val="auto"/>
              </w:rPr>
            </w:pPr>
            <w:r>
              <w:rPr>
                <w:rFonts w:ascii="Arial" w:cs="Arial" w:eastAsia="Arial" w:hAnsi="Arial"/>
                <w:sz w:val="18"/>
                <w:szCs w:val="18"/>
                <w:color w:val="auto"/>
              </w:rPr>
              <w:t>G.research, Inc.</w:t>
            </w:r>
          </w:p>
        </w:tc>
      </w:tr>
      <w:tr>
        <w:trPr>
          <w:trHeight w:val="216"/>
        </w:trPr>
        <w:tc>
          <w:tcPr>
            <w:tcW w:w="4120" w:type="dxa"/>
            <w:vAlign w:val="bottom"/>
          </w:tcPr>
          <w:p>
            <w:pPr>
              <w:spacing w:after="0"/>
              <w:rPr>
                <w:sz w:val="18"/>
                <w:szCs w:val="18"/>
                <w:color w:val="auto"/>
              </w:rPr>
            </w:pPr>
          </w:p>
        </w:tc>
        <w:tc>
          <w:tcPr>
            <w:tcW w:w="6360" w:type="dxa"/>
            <w:vAlign w:val="bottom"/>
            <w:gridSpan w:val="2"/>
          </w:tcPr>
          <w:p>
            <w:pPr>
              <w:spacing w:after="0"/>
              <w:rPr>
                <w:sz w:val="20"/>
                <w:szCs w:val="20"/>
                <w:color w:val="auto"/>
              </w:rPr>
            </w:pPr>
            <w:r>
              <w:rPr>
                <w:rFonts w:ascii="Arial" w:cs="Arial" w:eastAsia="Arial" w:hAnsi="Arial"/>
                <w:sz w:val="18"/>
                <w:szCs w:val="18"/>
                <w:color w:val="auto"/>
              </w:rPr>
              <w:t>One Corporate Center</w:t>
            </w:r>
          </w:p>
        </w:tc>
      </w:tr>
      <w:tr>
        <w:trPr>
          <w:trHeight w:val="230"/>
        </w:trPr>
        <w:tc>
          <w:tcPr>
            <w:tcW w:w="4120" w:type="dxa"/>
            <w:vAlign w:val="bottom"/>
          </w:tcPr>
          <w:p>
            <w:pPr>
              <w:spacing w:after="0"/>
              <w:rPr>
                <w:sz w:val="20"/>
                <w:szCs w:val="20"/>
                <w:color w:val="auto"/>
              </w:rPr>
            </w:pPr>
          </w:p>
        </w:tc>
        <w:tc>
          <w:tcPr>
            <w:tcW w:w="6360" w:type="dxa"/>
            <w:vAlign w:val="bottom"/>
            <w:gridSpan w:val="2"/>
          </w:tcPr>
          <w:p>
            <w:pPr>
              <w:spacing w:after="0"/>
              <w:rPr>
                <w:sz w:val="20"/>
                <w:szCs w:val="20"/>
                <w:color w:val="auto"/>
              </w:rPr>
            </w:pPr>
            <w:r>
              <w:rPr>
                <w:rFonts w:ascii="Arial" w:cs="Arial" w:eastAsia="Arial" w:hAnsi="Arial"/>
                <w:sz w:val="18"/>
                <w:szCs w:val="18"/>
                <w:color w:val="auto"/>
              </w:rPr>
              <w:t>Rye, NY 10580</w:t>
            </w:r>
          </w:p>
        </w:tc>
      </w:tr>
      <w:tr>
        <w:trPr>
          <w:trHeight w:val="418"/>
        </w:trPr>
        <w:tc>
          <w:tcPr>
            <w:tcW w:w="4120" w:type="dxa"/>
            <w:vAlign w:val="bottom"/>
          </w:tcPr>
          <w:p>
            <w:pPr>
              <w:ind w:left="640"/>
              <w:spacing w:after="0"/>
              <w:rPr>
                <w:sz w:val="20"/>
                <w:szCs w:val="20"/>
                <w:color w:val="auto"/>
              </w:rPr>
            </w:pPr>
            <w:r>
              <w:rPr>
                <w:rFonts w:ascii="Arial" w:cs="Arial" w:eastAsia="Arial" w:hAnsi="Arial"/>
                <w:sz w:val="18"/>
                <w:szCs w:val="18"/>
                <w:color w:val="auto"/>
              </w:rPr>
              <w:t>Michael Gabelli</w:t>
            </w:r>
          </w:p>
        </w:tc>
        <w:tc>
          <w:tcPr>
            <w:tcW w:w="6360" w:type="dxa"/>
            <w:vAlign w:val="bottom"/>
            <w:gridSpan w:val="2"/>
          </w:tcPr>
          <w:p>
            <w:pPr>
              <w:spacing w:after="0"/>
              <w:rPr>
                <w:sz w:val="20"/>
                <w:szCs w:val="20"/>
                <w:color w:val="auto"/>
              </w:rPr>
            </w:pPr>
            <w:r>
              <w:rPr>
                <w:rFonts w:ascii="Arial" w:cs="Arial" w:eastAsia="Arial" w:hAnsi="Arial"/>
                <w:sz w:val="18"/>
                <w:szCs w:val="18"/>
                <w:color w:val="auto"/>
              </w:rPr>
              <w:t>President &amp; COO</w:t>
            </w:r>
          </w:p>
        </w:tc>
      </w:tr>
      <w:tr>
        <w:trPr>
          <w:trHeight w:val="216"/>
        </w:trPr>
        <w:tc>
          <w:tcPr>
            <w:tcW w:w="4120" w:type="dxa"/>
            <w:vAlign w:val="bottom"/>
          </w:tcPr>
          <w:p>
            <w:pPr>
              <w:spacing w:after="0"/>
              <w:rPr>
                <w:sz w:val="18"/>
                <w:szCs w:val="18"/>
                <w:color w:val="auto"/>
              </w:rPr>
            </w:pPr>
          </w:p>
        </w:tc>
        <w:tc>
          <w:tcPr>
            <w:tcW w:w="6360" w:type="dxa"/>
            <w:vAlign w:val="bottom"/>
            <w:gridSpan w:val="2"/>
          </w:tcPr>
          <w:p>
            <w:pPr>
              <w:spacing w:after="0"/>
              <w:rPr>
                <w:sz w:val="20"/>
                <w:szCs w:val="20"/>
                <w:color w:val="auto"/>
              </w:rPr>
            </w:pPr>
            <w:r>
              <w:rPr>
                <w:rFonts w:ascii="Arial" w:cs="Arial" w:eastAsia="Arial" w:hAnsi="Arial"/>
                <w:sz w:val="18"/>
                <w:szCs w:val="18"/>
                <w:color w:val="auto"/>
              </w:rPr>
              <w:t>Gabelli &amp; Partners, LLC</w:t>
            </w:r>
          </w:p>
        </w:tc>
      </w:tr>
      <w:tr>
        <w:trPr>
          <w:trHeight w:val="216"/>
        </w:trPr>
        <w:tc>
          <w:tcPr>
            <w:tcW w:w="4120" w:type="dxa"/>
            <w:vAlign w:val="bottom"/>
          </w:tcPr>
          <w:p>
            <w:pPr>
              <w:spacing w:after="0"/>
              <w:rPr>
                <w:sz w:val="18"/>
                <w:szCs w:val="18"/>
                <w:color w:val="auto"/>
              </w:rPr>
            </w:pPr>
          </w:p>
        </w:tc>
        <w:tc>
          <w:tcPr>
            <w:tcW w:w="6360" w:type="dxa"/>
            <w:vAlign w:val="bottom"/>
            <w:gridSpan w:val="2"/>
          </w:tcPr>
          <w:p>
            <w:pPr>
              <w:spacing w:after="0"/>
              <w:rPr>
                <w:sz w:val="20"/>
                <w:szCs w:val="20"/>
                <w:color w:val="auto"/>
              </w:rPr>
            </w:pPr>
            <w:r>
              <w:rPr>
                <w:rFonts w:ascii="Arial" w:cs="Arial" w:eastAsia="Arial" w:hAnsi="Arial"/>
                <w:sz w:val="18"/>
                <w:szCs w:val="18"/>
                <w:color w:val="auto"/>
              </w:rPr>
              <w:t>One Corporate Center</w:t>
            </w:r>
          </w:p>
        </w:tc>
      </w:tr>
      <w:tr>
        <w:trPr>
          <w:trHeight w:val="230"/>
        </w:trPr>
        <w:tc>
          <w:tcPr>
            <w:tcW w:w="4120" w:type="dxa"/>
            <w:vAlign w:val="bottom"/>
          </w:tcPr>
          <w:p>
            <w:pPr>
              <w:spacing w:after="0"/>
              <w:rPr>
                <w:sz w:val="20"/>
                <w:szCs w:val="20"/>
                <w:color w:val="auto"/>
              </w:rPr>
            </w:pPr>
          </w:p>
        </w:tc>
        <w:tc>
          <w:tcPr>
            <w:tcW w:w="6360" w:type="dxa"/>
            <w:vAlign w:val="bottom"/>
            <w:gridSpan w:val="2"/>
          </w:tcPr>
          <w:p>
            <w:pPr>
              <w:spacing w:after="0"/>
              <w:rPr>
                <w:sz w:val="20"/>
                <w:szCs w:val="20"/>
                <w:color w:val="auto"/>
              </w:rPr>
            </w:pPr>
            <w:r>
              <w:rPr>
                <w:rFonts w:ascii="Arial" w:cs="Arial" w:eastAsia="Arial" w:hAnsi="Arial"/>
                <w:sz w:val="18"/>
                <w:szCs w:val="18"/>
                <w:color w:val="auto"/>
              </w:rPr>
              <w:t>Rye, NY 10580</w:t>
            </w:r>
          </w:p>
        </w:tc>
      </w:tr>
      <w:tr>
        <w:trPr>
          <w:trHeight w:val="634"/>
        </w:trPr>
        <w:tc>
          <w:tcPr>
            <w:tcW w:w="4120" w:type="dxa"/>
            <w:vAlign w:val="bottom"/>
          </w:tcPr>
          <w:p>
            <w:pPr>
              <w:ind w:left="640"/>
              <w:spacing w:after="0"/>
              <w:rPr>
                <w:sz w:val="20"/>
                <w:szCs w:val="20"/>
                <w:color w:val="auto"/>
              </w:rPr>
            </w:pPr>
            <w:r>
              <w:rPr>
                <w:rFonts w:ascii="Arial" w:cs="Arial" w:eastAsia="Arial" w:hAnsi="Arial"/>
                <w:sz w:val="18"/>
                <w:szCs w:val="18"/>
                <w:color w:val="auto"/>
              </w:rPr>
              <w:t>Frederic V. Salerno</w:t>
            </w:r>
          </w:p>
        </w:tc>
        <w:tc>
          <w:tcPr>
            <w:tcW w:w="6360" w:type="dxa"/>
            <w:vAlign w:val="bottom"/>
            <w:gridSpan w:val="2"/>
          </w:tcPr>
          <w:p>
            <w:pPr>
              <w:spacing w:after="0"/>
              <w:rPr>
                <w:sz w:val="20"/>
                <w:szCs w:val="20"/>
                <w:color w:val="auto"/>
              </w:rPr>
            </w:pPr>
            <w:r>
              <w:rPr>
                <w:rFonts w:ascii="Arial" w:cs="Arial" w:eastAsia="Arial" w:hAnsi="Arial"/>
                <w:sz w:val="18"/>
                <w:szCs w:val="18"/>
                <w:color w:val="auto"/>
              </w:rPr>
              <w:t>Chairman</w:t>
            </w:r>
          </w:p>
        </w:tc>
      </w:tr>
      <w:tr>
        <w:trPr>
          <w:trHeight w:val="216"/>
        </w:trPr>
        <w:tc>
          <w:tcPr>
            <w:tcW w:w="4120" w:type="dxa"/>
            <w:vAlign w:val="bottom"/>
          </w:tcPr>
          <w:p>
            <w:pPr>
              <w:spacing w:after="0"/>
              <w:rPr>
                <w:sz w:val="18"/>
                <w:szCs w:val="18"/>
                <w:color w:val="auto"/>
              </w:rPr>
            </w:pPr>
          </w:p>
        </w:tc>
        <w:tc>
          <w:tcPr>
            <w:tcW w:w="6360" w:type="dxa"/>
            <w:vAlign w:val="bottom"/>
            <w:gridSpan w:val="2"/>
          </w:tcPr>
          <w:p>
            <w:pPr>
              <w:spacing w:after="0"/>
              <w:rPr>
                <w:sz w:val="20"/>
                <w:szCs w:val="20"/>
                <w:color w:val="auto"/>
              </w:rPr>
            </w:pPr>
            <w:r>
              <w:rPr>
                <w:rFonts w:ascii="Arial" w:cs="Arial" w:eastAsia="Arial" w:hAnsi="Arial"/>
                <w:sz w:val="18"/>
                <w:szCs w:val="18"/>
                <w:color w:val="auto"/>
              </w:rPr>
              <w:t>Former Vice Chairman and Chief Financial Officer</w:t>
            </w:r>
          </w:p>
        </w:tc>
      </w:tr>
      <w:tr>
        <w:trPr>
          <w:trHeight w:val="230"/>
        </w:trPr>
        <w:tc>
          <w:tcPr>
            <w:tcW w:w="4120" w:type="dxa"/>
            <w:vAlign w:val="bottom"/>
          </w:tcPr>
          <w:p>
            <w:pPr>
              <w:spacing w:after="0"/>
              <w:rPr>
                <w:sz w:val="20"/>
                <w:szCs w:val="20"/>
                <w:color w:val="auto"/>
              </w:rPr>
            </w:pPr>
          </w:p>
        </w:tc>
        <w:tc>
          <w:tcPr>
            <w:tcW w:w="6360" w:type="dxa"/>
            <w:vAlign w:val="bottom"/>
            <w:gridSpan w:val="2"/>
          </w:tcPr>
          <w:p>
            <w:pPr>
              <w:spacing w:after="0"/>
              <w:rPr>
                <w:sz w:val="20"/>
                <w:szCs w:val="20"/>
                <w:color w:val="auto"/>
              </w:rPr>
            </w:pPr>
            <w:r>
              <w:rPr>
                <w:rFonts w:ascii="Arial" w:cs="Arial" w:eastAsia="Arial" w:hAnsi="Arial"/>
                <w:sz w:val="18"/>
                <w:szCs w:val="18"/>
                <w:color w:val="auto"/>
              </w:rPr>
              <w:t>Verizon Communications</w:t>
            </w:r>
          </w:p>
        </w:tc>
      </w:tr>
      <w:tr>
        <w:trPr>
          <w:trHeight w:val="648"/>
        </w:trPr>
        <w:tc>
          <w:tcPr>
            <w:tcW w:w="4120" w:type="dxa"/>
            <w:vAlign w:val="bottom"/>
          </w:tcPr>
          <w:p>
            <w:pPr>
              <w:ind w:left="680"/>
              <w:spacing w:after="0"/>
              <w:rPr>
                <w:sz w:val="20"/>
                <w:szCs w:val="20"/>
                <w:color w:val="auto"/>
              </w:rPr>
            </w:pPr>
            <w:r>
              <w:rPr>
                <w:rFonts w:ascii="Arial" w:cs="Arial" w:eastAsia="Arial" w:hAnsi="Arial"/>
                <w:sz w:val="18"/>
                <w:szCs w:val="18"/>
                <w:color w:val="auto"/>
              </w:rPr>
              <w:t>Vincent S. Tese</w:t>
            </w:r>
          </w:p>
        </w:tc>
        <w:tc>
          <w:tcPr>
            <w:tcW w:w="6360" w:type="dxa"/>
            <w:vAlign w:val="bottom"/>
            <w:gridSpan w:val="2"/>
          </w:tcPr>
          <w:p>
            <w:pPr>
              <w:spacing w:after="0"/>
              <w:rPr>
                <w:sz w:val="20"/>
                <w:szCs w:val="20"/>
                <w:color w:val="auto"/>
              </w:rPr>
            </w:pPr>
            <w:r>
              <w:rPr>
                <w:rFonts w:ascii="Arial" w:cs="Arial" w:eastAsia="Arial" w:hAnsi="Arial"/>
                <w:sz w:val="18"/>
                <w:szCs w:val="18"/>
                <w:color w:val="auto"/>
              </w:rPr>
              <w:t>Executive Chairman – FCB Financial Corp</w:t>
            </w:r>
          </w:p>
        </w:tc>
      </w:tr>
      <w:tr>
        <w:trPr>
          <w:trHeight w:val="418"/>
        </w:trPr>
        <w:tc>
          <w:tcPr>
            <w:tcW w:w="4120" w:type="dxa"/>
            <w:vAlign w:val="bottom"/>
          </w:tcPr>
          <w:p>
            <w:pPr>
              <w:spacing w:after="0"/>
              <w:rPr>
                <w:sz w:val="20"/>
                <w:szCs w:val="20"/>
                <w:color w:val="auto"/>
              </w:rPr>
            </w:pPr>
            <w:r>
              <w:rPr>
                <w:rFonts w:ascii="Arial" w:cs="Arial" w:eastAsia="Arial" w:hAnsi="Arial"/>
                <w:sz w:val="18"/>
                <w:szCs w:val="18"/>
                <w:color w:val="auto"/>
              </w:rPr>
              <w:t>Officers:</w:t>
            </w:r>
          </w:p>
        </w:tc>
        <w:tc>
          <w:tcPr>
            <w:tcW w:w="960" w:type="dxa"/>
            <w:vAlign w:val="bottom"/>
          </w:tcPr>
          <w:p>
            <w:pPr>
              <w:spacing w:after="0"/>
              <w:rPr>
                <w:sz w:val="24"/>
                <w:szCs w:val="24"/>
                <w:color w:val="auto"/>
              </w:rPr>
            </w:pPr>
          </w:p>
        </w:tc>
        <w:tc>
          <w:tcPr>
            <w:tcW w:w="5400" w:type="dxa"/>
            <w:vAlign w:val="bottom"/>
          </w:tcPr>
          <w:p>
            <w:pPr>
              <w:spacing w:after="0"/>
              <w:rPr>
                <w:sz w:val="24"/>
                <w:szCs w:val="24"/>
                <w:color w:val="auto"/>
              </w:rPr>
            </w:pPr>
          </w:p>
        </w:tc>
      </w:tr>
      <w:tr>
        <w:trPr>
          <w:trHeight w:val="216"/>
        </w:trPr>
        <w:tc>
          <w:tcPr>
            <w:tcW w:w="4120" w:type="dxa"/>
            <w:vAlign w:val="bottom"/>
          </w:tcPr>
          <w:p>
            <w:pPr>
              <w:ind w:left="660"/>
              <w:spacing w:after="0"/>
              <w:rPr>
                <w:sz w:val="20"/>
                <w:szCs w:val="20"/>
                <w:color w:val="auto"/>
              </w:rPr>
            </w:pPr>
            <w:r>
              <w:rPr>
                <w:rFonts w:ascii="Arial" w:cs="Arial" w:eastAsia="Arial" w:hAnsi="Arial"/>
                <w:sz w:val="18"/>
                <w:szCs w:val="18"/>
                <w:color w:val="auto"/>
              </w:rPr>
              <w:t>Mario J. Gabelli</w:t>
            </w:r>
          </w:p>
        </w:tc>
        <w:tc>
          <w:tcPr>
            <w:tcW w:w="6360" w:type="dxa"/>
            <w:vAlign w:val="bottom"/>
            <w:gridSpan w:val="2"/>
          </w:tcPr>
          <w:p>
            <w:pPr>
              <w:spacing w:after="0"/>
              <w:rPr>
                <w:sz w:val="20"/>
                <w:szCs w:val="20"/>
                <w:color w:val="auto"/>
              </w:rPr>
            </w:pPr>
            <w:r>
              <w:rPr>
                <w:rFonts w:ascii="Arial" w:cs="Arial" w:eastAsia="Arial" w:hAnsi="Arial"/>
                <w:sz w:val="18"/>
                <w:szCs w:val="18"/>
                <w:color w:val="auto"/>
              </w:rPr>
              <w:t>Chief Executive Officer and Chief Investment Officer</w:t>
            </w:r>
          </w:p>
        </w:tc>
      </w:tr>
      <w:tr>
        <w:trPr>
          <w:trHeight w:val="216"/>
        </w:trPr>
        <w:tc>
          <w:tcPr>
            <w:tcW w:w="4120" w:type="dxa"/>
            <w:vAlign w:val="bottom"/>
          </w:tcPr>
          <w:p>
            <w:pPr>
              <w:ind w:left="640"/>
              <w:spacing w:after="0"/>
              <w:rPr>
                <w:sz w:val="20"/>
                <w:szCs w:val="20"/>
                <w:color w:val="auto"/>
              </w:rPr>
            </w:pPr>
            <w:r>
              <w:rPr>
                <w:rFonts w:ascii="Arial" w:cs="Arial" w:eastAsia="Arial" w:hAnsi="Arial"/>
                <w:sz w:val="18"/>
                <w:szCs w:val="18"/>
                <w:color w:val="auto"/>
              </w:rPr>
              <w:t>Marc J. Gabelli</w:t>
            </w:r>
          </w:p>
        </w:tc>
        <w:tc>
          <w:tcPr>
            <w:tcW w:w="6360" w:type="dxa"/>
            <w:vAlign w:val="bottom"/>
            <w:gridSpan w:val="2"/>
          </w:tcPr>
          <w:p>
            <w:pPr>
              <w:spacing w:after="0"/>
              <w:rPr>
                <w:sz w:val="20"/>
                <w:szCs w:val="20"/>
                <w:color w:val="auto"/>
              </w:rPr>
            </w:pPr>
            <w:r>
              <w:rPr>
                <w:rFonts w:ascii="Arial" w:cs="Arial" w:eastAsia="Arial" w:hAnsi="Arial"/>
                <w:sz w:val="18"/>
                <w:szCs w:val="18"/>
                <w:color w:val="auto"/>
              </w:rPr>
              <w:t>President</w:t>
            </w:r>
          </w:p>
        </w:tc>
      </w:tr>
      <w:tr>
        <w:trPr>
          <w:trHeight w:val="230"/>
        </w:trPr>
        <w:tc>
          <w:tcPr>
            <w:tcW w:w="4120" w:type="dxa"/>
            <w:vAlign w:val="bottom"/>
          </w:tcPr>
          <w:p>
            <w:pPr>
              <w:ind w:left="680"/>
              <w:spacing w:after="0"/>
              <w:rPr>
                <w:sz w:val="20"/>
                <w:szCs w:val="20"/>
                <w:color w:val="auto"/>
              </w:rPr>
            </w:pPr>
            <w:r>
              <w:rPr>
                <w:rFonts w:ascii="Arial" w:cs="Arial" w:eastAsia="Arial" w:hAnsi="Arial"/>
                <w:sz w:val="18"/>
                <w:szCs w:val="18"/>
                <w:color w:val="auto"/>
              </w:rPr>
              <w:t>Silvio A. Berni</w:t>
            </w:r>
          </w:p>
        </w:tc>
        <w:tc>
          <w:tcPr>
            <w:tcW w:w="6360" w:type="dxa"/>
            <w:vAlign w:val="bottom"/>
            <w:gridSpan w:val="2"/>
          </w:tcPr>
          <w:p>
            <w:pPr>
              <w:spacing w:after="0"/>
              <w:rPr>
                <w:sz w:val="20"/>
                <w:szCs w:val="20"/>
                <w:color w:val="auto"/>
              </w:rPr>
            </w:pPr>
            <w:r>
              <w:rPr>
                <w:rFonts w:ascii="Arial" w:cs="Arial" w:eastAsia="Arial" w:hAnsi="Arial"/>
                <w:sz w:val="18"/>
                <w:szCs w:val="18"/>
                <w:color w:val="auto"/>
              </w:rPr>
              <w:t>Vice President, Assistant Secretary and Controller</w:t>
            </w:r>
          </w:p>
        </w:tc>
      </w:tr>
      <w:tr>
        <w:trPr>
          <w:trHeight w:val="634"/>
        </w:trPr>
        <w:tc>
          <w:tcPr>
            <w:tcW w:w="4120" w:type="dxa"/>
            <w:vAlign w:val="bottom"/>
          </w:tcPr>
          <w:p>
            <w:pPr>
              <w:spacing w:after="0"/>
              <w:rPr>
                <w:sz w:val="20"/>
                <w:szCs w:val="20"/>
                <w:color w:val="auto"/>
              </w:rPr>
            </w:pPr>
            <w:r>
              <w:rPr>
                <w:rFonts w:ascii="Arial" w:cs="Arial" w:eastAsia="Arial" w:hAnsi="Arial"/>
                <w:sz w:val="18"/>
                <w:szCs w:val="18"/>
                <w:color w:val="auto"/>
              </w:rPr>
              <w:t>GGCP Holdings LLC</w:t>
            </w:r>
          </w:p>
        </w:tc>
        <w:tc>
          <w:tcPr>
            <w:tcW w:w="960" w:type="dxa"/>
            <w:vAlign w:val="bottom"/>
          </w:tcPr>
          <w:p>
            <w:pPr>
              <w:spacing w:after="0"/>
              <w:rPr>
                <w:sz w:val="24"/>
                <w:szCs w:val="24"/>
                <w:color w:val="auto"/>
              </w:rPr>
            </w:pPr>
          </w:p>
        </w:tc>
        <w:tc>
          <w:tcPr>
            <w:tcW w:w="5400" w:type="dxa"/>
            <w:vAlign w:val="bottom"/>
          </w:tcPr>
          <w:p>
            <w:pPr>
              <w:spacing w:after="0"/>
              <w:rPr>
                <w:sz w:val="24"/>
                <w:szCs w:val="24"/>
                <w:color w:val="auto"/>
              </w:rPr>
            </w:pPr>
          </w:p>
        </w:tc>
      </w:tr>
      <w:tr>
        <w:trPr>
          <w:trHeight w:val="230"/>
        </w:trPr>
        <w:tc>
          <w:tcPr>
            <w:tcW w:w="4120" w:type="dxa"/>
            <w:vAlign w:val="bottom"/>
          </w:tcPr>
          <w:p>
            <w:pPr>
              <w:spacing w:after="0"/>
              <w:rPr>
                <w:sz w:val="20"/>
                <w:szCs w:val="20"/>
                <w:color w:val="auto"/>
              </w:rPr>
            </w:pPr>
            <w:r>
              <w:rPr>
                <w:rFonts w:ascii="Arial" w:cs="Arial" w:eastAsia="Arial" w:hAnsi="Arial"/>
                <w:sz w:val="18"/>
                <w:szCs w:val="18"/>
                <w:color w:val="auto"/>
              </w:rPr>
              <w:t>Members:</w:t>
            </w:r>
          </w:p>
        </w:tc>
        <w:tc>
          <w:tcPr>
            <w:tcW w:w="960" w:type="dxa"/>
            <w:vAlign w:val="bottom"/>
          </w:tcPr>
          <w:p>
            <w:pPr>
              <w:spacing w:after="0"/>
              <w:rPr>
                <w:sz w:val="20"/>
                <w:szCs w:val="20"/>
                <w:color w:val="auto"/>
              </w:rPr>
            </w:pPr>
          </w:p>
        </w:tc>
        <w:tc>
          <w:tcPr>
            <w:tcW w:w="5400" w:type="dxa"/>
            <w:vAlign w:val="bottom"/>
          </w:tcPr>
          <w:p>
            <w:pPr>
              <w:spacing w:after="0"/>
              <w:rPr>
                <w:sz w:val="20"/>
                <w:szCs w:val="20"/>
                <w:color w:val="auto"/>
              </w:rPr>
            </w:pPr>
          </w:p>
        </w:tc>
      </w:tr>
      <w:tr>
        <w:trPr>
          <w:trHeight w:val="432"/>
        </w:trPr>
        <w:tc>
          <w:tcPr>
            <w:tcW w:w="4120" w:type="dxa"/>
            <w:vAlign w:val="bottom"/>
          </w:tcPr>
          <w:p>
            <w:pPr>
              <w:ind w:left="640"/>
              <w:spacing w:after="0"/>
              <w:rPr>
                <w:sz w:val="20"/>
                <w:szCs w:val="20"/>
                <w:color w:val="auto"/>
              </w:rPr>
            </w:pPr>
            <w:r>
              <w:rPr>
                <w:rFonts w:ascii="Arial" w:cs="Arial" w:eastAsia="Arial" w:hAnsi="Arial"/>
                <w:sz w:val="18"/>
                <w:szCs w:val="18"/>
                <w:color w:val="auto"/>
              </w:rPr>
              <w:t>GGCP, Inc.</w:t>
            </w:r>
          </w:p>
        </w:tc>
        <w:tc>
          <w:tcPr>
            <w:tcW w:w="6360" w:type="dxa"/>
            <w:vAlign w:val="bottom"/>
            <w:gridSpan w:val="2"/>
          </w:tcPr>
          <w:p>
            <w:pPr>
              <w:spacing w:after="0"/>
              <w:rPr>
                <w:sz w:val="20"/>
                <w:szCs w:val="20"/>
                <w:color w:val="auto"/>
              </w:rPr>
            </w:pPr>
            <w:r>
              <w:rPr>
                <w:rFonts w:ascii="Arial" w:cs="Arial" w:eastAsia="Arial" w:hAnsi="Arial"/>
                <w:sz w:val="18"/>
                <w:szCs w:val="18"/>
                <w:color w:val="auto"/>
              </w:rPr>
              <w:t>Manager and Member</w:t>
            </w:r>
          </w:p>
        </w:tc>
      </w:tr>
      <w:tr>
        <w:trPr>
          <w:trHeight w:val="439"/>
        </w:trPr>
        <w:tc>
          <w:tcPr>
            <w:tcW w:w="4120" w:type="dxa"/>
            <w:vAlign w:val="bottom"/>
            <w:tcBorders>
              <w:bottom w:val="single" w:sz="8" w:color="auto"/>
            </w:tcBorders>
          </w:tcPr>
          <w:p>
            <w:pPr>
              <w:ind w:left="640"/>
              <w:spacing w:after="0"/>
              <w:rPr>
                <w:sz w:val="20"/>
                <w:szCs w:val="20"/>
                <w:color w:val="auto"/>
              </w:rPr>
            </w:pPr>
            <w:r>
              <w:rPr>
                <w:rFonts w:ascii="Arial" w:cs="Arial" w:eastAsia="Arial" w:hAnsi="Arial"/>
                <w:sz w:val="18"/>
                <w:szCs w:val="18"/>
                <w:color w:val="auto"/>
              </w:rPr>
              <w:t>Mario J. Gabelli</w:t>
            </w:r>
          </w:p>
        </w:tc>
        <w:tc>
          <w:tcPr>
            <w:tcW w:w="6360" w:type="dxa"/>
            <w:vAlign w:val="bottom"/>
            <w:gridSpan w:val="2"/>
          </w:tcPr>
          <w:p>
            <w:pPr>
              <w:spacing w:after="0"/>
              <w:rPr>
                <w:sz w:val="20"/>
                <w:szCs w:val="20"/>
                <w:color w:val="auto"/>
              </w:rPr>
            </w:pPr>
            <w:r>
              <w:rPr>
                <w:rFonts w:ascii="Arial" w:cs="Arial" w:eastAsia="Arial" w:hAnsi="Arial"/>
                <w:sz w:val="18"/>
                <w:szCs w:val="18"/>
                <w:color w:val="auto"/>
              </w:rPr>
              <w:t>Member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5640"/>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480"/>
          </w:cols>
          <w:pgMar w:left="240" w:top="611" w:right="1179" w:bottom="1440" w:gutter="0" w:footer="0" w:header="0"/>
        </w:sectPr>
      </w:pPr>
    </w:p>
    <w:bookmarkStart w:id="16" w:name="page17"/>
    <w:bookmarkEnd w:id="16"/>
    <w:p>
      <w:pPr>
        <w:spacing w:after="0"/>
        <w:rPr>
          <w:sz w:val="20"/>
          <w:szCs w:val="20"/>
          <w:color w:val="auto"/>
        </w:rPr>
      </w:pPr>
      <w:r>
        <w:rPr>
          <w:rFonts w:ascii="Arial" w:cs="Arial" w:eastAsia="Arial" w:hAnsi="Arial"/>
          <w:sz w:val="18"/>
          <w:szCs w:val="18"/>
          <w:color w:val="auto"/>
        </w:rPr>
        <w:t>Teton Advisors,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Directors: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120" w:type="dxa"/>
            <w:vAlign w:val="bottom"/>
            <w:tcBorders>
              <w:top w:val="single" w:sz="8" w:color="auto"/>
            </w:tcBorders>
          </w:tcPr>
          <w:p>
            <w:pPr>
              <w:ind w:left="660"/>
              <w:spacing w:after="0"/>
              <w:rPr>
                <w:sz w:val="20"/>
                <w:szCs w:val="20"/>
                <w:color w:val="auto"/>
              </w:rPr>
            </w:pPr>
            <w:r>
              <w:rPr>
                <w:rFonts w:ascii="Arial" w:cs="Arial" w:eastAsia="Arial" w:hAnsi="Arial"/>
                <w:sz w:val="18"/>
                <w:szCs w:val="18"/>
                <w:color w:val="auto"/>
              </w:rPr>
              <w:t>Howard F. Ward</w:t>
            </w:r>
          </w:p>
        </w:tc>
        <w:tc>
          <w:tcPr>
            <w:tcW w:w="2740" w:type="dxa"/>
            <w:vAlign w:val="bottom"/>
          </w:tcPr>
          <w:p>
            <w:pPr>
              <w:spacing w:after="0"/>
              <w:rPr>
                <w:sz w:val="20"/>
                <w:szCs w:val="20"/>
                <w:color w:val="auto"/>
              </w:rPr>
            </w:pPr>
            <w:r>
              <w:rPr>
                <w:rFonts w:ascii="Arial" w:cs="Arial" w:eastAsia="Arial" w:hAnsi="Arial"/>
                <w:sz w:val="18"/>
                <w:szCs w:val="18"/>
                <w:color w:val="auto"/>
              </w:rPr>
              <w:t>Chairman of the Board</w:t>
            </w:r>
          </w:p>
        </w:tc>
      </w:tr>
      <w:tr>
        <w:trPr>
          <w:trHeight w:val="418"/>
        </w:trPr>
        <w:tc>
          <w:tcPr>
            <w:tcW w:w="4120" w:type="dxa"/>
            <w:vAlign w:val="bottom"/>
          </w:tcPr>
          <w:p>
            <w:pPr>
              <w:ind w:left="680"/>
              <w:spacing w:after="0"/>
              <w:rPr>
                <w:sz w:val="20"/>
                <w:szCs w:val="20"/>
                <w:color w:val="auto"/>
              </w:rPr>
            </w:pPr>
            <w:r>
              <w:rPr>
                <w:rFonts w:ascii="Arial" w:cs="Arial" w:eastAsia="Arial" w:hAnsi="Arial"/>
                <w:sz w:val="18"/>
                <w:szCs w:val="18"/>
                <w:color w:val="auto"/>
              </w:rPr>
              <w:t>Nicholas F. Galluccio</w:t>
            </w:r>
          </w:p>
        </w:tc>
        <w:tc>
          <w:tcPr>
            <w:tcW w:w="2740" w:type="dxa"/>
            <w:vAlign w:val="bottom"/>
          </w:tcPr>
          <w:p>
            <w:pPr>
              <w:spacing w:after="0"/>
              <w:rPr>
                <w:sz w:val="20"/>
                <w:szCs w:val="20"/>
                <w:color w:val="auto"/>
              </w:rPr>
            </w:pPr>
            <w:r>
              <w:rPr>
                <w:rFonts w:ascii="Arial" w:cs="Arial" w:eastAsia="Arial" w:hAnsi="Arial"/>
                <w:sz w:val="18"/>
                <w:szCs w:val="18"/>
                <w:color w:val="auto"/>
                <w:w w:val="90"/>
              </w:rPr>
              <w:t>Chief Executive Officer and President</w:t>
            </w:r>
          </w:p>
        </w:tc>
      </w:tr>
      <w:tr>
        <w:trPr>
          <w:trHeight w:val="432"/>
        </w:trPr>
        <w:tc>
          <w:tcPr>
            <w:tcW w:w="4120" w:type="dxa"/>
            <w:vAlign w:val="bottom"/>
          </w:tcPr>
          <w:p>
            <w:pPr>
              <w:ind w:left="680"/>
              <w:spacing w:after="0"/>
              <w:rPr>
                <w:sz w:val="20"/>
                <w:szCs w:val="20"/>
                <w:color w:val="auto"/>
              </w:rPr>
            </w:pPr>
            <w:r>
              <w:rPr>
                <w:rFonts w:ascii="Arial" w:cs="Arial" w:eastAsia="Arial" w:hAnsi="Arial"/>
                <w:sz w:val="18"/>
                <w:szCs w:val="18"/>
                <w:color w:val="auto"/>
              </w:rPr>
              <w:t>Vincent J. Amabile</w:t>
            </w:r>
          </w:p>
        </w:tc>
        <w:tc>
          <w:tcPr>
            <w:tcW w:w="2740" w:type="dxa"/>
            <w:vAlign w:val="bottom"/>
          </w:tcPr>
          <w:p>
            <w:pPr>
              <w:spacing w:after="0"/>
              <w:rPr>
                <w:sz w:val="24"/>
                <w:szCs w:val="24"/>
                <w:color w:val="auto"/>
              </w:rPr>
            </w:pPr>
          </w:p>
        </w:tc>
      </w:tr>
      <w:tr>
        <w:trPr>
          <w:trHeight w:val="432"/>
        </w:trPr>
        <w:tc>
          <w:tcPr>
            <w:tcW w:w="4120" w:type="dxa"/>
            <w:vAlign w:val="bottom"/>
          </w:tcPr>
          <w:p>
            <w:pPr>
              <w:ind w:left="680"/>
              <w:spacing w:after="0"/>
              <w:rPr>
                <w:sz w:val="20"/>
                <w:szCs w:val="20"/>
                <w:color w:val="auto"/>
              </w:rPr>
            </w:pPr>
            <w:r>
              <w:rPr>
                <w:rFonts w:ascii="Arial" w:cs="Arial" w:eastAsia="Arial" w:hAnsi="Arial"/>
                <w:sz w:val="18"/>
                <w:szCs w:val="18"/>
                <w:color w:val="auto"/>
              </w:rPr>
              <w:t>John Tesoro</w:t>
            </w:r>
          </w:p>
        </w:tc>
        <w:tc>
          <w:tcPr>
            <w:tcW w:w="2740" w:type="dxa"/>
            <w:vAlign w:val="bottom"/>
          </w:tcPr>
          <w:p>
            <w:pPr>
              <w:spacing w:after="0"/>
              <w:rPr>
                <w:sz w:val="24"/>
                <w:szCs w:val="24"/>
                <w:color w:val="auto"/>
              </w:rPr>
            </w:pPr>
          </w:p>
        </w:tc>
      </w:tr>
      <w:tr>
        <w:trPr>
          <w:trHeight w:val="418"/>
        </w:trPr>
        <w:tc>
          <w:tcPr>
            <w:tcW w:w="4120" w:type="dxa"/>
            <w:vAlign w:val="bottom"/>
          </w:tcPr>
          <w:p>
            <w:pPr>
              <w:spacing w:after="0"/>
              <w:rPr>
                <w:sz w:val="20"/>
                <w:szCs w:val="20"/>
                <w:color w:val="auto"/>
              </w:rPr>
            </w:pPr>
            <w:r>
              <w:rPr>
                <w:rFonts w:ascii="Arial" w:cs="Arial" w:eastAsia="Arial" w:hAnsi="Arial"/>
                <w:sz w:val="18"/>
                <w:szCs w:val="18"/>
                <w:color w:val="auto"/>
              </w:rPr>
              <w:t>Officers:</w:t>
            </w:r>
          </w:p>
        </w:tc>
        <w:tc>
          <w:tcPr>
            <w:tcW w:w="2740" w:type="dxa"/>
            <w:vAlign w:val="bottom"/>
          </w:tcPr>
          <w:p>
            <w:pPr>
              <w:spacing w:after="0"/>
              <w:rPr>
                <w:sz w:val="24"/>
                <w:szCs w:val="24"/>
                <w:color w:val="auto"/>
              </w:rPr>
            </w:pPr>
          </w:p>
        </w:tc>
      </w:tr>
      <w:tr>
        <w:trPr>
          <w:trHeight w:val="230"/>
        </w:trPr>
        <w:tc>
          <w:tcPr>
            <w:tcW w:w="4120" w:type="dxa"/>
            <w:vAlign w:val="bottom"/>
          </w:tcPr>
          <w:p>
            <w:pPr>
              <w:ind w:left="660"/>
              <w:spacing w:after="0"/>
              <w:rPr>
                <w:sz w:val="20"/>
                <w:szCs w:val="20"/>
                <w:color w:val="auto"/>
              </w:rPr>
            </w:pPr>
            <w:r>
              <w:rPr>
                <w:rFonts w:ascii="Arial" w:cs="Arial" w:eastAsia="Arial" w:hAnsi="Arial"/>
                <w:sz w:val="18"/>
                <w:szCs w:val="18"/>
                <w:color w:val="auto"/>
              </w:rPr>
              <w:t>Howard F. Ward</w:t>
            </w:r>
          </w:p>
        </w:tc>
        <w:tc>
          <w:tcPr>
            <w:tcW w:w="2740" w:type="dxa"/>
            <w:vAlign w:val="bottom"/>
          </w:tcPr>
          <w:p>
            <w:pPr>
              <w:spacing w:after="0"/>
              <w:rPr>
                <w:sz w:val="20"/>
                <w:szCs w:val="20"/>
                <w:color w:val="auto"/>
              </w:rPr>
            </w:pPr>
            <w:r>
              <w:rPr>
                <w:rFonts w:ascii="Arial" w:cs="Arial" w:eastAsia="Arial" w:hAnsi="Arial"/>
                <w:sz w:val="18"/>
                <w:szCs w:val="18"/>
                <w:color w:val="auto"/>
              </w:rPr>
              <w:t>See above</w:t>
            </w:r>
          </w:p>
        </w:tc>
      </w:tr>
      <w:tr>
        <w:trPr>
          <w:trHeight w:val="432"/>
        </w:trPr>
        <w:tc>
          <w:tcPr>
            <w:tcW w:w="4120" w:type="dxa"/>
            <w:vAlign w:val="bottom"/>
          </w:tcPr>
          <w:p>
            <w:pPr>
              <w:ind w:left="680"/>
              <w:spacing w:after="0"/>
              <w:rPr>
                <w:sz w:val="20"/>
                <w:szCs w:val="20"/>
                <w:color w:val="auto"/>
              </w:rPr>
            </w:pPr>
            <w:r>
              <w:rPr>
                <w:rFonts w:ascii="Arial" w:cs="Arial" w:eastAsia="Arial" w:hAnsi="Arial"/>
                <w:sz w:val="18"/>
                <w:szCs w:val="18"/>
                <w:color w:val="auto"/>
              </w:rPr>
              <w:t>Nicholas F. Galluccio</w:t>
            </w:r>
          </w:p>
        </w:tc>
        <w:tc>
          <w:tcPr>
            <w:tcW w:w="2740" w:type="dxa"/>
            <w:vAlign w:val="bottom"/>
          </w:tcPr>
          <w:p>
            <w:pPr>
              <w:spacing w:after="0"/>
              <w:rPr>
                <w:sz w:val="20"/>
                <w:szCs w:val="20"/>
                <w:color w:val="auto"/>
              </w:rPr>
            </w:pPr>
            <w:r>
              <w:rPr>
                <w:rFonts w:ascii="Arial" w:cs="Arial" w:eastAsia="Arial" w:hAnsi="Arial"/>
                <w:sz w:val="18"/>
                <w:szCs w:val="18"/>
                <w:color w:val="auto"/>
              </w:rPr>
              <w:t>See above</w:t>
            </w:r>
          </w:p>
        </w:tc>
      </w:tr>
      <w:tr>
        <w:trPr>
          <w:trHeight w:val="432"/>
        </w:trPr>
        <w:tc>
          <w:tcPr>
            <w:tcW w:w="4120" w:type="dxa"/>
            <w:vAlign w:val="bottom"/>
          </w:tcPr>
          <w:p>
            <w:pPr>
              <w:ind w:left="680"/>
              <w:spacing w:after="0"/>
              <w:rPr>
                <w:sz w:val="20"/>
                <w:szCs w:val="20"/>
                <w:color w:val="auto"/>
              </w:rPr>
            </w:pPr>
            <w:r>
              <w:rPr>
                <w:rFonts w:ascii="Arial" w:cs="Arial" w:eastAsia="Arial" w:hAnsi="Arial"/>
                <w:sz w:val="18"/>
                <w:szCs w:val="18"/>
                <w:color w:val="auto"/>
              </w:rPr>
              <w:t>David Goldman</w:t>
            </w:r>
          </w:p>
        </w:tc>
        <w:tc>
          <w:tcPr>
            <w:tcW w:w="2740" w:type="dxa"/>
            <w:vAlign w:val="bottom"/>
          </w:tcPr>
          <w:p>
            <w:pPr>
              <w:spacing w:after="0"/>
              <w:rPr>
                <w:sz w:val="20"/>
                <w:szCs w:val="20"/>
                <w:color w:val="auto"/>
              </w:rPr>
            </w:pPr>
            <w:r>
              <w:rPr>
                <w:rFonts w:ascii="Arial" w:cs="Arial" w:eastAsia="Arial" w:hAnsi="Arial"/>
                <w:sz w:val="18"/>
                <w:szCs w:val="18"/>
                <w:color w:val="auto"/>
              </w:rPr>
              <w:t>General Counsel</w:t>
            </w:r>
          </w:p>
        </w:tc>
      </w:tr>
      <w:tr>
        <w:trPr>
          <w:trHeight w:val="432"/>
        </w:trPr>
        <w:tc>
          <w:tcPr>
            <w:tcW w:w="4120" w:type="dxa"/>
            <w:vAlign w:val="bottom"/>
          </w:tcPr>
          <w:p>
            <w:pPr>
              <w:ind w:left="680"/>
              <w:spacing w:after="0"/>
              <w:rPr>
                <w:sz w:val="20"/>
                <w:szCs w:val="20"/>
                <w:color w:val="auto"/>
              </w:rPr>
            </w:pPr>
            <w:r>
              <w:rPr>
                <w:rFonts w:ascii="Arial" w:cs="Arial" w:eastAsia="Arial" w:hAnsi="Arial"/>
                <w:sz w:val="18"/>
                <w:szCs w:val="18"/>
                <w:color w:val="auto"/>
              </w:rPr>
              <w:t>Tiffany Hayden</w:t>
            </w:r>
          </w:p>
        </w:tc>
        <w:tc>
          <w:tcPr>
            <w:tcW w:w="2740" w:type="dxa"/>
            <w:vAlign w:val="bottom"/>
          </w:tcPr>
          <w:p>
            <w:pPr>
              <w:spacing w:after="0"/>
              <w:rPr>
                <w:sz w:val="20"/>
                <w:szCs w:val="20"/>
                <w:color w:val="auto"/>
              </w:rPr>
            </w:pPr>
            <w:r>
              <w:rPr>
                <w:rFonts w:ascii="Arial" w:cs="Arial" w:eastAsia="Arial" w:hAnsi="Arial"/>
                <w:sz w:val="18"/>
                <w:szCs w:val="18"/>
                <w:color w:val="auto"/>
              </w:rPr>
              <w:t>Secretary</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5640"/>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19"/>
          </w:cols>
          <w:pgMar w:left="240" w:top="1314" w:right="1440" w:bottom="1440" w:gutter="0" w:footer="0" w:header="0"/>
        </w:sectPr>
      </w:pPr>
    </w:p>
    <w:bookmarkStart w:id="17" w:name="page18"/>
    <w:bookmarkEnd w:id="17"/>
    <w:p>
      <w:pPr>
        <w:spacing w:after="0"/>
        <w:rPr>
          <w:sz w:val="20"/>
          <w:szCs w:val="20"/>
          <w:color w:val="auto"/>
        </w:rPr>
      </w:pPr>
      <w:r>
        <w:rPr>
          <w:rFonts w:ascii="Arial" w:cs="Arial" w:eastAsia="Arial" w:hAnsi="Arial"/>
          <w:sz w:val="18"/>
          <w:szCs w:val="18"/>
          <w:color w:val="auto"/>
        </w:rPr>
        <w:t>Associated Capital Group,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Directors: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4120" w:type="dxa"/>
            <w:vAlign w:val="bottom"/>
            <w:tcBorders>
              <w:top w:val="single" w:sz="8" w:color="auto"/>
            </w:tcBorders>
          </w:tcPr>
          <w:p>
            <w:pPr>
              <w:ind w:left="660"/>
              <w:spacing w:after="0"/>
              <w:rPr>
                <w:sz w:val="20"/>
                <w:szCs w:val="20"/>
                <w:color w:val="auto"/>
              </w:rPr>
            </w:pPr>
            <w:r>
              <w:rPr>
                <w:rFonts w:ascii="Arial" w:cs="Arial" w:eastAsia="Arial" w:hAnsi="Arial"/>
                <w:sz w:val="18"/>
                <w:szCs w:val="18"/>
                <w:color w:val="auto"/>
              </w:rPr>
              <w:t>Mario J. Gabelli</w:t>
            </w:r>
          </w:p>
        </w:tc>
        <w:tc>
          <w:tcPr>
            <w:tcW w:w="6360" w:type="dxa"/>
            <w:vAlign w:val="bottom"/>
          </w:tcPr>
          <w:p>
            <w:pPr>
              <w:spacing w:after="0"/>
              <w:rPr>
                <w:sz w:val="20"/>
                <w:szCs w:val="20"/>
                <w:color w:val="auto"/>
              </w:rPr>
            </w:pPr>
            <w:r>
              <w:rPr>
                <w:rFonts w:ascii="Arial" w:cs="Arial" w:eastAsia="Arial" w:hAnsi="Arial"/>
                <w:sz w:val="18"/>
                <w:szCs w:val="18"/>
                <w:color w:val="auto"/>
              </w:rPr>
              <w:t>Chief Executive Officer and Chief Investment Officer of GGCP, Inc.</w:t>
            </w:r>
          </w:p>
        </w:tc>
      </w:tr>
      <w:tr>
        <w:trPr>
          <w:trHeight w:val="216"/>
        </w:trPr>
        <w:tc>
          <w:tcPr>
            <w:tcW w:w="412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Chairman &amp; Chief Executive Officer of GAMCO Investors, Inc.</w:t>
            </w:r>
          </w:p>
        </w:tc>
      </w:tr>
      <w:tr>
        <w:trPr>
          <w:trHeight w:val="216"/>
        </w:trPr>
        <w:tc>
          <w:tcPr>
            <w:tcW w:w="412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Arial" w:cs="Arial" w:eastAsia="Arial" w:hAnsi="Arial"/>
                <w:sz w:val="18"/>
                <w:szCs w:val="18"/>
                <w:color w:val="auto"/>
                <w:w w:val="99"/>
              </w:rPr>
              <w:t>Executive Chairman &amp; Chief Executive Officer of Associated Capital Group, Inc.</w:t>
            </w:r>
          </w:p>
        </w:tc>
      </w:tr>
      <w:tr>
        <w:trPr>
          <w:trHeight w:val="230"/>
        </w:trPr>
        <w:tc>
          <w:tcPr>
            <w:tcW w:w="4120" w:type="dxa"/>
            <w:vAlign w:val="bottom"/>
          </w:tcPr>
          <w:p>
            <w:pPr>
              <w:spacing w:after="0"/>
              <w:rPr>
                <w:sz w:val="20"/>
                <w:szCs w:val="20"/>
                <w:color w:val="auto"/>
              </w:rPr>
            </w:pPr>
          </w:p>
        </w:tc>
        <w:tc>
          <w:tcPr>
            <w:tcW w:w="6360" w:type="dxa"/>
            <w:vAlign w:val="bottom"/>
          </w:tcPr>
          <w:p>
            <w:pPr>
              <w:spacing w:after="0"/>
              <w:rPr>
                <w:sz w:val="20"/>
                <w:szCs w:val="20"/>
                <w:color w:val="auto"/>
              </w:rPr>
            </w:pPr>
            <w:r>
              <w:rPr>
                <w:rFonts w:ascii="Arial" w:cs="Arial" w:eastAsia="Arial" w:hAnsi="Arial"/>
                <w:sz w:val="18"/>
                <w:szCs w:val="18"/>
                <w:color w:val="auto"/>
                <w:w w:val="91"/>
              </w:rPr>
              <w:t>Director/Trustee of all registered investment companies advised by Gabelli Funds, LLC.</w:t>
            </w:r>
          </w:p>
        </w:tc>
      </w:tr>
      <w:tr>
        <w:trPr>
          <w:trHeight w:val="418"/>
        </w:trPr>
        <w:tc>
          <w:tcPr>
            <w:tcW w:w="4120" w:type="dxa"/>
            <w:vAlign w:val="bottom"/>
          </w:tcPr>
          <w:p>
            <w:pPr>
              <w:ind w:left="660"/>
              <w:spacing w:after="0"/>
              <w:rPr>
                <w:sz w:val="20"/>
                <w:szCs w:val="20"/>
                <w:color w:val="auto"/>
              </w:rPr>
            </w:pPr>
            <w:r>
              <w:rPr>
                <w:rFonts w:ascii="Arial" w:cs="Arial" w:eastAsia="Arial" w:hAnsi="Arial"/>
                <w:sz w:val="18"/>
                <w:szCs w:val="18"/>
                <w:color w:val="auto"/>
              </w:rPr>
              <w:t>Marc J. Gabelli</w:t>
            </w:r>
          </w:p>
        </w:tc>
        <w:tc>
          <w:tcPr>
            <w:tcW w:w="6360" w:type="dxa"/>
            <w:vAlign w:val="bottom"/>
          </w:tcPr>
          <w:p>
            <w:pPr>
              <w:spacing w:after="0"/>
              <w:rPr>
                <w:sz w:val="20"/>
                <w:szCs w:val="20"/>
                <w:color w:val="auto"/>
              </w:rPr>
            </w:pPr>
            <w:r>
              <w:rPr>
                <w:rFonts w:ascii="Arial" w:cs="Arial" w:eastAsia="Arial" w:hAnsi="Arial"/>
                <w:sz w:val="18"/>
                <w:szCs w:val="18"/>
                <w:color w:val="auto"/>
              </w:rPr>
              <w:t>Chairman of The LGL Group, Inc.</w:t>
            </w:r>
          </w:p>
        </w:tc>
      </w:tr>
      <w:tr>
        <w:trPr>
          <w:trHeight w:val="216"/>
        </w:trPr>
        <w:tc>
          <w:tcPr>
            <w:tcW w:w="412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2525 Shader Road</w:t>
            </w:r>
          </w:p>
        </w:tc>
      </w:tr>
      <w:tr>
        <w:trPr>
          <w:trHeight w:val="230"/>
        </w:trPr>
        <w:tc>
          <w:tcPr>
            <w:tcW w:w="4120" w:type="dxa"/>
            <w:vAlign w:val="bottom"/>
          </w:tcPr>
          <w:p>
            <w:pPr>
              <w:spacing w:after="0"/>
              <w:rPr>
                <w:sz w:val="20"/>
                <w:szCs w:val="20"/>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Orlando, FL 32804</w:t>
            </w:r>
          </w:p>
        </w:tc>
      </w:tr>
      <w:tr>
        <w:trPr>
          <w:trHeight w:val="418"/>
        </w:trPr>
        <w:tc>
          <w:tcPr>
            <w:tcW w:w="4120" w:type="dxa"/>
            <w:vAlign w:val="bottom"/>
          </w:tcPr>
          <w:p>
            <w:pPr>
              <w:ind w:left="660"/>
              <w:spacing w:after="0"/>
              <w:rPr>
                <w:sz w:val="20"/>
                <w:szCs w:val="20"/>
                <w:color w:val="auto"/>
              </w:rPr>
            </w:pPr>
            <w:r>
              <w:rPr>
                <w:rFonts w:ascii="Arial" w:cs="Arial" w:eastAsia="Arial" w:hAnsi="Arial"/>
                <w:sz w:val="18"/>
                <w:szCs w:val="18"/>
                <w:color w:val="auto"/>
              </w:rPr>
              <w:t>Richard L. Bready</w:t>
            </w:r>
          </w:p>
        </w:tc>
        <w:tc>
          <w:tcPr>
            <w:tcW w:w="6360" w:type="dxa"/>
            <w:vAlign w:val="bottom"/>
          </w:tcPr>
          <w:p>
            <w:pPr>
              <w:spacing w:after="0"/>
              <w:rPr>
                <w:sz w:val="20"/>
                <w:szCs w:val="20"/>
                <w:color w:val="auto"/>
              </w:rPr>
            </w:pPr>
            <w:r>
              <w:rPr>
                <w:rFonts w:ascii="Arial" w:cs="Arial" w:eastAsia="Arial" w:hAnsi="Arial"/>
                <w:sz w:val="18"/>
                <w:szCs w:val="18"/>
                <w:color w:val="auto"/>
              </w:rPr>
              <w:t>Former Chairman and Chief Executive Officer</w:t>
            </w:r>
          </w:p>
        </w:tc>
      </w:tr>
      <w:tr>
        <w:trPr>
          <w:trHeight w:val="216"/>
        </w:trPr>
        <w:tc>
          <w:tcPr>
            <w:tcW w:w="412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Nortek, Inc.</w:t>
            </w:r>
          </w:p>
        </w:tc>
      </w:tr>
      <w:tr>
        <w:trPr>
          <w:trHeight w:val="216"/>
        </w:trPr>
        <w:tc>
          <w:tcPr>
            <w:tcW w:w="412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50 Kennedy Plaza</w:t>
            </w:r>
          </w:p>
        </w:tc>
      </w:tr>
      <w:tr>
        <w:trPr>
          <w:trHeight w:val="230"/>
        </w:trPr>
        <w:tc>
          <w:tcPr>
            <w:tcW w:w="4120" w:type="dxa"/>
            <w:vAlign w:val="bottom"/>
          </w:tcPr>
          <w:p>
            <w:pPr>
              <w:spacing w:after="0"/>
              <w:rPr>
                <w:sz w:val="20"/>
                <w:szCs w:val="20"/>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Providence, RI 02903</w:t>
            </w:r>
          </w:p>
        </w:tc>
      </w:tr>
      <w:tr>
        <w:trPr>
          <w:trHeight w:val="432"/>
        </w:trPr>
        <w:tc>
          <w:tcPr>
            <w:tcW w:w="4120" w:type="dxa"/>
            <w:vAlign w:val="bottom"/>
          </w:tcPr>
          <w:p>
            <w:pPr>
              <w:ind w:left="640"/>
              <w:spacing w:after="0"/>
              <w:rPr>
                <w:sz w:val="20"/>
                <w:szCs w:val="20"/>
                <w:color w:val="auto"/>
              </w:rPr>
            </w:pPr>
            <w:r>
              <w:rPr>
                <w:rFonts w:ascii="Arial" w:cs="Arial" w:eastAsia="Arial" w:hAnsi="Arial"/>
                <w:sz w:val="18"/>
                <w:szCs w:val="18"/>
                <w:color w:val="auto"/>
              </w:rPr>
              <w:t>Bruce Lisman</w:t>
            </w:r>
          </w:p>
        </w:tc>
        <w:tc>
          <w:tcPr>
            <w:tcW w:w="6360" w:type="dxa"/>
            <w:vAlign w:val="bottom"/>
          </w:tcPr>
          <w:p>
            <w:pPr>
              <w:spacing w:after="0"/>
              <w:rPr>
                <w:sz w:val="20"/>
                <w:szCs w:val="20"/>
                <w:color w:val="auto"/>
              </w:rPr>
            </w:pPr>
            <w:r>
              <w:rPr>
                <w:rFonts w:ascii="Arial" w:cs="Arial" w:eastAsia="Arial" w:hAnsi="Arial"/>
                <w:sz w:val="18"/>
                <w:szCs w:val="18"/>
                <w:color w:val="auto"/>
              </w:rPr>
              <w:t>Former Chairman - JP Morgan – global equity division</w:t>
            </w:r>
          </w:p>
        </w:tc>
      </w:tr>
      <w:tr>
        <w:trPr>
          <w:trHeight w:val="634"/>
        </w:trPr>
        <w:tc>
          <w:tcPr>
            <w:tcW w:w="4120" w:type="dxa"/>
            <w:vAlign w:val="bottom"/>
          </w:tcPr>
          <w:p>
            <w:pPr>
              <w:ind w:left="660"/>
              <w:spacing w:after="0"/>
              <w:rPr>
                <w:sz w:val="20"/>
                <w:szCs w:val="20"/>
                <w:color w:val="auto"/>
              </w:rPr>
            </w:pPr>
            <w:r>
              <w:rPr>
                <w:rFonts w:ascii="Arial" w:cs="Arial" w:eastAsia="Arial" w:hAnsi="Arial"/>
                <w:sz w:val="18"/>
                <w:szCs w:val="18"/>
                <w:color w:val="auto"/>
              </w:rPr>
              <w:t>Daniel R. Lee</w:t>
            </w:r>
          </w:p>
        </w:tc>
        <w:tc>
          <w:tcPr>
            <w:tcW w:w="636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216"/>
        </w:trPr>
        <w:tc>
          <w:tcPr>
            <w:tcW w:w="412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Full House Resorts, Inc.</w:t>
            </w:r>
          </w:p>
        </w:tc>
      </w:tr>
      <w:tr>
        <w:trPr>
          <w:trHeight w:val="216"/>
        </w:trPr>
        <w:tc>
          <w:tcPr>
            <w:tcW w:w="412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4670 South Ford Apache Road, Suite 190</w:t>
            </w:r>
          </w:p>
        </w:tc>
      </w:tr>
      <w:tr>
        <w:trPr>
          <w:trHeight w:val="230"/>
        </w:trPr>
        <w:tc>
          <w:tcPr>
            <w:tcW w:w="4120" w:type="dxa"/>
            <w:vAlign w:val="bottom"/>
          </w:tcPr>
          <w:p>
            <w:pPr>
              <w:spacing w:after="0"/>
              <w:rPr>
                <w:sz w:val="20"/>
                <w:szCs w:val="20"/>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Las Vegas, NV 89147</w:t>
            </w:r>
          </w:p>
        </w:tc>
      </w:tr>
      <w:tr>
        <w:trPr>
          <w:trHeight w:val="432"/>
        </w:trPr>
        <w:tc>
          <w:tcPr>
            <w:tcW w:w="4120" w:type="dxa"/>
            <w:vAlign w:val="bottom"/>
          </w:tcPr>
          <w:p>
            <w:pPr>
              <w:ind w:left="640"/>
              <w:spacing w:after="0"/>
              <w:rPr>
                <w:sz w:val="20"/>
                <w:szCs w:val="20"/>
                <w:color w:val="auto"/>
              </w:rPr>
            </w:pPr>
            <w:r>
              <w:rPr>
                <w:rFonts w:ascii="Arial" w:cs="Arial" w:eastAsia="Arial" w:hAnsi="Arial"/>
                <w:sz w:val="18"/>
                <w:szCs w:val="18"/>
                <w:color w:val="auto"/>
              </w:rPr>
              <w:t>Salvatore F. Sodano</w:t>
            </w:r>
          </w:p>
        </w:tc>
        <w:tc>
          <w:tcPr>
            <w:tcW w:w="6360" w:type="dxa"/>
            <w:vAlign w:val="bottom"/>
          </w:tcPr>
          <w:p>
            <w:pPr>
              <w:spacing w:after="0"/>
              <w:rPr>
                <w:sz w:val="20"/>
                <w:szCs w:val="20"/>
                <w:color w:val="auto"/>
              </w:rPr>
            </w:pPr>
            <w:r>
              <w:rPr>
                <w:rFonts w:ascii="Arial" w:cs="Arial" w:eastAsia="Arial" w:hAnsi="Arial"/>
                <w:sz w:val="18"/>
                <w:szCs w:val="18"/>
                <w:color w:val="auto"/>
              </w:rPr>
              <w:t>Vice Chairman of the Board (see above)</w:t>
            </w:r>
          </w:p>
        </w:tc>
      </w:tr>
      <w:tr>
        <w:trPr>
          <w:trHeight w:val="418"/>
        </w:trPr>
        <w:tc>
          <w:tcPr>
            <w:tcW w:w="4120" w:type="dxa"/>
            <w:vAlign w:val="bottom"/>
          </w:tcPr>
          <w:p>
            <w:pPr>
              <w:spacing w:after="0"/>
              <w:rPr>
                <w:sz w:val="20"/>
                <w:szCs w:val="20"/>
                <w:color w:val="auto"/>
              </w:rPr>
            </w:pPr>
            <w:r>
              <w:rPr>
                <w:rFonts w:ascii="Arial" w:cs="Arial" w:eastAsia="Arial" w:hAnsi="Arial"/>
                <w:sz w:val="18"/>
                <w:szCs w:val="18"/>
                <w:color w:val="auto"/>
              </w:rPr>
              <w:t>Officers:</w:t>
            </w:r>
          </w:p>
        </w:tc>
        <w:tc>
          <w:tcPr>
            <w:tcW w:w="6360" w:type="dxa"/>
            <w:vAlign w:val="bottom"/>
          </w:tcPr>
          <w:p>
            <w:pPr>
              <w:spacing w:after="0"/>
              <w:rPr>
                <w:sz w:val="24"/>
                <w:szCs w:val="24"/>
                <w:color w:val="auto"/>
              </w:rPr>
            </w:pPr>
          </w:p>
        </w:tc>
      </w:tr>
      <w:tr>
        <w:trPr>
          <w:trHeight w:val="230"/>
        </w:trPr>
        <w:tc>
          <w:tcPr>
            <w:tcW w:w="4120" w:type="dxa"/>
            <w:vAlign w:val="bottom"/>
          </w:tcPr>
          <w:p>
            <w:pPr>
              <w:ind w:left="660"/>
              <w:spacing w:after="0"/>
              <w:rPr>
                <w:sz w:val="20"/>
                <w:szCs w:val="20"/>
                <w:color w:val="auto"/>
              </w:rPr>
            </w:pPr>
            <w:r>
              <w:rPr>
                <w:rFonts w:ascii="Arial" w:cs="Arial" w:eastAsia="Arial" w:hAnsi="Arial"/>
                <w:sz w:val="18"/>
                <w:szCs w:val="18"/>
                <w:color w:val="auto"/>
              </w:rPr>
              <w:t>Mario J. Gabelli</w:t>
            </w:r>
          </w:p>
        </w:tc>
        <w:tc>
          <w:tcPr>
            <w:tcW w:w="6360" w:type="dxa"/>
            <w:vAlign w:val="bottom"/>
          </w:tcPr>
          <w:p>
            <w:pPr>
              <w:spacing w:after="0"/>
              <w:rPr>
                <w:sz w:val="20"/>
                <w:szCs w:val="20"/>
                <w:color w:val="auto"/>
              </w:rPr>
            </w:pPr>
            <w:r>
              <w:rPr>
                <w:rFonts w:ascii="Arial" w:cs="Arial" w:eastAsia="Arial" w:hAnsi="Arial"/>
                <w:sz w:val="18"/>
                <w:szCs w:val="18"/>
                <w:color w:val="auto"/>
              </w:rPr>
              <w:t>Chairman of the Board and Chief Executive Officer</w:t>
            </w:r>
          </w:p>
        </w:tc>
      </w:tr>
      <w:tr>
        <w:trPr>
          <w:trHeight w:val="432"/>
        </w:trPr>
        <w:tc>
          <w:tcPr>
            <w:tcW w:w="4120" w:type="dxa"/>
            <w:vAlign w:val="bottom"/>
          </w:tcPr>
          <w:p>
            <w:pPr>
              <w:ind w:left="680"/>
              <w:spacing w:after="0"/>
              <w:rPr>
                <w:sz w:val="20"/>
                <w:szCs w:val="20"/>
                <w:color w:val="auto"/>
              </w:rPr>
            </w:pPr>
            <w:r>
              <w:rPr>
                <w:rFonts w:ascii="Arial" w:cs="Arial" w:eastAsia="Arial" w:hAnsi="Arial"/>
                <w:sz w:val="18"/>
                <w:szCs w:val="18"/>
                <w:color w:val="auto"/>
              </w:rPr>
              <w:t>Marc Gabelli</w:t>
            </w:r>
          </w:p>
        </w:tc>
        <w:tc>
          <w:tcPr>
            <w:tcW w:w="6360" w:type="dxa"/>
            <w:vAlign w:val="bottom"/>
          </w:tcPr>
          <w:p>
            <w:pPr>
              <w:spacing w:after="0"/>
              <w:rPr>
                <w:sz w:val="20"/>
                <w:szCs w:val="20"/>
                <w:color w:val="auto"/>
              </w:rPr>
            </w:pPr>
            <w:r>
              <w:rPr>
                <w:rFonts w:ascii="Arial" w:cs="Arial" w:eastAsia="Arial" w:hAnsi="Arial"/>
                <w:sz w:val="18"/>
                <w:szCs w:val="18"/>
                <w:color w:val="auto"/>
              </w:rPr>
              <w:t>President</w:t>
            </w:r>
          </w:p>
        </w:tc>
      </w:tr>
      <w:tr>
        <w:trPr>
          <w:trHeight w:val="432"/>
        </w:trPr>
        <w:tc>
          <w:tcPr>
            <w:tcW w:w="4120" w:type="dxa"/>
            <w:vAlign w:val="bottom"/>
          </w:tcPr>
          <w:p>
            <w:pPr>
              <w:ind w:left="680"/>
              <w:spacing w:after="0"/>
              <w:rPr>
                <w:sz w:val="20"/>
                <w:szCs w:val="20"/>
                <w:color w:val="auto"/>
              </w:rPr>
            </w:pPr>
            <w:r>
              <w:rPr>
                <w:rFonts w:ascii="Arial" w:cs="Arial" w:eastAsia="Arial" w:hAnsi="Arial"/>
                <w:sz w:val="18"/>
                <w:szCs w:val="18"/>
                <w:color w:val="auto"/>
              </w:rPr>
              <w:t>Patrick Dennis</w:t>
            </w:r>
          </w:p>
        </w:tc>
        <w:tc>
          <w:tcPr>
            <w:tcW w:w="6360" w:type="dxa"/>
            <w:vAlign w:val="bottom"/>
          </w:tcPr>
          <w:p>
            <w:pPr>
              <w:spacing w:after="0"/>
              <w:rPr>
                <w:sz w:val="20"/>
                <w:szCs w:val="20"/>
                <w:color w:val="auto"/>
              </w:rPr>
            </w:pPr>
            <w:r>
              <w:rPr>
                <w:rFonts w:ascii="Arial" w:cs="Arial" w:eastAsia="Arial" w:hAnsi="Arial"/>
                <w:sz w:val="18"/>
                <w:szCs w:val="18"/>
                <w:color w:val="auto"/>
              </w:rPr>
              <w:t>Executive Vice President and Chief Financial Officer</w:t>
            </w:r>
          </w:p>
        </w:tc>
      </w:tr>
      <w:tr>
        <w:trPr>
          <w:trHeight w:val="432"/>
        </w:trPr>
        <w:tc>
          <w:tcPr>
            <w:tcW w:w="4120" w:type="dxa"/>
            <w:vAlign w:val="bottom"/>
          </w:tcPr>
          <w:p>
            <w:pPr>
              <w:ind w:left="680"/>
              <w:spacing w:after="0"/>
              <w:rPr>
                <w:sz w:val="20"/>
                <w:szCs w:val="20"/>
                <w:color w:val="auto"/>
              </w:rPr>
            </w:pPr>
            <w:r>
              <w:rPr>
                <w:rFonts w:ascii="Arial" w:cs="Arial" w:eastAsia="Arial" w:hAnsi="Arial"/>
                <w:sz w:val="18"/>
                <w:szCs w:val="18"/>
                <w:color w:val="auto"/>
              </w:rPr>
              <w:t>David Goldman</w:t>
            </w:r>
          </w:p>
        </w:tc>
        <w:tc>
          <w:tcPr>
            <w:tcW w:w="6360" w:type="dxa"/>
            <w:vAlign w:val="bottom"/>
          </w:tcPr>
          <w:p>
            <w:pPr>
              <w:spacing w:after="0"/>
              <w:rPr>
                <w:sz w:val="20"/>
                <w:szCs w:val="20"/>
                <w:color w:val="auto"/>
              </w:rPr>
            </w:pPr>
            <w:r>
              <w:rPr>
                <w:rFonts w:ascii="Arial" w:cs="Arial" w:eastAsia="Arial" w:hAnsi="Arial"/>
                <w:sz w:val="18"/>
                <w:szCs w:val="18"/>
                <w:color w:val="auto"/>
              </w:rPr>
              <w:t>Secretary</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5640"/>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480"/>
          </w:cols>
          <w:pgMar w:left="240" w:top="1314" w:right="1179" w:bottom="1440" w:gutter="0" w:footer="0" w:header="0"/>
        </w:sectPr>
      </w:pPr>
    </w:p>
    <w:bookmarkStart w:id="18" w:name="page19"/>
    <w:bookmarkEnd w:id="18"/>
    <w:p>
      <w:pPr>
        <w:ind w:left="1432"/>
        <w:spacing w:after="0"/>
        <w:rPr>
          <w:sz w:val="20"/>
          <w:szCs w:val="20"/>
          <w:color w:val="auto"/>
        </w:rPr>
      </w:pPr>
      <w:r>
        <w:rPr>
          <w:rFonts w:ascii="Arial" w:cs="Arial" w:eastAsia="Arial" w:hAnsi="Arial"/>
          <w:sz w:val="18"/>
          <w:szCs w:val="18"/>
          <w:color w:val="auto"/>
        </w:rPr>
        <w:t>SCHEDULE II</w:t>
      </w:r>
    </w:p>
    <w:p>
      <w:pPr>
        <w:spacing w:after="0" w:line="23" w:lineRule="exact"/>
        <w:rPr>
          <w:sz w:val="20"/>
          <w:szCs w:val="20"/>
          <w:color w:val="auto"/>
        </w:rPr>
      </w:pPr>
    </w:p>
    <w:p>
      <w:pPr>
        <w:ind w:left="1252"/>
        <w:spacing w:after="0"/>
        <w:rPr>
          <w:sz w:val="20"/>
          <w:szCs w:val="20"/>
          <w:color w:val="auto"/>
        </w:rPr>
      </w:pPr>
      <w:r>
        <w:rPr>
          <w:rFonts w:ascii="Arial" w:cs="Arial" w:eastAsia="Arial" w:hAnsi="Arial"/>
          <w:sz w:val="18"/>
          <w:szCs w:val="18"/>
          <w:color w:val="auto"/>
        </w:rPr>
        <w:t>INFORMATION WITH RESPECT TO</w:t>
      </w:r>
    </w:p>
    <w:p>
      <w:pPr>
        <w:spacing w:after="0" w:line="9" w:lineRule="exact"/>
        <w:rPr>
          <w:sz w:val="20"/>
          <w:szCs w:val="20"/>
          <w:color w:val="auto"/>
        </w:rPr>
      </w:pPr>
    </w:p>
    <w:p>
      <w:pPr>
        <w:ind w:left="772" w:right="4139" w:hanging="2"/>
        <w:spacing w:after="0" w:line="250" w:lineRule="auto"/>
        <w:rPr>
          <w:sz w:val="20"/>
          <w:szCs w:val="20"/>
          <w:color w:val="auto"/>
        </w:rPr>
      </w:pPr>
      <w:r>
        <w:rPr>
          <w:rFonts w:ascii="Arial" w:cs="Arial" w:eastAsia="Arial" w:hAnsi="Arial"/>
          <w:sz w:val="18"/>
          <w:szCs w:val="18"/>
          <w:color w:val="auto"/>
        </w:rPr>
        <w:t>TRANSACTIONS EFFECTED DURING THE PAST SIXTY DAYS OR SINCE THE MOST RECENT FILING ON SCHEDULE 13D (1)</w:t>
      </w:r>
    </w:p>
    <w:p>
      <w:pPr>
        <w:spacing w:after="0" w:line="1" w:lineRule="exact"/>
        <w:rPr>
          <w:sz w:val="20"/>
          <w:szCs w:val="20"/>
          <w:color w:val="auto"/>
        </w:rPr>
      </w:pPr>
    </w:p>
    <w:p>
      <w:pPr>
        <w:ind w:left="1572"/>
        <w:spacing w:after="0"/>
        <w:tabs>
          <w:tab w:leader="none" w:pos="3712" w:val="left"/>
        </w:tabs>
        <w:rPr>
          <w:sz w:val="20"/>
          <w:szCs w:val="20"/>
          <w:color w:val="auto"/>
        </w:rPr>
      </w:pPr>
      <w:r>
        <w:rPr>
          <w:rFonts w:ascii="Arial" w:cs="Arial" w:eastAsia="Arial" w:hAnsi="Arial"/>
          <w:sz w:val="18"/>
          <w:szCs w:val="18"/>
          <w:color w:val="auto"/>
        </w:rPr>
        <w:t>SHARES PURCHASED</w:t>
      </w:r>
      <w:r>
        <w:rPr>
          <w:sz w:val="20"/>
          <w:szCs w:val="20"/>
          <w:color w:val="auto"/>
        </w:rPr>
        <w:tab/>
      </w:r>
      <w:r>
        <w:rPr>
          <w:rFonts w:ascii="Arial" w:cs="Arial" w:eastAsia="Arial" w:hAnsi="Arial"/>
          <w:sz w:val="17"/>
          <w:szCs w:val="17"/>
          <w:color w:val="auto"/>
        </w:rPr>
        <w:t>AVERAGE</w:t>
      </w:r>
    </w:p>
    <w:p>
      <w:pPr>
        <w:spacing w:after="0" w:line="9" w:lineRule="exact"/>
        <w:rPr>
          <w:sz w:val="20"/>
          <w:szCs w:val="20"/>
          <w:color w:val="auto"/>
        </w:rPr>
      </w:pPr>
    </w:p>
    <w:p>
      <w:pPr>
        <w:ind w:left="1072"/>
        <w:spacing w:after="0"/>
        <w:tabs>
          <w:tab w:leader="none" w:pos="2052" w:val="left"/>
          <w:tab w:leader="none" w:pos="3292"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SOLD(-)</w:t>
      </w:r>
      <w:r>
        <w:rPr>
          <w:sz w:val="20"/>
          <w:szCs w:val="20"/>
          <w:color w:val="auto"/>
        </w:rPr>
        <w:tab/>
      </w:r>
      <w:r>
        <w:rPr>
          <w:rFonts w:ascii="Arial" w:cs="Arial" w:eastAsia="Arial" w:hAnsi="Arial"/>
          <w:sz w:val="16"/>
          <w:szCs w:val="16"/>
          <w:color w:val="auto"/>
        </w:rPr>
        <w:t>PRICE(2)</w:t>
      </w:r>
    </w:p>
    <w:p>
      <w:pPr>
        <w:spacing w:after="0" w:line="238" w:lineRule="exact"/>
        <w:rPr>
          <w:sz w:val="20"/>
          <w:szCs w:val="20"/>
          <w:color w:val="auto"/>
        </w:rPr>
      </w:pPr>
    </w:p>
    <w:p>
      <w:pPr>
        <w:ind w:left="52"/>
        <w:spacing w:after="0"/>
        <w:rPr>
          <w:sz w:val="20"/>
          <w:szCs w:val="20"/>
          <w:color w:val="auto"/>
        </w:rPr>
      </w:pPr>
      <w:r>
        <w:rPr>
          <w:rFonts w:ascii="Arial" w:cs="Arial" w:eastAsia="Arial" w:hAnsi="Arial"/>
          <w:sz w:val="18"/>
          <w:szCs w:val="18"/>
          <w:color w:val="auto"/>
        </w:rPr>
        <w:t>COMMON STOCK-OIL DRI CORPORATION OF AMERICA</w:t>
      </w:r>
    </w:p>
    <w:p>
      <w:pPr>
        <w:spacing w:after="0" w:line="252" w:lineRule="exact"/>
        <w:rPr>
          <w:sz w:val="20"/>
          <w:szCs w:val="20"/>
          <w:color w:val="auto"/>
        </w:rPr>
      </w:pPr>
    </w:p>
    <w:p>
      <w:pPr>
        <w:ind w:left="452"/>
        <w:spacing w:after="0"/>
        <w:rPr>
          <w:sz w:val="20"/>
          <w:szCs w:val="20"/>
          <w:color w:val="auto"/>
        </w:rPr>
      </w:pPr>
      <w:r>
        <w:rPr>
          <w:rFonts w:ascii="Arial" w:cs="Arial" w:eastAsia="Arial" w:hAnsi="Arial"/>
          <w:sz w:val="18"/>
          <w:szCs w:val="18"/>
          <w:color w:val="auto"/>
        </w:rPr>
        <w:t>GAMCO ASSET MANAGEMENT INC.</w:t>
      </w:r>
    </w:p>
    <w:p>
      <w:pPr>
        <w:spacing w:after="0" w:line="18" w:lineRule="exact"/>
        <w:rPr>
          <w:sz w:val="20"/>
          <w:szCs w:val="20"/>
          <w:color w:val="auto"/>
        </w:rPr>
      </w:pPr>
    </w:p>
    <w:tbl>
      <w:tblPr>
        <w:tblLayout w:type="fixed"/>
        <w:tblInd w:w="992" w:type="dxa"/>
        <w:tblCellMar>
          <w:top w:w="0" w:type="dxa"/>
          <w:left w:w="0" w:type="dxa"/>
          <w:bottom w:w="0" w:type="dxa"/>
          <w:right w:w="0" w:type="dxa"/>
        </w:tblCellMar>
      </w:tblPr>
      <w:tr>
        <w:trPr>
          <w:trHeight w:val="207"/>
        </w:trPr>
        <w:tc>
          <w:tcPr>
            <w:tcW w:w="900" w:type="dxa"/>
            <w:vAlign w:val="bottom"/>
          </w:tcPr>
          <w:p>
            <w:pPr>
              <w:jc w:val="right"/>
              <w:ind w:right="170"/>
              <w:spacing w:after="0"/>
              <w:rPr>
                <w:sz w:val="20"/>
                <w:szCs w:val="20"/>
                <w:color w:val="auto"/>
              </w:rPr>
            </w:pPr>
            <w:r>
              <w:rPr>
                <w:rFonts w:ascii="Arial" w:cs="Arial" w:eastAsia="Arial" w:hAnsi="Arial"/>
                <w:sz w:val="18"/>
                <w:szCs w:val="18"/>
                <w:color w:val="auto"/>
                <w:w w:val="88"/>
              </w:rPr>
              <w:t>12/10/15</w:t>
            </w:r>
          </w:p>
        </w:tc>
        <w:tc>
          <w:tcPr>
            <w:tcW w:w="960" w:type="dxa"/>
            <w:vAlign w:val="bottom"/>
          </w:tcPr>
          <w:p>
            <w:pPr>
              <w:jc w:val="right"/>
              <w:ind w:right="130"/>
              <w:spacing w:after="0"/>
              <w:rPr>
                <w:sz w:val="20"/>
                <w:szCs w:val="20"/>
                <w:color w:val="auto"/>
              </w:rPr>
            </w:pPr>
            <w:r>
              <w:rPr>
                <w:rFonts w:ascii="Arial" w:cs="Arial" w:eastAsia="Arial" w:hAnsi="Arial"/>
                <w:sz w:val="18"/>
                <w:szCs w:val="18"/>
                <w:color w:val="auto"/>
              </w:rPr>
              <w:t>1,200-</w:t>
            </w:r>
          </w:p>
        </w:tc>
        <w:tc>
          <w:tcPr>
            <w:tcW w:w="860" w:type="dxa"/>
            <w:vAlign w:val="bottom"/>
          </w:tcPr>
          <w:p>
            <w:pPr>
              <w:jc w:val="right"/>
              <w:spacing w:after="0"/>
              <w:rPr>
                <w:sz w:val="20"/>
                <w:szCs w:val="20"/>
                <w:color w:val="auto"/>
              </w:rPr>
            </w:pPr>
            <w:r>
              <w:rPr>
                <w:rFonts w:ascii="Arial" w:cs="Arial" w:eastAsia="Arial" w:hAnsi="Arial"/>
                <w:sz w:val="18"/>
                <w:szCs w:val="18"/>
                <w:color w:val="auto"/>
              </w:rPr>
              <w:t>34.2889</w:t>
            </w:r>
          </w:p>
        </w:tc>
      </w:tr>
      <w:tr>
        <w:trPr>
          <w:trHeight w:val="216"/>
        </w:trPr>
        <w:tc>
          <w:tcPr>
            <w:tcW w:w="900" w:type="dxa"/>
            <w:vAlign w:val="bottom"/>
          </w:tcPr>
          <w:p>
            <w:pPr>
              <w:jc w:val="right"/>
              <w:ind w:right="170"/>
              <w:spacing w:after="0"/>
              <w:rPr>
                <w:sz w:val="20"/>
                <w:szCs w:val="20"/>
                <w:color w:val="auto"/>
              </w:rPr>
            </w:pPr>
            <w:r>
              <w:rPr>
                <w:rFonts w:ascii="Arial" w:cs="Arial" w:eastAsia="Arial" w:hAnsi="Arial"/>
                <w:sz w:val="18"/>
                <w:szCs w:val="18"/>
                <w:color w:val="auto"/>
                <w:w w:val="88"/>
              </w:rPr>
              <w:t>12/08/15</w:t>
            </w:r>
          </w:p>
        </w:tc>
        <w:tc>
          <w:tcPr>
            <w:tcW w:w="960" w:type="dxa"/>
            <w:vAlign w:val="bottom"/>
          </w:tcPr>
          <w:p>
            <w:pPr>
              <w:jc w:val="right"/>
              <w:ind w:right="170"/>
              <w:spacing w:after="0"/>
              <w:rPr>
                <w:sz w:val="20"/>
                <w:szCs w:val="20"/>
                <w:color w:val="auto"/>
              </w:rPr>
            </w:pPr>
            <w:r>
              <w:rPr>
                <w:rFonts w:ascii="Arial" w:cs="Arial" w:eastAsia="Arial" w:hAnsi="Arial"/>
                <w:sz w:val="18"/>
                <w:szCs w:val="18"/>
                <w:color w:val="auto"/>
              </w:rPr>
              <w:t>400-</w:t>
            </w:r>
          </w:p>
        </w:tc>
        <w:tc>
          <w:tcPr>
            <w:tcW w:w="860" w:type="dxa"/>
            <w:vAlign w:val="bottom"/>
          </w:tcPr>
          <w:p>
            <w:pPr>
              <w:jc w:val="right"/>
              <w:spacing w:after="0"/>
              <w:rPr>
                <w:sz w:val="20"/>
                <w:szCs w:val="20"/>
                <w:color w:val="auto"/>
              </w:rPr>
            </w:pPr>
            <w:r>
              <w:rPr>
                <w:rFonts w:ascii="Arial" w:cs="Arial" w:eastAsia="Arial" w:hAnsi="Arial"/>
                <w:sz w:val="18"/>
                <w:szCs w:val="18"/>
                <w:color w:val="auto"/>
              </w:rPr>
              <w:t>33.3950</w:t>
            </w:r>
          </w:p>
        </w:tc>
      </w:tr>
      <w:tr>
        <w:trPr>
          <w:trHeight w:val="216"/>
        </w:trPr>
        <w:tc>
          <w:tcPr>
            <w:tcW w:w="900" w:type="dxa"/>
            <w:vAlign w:val="bottom"/>
          </w:tcPr>
          <w:p>
            <w:pPr>
              <w:jc w:val="right"/>
              <w:ind w:right="170"/>
              <w:spacing w:after="0"/>
              <w:rPr>
                <w:sz w:val="20"/>
                <w:szCs w:val="20"/>
                <w:color w:val="auto"/>
              </w:rPr>
            </w:pPr>
            <w:r>
              <w:rPr>
                <w:rFonts w:ascii="Arial" w:cs="Arial" w:eastAsia="Arial" w:hAnsi="Arial"/>
                <w:sz w:val="18"/>
                <w:szCs w:val="18"/>
                <w:color w:val="auto"/>
                <w:w w:val="88"/>
              </w:rPr>
              <w:t>11/10/15</w:t>
            </w:r>
          </w:p>
        </w:tc>
        <w:tc>
          <w:tcPr>
            <w:tcW w:w="960" w:type="dxa"/>
            <w:vAlign w:val="bottom"/>
          </w:tcPr>
          <w:p>
            <w:pPr>
              <w:jc w:val="right"/>
              <w:ind w:right="170"/>
              <w:spacing w:after="0"/>
              <w:rPr>
                <w:sz w:val="20"/>
                <w:szCs w:val="20"/>
                <w:color w:val="auto"/>
              </w:rPr>
            </w:pPr>
            <w:r>
              <w:rPr>
                <w:rFonts w:ascii="Arial" w:cs="Arial" w:eastAsia="Arial" w:hAnsi="Arial"/>
                <w:sz w:val="18"/>
                <w:szCs w:val="18"/>
                <w:color w:val="auto"/>
              </w:rPr>
              <w:t>200-</w:t>
            </w:r>
          </w:p>
        </w:tc>
        <w:tc>
          <w:tcPr>
            <w:tcW w:w="860" w:type="dxa"/>
            <w:vAlign w:val="bottom"/>
          </w:tcPr>
          <w:p>
            <w:pPr>
              <w:jc w:val="right"/>
              <w:spacing w:after="0"/>
              <w:rPr>
                <w:sz w:val="20"/>
                <w:szCs w:val="20"/>
                <w:color w:val="auto"/>
              </w:rPr>
            </w:pPr>
            <w:r>
              <w:rPr>
                <w:rFonts w:ascii="Arial" w:cs="Arial" w:eastAsia="Arial" w:hAnsi="Arial"/>
                <w:sz w:val="18"/>
                <w:szCs w:val="18"/>
                <w:color w:val="auto"/>
              </w:rPr>
              <w:t>29.3900</w:t>
            </w:r>
          </w:p>
        </w:tc>
      </w:tr>
      <w:tr>
        <w:trPr>
          <w:trHeight w:val="216"/>
        </w:trPr>
        <w:tc>
          <w:tcPr>
            <w:tcW w:w="900" w:type="dxa"/>
            <w:vAlign w:val="bottom"/>
          </w:tcPr>
          <w:p>
            <w:pPr>
              <w:jc w:val="right"/>
              <w:ind w:right="170"/>
              <w:spacing w:after="0"/>
              <w:rPr>
                <w:sz w:val="20"/>
                <w:szCs w:val="20"/>
                <w:color w:val="auto"/>
              </w:rPr>
            </w:pPr>
            <w:r>
              <w:rPr>
                <w:rFonts w:ascii="Arial" w:cs="Arial" w:eastAsia="Arial" w:hAnsi="Arial"/>
                <w:sz w:val="18"/>
                <w:szCs w:val="18"/>
                <w:color w:val="auto"/>
                <w:w w:val="88"/>
              </w:rPr>
              <w:t>10/28/15</w:t>
            </w:r>
          </w:p>
        </w:tc>
        <w:tc>
          <w:tcPr>
            <w:tcW w:w="960" w:type="dxa"/>
            <w:vAlign w:val="bottom"/>
          </w:tcPr>
          <w:p>
            <w:pPr>
              <w:jc w:val="right"/>
              <w:ind w:right="170"/>
              <w:spacing w:after="0"/>
              <w:rPr>
                <w:sz w:val="20"/>
                <w:szCs w:val="20"/>
                <w:color w:val="auto"/>
              </w:rPr>
            </w:pPr>
            <w:r>
              <w:rPr>
                <w:rFonts w:ascii="Arial" w:cs="Arial" w:eastAsia="Arial" w:hAnsi="Arial"/>
                <w:sz w:val="18"/>
                <w:szCs w:val="18"/>
                <w:color w:val="auto"/>
              </w:rPr>
              <w:t>244-</w:t>
            </w:r>
          </w:p>
        </w:tc>
        <w:tc>
          <w:tcPr>
            <w:tcW w:w="860" w:type="dxa"/>
            <w:vAlign w:val="bottom"/>
          </w:tcPr>
          <w:p>
            <w:pPr>
              <w:jc w:val="right"/>
              <w:spacing w:after="0"/>
              <w:rPr>
                <w:sz w:val="20"/>
                <w:szCs w:val="20"/>
                <w:color w:val="auto"/>
              </w:rPr>
            </w:pPr>
            <w:r>
              <w:rPr>
                <w:rFonts w:ascii="Arial" w:cs="Arial" w:eastAsia="Arial" w:hAnsi="Arial"/>
                <w:sz w:val="18"/>
                <w:szCs w:val="18"/>
                <w:color w:val="auto"/>
              </w:rPr>
              <w:t>30.0646</w:t>
            </w:r>
          </w:p>
        </w:tc>
      </w:tr>
      <w:tr>
        <w:trPr>
          <w:trHeight w:val="230"/>
        </w:trPr>
        <w:tc>
          <w:tcPr>
            <w:tcW w:w="900" w:type="dxa"/>
            <w:vAlign w:val="bottom"/>
          </w:tcPr>
          <w:p>
            <w:pPr>
              <w:jc w:val="right"/>
              <w:ind w:right="170"/>
              <w:spacing w:after="0"/>
              <w:rPr>
                <w:sz w:val="20"/>
                <w:szCs w:val="20"/>
                <w:color w:val="auto"/>
              </w:rPr>
            </w:pPr>
            <w:r>
              <w:rPr>
                <w:rFonts w:ascii="Arial" w:cs="Arial" w:eastAsia="Arial" w:hAnsi="Arial"/>
                <w:sz w:val="18"/>
                <w:szCs w:val="18"/>
                <w:color w:val="auto"/>
                <w:w w:val="88"/>
              </w:rPr>
              <w:t>10/27/15</w:t>
            </w:r>
          </w:p>
        </w:tc>
        <w:tc>
          <w:tcPr>
            <w:tcW w:w="960" w:type="dxa"/>
            <w:vAlign w:val="bottom"/>
          </w:tcPr>
          <w:p>
            <w:pPr>
              <w:jc w:val="right"/>
              <w:ind w:right="170"/>
              <w:spacing w:after="0"/>
              <w:rPr>
                <w:sz w:val="20"/>
                <w:szCs w:val="20"/>
                <w:color w:val="auto"/>
              </w:rPr>
            </w:pPr>
            <w:r>
              <w:rPr>
                <w:rFonts w:ascii="Arial" w:cs="Arial" w:eastAsia="Arial" w:hAnsi="Arial"/>
                <w:sz w:val="18"/>
                <w:szCs w:val="18"/>
                <w:color w:val="auto"/>
              </w:rPr>
              <w:t>300-</w:t>
            </w:r>
          </w:p>
        </w:tc>
        <w:tc>
          <w:tcPr>
            <w:tcW w:w="860" w:type="dxa"/>
            <w:vAlign w:val="bottom"/>
          </w:tcPr>
          <w:p>
            <w:pPr>
              <w:jc w:val="right"/>
              <w:spacing w:after="0"/>
              <w:rPr>
                <w:sz w:val="20"/>
                <w:szCs w:val="20"/>
                <w:color w:val="auto"/>
              </w:rPr>
            </w:pPr>
            <w:r>
              <w:rPr>
                <w:rFonts w:ascii="Arial" w:cs="Arial" w:eastAsia="Arial" w:hAnsi="Arial"/>
                <w:sz w:val="18"/>
                <w:szCs w:val="18"/>
                <w:color w:val="auto"/>
              </w:rPr>
              <w:t>29.9001</w:t>
            </w:r>
          </w:p>
        </w:tc>
      </w:tr>
    </w:tbl>
    <w:p>
      <w:pPr>
        <w:spacing w:after="0" w:line="229" w:lineRule="exact"/>
        <w:rPr>
          <w:sz w:val="20"/>
          <w:szCs w:val="20"/>
          <w:color w:val="auto"/>
        </w:rPr>
      </w:pPr>
    </w:p>
    <w:p>
      <w:pPr>
        <w:ind w:left="172" w:right="3859" w:hanging="172"/>
        <w:spacing w:after="0" w:line="277" w:lineRule="auto"/>
        <w:tabs>
          <w:tab w:leader="none" w:pos="247" w:val="left"/>
        </w:tabs>
        <w:numPr>
          <w:ilvl w:val="0"/>
          <w:numId w:val="52"/>
        </w:numPr>
        <w:rPr>
          <w:rFonts w:ascii="Arial" w:cs="Arial" w:eastAsia="Arial" w:hAnsi="Arial"/>
          <w:sz w:val="18"/>
          <w:szCs w:val="18"/>
          <w:color w:val="auto"/>
        </w:rPr>
      </w:pPr>
      <w:r>
        <w:rPr>
          <w:rFonts w:ascii="Arial" w:cs="Arial" w:eastAsia="Arial" w:hAnsi="Arial"/>
          <w:sz w:val="18"/>
          <w:szCs w:val="18"/>
          <w:color w:val="auto"/>
        </w:rPr>
        <w:t>UNLESS OTHERWISE INDICATED, ALL TRANSACTIONS WERE EFFECTED ON THE NYSE.</w:t>
      </w:r>
    </w:p>
    <w:p>
      <w:pPr>
        <w:spacing w:after="0" w:line="197" w:lineRule="exact"/>
        <w:rPr>
          <w:rFonts w:ascii="Arial" w:cs="Arial" w:eastAsia="Arial" w:hAnsi="Arial"/>
          <w:sz w:val="18"/>
          <w:szCs w:val="18"/>
          <w:color w:val="auto"/>
        </w:rPr>
      </w:pPr>
    </w:p>
    <w:p>
      <w:pPr>
        <w:ind w:left="252" w:hanging="252"/>
        <w:spacing w:after="0"/>
        <w:tabs>
          <w:tab w:leader="none" w:pos="252" w:val="left"/>
        </w:tabs>
        <w:numPr>
          <w:ilvl w:val="0"/>
          <w:numId w:val="52"/>
        </w:numPr>
        <w:rPr>
          <w:rFonts w:ascii="Arial" w:cs="Arial" w:eastAsia="Arial" w:hAnsi="Arial"/>
          <w:sz w:val="18"/>
          <w:szCs w:val="18"/>
          <w:color w:val="auto"/>
        </w:rPr>
      </w:pPr>
      <w:r>
        <w:rPr>
          <w:rFonts w:ascii="Arial" w:cs="Arial" w:eastAsia="Arial" w:hAnsi="Arial"/>
          <w:sz w:val="18"/>
          <w:szCs w:val="18"/>
          <w:color w:val="auto"/>
        </w:rPr>
        <w:t>PRICE EXCLUDES COMMISSION.</w:t>
      </w:r>
    </w:p>
    <w:p>
      <w:pPr>
        <w:spacing w:after="0" w:line="200" w:lineRule="exact"/>
        <w:rPr>
          <w:sz w:val="20"/>
          <w:szCs w:val="20"/>
          <w:color w:val="auto"/>
        </w:rPr>
      </w:pPr>
    </w:p>
    <w:p>
      <w:pPr>
        <w:spacing w:after="0" w:line="291" w:lineRule="exact"/>
        <w:rPr>
          <w:sz w:val="20"/>
          <w:szCs w:val="20"/>
          <w:color w:val="auto"/>
        </w:rPr>
      </w:pPr>
    </w:p>
    <w:p>
      <w:pPr>
        <w:ind w:left="5632"/>
        <w:spacing w:after="0"/>
        <w:rPr>
          <w:sz w:val="20"/>
          <w:szCs w:val="20"/>
          <w:color w:val="auto"/>
        </w:rPr>
      </w:pPr>
      <w:r>
        <w:rPr>
          <w:rFonts w:ascii="Arial" w:cs="Arial" w:eastAsia="Arial" w:hAnsi="Arial"/>
          <w:sz w:val="14"/>
          <w:szCs w:val="14"/>
          <w:color w:val="auto"/>
        </w:rPr>
        <w:t>16</w:t>
      </w:r>
    </w:p>
    <w:sectPr>
      <w:pgSz w:w="11900" w:h="16838" w:orient="portrait"/>
      <w:cols w:equalWidth="0" w:num="1">
        <w:col w:w="10211"/>
      </w:cols>
      <w:pgMar w:left="248" w:top="109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89A769B"/>
    <w:multiLevelType w:val="hybridMultilevel"/>
    <w:lvl w:ilvl="0">
      <w:lvlJc w:val="left"/>
      <w:lvlText w:val="1"/>
      <w:numFmt w:val="bullet"/>
      <w:start w:val="1"/>
    </w:lvl>
  </w:abstractNum>
  <w:abstractNum w:abstractNumId="1">
    <w:nsid w:val="54E49EB4"/>
    <w:multiLevelType w:val="hybridMultilevel"/>
    <w:lvl w:ilvl="0">
      <w:lvlJc w:val="left"/>
      <w:lvlText w:val="2"/>
      <w:numFmt w:val="bullet"/>
      <w:start w:val="1"/>
    </w:lvl>
  </w:abstractNum>
  <w:abstractNum w:abstractNumId="2">
    <w:nsid w:val="71F32454"/>
    <w:multiLevelType w:val="hybridMultilevel"/>
    <w:lvl w:ilvl="0">
      <w:lvlJc w:val="left"/>
      <w:lvlText w:val="3"/>
      <w:numFmt w:val="bullet"/>
      <w:start w:val="1"/>
    </w:lvl>
  </w:abstractNum>
  <w:abstractNum w:abstractNumId="3">
    <w:nsid w:val="2CA88611"/>
    <w:multiLevelType w:val="hybridMultilevel"/>
    <w:lvl w:ilvl="0">
      <w:lvlJc w:val="left"/>
      <w:lvlText w:val="4"/>
      <w:numFmt w:val="bullet"/>
      <w:start w:val="1"/>
    </w:lvl>
  </w:abstractNum>
  <w:abstractNum w:abstractNumId="4">
    <w:nsid w:val="836C40E"/>
    <w:multiLevelType w:val="hybridMultilevel"/>
    <w:lvl w:ilvl="0">
      <w:lvlJc w:val="left"/>
      <w:lvlText w:val="6"/>
      <w:numFmt w:val="bullet"/>
      <w:start w:val="1"/>
    </w:lvl>
  </w:abstractNum>
  <w:abstractNum w:abstractNumId="5">
    <w:nsid w:val="2901D82"/>
    <w:multiLevelType w:val="hybridMultilevel"/>
    <w:lvl w:ilvl="0">
      <w:lvlJc w:val="left"/>
      <w:lvlText w:val="%1"/>
      <w:numFmt w:val="decimal"/>
      <w:start w:val="11"/>
    </w:lvl>
  </w:abstractNum>
  <w:abstractNum w:abstractNumId="6">
    <w:nsid w:val="3A95F874"/>
    <w:multiLevelType w:val="hybridMultilevel"/>
    <w:lvl w:ilvl="0">
      <w:lvlJc w:val="left"/>
      <w:lvlText w:val="1"/>
      <w:numFmt w:val="bullet"/>
      <w:start w:val="1"/>
    </w:lvl>
  </w:abstractNum>
  <w:abstractNum w:abstractNumId="7">
    <w:nsid w:val="8138641"/>
    <w:multiLevelType w:val="hybridMultilevel"/>
    <w:lvl w:ilvl="0">
      <w:lvlJc w:val="left"/>
      <w:lvlText w:val="2"/>
      <w:numFmt w:val="bullet"/>
      <w:start w:val="1"/>
    </w:lvl>
  </w:abstractNum>
  <w:abstractNum w:abstractNumId="8">
    <w:nsid w:val="1E7FF521"/>
    <w:multiLevelType w:val="hybridMultilevel"/>
    <w:lvl w:ilvl="0">
      <w:lvlJc w:val="left"/>
      <w:lvlText w:val="3"/>
      <w:numFmt w:val="bullet"/>
      <w:start w:val="1"/>
    </w:lvl>
  </w:abstractNum>
  <w:abstractNum w:abstractNumId="9">
    <w:nsid w:val="7C3DBD3D"/>
    <w:multiLevelType w:val="hybridMultilevel"/>
    <w:lvl w:ilvl="0">
      <w:lvlJc w:val="left"/>
      <w:lvlText w:val="4"/>
      <w:numFmt w:val="bullet"/>
      <w:start w:val="1"/>
    </w:lvl>
  </w:abstractNum>
  <w:abstractNum w:abstractNumId="10">
    <w:nsid w:val="737B8DDC"/>
    <w:multiLevelType w:val="hybridMultilevel"/>
    <w:lvl w:ilvl="0">
      <w:lvlJc w:val="left"/>
      <w:lvlText w:val="5"/>
      <w:numFmt w:val="bullet"/>
      <w:start w:val="1"/>
    </w:lvl>
  </w:abstractNum>
  <w:abstractNum w:abstractNumId="11">
    <w:nsid w:val="6CEAF087"/>
    <w:multiLevelType w:val="hybridMultilevel"/>
    <w:lvl w:ilvl="0">
      <w:lvlJc w:val="left"/>
      <w:lvlText w:val="6"/>
      <w:numFmt w:val="bullet"/>
      <w:start w:val="1"/>
    </w:lvl>
  </w:abstractNum>
  <w:abstractNum w:abstractNumId="12">
    <w:nsid w:val="22221A70"/>
    <w:multiLevelType w:val="hybridMultilevel"/>
    <w:lvl w:ilvl="0">
      <w:lvlJc w:val="left"/>
      <w:lvlText w:val="%1"/>
      <w:numFmt w:val="decimal"/>
      <w:start w:val="11"/>
    </w:lvl>
  </w:abstractNum>
  <w:abstractNum w:abstractNumId="13">
    <w:nsid w:val="4516DDE9"/>
    <w:multiLevelType w:val="hybridMultilevel"/>
    <w:lvl w:ilvl="0">
      <w:lvlJc w:val="left"/>
      <w:lvlText w:val="1"/>
      <w:numFmt w:val="bullet"/>
      <w:start w:val="1"/>
    </w:lvl>
  </w:abstractNum>
  <w:abstractNum w:abstractNumId="14">
    <w:nsid w:val="3006C83E"/>
    <w:multiLevelType w:val="hybridMultilevel"/>
    <w:lvl w:ilvl="0">
      <w:lvlJc w:val="left"/>
      <w:lvlText w:val="2"/>
      <w:numFmt w:val="bullet"/>
      <w:start w:val="1"/>
    </w:lvl>
  </w:abstractNum>
  <w:abstractNum w:abstractNumId="15">
    <w:nsid w:val="614FD4A1"/>
    <w:multiLevelType w:val="hybridMultilevel"/>
    <w:lvl w:ilvl="0">
      <w:lvlJc w:val="left"/>
      <w:lvlText w:val="3"/>
      <w:numFmt w:val="bullet"/>
      <w:start w:val="1"/>
    </w:lvl>
  </w:abstractNum>
  <w:abstractNum w:abstractNumId="16">
    <w:nsid w:val="419AC241"/>
    <w:multiLevelType w:val="hybridMultilevel"/>
    <w:lvl w:ilvl="0">
      <w:lvlJc w:val="left"/>
      <w:lvlText w:val="4"/>
      <w:numFmt w:val="bullet"/>
      <w:start w:val="1"/>
    </w:lvl>
  </w:abstractNum>
  <w:abstractNum w:abstractNumId="17">
    <w:nsid w:val="5577F8E1"/>
    <w:multiLevelType w:val="hybridMultilevel"/>
    <w:lvl w:ilvl="0">
      <w:lvlJc w:val="left"/>
      <w:lvlText w:val="5"/>
      <w:numFmt w:val="bullet"/>
      <w:start w:val="1"/>
    </w:lvl>
  </w:abstractNum>
  <w:abstractNum w:abstractNumId="18">
    <w:nsid w:val="440BADFC"/>
    <w:multiLevelType w:val="hybridMultilevel"/>
    <w:lvl w:ilvl="0">
      <w:lvlJc w:val="left"/>
      <w:lvlText w:val="6"/>
      <w:numFmt w:val="bullet"/>
      <w:start w:val="1"/>
    </w:lvl>
  </w:abstractNum>
  <w:abstractNum w:abstractNumId="19">
    <w:nsid w:val="5072367"/>
    <w:multiLevelType w:val="hybridMultilevel"/>
    <w:lvl w:ilvl="0">
      <w:lvlJc w:val="left"/>
      <w:lvlText w:val="%1"/>
      <w:numFmt w:val="decimal"/>
      <w:start w:val="11"/>
    </w:lvl>
  </w:abstractNum>
  <w:abstractNum w:abstractNumId="20">
    <w:nsid w:val="3804823E"/>
    <w:multiLevelType w:val="hybridMultilevel"/>
    <w:lvl w:ilvl="0">
      <w:lvlJc w:val="left"/>
      <w:lvlText w:val="1"/>
      <w:numFmt w:val="bullet"/>
      <w:start w:val="1"/>
    </w:lvl>
  </w:abstractNum>
  <w:abstractNum w:abstractNumId="21">
    <w:nsid w:val="77465F01"/>
    <w:multiLevelType w:val="hybridMultilevel"/>
    <w:lvl w:ilvl="0">
      <w:lvlJc w:val="left"/>
      <w:lvlText w:val="2"/>
      <w:numFmt w:val="bullet"/>
      <w:start w:val="1"/>
    </w:lvl>
  </w:abstractNum>
  <w:abstractNum w:abstractNumId="22">
    <w:nsid w:val="7724C67E"/>
    <w:multiLevelType w:val="hybridMultilevel"/>
    <w:lvl w:ilvl="0">
      <w:lvlJc w:val="left"/>
      <w:lvlText w:val="3"/>
      <w:numFmt w:val="bullet"/>
      <w:start w:val="1"/>
    </w:lvl>
  </w:abstractNum>
  <w:abstractNum w:abstractNumId="23">
    <w:nsid w:val="5C482A97"/>
    <w:multiLevelType w:val="hybridMultilevel"/>
    <w:lvl w:ilvl="0">
      <w:lvlJc w:val="left"/>
      <w:lvlText w:val="4"/>
      <w:numFmt w:val="bullet"/>
      <w:start w:val="1"/>
    </w:lvl>
  </w:abstractNum>
  <w:abstractNum w:abstractNumId="24">
    <w:nsid w:val="2463B9EA"/>
    <w:multiLevelType w:val="hybridMultilevel"/>
    <w:lvl w:ilvl="0">
      <w:lvlJc w:val="left"/>
      <w:lvlText w:val="5"/>
      <w:numFmt w:val="bullet"/>
      <w:start w:val="1"/>
    </w:lvl>
  </w:abstractNum>
  <w:abstractNum w:abstractNumId="25">
    <w:nsid w:val="5E884ADC"/>
    <w:multiLevelType w:val="hybridMultilevel"/>
    <w:lvl w:ilvl="0">
      <w:lvlJc w:val="left"/>
      <w:lvlText w:val="6"/>
      <w:numFmt w:val="bullet"/>
      <w:start w:val="1"/>
    </w:lvl>
  </w:abstractNum>
  <w:abstractNum w:abstractNumId="26">
    <w:nsid w:val="51EAD36B"/>
    <w:multiLevelType w:val="hybridMultilevel"/>
    <w:lvl w:ilvl="0">
      <w:lvlJc w:val="left"/>
      <w:lvlText w:val="%1"/>
      <w:numFmt w:val="decimal"/>
      <w:start w:val="11"/>
    </w:lvl>
  </w:abstractNum>
  <w:abstractNum w:abstractNumId="27">
    <w:nsid w:val="2D517796"/>
    <w:multiLevelType w:val="hybridMultilevel"/>
    <w:lvl w:ilvl="0">
      <w:lvlJc w:val="left"/>
      <w:lvlText w:val="2"/>
      <w:numFmt w:val="bullet"/>
      <w:start w:val="1"/>
    </w:lvl>
  </w:abstractNum>
  <w:abstractNum w:abstractNumId="28">
    <w:nsid w:val="580BD78F"/>
    <w:multiLevelType w:val="hybridMultilevel"/>
    <w:lvl w:ilvl="0">
      <w:lvlJc w:val="left"/>
      <w:lvlText w:val="3"/>
      <w:numFmt w:val="bullet"/>
      <w:start w:val="1"/>
    </w:lvl>
  </w:abstractNum>
  <w:abstractNum w:abstractNumId="29">
    <w:nsid w:val="153EA438"/>
    <w:multiLevelType w:val="hybridMultilevel"/>
    <w:lvl w:ilvl="0">
      <w:lvlJc w:val="left"/>
      <w:lvlText w:val="4"/>
      <w:numFmt w:val="bullet"/>
      <w:start w:val="1"/>
    </w:lvl>
  </w:abstractNum>
  <w:abstractNum w:abstractNumId="30">
    <w:nsid w:val="3855585C"/>
    <w:multiLevelType w:val="hybridMultilevel"/>
    <w:lvl w:ilvl="0">
      <w:lvlJc w:val="left"/>
      <w:lvlText w:val="5"/>
      <w:numFmt w:val="bullet"/>
      <w:start w:val="1"/>
    </w:lvl>
  </w:abstractNum>
  <w:abstractNum w:abstractNumId="31">
    <w:nsid w:val="70A64E2A"/>
    <w:multiLevelType w:val="hybridMultilevel"/>
    <w:lvl w:ilvl="0">
      <w:lvlJc w:val="left"/>
      <w:lvlText w:val="6"/>
      <w:numFmt w:val="bullet"/>
      <w:start w:val="1"/>
    </w:lvl>
  </w:abstractNum>
  <w:abstractNum w:abstractNumId="32">
    <w:nsid w:val="6A2342EC"/>
    <w:multiLevelType w:val="hybridMultilevel"/>
    <w:lvl w:ilvl="0">
      <w:lvlJc w:val="left"/>
      <w:lvlText w:val="%1"/>
      <w:numFmt w:val="decimal"/>
      <w:start w:val="11"/>
    </w:lvl>
  </w:abstractNum>
  <w:abstractNum w:abstractNumId="33">
    <w:nsid w:val="2A487CB0"/>
    <w:multiLevelType w:val="hybridMultilevel"/>
    <w:lvl w:ilvl="0">
      <w:lvlJc w:val="left"/>
      <w:lvlText w:val="1"/>
      <w:numFmt w:val="bullet"/>
      <w:start w:val="1"/>
    </w:lvl>
  </w:abstractNum>
  <w:abstractNum w:abstractNumId="34">
    <w:nsid w:val="1D4ED43B"/>
    <w:multiLevelType w:val="hybridMultilevel"/>
    <w:lvl w:ilvl="0">
      <w:lvlJc w:val="left"/>
      <w:lvlText w:val="4"/>
      <w:numFmt w:val="bullet"/>
      <w:start w:val="1"/>
    </w:lvl>
  </w:abstractNum>
  <w:abstractNum w:abstractNumId="35">
    <w:nsid w:val="725A06FB"/>
    <w:multiLevelType w:val="hybridMultilevel"/>
    <w:lvl w:ilvl="0">
      <w:lvlJc w:val="left"/>
      <w:lvlText w:val="5"/>
      <w:numFmt w:val="bullet"/>
      <w:start w:val="1"/>
    </w:lvl>
  </w:abstractNum>
  <w:abstractNum w:abstractNumId="36">
    <w:nsid w:val="2CD89A32"/>
    <w:multiLevelType w:val="hybridMultilevel"/>
    <w:lvl w:ilvl="0">
      <w:lvlJc w:val="left"/>
      <w:lvlText w:val="6"/>
      <w:numFmt w:val="bullet"/>
      <w:start w:val="1"/>
    </w:lvl>
  </w:abstractNum>
  <w:abstractNum w:abstractNumId="37">
    <w:nsid w:val="57E4CCAF"/>
    <w:multiLevelType w:val="hybridMultilevel"/>
    <w:lvl w:ilvl="0">
      <w:lvlJc w:val="left"/>
      <w:lvlText w:val="%1"/>
      <w:numFmt w:val="decimal"/>
      <w:start w:val="11"/>
    </w:lvl>
  </w:abstractNum>
  <w:abstractNum w:abstractNumId="38">
    <w:nsid w:val="7A6D8D3C"/>
    <w:multiLevelType w:val="hybridMultilevel"/>
    <w:lvl w:ilvl="0">
      <w:lvlJc w:val="left"/>
      <w:lvlText w:val="1"/>
      <w:numFmt w:val="bullet"/>
      <w:start w:val="1"/>
    </w:lvl>
  </w:abstractNum>
  <w:abstractNum w:abstractNumId="39">
    <w:nsid w:val="4B588F54"/>
    <w:multiLevelType w:val="hybridMultilevel"/>
    <w:lvl w:ilvl="0">
      <w:lvlJc w:val="left"/>
      <w:lvlText w:val="2"/>
      <w:numFmt w:val="bullet"/>
      <w:start w:val="1"/>
    </w:lvl>
  </w:abstractNum>
  <w:abstractNum w:abstractNumId="40">
    <w:nsid w:val="542289EC"/>
    <w:multiLevelType w:val="hybridMultilevel"/>
    <w:lvl w:ilvl="0">
      <w:lvlJc w:val="left"/>
      <w:lvlText w:val="3"/>
      <w:numFmt w:val="bullet"/>
      <w:start w:val="1"/>
    </w:lvl>
  </w:abstractNum>
  <w:abstractNum w:abstractNumId="41">
    <w:nsid w:val="6DE91B18"/>
    <w:multiLevelType w:val="hybridMultilevel"/>
    <w:lvl w:ilvl="0">
      <w:lvlJc w:val="left"/>
      <w:lvlText w:val="4"/>
      <w:numFmt w:val="bullet"/>
      <w:start w:val="1"/>
    </w:lvl>
  </w:abstractNum>
  <w:abstractNum w:abstractNumId="42">
    <w:nsid w:val="38437FDB"/>
    <w:multiLevelType w:val="hybridMultilevel"/>
    <w:lvl w:ilvl="0">
      <w:lvlJc w:val="left"/>
      <w:lvlText w:val="5"/>
      <w:numFmt w:val="bullet"/>
      <w:start w:val="1"/>
    </w:lvl>
  </w:abstractNum>
  <w:abstractNum w:abstractNumId="43">
    <w:nsid w:val="7644A45C"/>
    <w:multiLevelType w:val="hybridMultilevel"/>
    <w:lvl w:ilvl="0">
      <w:lvlJc w:val="left"/>
      <w:lvlText w:val="6"/>
      <w:numFmt w:val="bullet"/>
      <w:start w:val="1"/>
    </w:lvl>
  </w:abstractNum>
  <w:abstractNum w:abstractNumId="44">
    <w:nsid w:val="32FFF902"/>
    <w:multiLevelType w:val="hybridMultilevel"/>
    <w:lvl w:ilvl="0">
      <w:lvlJc w:val="left"/>
      <w:lvlText w:val="%1"/>
      <w:numFmt w:val="decimal"/>
      <w:start w:val="11"/>
    </w:lvl>
  </w:abstractNum>
  <w:abstractNum w:abstractNumId="45">
    <w:nsid w:val="684A481A"/>
    <w:multiLevelType w:val="hybridMultilevel"/>
    <w:lvl w:ilvl="0">
      <w:lvlJc w:val="left"/>
      <w:lvlText w:val="%1"/>
      <w:numFmt w:val="lowerLetter"/>
      <w:start w:val="1"/>
    </w:lvl>
    <w:lvl w:ilvl="1">
      <w:lvlJc w:val="left"/>
      <w:lvlText w:val="(%2)"/>
      <w:numFmt w:val="lowerLetter"/>
      <w:start w:val="4"/>
    </w:lvl>
  </w:abstractNum>
  <w:abstractNum w:abstractNumId="46">
    <w:nsid w:val="579478FE"/>
    <w:multiLevelType w:val="hybridMultilevel"/>
    <w:lvl w:ilvl="0">
      <w:lvlJc w:val="left"/>
      <w:lvlText w:val="(%1)"/>
      <w:numFmt w:val="lowerLetter"/>
      <w:start w:val="6"/>
    </w:lvl>
    <w:lvl w:ilvl="1">
      <w:lvlJc w:val="left"/>
      <w:lvlText w:val="%2"/>
      <w:numFmt w:val="lowerLetter"/>
      <w:start w:val="1"/>
    </w:lvl>
  </w:abstractNum>
  <w:abstractNum w:abstractNumId="47">
    <w:nsid w:val="749ABB43"/>
    <w:multiLevelType w:val="hybridMultilevel"/>
    <w:lvl w:ilvl="0">
      <w:lvlJc w:val="left"/>
      <w:lvlText w:val="(%1)"/>
      <w:numFmt w:val="lowerLetter"/>
      <w:start w:val="1"/>
    </w:lvl>
  </w:abstractNum>
  <w:abstractNum w:abstractNumId="48">
    <w:nsid w:val="3DC240FB"/>
    <w:multiLevelType w:val="hybridMultilevel"/>
    <w:lvl w:ilvl="0">
      <w:lvlJc w:val="left"/>
      <w:lvlText w:val="(%1)"/>
      <w:numFmt w:val="lowerLetter"/>
      <w:start w:val="2"/>
    </w:lvl>
  </w:abstractNum>
  <w:abstractNum w:abstractNumId="49">
    <w:nsid w:val="1BA026FA"/>
    <w:multiLevelType w:val="hybridMultilevel"/>
    <w:lvl w:ilvl="0">
      <w:lvlJc w:val="left"/>
      <w:lvlText w:val="(%1)"/>
      <w:numFmt w:val="lowerLetter"/>
      <w:start w:val="3"/>
    </w:lvl>
  </w:abstractNum>
  <w:abstractNum w:abstractNumId="50">
    <w:nsid w:val="79A1DEAA"/>
    <w:multiLevelType w:val="hybridMultilevel"/>
    <w:lvl w:ilvl="0">
      <w:lvlJc w:val="left"/>
      <w:lvlText w:val="(%1)"/>
      <w:numFmt w:val="lowerLetter"/>
      <w:start w:val="5"/>
    </w:lvl>
  </w:abstractNum>
  <w:abstractNum w:abstractNumId="51">
    <w:nsid w:val="75C6C33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2020-01-25T10:38:16Z</dcterms:created>
  <dcterms:modified xsi:type="dcterms:W3CDTF">2020-01-25T10:38:16Z</dcterms:modified>
</cp:coreProperties>
</file>