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80"/>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16"/>
        </w:trPr>
        <w:tc>
          <w:tcPr>
            <w:tcW w:w="2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16"/>
        </w:trPr>
        <w:tc>
          <w:tcPr>
            <w:tcW w:w="2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October 31, 2013</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31, 2013.</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4,978,893 Shares and Class B Stock – 2,074,927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0">
              <w:r>
                <w:rPr>
                  <w:rFonts w:ascii="Arial" w:cs="Arial" w:eastAsia="Arial" w:hAnsi="Arial"/>
                  <w:sz w:val="18"/>
                  <w:szCs w:val="18"/>
                  <w:color w:val="0000FF"/>
                  <w:w w:val="89"/>
                </w:rPr>
                <w:t>21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24</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2013.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15,187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$656 and $641</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31,732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at October 31, 2013 and July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22,344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3,265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96,542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103,372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184,137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(119,840)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67,230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66,055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$433 and $427 at October 31, 2013 and July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$472 and $455 at October 31, 2013 and July 31 2013,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$1,924 and $1,861 at October 31, 2013 and July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1,987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14,657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178,429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6,907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31,447</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18,900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16,582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46,245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73,559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80,621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7,894,460 shares at October 31, 2013</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7,866,560 shares at July 31, 2013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2,399,668 shares at October 31, 2013</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2,394,487 shares at July 31, 2013</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31,317</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132,750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income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(2,915,567 Common and 324,741 Class B shares at</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October 31, 2013 and 2,914,567 Common and 324,741 Class B shares at July 31, 2013)</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104,870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178,429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183,559</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(47,046)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(44,186)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6,399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3,893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6,057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134,382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126,196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0.69</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0.64</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4,955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4,879</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1,943</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6,973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4,621</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8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Three Months Ended October</w:t>
            </w: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31,</w:t>
            </w: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34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7"/>
                <w:szCs w:val="17"/>
                <w:color w:val="auto"/>
              </w:rPr>
            </w:pPr>
          </w:p>
        </w:tc>
        <w:tc>
          <w:tcPr>
            <w:tcW w:w="116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2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64"/>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r>
      <w:tr>
        <w:trPr>
          <w:trHeight w:val="237"/>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(Gain) Loss on the sale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Capacity rationalization charges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Increase (Decrease) in:</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40" w:type="dxa"/>
            <w:vAlign w:val="bottom"/>
          </w:tcPr>
          <w:p>
            <w:pPr>
              <w:spacing w:after="0"/>
              <w:rPr>
                <w:sz w:val="20"/>
                <w:szCs w:val="20"/>
                <w:color w:val="auto"/>
              </w:rPr>
            </w:pPr>
          </w:p>
        </w:tc>
        <w:tc>
          <w:tcPr>
            <w:tcW w:w="830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r>
      <w:tr>
        <w:trPr>
          <w:trHeight w:val="169"/>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50"/>
        </w:trPr>
        <w:tc>
          <w:tcPr>
            <w:tcW w:w="83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4360" w:type="dxa"/>
            <w:vAlign w:val="bottom"/>
            <w:tcBorders>
              <w:top w:val="single" w:sz="8" w:color="CCEEFF"/>
            </w:tcBorders>
            <w:gridSpan w:val="3"/>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(3,382)</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(2,157)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Advance payment for acquisition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4,705</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169"/>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50"/>
        </w:trPr>
        <w:tc>
          <w:tcPr>
            <w:tcW w:w="83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Principal payments on notes payable</w:t>
            </w:r>
          </w:p>
        </w:tc>
        <w:tc>
          <w:tcPr>
            <w:tcW w:w="4320" w:type="dxa"/>
            <w:vAlign w:val="bottom"/>
            <w:tcBorders>
              <w:top w:val="single" w:sz="8" w:color="CCEEFF"/>
            </w:tcBorders>
            <w:gridSpan w:val="2"/>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(3,500)</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(2,300)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40" w:type="dxa"/>
            <w:vAlign w:val="bottom"/>
          </w:tcPr>
          <w:p>
            <w:pPr>
              <w:spacing w:after="0"/>
              <w:rPr>
                <w:sz w:val="20"/>
                <w:szCs w:val="20"/>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(3,391)</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6"/>
        </w:trPr>
        <w:tc>
          <w:tcPr>
            <w:tcW w:w="4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2"/>
        </w:trPr>
        <w:tc>
          <w:tcPr>
            <w:tcW w:w="4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r>
      <w:tr>
        <w:trPr>
          <w:trHeight w:val="257"/>
        </w:trPr>
        <w:tc>
          <w:tcPr>
            <w:tcW w:w="834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17,776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27,177</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80" w:right="239" w:bottom="6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638"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2013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months ended October 31, 2013 are not necessarily an indication of the results that may be expected for the fiscal year ending July 31,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our sales agreements with customers, we recognize revenue when risk of loss and title are transferred. An invoice is generated upon shipment that sets the fixed and determinable price. Trade promotion reserves are provided for sales incentives made directly to consumers, such as coupons, and made to customers, such as slotting, discounts based on sales volume, cooperative marketing programs and other arrangements. Such trade promotion costs are netted against sales. Sales returns and allowances are not material.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our allowance for doubtful accounts utilizing a combination of historical experience and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The pre-production overburden removal costs associated with opening a new mine are deferred as prepaid expense and amortized.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Adopted Accounting Standards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this Quarterly Report on Form 10-Q for the first quarter of fiscal 2014 we adopted new guidance from the Financial Accounting Standard Board (“FASB”) issued under Accounting Standard Codification (“ASC”) 220, </w:t>
      </w:r>
      <w:r>
        <w:rPr>
          <w:rFonts w:ascii="Arial" w:cs="Arial" w:eastAsia="Arial" w:hAnsi="Arial"/>
          <w:sz w:val="18"/>
          <w:szCs w:val="18"/>
          <w:i w:val="1"/>
          <w:iCs w:val="1"/>
          <w:color w:val="auto"/>
        </w:rPr>
        <w:t>Comprehensive Income-Reporting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The guidance required presentation by the respective net income line items, either on the face of the statement where net income 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or in the notes, of information about significant amounts required to be reclassified out of accumulated other comprehensive income (“AOCI”). We elected to present the reclassifications in the notes to the financial statements. See Note 8 for additional information regarding amounts reclassified from AOCI.</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considered the FASB guidance issued under ASC 350,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which provides the option to first assess qualitative factors to determine if the annual two-step test for impairment must be performed. Based on the relevant events and circumstances that could have affected the significant inputs used to determine the fair value of our indefinite-lived intangible assets, we determined that it is more likely than not that these assets are not impaired and we did not perform a quantitative impairment assessment. There was no impact on our condensed consolidated financial statements as a result of this new guidance.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12,112</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4,003</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r>
      <w:tr>
        <w:trPr>
          <w:trHeight w:val="257"/>
        </w:trPr>
        <w:tc>
          <w:tcPr>
            <w:tcW w:w="19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20,723</w:t>
            </w: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October 31, 2013 and July 31, 2013 were $397,000 and $364,000,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hierarchy are as follows:</w:t>
      </w:r>
    </w:p>
    <w:p>
      <w:pPr>
        <w:spacing w:after="0" w:line="12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7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2"/>
              </w:rPr>
              <w:t>Fair Value at October 31, 2013</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1</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former key employees as of October 31, 2013. The cash surrender value of life insurance is included in other assets on the condensed Consolidated Balance Sheets.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short-term investments on the condensed Consolidated Balance Sheets includes U.S. Treasury securities and certificates of deposit. We have the ability to hold our short-term investments to maturity and intend to do so; therefore, these investments were reported at amortized cost on the condensed Consolidated Balance Sheets, which approximated fair value as of October 31, 2013. These balances are excluded from the above table.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on the condensed Consolidated Balance Sheets approximated their fair values at October 31, 2013 due to the short maturity and nature of those balances; therefore, these balances are excluded from the above table.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notes payable approximated their fair values at October 31, 2013 and are excluded from the above table. The estimated fair value of notes payable, including current maturities, was $23,638,000 as of October 31, 2013.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 Our annual goodwill impairment analysis was performed in the first quarter of fiscal 2014 and did not indicate any impairment.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5. PENSION AND OTHER POSTRETIREMENT BENEFITS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w w:val="93"/>
              </w:rPr>
              <w:t>The components of net periodic pension and postretirement health benefit costs were as follows: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10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Pension Benefits</w:t>
            </w:r>
          </w:p>
        </w:tc>
        <w:tc>
          <w:tcPr>
            <w:tcW w:w="960" w:type="dxa"/>
            <w:vAlign w:val="bottom"/>
          </w:tcPr>
          <w:p>
            <w:pPr>
              <w:spacing w:after="0"/>
              <w:rPr>
                <w:sz w:val="24"/>
                <w:szCs w:val="24"/>
                <w:color w:val="auto"/>
              </w:rPr>
            </w:pPr>
          </w:p>
        </w:tc>
      </w:tr>
      <w:tr>
        <w:trPr>
          <w:trHeight w:val="270"/>
        </w:trPr>
        <w:tc>
          <w:tcPr>
            <w:tcW w:w="104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960" w:type="dxa"/>
            <w:vAlign w:val="bottom"/>
          </w:tcPr>
          <w:p>
            <w:pPr>
              <w:spacing w:after="0"/>
              <w:rPr>
                <w:sz w:val="23"/>
                <w:szCs w:val="23"/>
                <w:color w:val="auto"/>
              </w:rPr>
            </w:pP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32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 31,</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960" w:type="dxa"/>
            <w:vAlign w:val="bottom"/>
          </w:tcPr>
          <w:p>
            <w:pPr>
              <w:ind w:left="580"/>
              <w:spacing w:after="0"/>
              <w:rPr>
                <w:sz w:val="20"/>
                <w:szCs w:val="20"/>
                <w:color w:val="auto"/>
              </w:rPr>
            </w:pPr>
            <w:r>
              <w:rPr>
                <w:rFonts w:ascii="Arial" w:cs="Arial" w:eastAsia="Arial" w:hAnsi="Arial"/>
                <w:sz w:val="18"/>
                <w:szCs w:val="18"/>
                <w:b w:val="1"/>
                <w:bCs w:val="1"/>
                <w:color w:val="auto"/>
                <w:w w:val="89"/>
              </w:rPr>
              <w:t>2013</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360</w:t>
            </w:r>
          </w:p>
        </w:tc>
        <w:tc>
          <w:tcPr>
            <w:tcW w:w="18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43"/>
        </w:trPr>
        <w:tc>
          <w:tcPr>
            <w:tcW w:w="10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Prior service costs</w:t>
            </w:r>
          </w:p>
        </w:tc>
        <w:tc>
          <w:tcPr>
            <w:tcW w:w="9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40" w:type="dxa"/>
            <w:vAlign w:val="bottom"/>
          </w:tcPr>
          <w:p>
            <w:pPr>
              <w:spacing w:after="0"/>
              <w:rPr>
                <w:sz w:val="23"/>
                <w:szCs w:val="23"/>
                <w:color w:val="auto"/>
              </w:rPr>
            </w:pPr>
          </w:p>
        </w:tc>
        <w:tc>
          <w:tcPr>
            <w:tcW w:w="6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actuarial loss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57"/>
        </w:trPr>
        <w:tc>
          <w:tcPr>
            <w:tcW w:w="1040" w:type="dxa"/>
            <w:vAlign w:val="bottom"/>
          </w:tcPr>
          <w:p>
            <w:pPr>
              <w:spacing w:after="0"/>
              <w:rPr>
                <w:sz w:val="22"/>
                <w:szCs w:val="22"/>
                <w:color w:val="auto"/>
              </w:rPr>
            </w:pP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448</w:t>
            </w:r>
          </w:p>
        </w:tc>
        <w:tc>
          <w:tcPr>
            <w:tcW w:w="1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r>
      <w:tr>
        <w:trPr>
          <w:trHeight w:val="20"/>
        </w:trPr>
        <w:tc>
          <w:tcPr>
            <w:tcW w:w="10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568"/>
        </w:trPr>
        <w:tc>
          <w:tcPr>
            <w:tcW w:w="10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2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Postretirement Health Benefits</w:t>
            </w:r>
          </w:p>
        </w:tc>
      </w:tr>
      <w:tr>
        <w:trPr>
          <w:trHeight w:val="270"/>
        </w:trPr>
        <w:tc>
          <w:tcPr>
            <w:tcW w:w="104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960" w:type="dxa"/>
            <w:vAlign w:val="bottom"/>
          </w:tcPr>
          <w:p>
            <w:pPr>
              <w:spacing w:after="0"/>
              <w:rPr>
                <w:sz w:val="23"/>
                <w:szCs w:val="23"/>
                <w:color w:val="auto"/>
              </w:rPr>
            </w:pP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32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 31,</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960" w:type="dxa"/>
            <w:vAlign w:val="bottom"/>
          </w:tcPr>
          <w:p>
            <w:pPr>
              <w:ind w:left="580"/>
              <w:spacing w:after="0"/>
              <w:rPr>
                <w:sz w:val="20"/>
                <w:szCs w:val="20"/>
                <w:color w:val="auto"/>
              </w:rPr>
            </w:pPr>
            <w:r>
              <w:rPr>
                <w:rFonts w:ascii="Arial" w:cs="Arial" w:eastAsia="Arial" w:hAnsi="Arial"/>
                <w:sz w:val="18"/>
                <w:szCs w:val="18"/>
                <w:b w:val="1"/>
                <w:bCs w:val="1"/>
                <w:color w:val="auto"/>
                <w:w w:val="89"/>
              </w:rPr>
              <w:t>2013</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10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transition obligation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1040" w:type="dxa"/>
            <w:vAlign w:val="bottom"/>
          </w:tcPr>
          <w:p>
            <w:pPr>
              <w:spacing w:after="0"/>
              <w:rPr>
                <w:sz w:val="21"/>
                <w:szCs w:val="21"/>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Prior service costs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40" w:type="dxa"/>
            <w:vAlign w:val="bottom"/>
          </w:tcPr>
          <w:p>
            <w:pPr>
              <w:spacing w:after="0"/>
              <w:rPr>
                <w:sz w:val="23"/>
                <w:szCs w:val="23"/>
                <w:color w:val="auto"/>
              </w:rPr>
            </w:pPr>
          </w:p>
        </w:tc>
        <w:tc>
          <w:tcPr>
            <w:tcW w:w="6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actuarial loss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57"/>
        </w:trPr>
        <w:tc>
          <w:tcPr>
            <w:tcW w:w="1040" w:type="dxa"/>
            <w:vAlign w:val="bottom"/>
          </w:tcPr>
          <w:p>
            <w:pPr>
              <w:spacing w:after="0"/>
              <w:rPr>
                <w:sz w:val="22"/>
                <w:szCs w:val="22"/>
                <w:color w:val="auto"/>
              </w:rPr>
            </w:pP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0"/>
        </w:trPr>
        <w:tc>
          <w:tcPr>
            <w:tcW w:w="10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plan covering postretirement health benefits is an unfunded plan. We have funded the pension plan based upon actuarially determined contributions that take into account the amount deductible for income tax purposes, the normal cost and the minimum and the maximum contribution requirements of various regulations. We contributed $207,000 to our pension plan during the three months ended October 31, 2013. We estimate contributions will be $831,000 for the remainder of fiscal 2014.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5860" w:type="dxa"/>
            <w:vAlign w:val="bottom"/>
          </w:tcPr>
          <w:p>
            <w:pPr>
              <w:spacing w:after="0"/>
              <w:rPr>
                <w:sz w:val="24"/>
                <w:szCs w:val="24"/>
                <w:color w:val="auto"/>
              </w:rPr>
            </w:pPr>
          </w:p>
        </w:tc>
        <w:tc>
          <w:tcPr>
            <w:tcW w:w="2840" w:type="dxa"/>
            <w:vAlign w:val="bottom"/>
            <w:gridSpan w:val="4"/>
          </w:tcPr>
          <w:p>
            <w:pPr>
              <w:ind w:left="740"/>
              <w:spacing w:after="0"/>
              <w:rPr>
                <w:sz w:val="20"/>
                <w:szCs w:val="20"/>
                <w:color w:val="auto"/>
              </w:rPr>
            </w:pPr>
            <w:r>
              <w:rPr>
                <w:rFonts w:ascii="Arial" w:cs="Arial" w:eastAsia="Arial" w:hAnsi="Arial"/>
                <w:sz w:val="18"/>
                <w:szCs w:val="18"/>
                <w:b w:val="1"/>
                <w:bCs w:val="1"/>
                <w:color w:val="auto"/>
              </w:rPr>
              <w:t>Pension Benefits</w:t>
            </w:r>
          </w:p>
        </w:tc>
        <w:tc>
          <w:tcPr>
            <w:tcW w:w="27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6"/>
              </w:rPr>
              <w:t>Postretirement Health Benefits</w:t>
            </w:r>
          </w:p>
        </w:tc>
      </w:tr>
      <w:tr>
        <w:trPr>
          <w:trHeight w:val="27"/>
        </w:trPr>
        <w:tc>
          <w:tcPr>
            <w:tcW w:w="5860" w:type="dxa"/>
            <w:vAlign w:val="bottom"/>
          </w:tcPr>
          <w:p>
            <w:pPr>
              <w:spacing w:after="0"/>
              <w:rPr>
                <w:sz w:val="2"/>
                <w:szCs w:val="2"/>
                <w:color w:val="auto"/>
              </w:rPr>
            </w:pPr>
          </w:p>
        </w:tc>
        <w:tc>
          <w:tcPr>
            <w:tcW w:w="4560" w:type="dxa"/>
            <w:vAlign w:val="bottom"/>
            <w:tcBorders>
              <w:bottom w:val="single" w:sz="8" w:color="auto"/>
            </w:tcBorders>
            <w:gridSpan w:val="7"/>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560" w:type="dxa"/>
            <w:vAlign w:val="bottom"/>
            <w:gridSpan w:val="7"/>
          </w:tcPr>
          <w:p>
            <w:pPr>
              <w:ind w:left="1200"/>
              <w:spacing w:after="0"/>
              <w:rPr>
                <w:sz w:val="20"/>
                <w:szCs w:val="20"/>
                <w:color w:val="auto"/>
              </w:rPr>
            </w:pPr>
            <w:r>
              <w:rPr>
                <w:rFonts w:ascii="Arial" w:cs="Arial" w:eastAsia="Arial" w:hAnsi="Arial"/>
                <w:sz w:val="18"/>
                <w:szCs w:val="18"/>
                <w:b w:val="1"/>
                <w:bCs w:val="1"/>
                <w:color w:val="auto"/>
                <w:w w:val="95"/>
              </w:rPr>
              <w:t>For the Three Months Ended October 31,</w:t>
            </w:r>
          </w:p>
        </w:tc>
        <w:tc>
          <w:tcPr>
            <w:tcW w:w="100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7"/>
        </w:trPr>
        <w:tc>
          <w:tcPr>
            <w:tcW w:w="5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8.0%. The graded trend rate is expected to decrease to an ultimate rate of 5.0% in fiscal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OPERATING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operating segments: (1) Retail and Wholesale Products and (2)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2013.</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most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48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w w:val="98"/>
              </w:rPr>
              <w:t>October 31, 2013</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July 31, 2013</w:t>
            </w:r>
          </w:p>
        </w:tc>
      </w:tr>
      <w:tr>
        <w:trPr>
          <w:trHeight w:val="27"/>
        </w:trPr>
        <w:tc>
          <w:tcPr>
            <w:tcW w:w="8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54,950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53,721</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77,727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76,376</w:t>
            </w:r>
          </w:p>
        </w:tc>
      </w:tr>
      <w:tr>
        <w:trPr>
          <w:trHeight w:val="27"/>
        </w:trPr>
        <w:tc>
          <w:tcPr>
            <w:tcW w:w="8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45,752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53,462</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178,429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183,559</w:t>
            </w:r>
          </w:p>
        </w:tc>
      </w:tr>
      <w:tr>
        <w:trPr>
          <w:trHeight w:val="20"/>
        </w:trPr>
        <w:tc>
          <w:tcPr>
            <w:tcW w:w="8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80" w:type="dxa"/>
            <w:vAlign w:val="bottom"/>
            <w:gridSpan w:val="10"/>
          </w:tcPr>
          <w:p>
            <w:pPr>
              <w:jc w:val="right"/>
              <w:ind w:right="690"/>
              <w:spacing w:after="0"/>
              <w:rPr>
                <w:sz w:val="20"/>
                <w:szCs w:val="20"/>
                <w:color w:val="auto"/>
              </w:rPr>
            </w:pPr>
            <w:r>
              <w:rPr>
                <w:rFonts w:ascii="Arial" w:cs="Arial" w:eastAsia="Arial" w:hAnsi="Arial"/>
                <w:sz w:val="18"/>
                <w:szCs w:val="18"/>
                <w:b w:val="1"/>
                <w:bCs w:val="1"/>
                <w:color w:val="auto"/>
              </w:rPr>
              <w:t>For the Three Months Ended October 31,</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ind w:left="48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39,631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4,524</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63,546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6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(5,636)</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6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6,399</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7"/>
        </w:trPr>
        <w:tc>
          <w:tcPr>
            <w:tcW w:w="66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6,057</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4,452</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The Oil-Dri Corporation of America Outside Director Stock Plan provides for grants of stock options to directors. Stock options have been granted to our directors with a one year vesting period. There are no shares available for future grants under this plan. All shares of stock issued under this plan were from treasury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transactions as of October 31, 2013 is shown below:</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July 31, 2013</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5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Forfeitures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97"/>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October 31, 2013</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966</w:t>
            </w:r>
          </w:p>
        </w:tc>
      </w:tr>
      <w:tr>
        <w:trPr>
          <w:trHeight w:val="251"/>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October 31, 2013</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0"/>
        </w:trPr>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cash received from the exercise of stock options during the first quarter of fiscal 2014 was $51,000 and the related tax benefit was $24,000.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amount of cash received from the exercise of stock options during the first quarter of fiscal 2013 was $61,000 and the related tax benefit was $13,000.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in the first three months of either fiscal 2014 or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October 31, 2013 was issued under the 2006 Plan with vesting periods between two years and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Under the 2006 Plan, 22,000 restricted shares of Common Stock and 10,000 restricted shares of Class B stock were granted in the first quarter of fiscal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fiscal 2013, 7,000 restricted shares of Class B stock were granted.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Included in our stock-based compensation expense in the first quarter of fiscal years 2014 and 2013 was $241,000 and $203,000, respectively, related to non-vested restricted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w w:val="92"/>
              </w:rPr>
              <w:t>A summary of restricted stock transactions under the plan is shown below:</w:t>
            </w:r>
          </w:p>
        </w:tc>
        <w:tc>
          <w:tcPr>
            <w:tcW w:w="2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Restricted Shares</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2013</w:t>
            </w:r>
          </w:p>
        </w:tc>
        <w:tc>
          <w:tcPr>
            <w:tcW w:w="4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Vested</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4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October 31, 2013</w:t>
            </w:r>
          </w:p>
        </w:tc>
        <w:tc>
          <w:tcPr>
            <w:tcW w:w="4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2390"/>
              <w:spacing w:after="0"/>
              <w:rPr>
                <w:sz w:val="20"/>
                <w:szCs w:val="20"/>
                <w:color w:val="auto"/>
              </w:rPr>
            </w:pPr>
            <w:r>
              <w:rPr>
                <w:rFonts w:ascii="Arial" w:cs="Arial" w:eastAsia="Arial" w:hAnsi="Arial"/>
                <w:sz w:val="18"/>
                <w:szCs w:val="18"/>
                <w:color w:val="auto"/>
              </w:rPr>
              <w:t>13</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income by component as of October 31, 2013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Unrealized Gain</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(Loss) on</w:t>
            </w:r>
          </w:p>
        </w:tc>
        <w:tc>
          <w:tcPr>
            <w:tcW w:w="3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Pension and</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Cumulative</w:t>
            </w:r>
          </w:p>
        </w:tc>
        <w:tc>
          <w:tcPr>
            <w:tcW w:w="34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Marketable</w:t>
            </w:r>
          </w:p>
        </w:tc>
        <w:tc>
          <w:tcPr>
            <w:tcW w:w="3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Postretirement</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Translation</w:t>
            </w:r>
          </w:p>
        </w:tc>
        <w:tc>
          <w:tcPr>
            <w:tcW w:w="34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Securities</w:t>
            </w:r>
          </w:p>
        </w:tc>
        <w:tc>
          <w:tcPr>
            <w:tcW w:w="34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Health Benefits</w:t>
            </w:r>
          </w:p>
        </w:tc>
        <w:tc>
          <w:tcPr>
            <w:tcW w:w="5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Adjustment</w:t>
            </w:r>
          </w:p>
        </w:tc>
        <w:tc>
          <w:tcPr>
            <w:tcW w:w="34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Income</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2"/>
              </w:rPr>
              <w:t>Other comprehensive income before reclassifications,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a)</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4"/>
              </w:rPr>
              <w:t>Net current-period other comprehensive income, net</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20"/>
                <w:szCs w:val="20"/>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8"/>
        <w:spacing w:after="0" w:line="277"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is net of tax expense of $34,000. Amounts are included in the components of net periodic benefit cost for the pension and postretirement health plans. See Note 5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2013, we acquired certain assets of MFM Industries, Inc. (“MFM”), including the customer list, mining and manufacturing equipment, packaging materials, inventory, intellectual property and other clay cat litter business assets. We will not operate the MFM plant and we did not acquire any land or mineral rights. MFM's customers' orders are being transferred to our cat litter manufacturing plants with available capacity and similar cat litter products. This transaction qualifies as a business combination for accounting purposes.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October 31, 2013, an $800,000 deposit was paid to be held in trust and was subsequently applied upon the closing of the transaction toward the MFM acquisition purchase price. This deposit was included in other assets on the Condensed Consolidated Balance Sheets as of October 31, 2013. We also incurred approximately $116,000 for certain acquisition-related costs during the first quarter of fiscal 2014, which are included in selling, general and administrative expenses on the Condensed Consolidated Statements of Income and Retained Earnings.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transaction closed on November 1, 2013, an additional $11,900,000 payment was made, plus a $500,000 payment was deposited in escrow to satisfy our obligation, if any, to indemnify MFM for expenses incurred to prepare and sell the land retained by MFM. We used existing cash and investment balances to fund these payments. In addition, under the purchase agreement, we are entitled to receive half of any proceeds resulting from the ultimate sale of the real property.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information about this acquisition is not available as of the date of filing of this Form 10-Q because the results of the business valuation are pending and the parties are still in the process of working through certain post-closing provisions under the terms of the purchase agreement, including terms which may adjust the final purchase price. As of the date of filing of this Form 10-Q, we expect there to be a reduction in the final purchase price based upon the post-closing inventory adjustment provisions and therefore expect to receive a payment from MFM of approximately $100,000.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2013.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6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2013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net sales for the three months ended October 31, 2013 were $63,546,000, an increase of 3% from net sales of $61,417,000 for the three months ended October 31, 2012. Consolidated net income for the first quarter of fiscal 2014 was $2,887,000, compared to $4,452,000 for the first quarter of fiscal 2013. Diluted net income per share was $0.41 for the first quarter of fiscal 2014, compared to $0.64 for the first quarter of fiscal 2013.</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net sales for the first quarter of fiscal 2014 improved due to strong growth in our Business to Business Products Group, a favorable product sales mix (defined as a greater proportion of sales from higher priced products) and increased net selling prices. Consolidated net income for the first quarter of fiscal 2014 decreased due to higher advertising and promotion expense, increased freight and packaging costs, the rising cost of fuel used in our manufacturing processes, as well as increased non-fuel manufacturing costs. Operating income improved for our Business to Business Products Group, but declined for our Retail and Wholesale Products Group compared to the first quarter of fiscal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sales of the Business to Business Products Group for the first quarter of fiscal 2014 were $23,915,000, an increase of $2,133,000, or 10%, from net sales of $21,782,000 for the first quarter of fiscal 2013. The net sales increase was attributed to 4% more tons sold, a favorable product sales mix and higher net selling prices. Net sales of fluid purification products were approximately 21% higher due primarily to 14% more tons sold. Sales improved in both domestic and foreign markets as the result of global growth in edible oil production. Net sales of animal health and nutrition products increased approximately 2% due primarily to more sales in foreign markets. Our co-packaged traditional coarse cat litter net sales were comparable to the first quarter of the prior year. Net sales of agricultural products declined 2% due primarily to a temporary shutdown by a customer. This decrease was partially offset by higher sales of both our engineered granule products used in agricultural markets and our products used for agricultural chemical carriers sold to corn rootworm pesticide producers.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Business to Business Products Group’s operating income for the first quarter of fiscal 2014 was $7,651,000, an increase of $128,000, or 2%, from operating income of $7,523,000 in the first quarter of fiscal 2013. Operating income was positively impacted by the improved sales described above, but was negatively impacted by a combined approximate 9% increase in materials, freight and packaging costs. Material costs rose primarily due to a higher price paid for natural gas used to operate kilns that dry our clay and increases in other non-fuel manufacturing costs. See further discussion of manufacturing costs under “Consolidated Results” below. The increase in freight costs was attributed primarily to more shipments to foreign countries and other cost increases in the freight industry which we expect to continue. Packaging cost increases were driven primarily by supplier price increases and the mix of products sold.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increased 17% compared to the first quarter of fiscal 2013 due primarily to expenses incurred for sales in foreign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of the Retail and Wholesale Products Group for the first quarter of fiscal 2014 were $39,631,000, a decrease of $4,000 from net sales of $39,635,000 for the first quarter of fiscal 2013. Net sales for both our cat litter products and our foreign subsidiaries increased slightly; however, these increases were offset by a decline in sales of our industrial absorbents. Our foreign subsidiaries are discussed under “Foreign Operations” below. Overall cat litter net sales increased slightly. The benefits of increased selling prices and a favorable product sales mix were mostly offset by higher trade spending (trade spending reduces net sales) and an approximate 4% decrease in tons sold. Our branded cat litter net sales increase of approximately 12% was attributed to approximately 34% more sales of our Cat's Pride Fresh &amp; Light scoopable products, as well as higher sales of our other Cat's Pride scoopable and coarse litter products. Private label cat litter sales decreased approximately 16% due to the continued decline in the coarse cat litter market, as well as a market trend away from private label cat litter products. Industrial absorbents net sales also declined approximately 5% compared to the first quarter of fiscal 2013.</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Retail and Wholesale Products Group's operating income for the first quarter of fiscal 2014 was $1,275,000, a decrease of $3,249,000 from operating income of $4,524,000 for the first quarter of fiscal 2013 due primarily to higher selling, general and administrative expenses, as discussed below. The Group's operating income was also negatively impacted by a combined approximate 7% increase in costs for packaging, freight, and materials. Packaging costs are up due to supplier price increases and the mix of products sold. The increase in freight costs was attributed primarily to more shipments to customers in regions with higher freight costs and other cost increases in the freight industry which we expect to continue. Material costs per ton rose primarily due to a higher price paid for natural gas used to operate kilns that dry our clay and increases in other non-fuel manufacturing costs. See further discussion of manufacturing costs under “Consolidated Results” below.</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were 58% higher compared to the first quarter of fiscal 2013 due to an approximately $1,600,000 increase in advertising and promotion expenditures, which were primarily for our Cat's Pride and other branded cat litter products. We expect advertising and promotional expenditures in fiscal 2014 to be greater than in fiscal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gross profit as a percentage of net sales for the first quarter of fiscal 2014 was 26%, which was lower than the 28% reported for the first quarter of fiscal 2013. Gross profit declined due primarily to the increased cost of freight and packaging, as described by operating segment above, and higher material costs, which included a 36% increase in the cost of natural gas used to operate kilns that dry our clay. Material costs also included a 6% increase in non-fuel manufacturing cost per ton produced, which was driven primarily by increased repair and labor costs.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as a percentage of net sales for the first quarter of fiscal 2014 were 19%, compared to 18% for the first quarter of fiscal 2013. The discussions of the segments' operating incomes above describe the change in the selling, general and administrative expenses that were allocated to the operating segments, particularly higher advertising costs in the Retail and Wholesale Products Group. The remaining unallocated corporate expenses in the first quarter of fiscal 2014 included a lower estimated annual incentive plan bonus accrual. The incentive bonus expense was based on performance targets that were established for the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$57,000 lower for the first quarter of fiscal 2014 compared to the same period in fiscal 2013 due to a reduction of notes payable.</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 was 26% of pre-tax income in the first quarter of fiscal 2014, the same as in the first quarter of fiscal 2013, based on the projected composition and estimated level of our taxable income for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by our foreign subsidiaries during the first quarter of fiscal 2014 were $2,978,000, a 5% increase compared to net sales of $2,847,000 during the first quarter of fiscal 2013. The net sales increase was attributed to higher sales of fluids purification products by our United Kingdom subsidiary. While tons sold by our Canadian subsidiary were up slightly, net sales reported in U.S Dollars were negatively impacted by an unfavorable exchange rate of the Canadian Dollar. Net sales by our foreign subsidiaries represented 5% of our consolidated net sales during the first quarter of both fiscal years 2014 and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Our foreign subsidiaries reported a net loss of $117,000 for the first quarter of fiscal 2014 compared to a net loss of $167,000 for the first quarter of fiscal 2013. The decrease in net loss was due primarily to higher sales and favorable product sales mix.</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Identifiable assets of our foreign subsidiaries as of October 31, 2013 were $8,218,000, compared to $8,460,000 as of October 31, 2012. The decrease was due primarily to lower inventories, cash and cash equivalents, and net fixed assets, which were partially offset by increased accounts receivable.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principal capital requirements include funding working capital needs, purchasing real estate, equipment and facilities, funding new product development and investing in infrastructure, repurchasing Common Stock, paying dividends and, from time to time, making acquisitions. During the first three months of fiscal 2014, we principally used cash generated from operations and from previous debt issuances to fund these requirements. We also have the ability to borrow under our credit facilities; however, we have not borrowed under the credit agreement in recent years. Cash and cash equivalents decreased $6,259,000 during the first three months of fiscal 2014 to $17,776,000 at October 31,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For the Three Months Ended October</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22860</wp:posOffset>
            </wp:positionV>
            <wp:extent cx="1920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three months of fiscal years 2014 and 2013,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$584,000 in the first three months of fiscal 2014 compared to an increase of $1,156,000 in the first three months of fiscal 2013. The change in both periods is due to the level and timing of sales and collections and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$1,621,000 in the first three months of fiscal 2014 compared to an increase of $1,325,000 in the same period in fiscal 2013. Finished goods inventory was up primarily due to higher costs in the first three months of fiscal 2014. Packaging and additives inventories were up due to higher costs and production projections for certain products. Finished goods inventories increased in the first three months of fiscal 2013 due to higher costs and to meet higher sales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increased $496,000 in the first three months of fiscal 2014 compared to a decrease of $547,000 in the first three months of fiscal 2013. The increase in the first three months of fiscal 2014 was due to an increase in prepaid insurance. During the first three months of fiscal 2013, a decrease in prepaid income taxes and deferred trade spending outweighed an increase in prepaid insurance. Prepaid insurance increased in both periods due the timing of insurance premium payments.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Other assets increased $4,000 in the first three months of fiscal 2014 compared to a decrease of $42,000 in the first three months of fiscal 2013.</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payable increased $367,000 in the first three months of fiscal 2014 compared to an increase of $17,000 in the first three months of fiscal 2013. An increase in trade accounts payable was partially offset by a decrease in accrued income taxes in the first three months of fiscal 2014. An increase in accrued income taxes was partially offset by a decrease in trade accounts payable in the first three months of fiscal 2013. Trade payables varied in both periods due to timing of payments, cost fluctuations for goods and services we purchased and production volume levels.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expenses decreased $4,313,000 in the first three months of fiscal 2014 compared to a decrease of $1,530,000 in the first three months of fiscal 2013. Accrued salaries included the discretionary incentive bonus accrual, which in the first three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jc w:val="both"/>
        <w:spacing w:after="0" w:line="297" w:lineRule="auto"/>
        <w:rPr>
          <w:sz w:val="20"/>
          <w:szCs w:val="20"/>
          <w:color w:val="auto"/>
        </w:rPr>
      </w:pPr>
      <w:r>
        <w:rPr>
          <w:rFonts w:ascii="Arial" w:cs="Arial" w:eastAsia="Arial" w:hAnsi="Arial"/>
          <w:sz w:val="16"/>
          <w:szCs w:val="16"/>
          <w:color w:val="auto"/>
        </w:rPr>
        <w:t>of both fiscal 2014 and 2013 decreased by the payout of the prior fiscal year's discretionary incentive bonus accrual and increased by the current fiscal year's first three months' discretionary incentive bonus accrual. The payout in the first three months of fiscal 2014 was substantially higher than the payout in the first three months of fiscal 2013. Accrued trade promotions and advertising in the first three months of both fiscal 2014 and 2013 varied due to the timing of marketing programs. Accrued freight changed in both years due to the timing of payments and shipments at quarter-end. Similar to accounts payable, accrued plant expenses fluctuated due to timing of payments, cost fluctuations for goods and services we purchased and our production levels.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compensation increased $251,000 in the first three months of fiscal 2014 compared to an increase of $209,000 in the first three months of fiscal 2013. Deferred compensation balances in both periods were reduced by scheduled payouts and were increased by employee deferrals and interest earned on accumulated deferred compensation balances.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and other postretirement liabilities increased $277,000 in the first three months of fiscal 2014 compared to an increase of $674,000 in the first three months of fiscal 2013. The liability increase for both periods was determined based on actuarial estimates using various assumptions. Contributions of $207,000 during the first three months of fiscal 2014 partially offset the liability increase. See Note 5 of the notes to condensed consolidated financial statements for further discussion of our postretirement benefit obligations.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liabilities increased $102,000 in the first three months of fiscal 2014 compared to a decrease of $68,000 in the first three months of fiscal 2013. A reclassification of the accrual for uncertain tax positions to long-term resulted in the increase for the first three months of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in investing activities was $895,000 in the first three months of fiscal 2014 compared to net cash used in investing activities of $928,000 in the first three months of fiscal 2013. In the first three months of fiscal 2014, an $800,000 escrow deposit was made related to the acquisition of MFM that was pending as of October 31, 2013. See Note 9 of the notes to condensed consolidated financial statements for additional information about the MFM acquisition. Disposition of investment securities exceeded purchases by $3,273,000 and $1,225,000 in the first three months of fiscal 2014 and 2013, respectively. Purchases and dispositions of investment securities in both periods are subject to variations in the timing of investment maturities. Cash used for capital expenditures of $3,382,000 in the first three months of fiscal 2014 was primarily for capacity expansion projects and replacement of machinery at our manufacturing facilities. Cash used for capital expenditures of $2,157,000 for the same period in fiscal 2013 was primarily for replacement of machinery at our manufacturing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$4,672,000 in the first three months of fiscal 2014 compared to cash used in financing activities of $3,391,000 in the first three months of fiscal 2013. Scheduled payments on long-term debt in the first three months of fiscal 2014 were $3,500,000 compared to $2,300,000 in the first three months of fiscal 2013. Dividend payments in the first three months of fiscal 2014 of $1,236,000 were higher than the $1,155,000 paid during the same period of fiscal 2013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$1,327,000 at October 31, 2013 were lower than the October 31, 2012 balances of $1,538,000 due to continuing operating losses as discussed in “Foreign Operations” above.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 $15,000,000 unsecured revolving credit agreement with BMO Harris Bank N.A. (“BMO Harris”) which will expire on December 31, 2014. The credit agreement provides that we may select a variable rate based on either BMO Harris’ prime rate or a LIBOR-based rate, plus a margin which varies depending on our debt to earnings ratio, or a fixed rate as agreed between us and BMO Harris. The credit agreement also allows us to obtain foreign letters of credit when necessary. At October 31, 2013, the variable rates would have been 3.25% for BMO Harris’ prime-based rate or 1.62%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three months ended October 31, 2013 and 2012 and we were in compliance with its covenants.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2013, we had remaining authority to repurchase 312,197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88" w:lineRule="auto"/>
        <w:rPr>
          <w:sz w:val="20"/>
          <w:szCs w:val="20"/>
          <w:color w:val="auto"/>
        </w:rPr>
      </w:pPr>
      <w:r>
        <w:rPr>
          <w:rFonts w:ascii="Arial" w:cs="Arial" w:eastAsia="Arial" w:hAnsi="Arial"/>
          <w:sz w:val="16"/>
          <w:szCs w:val="16"/>
          <w:color w:val="auto"/>
        </w:rPr>
        <w:t>We believe that cash flow from operations, availability under our revolving credit facility and current cash and investment balances will provide adequate cash funds for foreseeable working capital needs, capital expenditures at existing facilities, dividend payments and debt service obligations for at least the next 12 months. We expect cash requirements for capital expenditures in fiscal 2014 to be higher than in fiscal 2013 due to projects at our manufacturing facilities, including capacity expansion projects for our fluids purification products. In addition, advertising and promotions spending in fiscal 2014 is expected to greater than in fiscal 2013. See Note 9 of the notes to condensed consolidated financial statements for information about our use of existing cash and investment balances to acquire certain assets of MFM subsequent to the end of the first quarter of fiscal 2014.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at October 31, 2013 for the time-frames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7,747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33,707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9,347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7,214</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$207,000 during the first three months of fiscal 2014. We estimate contributions of approximately $831,000 will be made during the remainder of fiscal 2014.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this Quarterly Report on Form 10-Q for the first quarter of fiscal 2014 we adopted new guidance from the FASB issued under ASC 220, </w:t>
      </w:r>
      <w:r>
        <w:rPr>
          <w:rFonts w:ascii="Arial" w:cs="Arial" w:eastAsia="Arial" w:hAnsi="Arial"/>
          <w:sz w:val="17"/>
          <w:szCs w:val="17"/>
          <w:i w:val="1"/>
          <w:iCs w:val="1"/>
          <w:color w:val="auto"/>
        </w:rPr>
        <w:t>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Income-Reporting of Amounts Reclassified Out of Accumulated Other Comprehensive Income. </w:t>
      </w:r>
      <w:r>
        <w:rPr>
          <w:rFonts w:ascii="Arial" w:cs="Arial" w:eastAsia="Arial" w:hAnsi="Arial"/>
          <w:sz w:val="17"/>
          <w:szCs w:val="17"/>
          <w:color w:val="auto"/>
        </w:rPr>
        <w:t>The guidance required presentation by the respective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line items, either on the face of the statement where net income is presented or in the notes, of information about significant amounts required to be reclassified out of AOCI. We elected to present the reclassifications in the notes to the financial statements. See Note 8 of the notes to consolidated financial statements for additional information regarding amounts reclassified from AOCI.</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considered the FASB guidance issued under ASC 350,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which provides the option to first assess qualitative factors to determine if the annual two-step test for impairment must be performed. Based on the relevant events and circumstances that could have affected the significant inputs used to determine the fair value of our indefinite-lived intangible assets, we determined that it is more likely than not that these assets are not impaired and we did not perform a quantitative impairment assessment. There was no impact on our condensed consolidated financial statements as a result of this new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fluctuation risk, primarily U.S. Dollar/British Pound, U.S. Dollar/Euro and U.S. Dollar/Canadian Dollar, as it relates to certain accounts receivables and to our foreign operations. We are also subject to translation exposure of our foreign subsidiaries’ financial statements. In recent years, our foreign subsidiaries have not generated a substantial portion of our consolidated sales or net income. In addition, a small portion of our consolidated accounts receivable are denominated in foreign currencies. In the first quarter of fiscal 2014 we did not enter into any hedge contracts in an attempt to offset any adverse effect of changes in currency exchange rates. We believe that the overall foreign currency fluctuation risk is not material to our consolidated financial statements.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2014. We continue to purchase natural gas at spot rates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October 31, 2013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Items 1, 1A, 2, 3 and 5 of this Part II are either inapplicable or are answered in the negative and are omitted pursuant to the instructions to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2013</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320"/>
          </w:cols>
          <w:pgMar w:left="580" w:top="584" w:right="9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left="1960" w:right="3119"/>
        <w:spacing w:after="0" w:line="261" w:lineRule="auto"/>
        <w:rPr>
          <w:sz w:val="20"/>
          <w:szCs w:val="20"/>
          <w:color w:val="auto"/>
        </w:rPr>
      </w:pPr>
      <w:r>
        <w:rPr>
          <w:rFonts w:ascii="Arial" w:cs="Arial" w:eastAsia="Arial" w:hAnsi="Arial"/>
          <w:sz w:val="18"/>
          <w:szCs w:val="18"/>
          <w:b w:val="1"/>
          <w:bCs w:val="1"/>
          <w:color w:val="auto"/>
        </w:rPr>
        <w:t>OIL-DRI CORPORATION OF AMERICA AND SUBSIDIARIES Computation of Earnings Per Share</w:t>
      </w: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For the Three Months Ended</w:t>
      </w:r>
    </w:p>
    <w:p>
      <w:pPr>
        <w:spacing w:after="0" w:line="39"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October 31,</w:t>
      </w:r>
    </w:p>
    <w:p>
      <w:pPr>
        <w:spacing w:after="0" w:line="45"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43"/>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Less: Distributed and undistributed earnings allocated to non-vested stock</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2,846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ind w:left="20"/>
              <w:spacing w:after="0"/>
              <w:rPr>
                <w:sz w:val="20"/>
                <w:szCs w:val="20"/>
                <w:color w:val="auto"/>
              </w:rPr>
            </w:pPr>
            <w:r>
              <w:rPr>
                <w:rFonts w:ascii="Arial" w:cs="Arial" w:eastAsia="Arial" w:hAnsi="Arial"/>
                <w:sz w:val="18"/>
                <w:szCs w:val="18"/>
                <w:color w:val="auto"/>
              </w:rPr>
              <w:t>Shares Calculation</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5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4,955</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43"/>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Average shares outstanding - Basic Class B Common</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1,992</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Potential Common Stock relating to stock options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97"/>
        </w:trPr>
        <w:tc>
          <w:tcPr>
            <w:tcW w:w="65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6,973</w:t>
            </w:r>
          </w:p>
        </w:tc>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51"/>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Common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51"/>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jc w:val="right"/>
              <w:ind w:right="206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5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December 6, 2013</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December 6, 2013</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6,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6,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2013.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43,418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13,485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October 31, 2013.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decimal"/>
      <w:start w:val="31"/>
    </w:lvl>
  </w:abstractNum>
  <w:abstractNum w:abstractNumId="5">
    <w:nsid w:val="2EB141F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6">
    <w:nsid w:val="41B71EF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2020-02-18T23:16:10Z</dcterms:created>
  <dcterms:modified xsi:type="dcterms:W3CDTF">2020-02-18T23:16:10Z</dcterms:modified>
</cp:coreProperties>
</file>