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44"/>
        </w:trPr>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340" w:type="dxa"/>
            <w:vAlign w:val="bottom"/>
          </w:tcPr>
          <w:p>
            <w:pPr>
              <w:jc w:val="center"/>
              <w:ind w:right="380"/>
              <w:spacing w:after="0"/>
              <w:rPr>
                <w:sz w:val="20"/>
                <w:szCs w:val="20"/>
                <w:color w:val="auto"/>
              </w:rPr>
            </w:pPr>
            <w:r>
              <w:rPr>
                <w:rFonts w:ascii="Arial" w:cs="Arial" w:eastAsia="Arial" w:hAnsi="Arial"/>
                <w:sz w:val="12"/>
                <w:szCs w:val="12"/>
                <w:b w:val="1"/>
                <w:bCs w:val="1"/>
                <w:color w:val="auto"/>
                <w:w w:val="98"/>
              </w:rPr>
              <w:t>UNITED STATES</w:t>
            </w:r>
          </w:p>
        </w:tc>
        <w:tc>
          <w:tcPr>
            <w:tcW w:w="3200" w:type="dxa"/>
            <w:vAlign w:val="bottom"/>
          </w:tcPr>
          <w:p>
            <w:pPr>
              <w:spacing w:after="0"/>
              <w:rPr>
                <w:sz w:val="12"/>
                <w:szCs w:val="12"/>
                <w:color w:val="auto"/>
              </w:rPr>
            </w:pPr>
          </w:p>
        </w:tc>
      </w:tr>
      <w:tr>
        <w:trPr>
          <w:trHeight w:val="144"/>
        </w:trPr>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340" w:type="dxa"/>
            <w:vAlign w:val="bottom"/>
          </w:tcPr>
          <w:p>
            <w:pPr>
              <w:jc w:val="center"/>
              <w:ind w:right="380"/>
              <w:spacing w:after="0"/>
              <w:rPr>
                <w:sz w:val="20"/>
                <w:szCs w:val="20"/>
                <w:color w:val="auto"/>
              </w:rPr>
            </w:pPr>
            <w:r>
              <w:rPr>
                <w:rFonts w:ascii="Arial" w:cs="Arial" w:eastAsia="Arial" w:hAnsi="Arial"/>
                <w:sz w:val="12"/>
                <w:szCs w:val="12"/>
                <w:b w:val="1"/>
                <w:bCs w:val="1"/>
                <w:color w:val="auto"/>
              </w:rPr>
              <w:t>SECURITIES AND EXCHANGE COMMISSION</w:t>
            </w:r>
          </w:p>
        </w:tc>
        <w:tc>
          <w:tcPr>
            <w:tcW w:w="3200" w:type="dxa"/>
            <w:vAlign w:val="bottom"/>
          </w:tcPr>
          <w:p>
            <w:pPr>
              <w:spacing w:after="0"/>
              <w:rPr>
                <w:sz w:val="12"/>
                <w:szCs w:val="12"/>
                <w:color w:val="auto"/>
              </w:rPr>
            </w:pPr>
          </w:p>
        </w:tc>
      </w:tr>
      <w:tr>
        <w:trPr>
          <w:trHeight w:val="157"/>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340" w:type="dxa"/>
            <w:vAlign w:val="bottom"/>
          </w:tcPr>
          <w:p>
            <w:pPr>
              <w:jc w:val="center"/>
              <w:ind w:right="400"/>
              <w:spacing w:after="0"/>
              <w:rPr>
                <w:sz w:val="20"/>
                <w:szCs w:val="20"/>
                <w:color w:val="auto"/>
              </w:rPr>
            </w:pPr>
            <w:r>
              <w:rPr>
                <w:rFonts w:ascii="Arial" w:cs="Arial" w:eastAsia="Arial" w:hAnsi="Arial"/>
                <w:sz w:val="12"/>
                <w:szCs w:val="12"/>
                <w:b w:val="1"/>
                <w:bCs w:val="1"/>
                <w:color w:val="auto"/>
                <w:w w:val="91"/>
              </w:rPr>
              <w:t>Washington, D.C. 20549</w:t>
            </w:r>
          </w:p>
        </w:tc>
        <w:tc>
          <w:tcPr>
            <w:tcW w:w="3200" w:type="dxa"/>
            <w:vAlign w:val="bottom"/>
          </w:tcPr>
          <w:p>
            <w:pPr>
              <w:spacing w:after="0"/>
              <w:rPr>
                <w:sz w:val="13"/>
                <w:szCs w:val="13"/>
                <w:color w:val="auto"/>
              </w:rPr>
            </w:pPr>
          </w:p>
        </w:tc>
      </w:tr>
      <w:tr>
        <w:trPr>
          <w:trHeight w:val="288"/>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40" w:type="dxa"/>
            <w:vAlign w:val="bottom"/>
          </w:tcPr>
          <w:p>
            <w:pPr>
              <w:jc w:val="center"/>
              <w:ind w:right="400"/>
              <w:spacing w:after="0"/>
              <w:rPr>
                <w:sz w:val="20"/>
                <w:szCs w:val="20"/>
                <w:color w:val="auto"/>
              </w:rPr>
            </w:pPr>
            <w:r>
              <w:rPr>
                <w:rFonts w:ascii="Arial" w:cs="Arial" w:eastAsia="Arial" w:hAnsi="Arial"/>
                <w:sz w:val="12"/>
                <w:szCs w:val="12"/>
                <w:b w:val="1"/>
                <w:bCs w:val="1"/>
                <w:color w:val="auto"/>
              </w:rPr>
              <w:t>FORM 8-K</w:t>
            </w:r>
          </w:p>
        </w:tc>
        <w:tc>
          <w:tcPr>
            <w:tcW w:w="3200" w:type="dxa"/>
            <w:vAlign w:val="bottom"/>
          </w:tcPr>
          <w:p>
            <w:pPr>
              <w:spacing w:after="0"/>
              <w:rPr>
                <w:sz w:val="24"/>
                <w:szCs w:val="24"/>
                <w:color w:val="auto"/>
              </w:rPr>
            </w:pPr>
          </w:p>
        </w:tc>
      </w:tr>
      <w:tr>
        <w:trPr>
          <w:trHeight w:val="275"/>
        </w:trPr>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340" w:type="dxa"/>
            <w:vAlign w:val="bottom"/>
          </w:tcPr>
          <w:p>
            <w:pPr>
              <w:jc w:val="center"/>
              <w:ind w:right="400"/>
              <w:spacing w:after="0"/>
              <w:rPr>
                <w:sz w:val="20"/>
                <w:szCs w:val="20"/>
                <w:color w:val="auto"/>
              </w:rPr>
            </w:pPr>
            <w:r>
              <w:rPr>
                <w:rFonts w:ascii="Arial" w:cs="Arial" w:eastAsia="Arial" w:hAnsi="Arial"/>
                <w:sz w:val="12"/>
                <w:szCs w:val="12"/>
                <w:b w:val="1"/>
                <w:bCs w:val="1"/>
                <w:color w:val="auto"/>
                <w:w w:val="99"/>
              </w:rPr>
              <w:t>CURRENT REPORT</w:t>
            </w:r>
          </w:p>
        </w:tc>
        <w:tc>
          <w:tcPr>
            <w:tcW w:w="3200" w:type="dxa"/>
            <w:vAlign w:val="bottom"/>
          </w:tcPr>
          <w:p>
            <w:pPr>
              <w:spacing w:after="0"/>
              <w:rPr>
                <w:sz w:val="23"/>
                <w:szCs w:val="23"/>
                <w:color w:val="auto"/>
              </w:rPr>
            </w:pPr>
          </w:p>
        </w:tc>
      </w:tr>
      <w:tr>
        <w:trPr>
          <w:trHeight w:val="157"/>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340" w:type="dxa"/>
            <w:vAlign w:val="bottom"/>
          </w:tcPr>
          <w:p>
            <w:pPr>
              <w:jc w:val="center"/>
              <w:ind w:right="420"/>
              <w:spacing w:after="0"/>
              <w:rPr>
                <w:sz w:val="20"/>
                <w:szCs w:val="20"/>
                <w:color w:val="auto"/>
              </w:rPr>
            </w:pPr>
            <w:r>
              <w:rPr>
                <w:rFonts w:ascii="Arial" w:cs="Arial" w:eastAsia="Arial" w:hAnsi="Arial"/>
                <w:sz w:val="12"/>
                <w:szCs w:val="12"/>
                <w:b w:val="1"/>
                <w:bCs w:val="1"/>
                <w:color w:val="auto"/>
                <w:w w:val="89"/>
              </w:rPr>
              <w:t>Pursuant to Section 13 or 15(d) of the Securities Exchange Act of 1934</w:t>
            </w:r>
          </w:p>
        </w:tc>
        <w:tc>
          <w:tcPr>
            <w:tcW w:w="3200" w:type="dxa"/>
            <w:vAlign w:val="bottom"/>
          </w:tcPr>
          <w:p>
            <w:pPr>
              <w:spacing w:after="0"/>
              <w:rPr>
                <w:sz w:val="13"/>
                <w:szCs w:val="13"/>
                <w:color w:val="auto"/>
              </w:rPr>
            </w:pPr>
          </w:p>
        </w:tc>
      </w:tr>
      <w:tr>
        <w:trPr>
          <w:trHeight w:val="171"/>
        </w:trPr>
        <w:tc>
          <w:tcPr>
            <w:tcW w:w="3700" w:type="dxa"/>
            <w:vAlign w:val="bottom"/>
            <w:gridSpan w:val="7"/>
          </w:tcPr>
          <w:p>
            <w:pPr>
              <w:spacing w:after="0"/>
              <w:rPr>
                <w:sz w:val="20"/>
                <w:szCs w:val="20"/>
                <w:color w:val="auto"/>
              </w:rPr>
            </w:pPr>
            <w:r>
              <w:rPr>
                <w:rFonts w:ascii="Arial" w:cs="Arial" w:eastAsia="Arial" w:hAnsi="Arial"/>
                <w:sz w:val="12"/>
                <w:szCs w:val="12"/>
                <w:color w:val="auto"/>
              </w:rPr>
              <w:t>Date of Report (Date of earliest event reported)</w:t>
            </w:r>
          </w:p>
        </w:tc>
        <w:tc>
          <w:tcPr>
            <w:tcW w:w="4340" w:type="dxa"/>
            <w:vAlign w:val="bottom"/>
          </w:tcPr>
          <w:p>
            <w:pPr>
              <w:spacing w:after="0"/>
              <w:rPr>
                <w:sz w:val="14"/>
                <w:szCs w:val="14"/>
                <w:color w:val="auto"/>
              </w:rPr>
            </w:pPr>
          </w:p>
        </w:tc>
        <w:tc>
          <w:tcPr>
            <w:tcW w:w="3200" w:type="dxa"/>
            <w:vAlign w:val="bottom"/>
          </w:tcPr>
          <w:p>
            <w:pPr>
              <w:ind w:left="2320"/>
              <w:spacing w:after="0"/>
              <w:rPr>
                <w:sz w:val="20"/>
                <w:szCs w:val="20"/>
                <w:color w:val="auto"/>
              </w:rPr>
            </w:pPr>
            <w:r>
              <w:rPr>
                <w:rFonts w:ascii="Arial" w:cs="Arial" w:eastAsia="Arial" w:hAnsi="Arial"/>
                <w:sz w:val="12"/>
                <w:szCs w:val="12"/>
                <w:color w:val="auto"/>
                <w:w w:val="87"/>
              </w:rPr>
              <w:t>December 8, 2021</w:t>
            </w:r>
          </w:p>
        </w:tc>
      </w:tr>
      <w:tr>
        <w:trPr>
          <w:trHeight w:val="207"/>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340" w:type="dxa"/>
            <w:vAlign w:val="bottom"/>
          </w:tcPr>
          <w:p>
            <w:pPr>
              <w:jc w:val="center"/>
              <w:ind w:right="380"/>
              <w:spacing w:after="0"/>
              <w:rPr>
                <w:sz w:val="20"/>
                <w:szCs w:val="20"/>
                <w:color w:val="auto"/>
              </w:rPr>
            </w:pPr>
            <w:r>
              <w:rPr>
                <w:rFonts w:ascii="Arial" w:cs="Arial" w:eastAsia="Arial" w:hAnsi="Arial"/>
                <w:sz w:val="12"/>
                <w:szCs w:val="12"/>
                <w:b w:val="1"/>
                <w:bCs w:val="1"/>
                <w:color w:val="auto"/>
              </w:rPr>
              <w:t>OIL-DRI CORPORATION OF AMERICA</w:t>
            </w:r>
          </w:p>
        </w:tc>
        <w:tc>
          <w:tcPr>
            <w:tcW w:w="3200" w:type="dxa"/>
            <w:vAlign w:val="bottom"/>
          </w:tcPr>
          <w:p>
            <w:pPr>
              <w:spacing w:after="0"/>
              <w:rPr>
                <w:sz w:val="18"/>
                <w:szCs w:val="18"/>
                <w:color w:val="auto"/>
              </w:rPr>
            </w:pPr>
          </w:p>
        </w:tc>
      </w:tr>
      <w:tr>
        <w:trPr>
          <w:trHeight w:val="153"/>
        </w:trPr>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340" w:type="dxa"/>
            <w:vAlign w:val="bottom"/>
          </w:tcPr>
          <w:p>
            <w:pPr>
              <w:jc w:val="center"/>
              <w:ind w:right="380"/>
              <w:spacing w:after="0"/>
              <w:rPr>
                <w:sz w:val="20"/>
                <w:szCs w:val="20"/>
                <w:color w:val="auto"/>
              </w:rPr>
            </w:pPr>
            <w:r>
              <w:rPr>
                <w:rFonts w:ascii="Arial" w:cs="Arial" w:eastAsia="Arial" w:hAnsi="Arial"/>
                <w:sz w:val="12"/>
                <w:szCs w:val="12"/>
                <w:color w:val="auto"/>
                <w:w w:val="90"/>
              </w:rPr>
              <w:t>(Exact name of the registrant as specified in its charter)</w:t>
            </w:r>
          </w:p>
        </w:tc>
        <w:tc>
          <w:tcPr>
            <w:tcW w:w="3200" w:type="dxa"/>
            <w:vAlign w:val="bottom"/>
          </w:tcPr>
          <w:p>
            <w:pPr>
              <w:spacing w:after="0"/>
              <w:rPr>
                <w:sz w:val="13"/>
                <w:szCs w:val="13"/>
                <w:color w:val="auto"/>
              </w:rPr>
            </w:pPr>
          </w:p>
        </w:tc>
      </w:tr>
      <w:tr>
        <w:trPr>
          <w:trHeight w:val="306"/>
        </w:trPr>
        <w:tc>
          <w:tcPr>
            <w:tcW w:w="3700" w:type="dxa"/>
            <w:vAlign w:val="bottom"/>
            <w:gridSpan w:val="7"/>
          </w:tcPr>
          <w:p>
            <w:pPr>
              <w:spacing w:after="0"/>
              <w:rPr>
                <w:sz w:val="20"/>
                <w:szCs w:val="20"/>
                <w:color w:val="auto"/>
              </w:rPr>
            </w:pPr>
            <w:r>
              <w:rPr>
                <w:rFonts w:ascii="Arial" w:cs="Arial" w:eastAsia="Arial" w:hAnsi="Arial"/>
                <w:sz w:val="12"/>
                <w:szCs w:val="12"/>
                <w:b w:val="1"/>
                <w:bCs w:val="1"/>
                <w:color w:val="auto"/>
              </w:rPr>
              <w:t xml:space="preserve">Delaware </w:t>
            </w:r>
            <w:r>
              <w:rPr>
                <w:rFonts w:ascii="Arial" w:cs="Arial" w:eastAsia="Arial" w:hAnsi="Arial"/>
                <w:sz w:val="14"/>
                <w:szCs w:val="14"/>
                <w:b w:val="1"/>
                <w:bCs w:val="1"/>
                <w:color w:val="auto"/>
              </w:rPr>
              <w:t>001-12622</w:t>
            </w:r>
            <w:r>
              <w:rPr>
                <w:rFonts w:ascii="Arial" w:cs="Arial" w:eastAsia="Arial" w:hAnsi="Arial"/>
                <w:sz w:val="12"/>
                <w:szCs w:val="12"/>
                <w:b w:val="1"/>
                <w:bCs w:val="1"/>
                <w:color w:val="auto"/>
              </w:rPr>
              <w:t xml:space="preserve"> 36-2048898</w:t>
            </w:r>
          </w:p>
        </w:tc>
        <w:tc>
          <w:tcPr>
            <w:tcW w:w="43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41"/>
        </w:trPr>
        <w:tc>
          <w:tcPr>
            <w:tcW w:w="3700" w:type="dxa"/>
            <w:vAlign w:val="bottom"/>
            <w:gridSpan w:val="7"/>
          </w:tcPr>
          <w:p>
            <w:pPr>
              <w:ind w:left="320"/>
              <w:spacing w:after="0"/>
              <w:rPr>
                <w:sz w:val="20"/>
                <w:szCs w:val="20"/>
                <w:color w:val="auto"/>
              </w:rPr>
            </w:pPr>
            <w:r>
              <w:rPr>
                <w:rFonts w:ascii="Arial" w:cs="Arial" w:eastAsia="Arial" w:hAnsi="Arial"/>
                <w:sz w:val="12"/>
                <w:szCs w:val="12"/>
                <w:color w:val="auto"/>
              </w:rPr>
              <w:t>(State or other jurisdiction of incorporation or organization)</w:t>
            </w:r>
          </w:p>
        </w:tc>
        <w:tc>
          <w:tcPr>
            <w:tcW w:w="4340" w:type="dxa"/>
            <w:vAlign w:val="bottom"/>
          </w:tcPr>
          <w:p>
            <w:pPr>
              <w:jc w:val="center"/>
              <w:ind w:right="400"/>
              <w:spacing w:after="0"/>
              <w:rPr>
                <w:sz w:val="20"/>
                <w:szCs w:val="20"/>
                <w:color w:val="auto"/>
              </w:rPr>
            </w:pPr>
            <w:r>
              <w:rPr>
                <w:rFonts w:ascii="Arial" w:cs="Arial" w:eastAsia="Arial" w:hAnsi="Arial"/>
                <w:sz w:val="12"/>
                <w:szCs w:val="12"/>
                <w:color w:val="auto"/>
                <w:w w:val="92"/>
              </w:rPr>
              <w:t>Commission File Number</w:t>
            </w:r>
          </w:p>
        </w:tc>
        <w:tc>
          <w:tcPr>
            <w:tcW w:w="3200" w:type="dxa"/>
            <w:vAlign w:val="bottom"/>
          </w:tcPr>
          <w:p>
            <w:pPr>
              <w:ind w:left="620"/>
              <w:spacing w:after="0"/>
              <w:rPr>
                <w:sz w:val="20"/>
                <w:szCs w:val="20"/>
                <w:color w:val="auto"/>
              </w:rPr>
            </w:pPr>
            <w:r>
              <w:rPr>
                <w:rFonts w:ascii="Arial" w:cs="Arial" w:eastAsia="Arial" w:hAnsi="Arial"/>
                <w:sz w:val="12"/>
                <w:szCs w:val="12"/>
                <w:color w:val="auto"/>
              </w:rPr>
              <w:t>(I.R.S. Employer Identification No.)</w:t>
            </w:r>
          </w:p>
        </w:tc>
      </w:tr>
      <w:tr>
        <w:trPr>
          <w:trHeight w:val="477"/>
        </w:trPr>
        <w:tc>
          <w:tcPr>
            <w:tcW w:w="3700" w:type="dxa"/>
            <w:vAlign w:val="bottom"/>
            <w:gridSpan w:val="7"/>
          </w:tcPr>
          <w:p>
            <w:pPr>
              <w:spacing w:after="0"/>
              <w:rPr>
                <w:sz w:val="20"/>
                <w:szCs w:val="20"/>
                <w:color w:val="auto"/>
              </w:rPr>
            </w:pPr>
            <w:r>
              <w:rPr>
                <w:rFonts w:ascii="Arial" w:cs="Arial" w:eastAsia="Arial" w:hAnsi="Arial"/>
                <w:sz w:val="12"/>
                <w:szCs w:val="12"/>
                <w:color w:val="auto"/>
              </w:rPr>
              <w:t>410 North Michigan Avenue, Suite 400 60611-4213</w:t>
            </w:r>
          </w:p>
        </w:tc>
        <w:tc>
          <w:tcPr>
            <w:tcW w:w="43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24"/>
        </w:trPr>
        <w:tc>
          <w:tcPr>
            <w:tcW w:w="1920" w:type="dxa"/>
            <w:vAlign w:val="bottom"/>
            <w:gridSpan w:val="5"/>
          </w:tcPr>
          <w:p>
            <w:pPr>
              <w:spacing w:after="0" w:line="124" w:lineRule="exact"/>
              <w:rPr>
                <w:sz w:val="20"/>
                <w:szCs w:val="20"/>
                <w:color w:val="auto"/>
              </w:rPr>
            </w:pPr>
            <w:r>
              <w:rPr>
                <w:rFonts w:ascii="Arial" w:cs="Arial" w:eastAsia="Arial" w:hAnsi="Arial"/>
                <w:sz w:val="12"/>
                <w:szCs w:val="12"/>
                <w:color w:val="auto"/>
              </w:rPr>
              <w:t>Chicago, Illinois (Zip Code)</w:t>
            </w:r>
          </w:p>
        </w:tc>
        <w:tc>
          <w:tcPr>
            <w:tcW w:w="560" w:type="dxa"/>
            <w:vAlign w:val="bottom"/>
            <w:tcBorders>
              <w:top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200" w:type="dxa"/>
            <w:vAlign w:val="bottom"/>
          </w:tcPr>
          <w:p>
            <w:pPr>
              <w:spacing w:after="0"/>
              <w:rPr>
                <w:sz w:val="10"/>
                <w:szCs w:val="10"/>
                <w:color w:val="auto"/>
              </w:rPr>
            </w:pPr>
          </w:p>
        </w:tc>
      </w:tr>
      <w:tr>
        <w:trPr>
          <w:trHeight w:val="20"/>
        </w:trPr>
        <w:tc>
          <w:tcPr>
            <w:tcW w:w="800" w:type="dxa"/>
            <w:vAlign w:val="bottom"/>
            <w:gridSpan w:val="2"/>
            <w:shd w:val="clear" w:color="auto" w:fill="000000"/>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51"/>
        </w:trPr>
        <w:tc>
          <w:tcPr>
            <w:tcW w:w="3700" w:type="dxa"/>
            <w:vAlign w:val="bottom"/>
            <w:gridSpan w:val="7"/>
          </w:tcPr>
          <w:p>
            <w:pPr>
              <w:ind w:left="140"/>
              <w:spacing w:after="0"/>
              <w:rPr>
                <w:sz w:val="20"/>
                <w:szCs w:val="20"/>
                <w:color w:val="auto"/>
              </w:rPr>
            </w:pPr>
            <w:r>
              <w:rPr>
                <w:rFonts w:ascii="Arial" w:cs="Arial" w:eastAsia="Arial" w:hAnsi="Arial"/>
                <w:sz w:val="12"/>
                <w:szCs w:val="12"/>
                <w:color w:val="auto"/>
              </w:rPr>
              <w:t>(Address of principal executive offices)</w:t>
            </w:r>
          </w:p>
        </w:tc>
        <w:tc>
          <w:tcPr>
            <w:tcW w:w="434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6"/>
        </w:trPr>
        <w:tc>
          <w:tcPr>
            <w:tcW w:w="3700" w:type="dxa"/>
            <w:vAlign w:val="bottom"/>
            <w:gridSpan w:val="7"/>
          </w:tcPr>
          <w:p>
            <w:pPr>
              <w:ind w:left="360"/>
              <w:spacing w:after="0"/>
              <w:rPr>
                <w:sz w:val="20"/>
                <w:szCs w:val="20"/>
                <w:color w:val="auto"/>
              </w:rPr>
            </w:pPr>
            <w:r>
              <w:rPr>
                <w:rFonts w:ascii="Arial" w:cs="Arial" w:eastAsia="Arial" w:hAnsi="Arial"/>
                <w:sz w:val="12"/>
                <w:szCs w:val="12"/>
                <w:color w:val="auto"/>
                <w:w w:val="92"/>
              </w:rPr>
              <w:t xml:space="preserve">Registrant's telephone number, including area code </w:t>
            </w:r>
            <w:r>
              <w:rPr>
                <w:rFonts w:ascii="Arial" w:cs="Arial" w:eastAsia="Arial" w:hAnsi="Arial"/>
                <w:sz w:val="12"/>
                <w:szCs w:val="12"/>
                <w:b w:val="1"/>
                <w:bCs w:val="1"/>
                <w:color w:val="auto"/>
                <w:w w:val="92"/>
              </w:rPr>
              <w:t>(312) 321-1515</w:t>
            </w:r>
          </w:p>
        </w:tc>
        <w:tc>
          <w:tcPr>
            <w:tcW w:w="434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7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511810</wp:posOffset>
            </wp:positionV>
            <wp:extent cx="71323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666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8" w:lineRule="exact"/>
        <w:rPr>
          <w:sz w:val="24"/>
          <w:szCs w:val="24"/>
          <w:color w:val="auto"/>
        </w:rPr>
      </w:pPr>
    </w:p>
    <w:p>
      <w:pPr>
        <w:jc w:val="center"/>
        <w:ind w:right="60"/>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21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87" w:lineRule="exact"/>
        <w:rPr>
          <w:sz w:val="24"/>
          <w:szCs w:val="24"/>
          <w:color w:val="auto"/>
        </w:rPr>
      </w:pPr>
    </w:p>
    <w:p>
      <w:pPr>
        <w:ind w:left="620" w:hanging="418"/>
        <w:spacing w:after="0"/>
        <w:tabs>
          <w:tab w:leader="none" w:pos="6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96" w:lineRule="exact"/>
        <w:rPr>
          <w:rFonts w:ascii="MS PGothic" w:cs="MS PGothic" w:eastAsia="MS PGothic" w:hAnsi="MS PGothic"/>
          <w:sz w:val="12"/>
          <w:szCs w:val="12"/>
          <w:color w:val="auto"/>
        </w:rPr>
      </w:pPr>
    </w:p>
    <w:p>
      <w:pPr>
        <w:ind w:left="620" w:hanging="418"/>
        <w:spacing w:after="0"/>
        <w:tabs>
          <w:tab w:leader="none" w:pos="6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620" w:hanging="418"/>
        <w:spacing w:after="0"/>
        <w:tabs>
          <w:tab w:leader="none" w:pos="6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96" w:lineRule="exact"/>
        <w:rPr>
          <w:rFonts w:ascii="MS PGothic" w:cs="MS PGothic" w:eastAsia="MS PGothic" w:hAnsi="MS PGothic"/>
          <w:sz w:val="12"/>
          <w:szCs w:val="12"/>
          <w:color w:val="auto"/>
        </w:rPr>
      </w:pPr>
    </w:p>
    <w:p>
      <w:pPr>
        <w:ind w:left="620" w:hanging="418"/>
        <w:spacing w:after="0"/>
        <w:tabs>
          <w:tab w:leader="none" w:pos="6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31" w:lineRule="exact"/>
        <w:rPr>
          <w:sz w:val="24"/>
          <w:szCs w:val="24"/>
          <w:color w:val="auto"/>
        </w:rPr>
      </w:pPr>
    </w:p>
    <w:p>
      <w:pPr>
        <w:ind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4"/>
          <w:szCs w:val="24"/>
          <w:color w:val="auto"/>
        </w:rPr>
      </w:pPr>
    </w:p>
    <w:p>
      <w:pPr>
        <w:ind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64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28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3620" w:type="dxa"/>
            <w:vAlign w:val="bottom"/>
          </w:tcPr>
          <w:p>
            <w:pPr>
              <w:ind w:left="640"/>
              <w:spacing w:after="0"/>
              <w:rPr>
                <w:sz w:val="20"/>
                <w:szCs w:val="20"/>
                <w:color w:val="auto"/>
              </w:rPr>
            </w:pPr>
            <w:r>
              <w:rPr>
                <w:rFonts w:ascii="Arial" w:cs="Arial" w:eastAsia="Arial" w:hAnsi="Arial"/>
                <w:sz w:val="12"/>
                <w:szCs w:val="12"/>
                <w:color w:val="auto"/>
              </w:rPr>
              <w:t>Title of each class</w:t>
            </w:r>
          </w:p>
        </w:tc>
        <w:tc>
          <w:tcPr>
            <w:tcW w:w="2280" w:type="dxa"/>
            <w:vAlign w:val="bottom"/>
          </w:tcPr>
          <w:p>
            <w:pPr>
              <w:ind w:left="880"/>
              <w:spacing w:after="0"/>
              <w:rPr>
                <w:sz w:val="20"/>
                <w:szCs w:val="20"/>
                <w:color w:val="auto"/>
              </w:rPr>
            </w:pPr>
            <w:r>
              <w:rPr>
                <w:rFonts w:ascii="Arial" w:cs="Arial" w:eastAsia="Arial" w:hAnsi="Arial"/>
                <w:sz w:val="12"/>
                <w:szCs w:val="12"/>
                <w:color w:val="auto"/>
              </w:rPr>
              <w:t>Trading Symbol(s)</w:t>
            </w:r>
          </w:p>
        </w:tc>
        <w:tc>
          <w:tcPr>
            <w:tcW w:w="5380" w:type="dxa"/>
            <w:vAlign w:val="bottom"/>
            <w:gridSpan w:val="2"/>
          </w:tcPr>
          <w:p>
            <w:pPr>
              <w:ind w:left="500"/>
              <w:spacing w:after="0"/>
              <w:rPr>
                <w:sz w:val="20"/>
                <w:szCs w:val="20"/>
                <w:color w:val="auto"/>
              </w:rPr>
            </w:pPr>
            <w:r>
              <w:rPr>
                <w:rFonts w:ascii="Arial" w:cs="Arial" w:eastAsia="Arial" w:hAnsi="Arial"/>
                <w:sz w:val="12"/>
                <w:szCs w:val="12"/>
                <w:color w:val="auto"/>
              </w:rPr>
              <w:t>Name of each exchange on which registered</w:t>
            </w:r>
          </w:p>
        </w:tc>
      </w:tr>
      <w:tr>
        <w:trPr>
          <w:trHeight w:val="153"/>
        </w:trPr>
        <w:tc>
          <w:tcPr>
            <w:tcW w:w="20" w:type="dxa"/>
            <w:vAlign w:val="bottom"/>
          </w:tcPr>
          <w:p>
            <w:pPr>
              <w:spacing w:after="0"/>
              <w:rPr>
                <w:sz w:val="13"/>
                <w:szCs w:val="13"/>
                <w:color w:val="auto"/>
              </w:rPr>
            </w:pPr>
          </w:p>
        </w:tc>
        <w:tc>
          <w:tcPr>
            <w:tcW w:w="3620" w:type="dxa"/>
            <w:vAlign w:val="bottom"/>
          </w:tcPr>
          <w:p>
            <w:pPr>
              <w:ind w:left="640"/>
              <w:spacing w:after="0"/>
              <w:rPr>
                <w:sz w:val="20"/>
                <w:szCs w:val="20"/>
                <w:color w:val="auto"/>
              </w:rPr>
            </w:pPr>
            <w:r>
              <w:rPr>
                <w:rFonts w:ascii="Arial" w:cs="Arial" w:eastAsia="Arial" w:hAnsi="Arial"/>
                <w:sz w:val="12"/>
                <w:szCs w:val="12"/>
                <w:color w:val="auto"/>
              </w:rPr>
              <w:t>Common Stock, par value $0.10 per share</w:t>
            </w:r>
          </w:p>
        </w:tc>
        <w:tc>
          <w:tcPr>
            <w:tcW w:w="2280" w:type="dxa"/>
            <w:vAlign w:val="bottom"/>
          </w:tcPr>
          <w:p>
            <w:pPr>
              <w:ind w:left="880"/>
              <w:spacing w:after="0"/>
              <w:rPr>
                <w:sz w:val="20"/>
                <w:szCs w:val="20"/>
                <w:color w:val="auto"/>
              </w:rPr>
            </w:pPr>
            <w:r>
              <w:rPr>
                <w:rFonts w:ascii="Arial" w:cs="Arial" w:eastAsia="Arial" w:hAnsi="Arial"/>
                <w:sz w:val="12"/>
                <w:szCs w:val="12"/>
                <w:color w:val="auto"/>
              </w:rPr>
              <w:t>ODC</w:t>
            </w:r>
          </w:p>
        </w:tc>
        <w:tc>
          <w:tcPr>
            <w:tcW w:w="5380" w:type="dxa"/>
            <w:vAlign w:val="bottom"/>
            <w:gridSpan w:val="2"/>
          </w:tcPr>
          <w:p>
            <w:pPr>
              <w:ind w:left="500"/>
              <w:spacing w:after="0"/>
              <w:rPr>
                <w:sz w:val="20"/>
                <w:szCs w:val="20"/>
                <w:color w:val="auto"/>
              </w:rPr>
            </w:pPr>
            <w:r>
              <w:rPr>
                <w:rFonts w:ascii="Arial" w:cs="Arial" w:eastAsia="Arial" w:hAnsi="Arial"/>
                <w:sz w:val="12"/>
                <w:szCs w:val="12"/>
                <w:color w:val="auto"/>
              </w:rPr>
              <w:t>New York Stock Exchange</w:t>
            </w:r>
          </w:p>
        </w:tc>
      </w:tr>
      <w:tr>
        <w:trPr>
          <w:trHeight w:val="306"/>
        </w:trPr>
        <w:tc>
          <w:tcPr>
            <w:tcW w:w="20" w:type="dxa"/>
            <w:vAlign w:val="bottom"/>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4"/>
        </w:trPr>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64" w:right="299" w:bottom="1440" w:gutter="0" w:footer="0" w:header="0"/>
        </w:sectPr>
      </w:pPr>
    </w:p>
    <w:bookmarkStart w:id="1" w:name="page2"/>
    <w:bookmarkEnd w:id="1"/>
    <w:p>
      <w:pPr>
        <w:ind w:left="220"/>
        <w:spacing w:after="0"/>
        <w:tabs>
          <w:tab w:leader="none" w:pos="1240" w:val="left"/>
        </w:tabs>
        <w:rPr>
          <w:sz w:val="20"/>
          <w:szCs w:val="20"/>
          <w:color w:val="auto"/>
        </w:rPr>
      </w:pPr>
      <w:r>
        <w:rPr>
          <w:rFonts w:ascii="Arial" w:cs="Arial" w:eastAsia="Arial" w:hAnsi="Arial"/>
          <w:sz w:val="12"/>
          <w:szCs w:val="12"/>
          <w:b w:val="1"/>
          <w:bCs w:val="1"/>
          <w:u w:val="single" w:color="auto"/>
          <w:color w:val="auto"/>
        </w:rPr>
        <w:t>Item 7.01</w:t>
      </w:r>
      <w:r>
        <w:rPr>
          <w:sz w:val="20"/>
          <w:szCs w:val="20"/>
          <w:color w:val="auto"/>
        </w:rPr>
        <w:tab/>
      </w:r>
      <w:r>
        <w:rPr>
          <w:rFonts w:ascii="Arial" w:cs="Arial" w:eastAsia="Arial" w:hAnsi="Arial"/>
          <w:sz w:val="11"/>
          <w:szCs w:val="11"/>
          <w:b w:val="1"/>
          <w:bCs w:val="1"/>
          <w:color w:val="auto"/>
        </w:rPr>
        <w:t>Item 7.01 Regulation FD Disclosure.</w:t>
      </w:r>
    </w:p>
    <w:p>
      <w:pPr>
        <w:spacing w:after="0" w:line="82" w:lineRule="exact"/>
        <w:rPr>
          <w:sz w:val="20"/>
          <w:szCs w:val="20"/>
          <w:color w:val="auto"/>
        </w:rPr>
      </w:pPr>
    </w:p>
    <w:p>
      <w:pPr>
        <w:jc w:val="both"/>
        <w:spacing w:after="0" w:line="245" w:lineRule="auto"/>
        <w:rPr>
          <w:sz w:val="20"/>
          <w:szCs w:val="20"/>
          <w:color w:val="auto"/>
        </w:rPr>
      </w:pPr>
      <w:r>
        <w:rPr>
          <w:rFonts w:ascii="Arial" w:cs="Arial" w:eastAsia="Arial" w:hAnsi="Arial"/>
          <w:sz w:val="12"/>
          <w:szCs w:val="12"/>
          <w:color w:val="auto"/>
        </w:rPr>
        <w:t>On December 8, 2021, Oil-Dri Corporation of America (the "Company") made a presentation to stockholders at its Annual Meeting of Stockholder (the “Annual Meeting”). The presentation used during the 2021 Annual Meeting of Stockholders is attached hereto as Exhibit 99.1 and is incorporated herein by reference (the "Presentation").</w:t>
      </w:r>
    </w:p>
    <w:p>
      <w:pPr>
        <w:spacing w:after="0" w:line="132"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The Presentation is being furnished pursuant to Item 7.01, and the information contained therein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1"/>
          <w:szCs w:val="11"/>
          <w:color w:val="auto"/>
        </w:rPr>
        <w:t>Certain statements in the Presentation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materials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 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Investors are cautioned not to place undue reliance on these forward-looking statements, which speak only as of the date of the Presentation. Except to the extent required by law, we do not have any intention or obligation to update publicly any forward-looking statements after the distribution of the Presentation, whether as a result of new information, future events, changes in assumptions, or otherwise.</w:t>
      </w:r>
    </w:p>
    <w:p>
      <w:pPr>
        <w:spacing w:after="0" w:line="231"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2"/>
          <w:szCs w:val="12"/>
          <w:b w:val="1"/>
          <w:bCs w:val="1"/>
          <w:u w:val="single" w:color="auto"/>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9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At its regular meeting on December 8, 2021, the Board declared quarterly cash dividends of $0.27 per share of the Company’s Common Stock and $0.2025 per share of the Company’s Class B Stock. The dividends will be payable on February 25, 2022, to stockholders of record at the close of business on February 11, 2022. A copy of the Company’s press release announcing these matters is attached as Exhibit 99.2 and the information contained therein is incorporated herein by reference.</w:t>
      </w:r>
    </w:p>
    <w:p>
      <w:pPr>
        <w:spacing w:after="0" w:line="308"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12"/>
          <w:szCs w:val="12"/>
          <w:b w:val="1"/>
          <w:bCs w:val="1"/>
          <w:u w:val="single" w:color="auto"/>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8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1580" w:type="dxa"/>
            <w:vAlign w:val="bottom"/>
            <w:gridSpan w:val="2"/>
          </w:tcPr>
          <w:p>
            <w:pPr>
              <w:spacing w:after="0"/>
              <w:rPr>
                <w:sz w:val="20"/>
                <w:szCs w:val="20"/>
                <w:color w:val="auto"/>
              </w:rPr>
            </w:pPr>
            <w:r>
              <w:rPr>
                <w:rFonts w:ascii="Arial" w:cs="Arial" w:eastAsia="Arial" w:hAnsi="Arial"/>
                <w:sz w:val="12"/>
                <w:szCs w:val="12"/>
                <w:color w:val="auto"/>
              </w:rPr>
              <w:t>Exhibit</w:t>
            </w: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20" w:type="dxa"/>
            <w:vAlign w:val="bottom"/>
            <w:vMerge w:val="restart"/>
          </w:tcPr>
          <w:p>
            <w:pPr>
              <w:ind w:left="1820"/>
              <w:spacing w:after="0"/>
              <w:rPr>
                <w:sz w:val="20"/>
                <w:szCs w:val="20"/>
                <w:color w:val="auto"/>
              </w:rPr>
            </w:pPr>
            <w:r>
              <w:rPr>
                <w:rFonts w:ascii="Arial" w:cs="Arial" w:eastAsia="Arial" w:hAnsi="Arial"/>
                <w:sz w:val="12"/>
                <w:szCs w:val="12"/>
                <w:color w:val="auto"/>
              </w:rPr>
              <w:t>Description of Exhibits</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Number</w:t>
            </w:r>
          </w:p>
        </w:tc>
        <w:tc>
          <w:tcPr>
            <w:tcW w:w="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220" w:type="dxa"/>
            <w:vAlign w:val="bottom"/>
            <w:tcBorders>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0"/>
                <w:szCs w:val="20"/>
                <w:color w:val="auto"/>
              </w:rPr>
            </w:pPr>
            <w:r>
              <w:rPr>
                <w:rFonts w:ascii="Arial" w:cs="Arial" w:eastAsia="Arial" w:hAnsi="Arial"/>
                <w:sz w:val="12"/>
                <w:szCs w:val="12"/>
                <w:color w:val="auto"/>
              </w:rPr>
              <w:t>99.1</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60" w:type="dxa"/>
            <w:vAlign w:val="bottom"/>
            <w:tcBorders>
              <w:bottom w:val="single" w:sz="8" w:color="0000FF"/>
            </w:tcBorders>
            <w:gridSpan w:val="2"/>
          </w:tcPr>
          <w:p>
            <w:pPr>
              <w:spacing w:after="0"/>
              <w:rPr>
                <w:rFonts w:ascii="Arial" w:cs="Arial" w:eastAsia="Arial" w:hAnsi="Arial"/>
                <w:sz w:val="12"/>
                <w:szCs w:val="12"/>
                <w:color w:val="0000FF"/>
                <w:w w:val="90"/>
              </w:rPr>
            </w:pPr>
            <w:hyperlink w:anchor="page4">
              <w:r>
                <w:rPr>
                  <w:rFonts w:ascii="Arial" w:cs="Arial" w:eastAsia="Arial" w:hAnsi="Arial"/>
                  <w:sz w:val="12"/>
                  <w:szCs w:val="12"/>
                  <w:color w:val="0000FF"/>
                  <w:w w:val="90"/>
                </w:rPr>
                <w:t>2021 Annual Meeting of Stockholders Presentation</w:t>
              </w:r>
            </w:hyperlink>
          </w:p>
        </w:tc>
        <w:tc>
          <w:tcPr>
            <w:tcW w:w="72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20"/>
                <w:szCs w:val="20"/>
                <w:color w:val="auto"/>
              </w:rPr>
            </w:pPr>
            <w:r>
              <w:rPr>
                <w:rFonts w:ascii="Arial" w:cs="Arial" w:eastAsia="Arial" w:hAnsi="Arial"/>
                <w:sz w:val="12"/>
                <w:szCs w:val="12"/>
                <w:color w:val="auto"/>
              </w:rPr>
              <w:t>99.2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gridSpan w:val="4"/>
          </w:tcPr>
          <w:p>
            <w:pPr>
              <w:spacing w:after="0"/>
              <w:rPr>
                <w:rFonts w:ascii="Arial" w:cs="Arial" w:eastAsia="Arial" w:hAnsi="Arial"/>
                <w:sz w:val="12"/>
                <w:szCs w:val="12"/>
                <w:color w:val="0000FF"/>
              </w:rPr>
            </w:pPr>
            <w:hyperlink w:anchor="page76">
              <w:r>
                <w:rPr>
                  <w:rFonts w:ascii="Arial" w:cs="Arial" w:eastAsia="Arial" w:hAnsi="Arial"/>
                  <w:sz w:val="12"/>
                  <w:szCs w:val="12"/>
                  <w:color w:val="0000FF"/>
                </w:rPr>
                <w:t xml:space="preserve">Press Release dated December </w:t>
              </w:r>
            </w:hyperlink>
            <w:r>
              <w:rPr>
                <w:rFonts w:ascii="Arial" w:cs="Arial" w:eastAsia="Arial" w:hAnsi="Arial"/>
                <w:sz w:val="12"/>
                <w:szCs w:val="12"/>
                <w:color w:val="0000FF"/>
              </w:rPr>
              <w:t xml:space="preserve">8, </w:t>
            </w:r>
            <w:hyperlink w:anchor="page76">
              <w:r>
                <w:rPr>
                  <w:rFonts w:ascii="Arial" w:cs="Arial" w:eastAsia="Arial" w:hAnsi="Arial"/>
                  <w:sz w:val="12"/>
                  <w:szCs w:val="12"/>
                  <w:color w:val="0000FF"/>
                </w:rPr>
                <w:t>2021</w:t>
              </w:r>
            </w:hyperlink>
          </w:p>
        </w:tc>
        <w:tc>
          <w:tcPr>
            <w:tcW w:w="0" w:type="dxa"/>
            <w:vAlign w:val="bottom"/>
          </w:tcPr>
          <w:p>
            <w:pPr>
              <w:spacing w:after="0"/>
              <w:rPr>
                <w:sz w:val="1"/>
                <w:szCs w:val="1"/>
                <w:color w:val="auto"/>
              </w:rPr>
            </w:pPr>
          </w:p>
        </w:tc>
      </w:tr>
      <w:tr>
        <w:trPr>
          <w:trHeight w:val="799"/>
        </w:trPr>
        <w:tc>
          <w:tcPr>
            <w:tcW w:w="1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60" w:type="dxa"/>
            <w:vAlign w:val="bottom"/>
            <w:tcBorders>
              <w:top w:val="single" w:sz="8" w:color="0000FF"/>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OIL-DRI CORPORATION OF AMERICA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60" w:type="dxa"/>
            <w:vAlign w:val="bottom"/>
            <w:tcBorders>
              <w:bottom w:val="single" w:sz="8" w:color="auto"/>
            </w:tcBorders>
          </w:tcPr>
          <w:p>
            <w:pPr>
              <w:ind w:left="5420"/>
              <w:spacing w:after="0"/>
              <w:rPr>
                <w:sz w:val="20"/>
                <w:szCs w:val="20"/>
                <w:color w:val="auto"/>
              </w:rPr>
            </w:pPr>
            <w:r>
              <w:rPr>
                <w:rFonts w:ascii="Arial" w:cs="Arial" w:eastAsia="Arial" w:hAnsi="Arial"/>
                <w:sz w:val="12"/>
                <w:szCs w:val="12"/>
                <w:color w:val="auto"/>
              </w:rPr>
              <w:t>By:</w:t>
            </w:r>
          </w:p>
        </w:tc>
        <w:tc>
          <w:tcPr>
            <w:tcW w:w="542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/s/ Laura G. Scheland</w:t>
            </w:r>
          </w:p>
        </w:tc>
      </w:tr>
      <w:tr>
        <w:trPr>
          <w:trHeight w:val="142"/>
        </w:trPr>
        <w:tc>
          <w:tcPr>
            <w:tcW w:w="5860" w:type="dxa"/>
            <w:vAlign w:val="bottom"/>
          </w:tcPr>
          <w:p>
            <w:pPr>
              <w:spacing w:after="0"/>
              <w:rPr>
                <w:sz w:val="12"/>
                <w:szCs w:val="12"/>
                <w:color w:val="auto"/>
              </w:rPr>
            </w:pPr>
          </w:p>
        </w:tc>
        <w:tc>
          <w:tcPr>
            <w:tcW w:w="5420" w:type="dxa"/>
            <w:vAlign w:val="bottom"/>
          </w:tcPr>
          <w:p>
            <w:pPr>
              <w:ind w:left="280"/>
              <w:spacing w:after="0"/>
              <w:rPr>
                <w:sz w:val="20"/>
                <w:szCs w:val="20"/>
                <w:color w:val="auto"/>
              </w:rPr>
            </w:pPr>
            <w:r>
              <w:rPr>
                <w:rFonts w:ascii="Arial" w:cs="Arial" w:eastAsia="Arial" w:hAnsi="Arial"/>
                <w:sz w:val="12"/>
                <w:szCs w:val="12"/>
                <w:color w:val="auto"/>
              </w:rPr>
              <w:t>Laura G. Scheland</w:t>
            </w:r>
          </w:p>
        </w:tc>
      </w:tr>
      <w:tr>
        <w:trPr>
          <w:trHeight w:val="153"/>
        </w:trPr>
        <w:tc>
          <w:tcPr>
            <w:tcW w:w="5860" w:type="dxa"/>
            <w:vAlign w:val="bottom"/>
          </w:tcPr>
          <w:p>
            <w:pPr>
              <w:spacing w:after="0"/>
              <w:rPr>
                <w:sz w:val="13"/>
                <w:szCs w:val="13"/>
                <w:color w:val="auto"/>
              </w:rPr>
            </w:pPr>
          </w:p>
        </w:tc>
        <w:tc>
          <w:tcPr>
            <w:tcW w:w="5420" w:type="dxa"/>
            <w:vAlign w:val="bottom"/>
          </w:tcPr>
          <w:p>
            <w:pPr>
              <w:ind w:left="280"/>
              <w:spacing w:after="0"/>
              <w:rPr>
                <w:sz w:val="20"/>
                <w:szCs w:val="20"/>
                <w:color w:val="auto"/>
              </w:rPr>
            </w:pPr>
            <w:r>
              <w:rPr>
                <w:rFonts w:ascii="Arial" w:cs="Arial" w:eastAsia="Arial" w:hAnsi="Arial"/>
                <w:sz w:val="12"/>
                <w:szCs w:val="12"/>
                <w:color w:val="auto"/>
              </w:rPr>
              <w:t>Vice President, General Counsel and Secretary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2"/>
          <w:szCs w:val="12"/>
          <w:color w:val="auto"/>
        </w:rPr>
        <w:t>Date: December 8, 2021</w:t>
      </w:r>
    </w:p>
    <w:p>
      <w:pPr>
        <w:sectPr>
          <w:pgSz w:w="11900" w:h="16838" w:orient="portrait"/>
          <w:cols w:equalWidth="0" w:num="1">
            <w:col w:w="11280"/>
          </w:cols>
          <w:pgMar w:left="300" w:top="640"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rFonts w:ascii="Arial" w:cs="Arial" w:eastAsia="Arial" w:hAnsi="Arial"/>
          <w:sz w:val="10"/>
          <w:szCs w:val="10"/>
          <w:color w:val="002D69"/>
        </w:rPr>
        <w:drawing>
          <wp:anchor simplePos="0" relativeHeight="251657728" behindDoc="1" locked="0" layoutInCell="0" allowOverlap="1">
            <wp:simplePos x="0" y="0"/>
            <wp:positionH relativeFrom="page">
              <wp:posOffset>3328670</wp:posOffset>
            </wp:positionH>
            <wp:positionV relativeFrom="page">
              <wp:posOffset>88900</wp:posOffset>
            </wp:positionV>
            <wp:extent cx="891540" cy="297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891540" cy="297180"/>
                    </a:xfrm>
                    <a:prstGeom prst="rect">
                      <a:avLst/>
                    </a:prstGeom>
                    <a:noFill/>
                  </pic:spPr>
                </pic:pic>
              </a:graphicData>
            </a:graphic>
          </wp:anchor>
        </w:drawing>
        <w:t>410 N. Michigan Ave. Chicago, Illinois 60611, U.S.A</w:t>
      </w:r>
    </w:p>
    <w:p>
      <w:pPr>
        <w:spacing w:after="0" w:line="164"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002D69"/>
        </w:rPr>
        <w:t>News Announcement</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14"/>
          <w:szCs w:val="14"/>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Exhibit 99.1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Oil-Dri Board of Directors Declares Quarterly Dividends</w:t>
      </w:r>
    </w:p>
    <w:p>
      <w:pPr>
        <w:spacing w:after="0" w:line="158" w:lineRule="exact"/>
        <w:rPr>
          <w:sz w:val="20"/>
          <w:szCs w:val="20"/>
          <w:color w:val="auto"/>
        </w:rPr>
      </w:pPr>
    </w:p>
    <w:p>
      <w:pPr>
        <w:ind w:right="480"/>
        <w:spacing w:after="0" w:line="259" w:lineRule="auto"/>
        <w:rPr>
          <w:sz w:val="20"/>
          <w:szCs w:val="20"/>
          <w:color w:val="auto"/>
        </w:rPr>
      </w:pPr>
      <w:r>
        <w:rPr>
          <w:rFonts w:ascii="Arial" w:cs="Arial" w:eastAsia="Arial" w:hAnsi="Arial"/>
          <w:sz w:val="14"/>
          <w:szCs w:val="14"/>
          <w:color w:val="auto"/>
        </w:rPr>
        <w:t>CHICAGO—(December 8, 2021)—The Board of Directors of Oil-Dri Corporation of America (NYSE: ODC) today declared quarterly cash dividends of $0.27 per share of the Company’s Common Stock and $0.2025 per share of the Company’s Class B Stock.</w:t>
      </w:r>
    </w:p>
    <w:p>
      <w:pPr>
        <w:spacing w:after="0" w:line="121" w:lineRule="exact"/>
        <w:rPr>
          <w:sz w:val="20"/>
          <w:szCs w:val="20"/>
          <w:color w:val="auto"/>
        </w:rPr>
      </w:pPr>
    </w:p>
    <w:p>
      <w:pPr>
        <w:jc w:val="both"/>
        <w:ind w:right="260"/>
        <w:spacing w:after="0" w:line="259" w:lineRule="auto"/>
        <w:rPr>
          <w:sz w:val="20"/>
          <w:szCs w:val="20"/>
          <w:color w:val="auto"/>
        </w:rPr>
      </w:pPr>
      <w:r>
        <w:rPr>
          <w:rFonts w:ascii="Arial" w:cs="Arial" w:eastAsia="Arial" w:hAnsi="Arial"/>
          <w:sz w:val="14"/>
          <w:szCs w:val="14"/>
          <w:color w:val="auto"/>
        </w:rPr>
        <w:t>The dividends declared will be payable on February 25, 2022 to stockholders of record at the close of business on February 11, 2022. The Company has paid cash dividends continuously since 1974 and has increased dividends annually for eighteen consecutive years.</w:t>
      </w:r>
    </w:p>
    <w:p>
      <w:pPr>
        <w:spacing w:after="0" w:line="121"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The Company expects to release earnings for its second quarter of fiscal 2022 after the close of the U.S. stock market on Friday, March 11, 2022 and to host an earnings discussion via webcast on Monday, March 14, 2022. Webcast participation details will be communicated via email alert and posted on the Events page of the Company’s website approximately one week prior to the call.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168" w:lineRule="exact"/>
        <w:rPr>
          <w:sz w:val="20"/>
          <w:szCs w:val="20"/>
          <w:color w:val="auto"/>
        </w:rPr>
      </w:pPr>
    </w:p>
    <w:p>
      <w:pPr>
        <w:jc w:val="both"/>
        <w:ind w:right="280"/>
        <w:spacing w:after="0" w:line="286" w:lineRule="auto"/>
        <w:rPr>
          <w:sz w:val="20"/>
          <w:szCs w:val="20"/>
          <w:color w:val="auto"/>
        </w:rPr>
      </w:pPr>
      <w:r>
        <w:rPr>
          <w:rFonts w:ascii="Arial" w:cs="Arial" w:eastAsia="Arial" w:hAnsi="Arial"/>
          <w:sz w:val="12"/>
          <w:szCs w:val="12"/>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80 years of experience, the Company continues to fulfill its mission to Create Value from Sorbent Minerals. To learn more about the Company, visit oildri.com.</w:t>
      </w:r>
    </w:p>
    <w:p>
      <w:pPr>
        <w:spacing w:after="0" w:line="131" w:lineRule="exact"/>
        <w:rPr>
          <w:sz w:val="20"/>
          <w:szCs w:val="20"/>
          <w:color w:val="auto"/>
        </w:rPr>
      </w:pPr>
    </w:p>
    <w:p>
      <w:pPr>
        <w:spacing w:after="0"/>
        <w:rPr>
          <w:sz w:val="20"/>
          <w:szCs w:val="20"/>
          <w:color w:val="auto"/>
        </w:rPr>
      </w:pPr>
      <w:r>
        <w:rPr>
          <w:rFonts w:ascii="Arial" w:cs="Arial" w:eastAsia="Arial" w:hAnsi="Arial"/>
          <w:sz w:val="10"/>
          <w:szCs w:val="10"/>
          <w:color w:val="auto"/>
        </w:rPr>
        <w:t>Category: Dividends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Contact:</w:t>
      </w:r>
    </w:p>
    <w:p>
      <w:pPr>
        <w:spacing w:after="0" w:line="234" w:lineRule="auto"/>
        <w:rPr>
          <w:sz w:val="20"/>
          <w:szCs w:val="20"/>
          <w:color w:val="auto"/>
        </w:rPr>
      </w:pPr>
      <w:r>
        <w:rPr>
          <w:rFonts w:ascii="Arial" w:cs="Arial" w:eastAsia="Arial" w:hAnsi="Arial"/>
          <w:sz w:val="14"/>
          <w:szCs w:val="14"/>
          <w:color w:val="auto"/>
        </w:rPr>
        <w:t>Leslie A. Garber</w:t>
      </w:r>
    </w:p>
    <w:p>
      <w:pPr>
        <w:spacing w:after="0" w:line="228" w:lineRule="auto"/>
        <w:rPr>
          <w:sz w:val="20"/>
          <w:szCs w:val="20"/>
          <w:color w:val="auto"/>
        </w:rPr>
      </w:pPr>
      <w:r>
        <w:rPr>
          <w:rFonts w:ascii="Arial" w:cs="Arial" w:eastAsia="Arial" w:hAnsi="Arial"/>
          <w:sz w:val="14"/>
          <w:szCs w:val="14"/>
          <w:color w:val="auto"/>
        </w:rPr>
        <w:t>Manager of Investor Relations</w:t>
      </w:r>
    </w:p>
    <w:p>
      <w:pPr>
        <w:spacing w:after="0" w:line="228" w:lineRule="auto"/>
        <w:rPr>
          <w:sz w:val="20"/>
          <w:szCs w:val="20"/>
          <w:color w:val="auto"/>
        </w:rPr>
      </w:pPr>
      <w:r>
        <w:rPr>
          <w:rFonts w:ascii="Arial" w:cs="Arial" w:eastAsia="Arial" w:hAnsi="Arial"/>
          <w:sz w:val="14"/>
          <w:szCs w:val="14"/>
          <w:color w:val="auto"/>
        </w:rPr>
        <w:t>Oil-Dri Corporation of America</w:t>
      </w:r>
    </w:p>
    <w:p>
      <w:pPr>
        <w:spacing w:after="0"/>
        <w:rPr>
          <w:sz w:val="20"/>
          <w:szCs w:val="20"/>
          <w:color w:val="auto"/>
        </w:rPr>
      </w:pPr>
      <w:r>
        <w:rPr>
          <w:rFonts w:ascii="Arial" w:cs="Arial" w:eastAsia="Arial" w:hAnsi="Arial"/>
          <w:sz w:val="14"/>
          <w:szCs w:val="14"/>
          <w:color w:val="auto"/>
        </w:rPr>
        <w:t>InvestorRelations@oildri.com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(312) 321-1515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002D69"/>
        </w:rPr>
        <w:t>Leslie A. Garber</w:t>
      </w:r>
    </w:p>
    <w:p>
      <w:pPr>
        <w:jc w:val="center"/>
        <w:spacing w:after="0" w:line="231" w:lineRule="auto"/>
        <w:rPr>
          <w:sz w:val="20"/>
          <w:szCs w:val="20"/>
          <w:color w:val="auto"/>
        </w:rPr>
      </w:pPr>
      <w:r>
        <w:rPr>
          <w:rFonts w:ascii="Arial" w:cs="Arial" w:eastAsia="Arial" w:hAnsi="Arial"/>
          <w:sz w:val="10"/>
          <w:szCs w:val="10"/>
          <w:i w:val="1"/>
          <w:iCs w:val="1"/>
          <w:color w:val="002D69"/>
        </w:rPr>
        <w:t>Investor Relations Manager</w:t>
      </w:r>
    </w:p>
    <w:p>
      <w:pPr>
        <w:jc w:val="center"/>
        <w:spacing w:after="0" w:line="226" w:lineRule="auto"/>
        <w:rPr>
          <w:sz w:val="20"/>
          <w:szCs w:val="20"/>
          <w:color w:val="auto"/>
        </w:rPr>
      </w:pPr>
      <w:r>
        <w:rPr>
          <w:rFonts w:ascii="Arial" w:cs="Arial" w:eastAsia="Arial" w:hAnsi="Arial"/>
          <w:sz w:val="10"/>
          <w:szCs w:val="10"/>
          <w:u w:val="single" w:color="auto"/>
          <w:color w:val="002D69"/>
        </w:rPr>
        <w:t>InvestorRelations@oildri.com</w:t>
      </w:r>
    </w:p>
    <w:p>
      <w:pPr>
        <w:jc w:val="center"/>
        <w:spacing w:after="0" w:line="236" w:lineRule="auto"/>
        <w:rPr>
          <w:sz w:val="20"/>
          <w:szCs w:val="20"/>
          <w:color w:val="auto"/>
        </w:rPr>
      </w:pPr>
      <w:r>
        <w:rPr>
          <w:rFonts w:ascii="Arial" w:cs="Arial" w:eastAsia="Arial" w:hAnsi="Arial"/>
          <w:sz w:val="10"/>
          <w:szCs w:val="10"/>
          <w:color w:val="002D69"/>
        </w:rPr>
        <w:t>(312) 321-1515</w:t>
      </w:r>
    </w:p>
    <w:sectPr>
      <w:pgSz w:w="11900" w:h="16838" w:orient="portrait"/>
      <w:cols w:equalWidth="0" w:num="1">
        <w:col w:w="11300"/>
      </w:cols>
      <w:pgMar w:left="300" w:top="66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2021-12-08T16:30:49Z</dcterms:created>
  <dcterms:modified xsi:type="dcterms:W3CDTF">2021-12-08T16:30:49Z</dcterms:modified>
</cp:coreProperties>
</file>