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1" w:lineRule="exact"/>
        <w:rPr>
          <w:sz w:val="24"/>
          <w:szCs w:val="24"/>
          <w:color w:val="auto"/>
        </w:rPr>
      </w:pPr>
    </w:p>
    <w:p>
      <w:pPr>
        <w:jc w:val="center"/>
        <w:ind w:left="2220" w:right="340"/>
        <w:spacing w:after="0" w:line="464" w:lineRule="auto"/>
        <w:rPr>
          <w:sz w:val="20"/>
          <w:szCs w:val="20"/>
          <w:color w:val="auto"/>
        </w:rPr>
      </w:pPr>
      <w:r>
        <w:rPr>
          <w:rFonts w:ascii="Arial" w:cs="Arial" w:eastAsia="Arial" w:hAnsi="Arial"/>
          <w:sz w:val="25"/>
          <w:szCs w:val="25"/>
          <w:color w:val="auto"/>
        </w:rPr>
        <w:t xml:space="preserve">x </w:t>
      </w:r>
      <w:r>
        <w:rPr>
          <w:rFonts w:ascii="Arial" w:cs="Arial" w:eastAsia="Arial" w:hAnsi="Arial"/>
          <w:sz w:val="25"/>
          <w:szCs w:val="25"/>
          <w:b w:val="1"/>
          <w:bCs w:val="1"/>
          <w:color w:val="auto"/>
        </w:rPr>
        <w:t>ANNUAL REPORT PURSUANT TO SECTION 13 OR 15(d)</w:t>
      </w:r>
      <w:r>
        <w:rPr>
          <w:rFonts w:ascii="Arial" w:cs="Arial" w:eastAsia="Arial" w:hAnsi="Arial"/>
          <w:sz w:val="25"/>
          <w:szCs w:val="25"/>
          <w:color w:val="auto"/>
        </w:rPr>
        <w:t xml:space="preserve"> </w:t>
      </w:r>
      <w:r>
        <w:rPr>
          <w:rFonts w:ascii="Arial" w:cs="Arial" w:eastAsia="Arial" w:hAnsi="Arial"/>
          <w:sz w:val="25"/>
          <w:szCs w:val="25"/>
          <w:b w:val="1"/>
          <w:bCs w:val="1"/>
          <w:color w:val="auto"/>
        </w:rPr>
        <w:t>OF THE SECURITIES EXCHANGE ACT OF 1934 For the fiscal year ended July 31, 2012 OR</w:t>
      </w:r>
    </w:p>
    <w:p>
      <w:pPr>
        <w:spacing w:after="0" w:line="385" w:lineRule="exact"/>
        <w:rPr>
          <w:sz w:val="24"/>
          <w:szCs w:val="24"/>
          <w:color w:val="auto"/>
        </w:rPr>
      </w:pPr>
    </w:p>
    <w:p>
      <w:pPr>
        <w:ind w:left="2240" w:hanging="248"/>
        <w:spacing w:after="0"/>
        <w:tabs>
          <w:tab w:leader="none" w:pos="2240" w:val="left"/>
        </w:tabs>
        <w:numPr>
          <w:ilvl w:val="0"/>
          <w:numId w:val="1"/>
        </w:numPr>
        <w:rPr>
          <w:rFonts w:ascii="MS PGothic" w:cs="MS PGothic" w:eastAsia="MS PGothic" w:hAnsi="MS PGothic"/>
          <w:sz w:val="21"/>
          <w:szCs w:val="21"/>
          <w:color w:val="auto"/>
        </w:rPr>
      </w:pPr>
      <w:r>
        <w:rPr>
          <w:rFonts w:ascii="Arial" w:cs="Arial" w:eastAsia="Arial" w:hAnsi="Arial"/>
          <w:sz w:val="24"/>
          <w:szCs w:val="24"/>
          <w:b w:val="1"/>
          <w:bCs w:val="1"/>
          <w:color w:val="auto"/>
        </w:rPr>
        <w:t>TRANSITION REPORT PURSUANT TO SECTION 13 OR 15 (d)</w:t>
      </w:r>
    </w:p>
    <w:p>
      <w:pPr>
        <w:spacing w:after="0" w:line="250" w:lineRule="exact"/>
        <w:rPr>
          <w:rFonts w:ascii="MS PGothic" w:cs="MS PGothic" w:eastAsia="MS PGothic" w:hAnsi="MS PGothic"/>
          <w:sz w:val="21"/>
          <w:szCs w:val="21"/>
          <w:color w:val="auto"/>
        </w:rPr>
      </w:pPr>
    </w:p>
    <w:p>
      <w:pPr>
        <w:ind w:left="290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OF THE SECURITIES EXCHANGE ACT OF 1934</w:t>
      </w:r>
    </w:p>
    <w:p>
      <w:pPr>
        <w:spacing w:after="0" w:line="225" w:lineRule="exact"/>
        <w:rPr>
          <w:rFonts w:ascii="MS PGothic" w:cs="MS PGothic" w:eastAsia="MS PGothic" w:hAnsi="MS PGothic"/>
          <w:sz w:val="21"/>
          <w:szCs w:val="21"/>
          <w:color w:val="auto"/>
        </w:rPr>
      </w:pPr>
    </w:p>
    <w:p>
      <w:pPr>
        <w:ind w:left="32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For the Transition Period from _____ to _____</w:t>
      </w:r>
    </w:p>
    <w:p>
      <w:pPr>
        <w:spacing w:after="0" w:line="225" w:lineRule="exact"/>
        <w:rPr>
          <w:rFonts w:ascii="MS PGothic" w:cs="MS PGothic" w:eastAsia="MS PGothic" w:hAnsi="MS PGothic"/>
          <w:sz w:val="21"/>
          <w:szCs w:val="21"/>
          <w:color w:val="auto"/>
        </w:rPr>
      </w:pPr>
    </w:p>
    <w:p>
      <w:pPr>
        <w:ind w:left="40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___________________________</w:t>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001-12622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OIL-DRI CORPORATION OF AMERICA</w:t>
      </w:r>
    </w:p>
    <w:p>
      <w:pPr>
        <w:sectPr>
          <w:pgSz w:w="11900" w:h="16838" w:orient="portrait"/>
          <w:cols w:equalWidth="0" w:num="1">
            <w:col w:w="11420"/>
          </w:cols>
          <w:pgMar w:left="240" w:top="233" w:right="239" w:bottom="1440" w:gutter="0" w:footer="0" w:header="0"/>
        </w:sectPr>
      </w:pPr>
    </w:p>
    <w:p>
      <w:pPr>
        <w:spacing w:after="0" w:line="39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36-2048898</w:t>
      </w:r>
    </w:p>
    <w:p>
      <w:pPr>
        <w:spacing w:after="0" w:line="90" w:lineRule="exact"/>
        <w:rPr>
          <w:sz w:val="24"/>
          <w:szCs w:val="24"/>
          <w:color w:val="auto"/>
        </w:rPr>
      </w:pPr>
    </w:p>
    <w:p>
      <w:pPr>
        <w:sectPr>
          <w:pgSz w:w="11900" w:h="16838" w:orient="portrait"/>
          <w:cols w:equalWidth="0" w:num="2">
            <w:col w:w="7420" w:space="720"/>
            <w:col w:w="3280"/>
          </w:cols>
          <w:pgMar w:left="240" w:top="233"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5" w:lineRule="exact"/>
        <w:rPr>
          <w:sz w:val="24"/>
          <w:szCs w:val="24"/>
          <w:color w:val="auto"/>
        </w:rPr>
      </w:pPr>
    </w:p>
    <w:p>
      <w:pPr>
        <w:sectPr>
          <w:pgSz w:w="11900" w:h="16838" w:orient="portrait"/>
          <w:cols w:equalWidth="0" w:num="2">
            <w:col w:w="6580" w:space="720"/>
            <w:col w:w="4120"/>
          </w:cols>
          <w:pgMar w:left="240" w:top="233"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233"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North Michigan Avenue, Suite 400, Chicago, Illinois 60611-4213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321-1515</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Title of Each Class</w:t>
            </w:r>
          </w:p>
        </w:tc>
        <w:tc>
          <w:tcPr>
            <w:tcW w:w="58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jc w:val="center"/>
              <w:ind w:left="30"/>
              <w:spacing w:after="0"/>
              <w:rPr>
                <w:sz w:val="20"/>
                <w:szCs w:val="20"/>
                <w:color w:val="auto"/>
              </w:rPr>
            </w:pPr>
            <w:r>
              <w:rPr>
                <w:rFonts w:ascii="Arial" w:cs="Arial" w:eastAsia="Arial" w:hAnsi="Arial"/>
                <w:sz w:val="18"/>
                <w:szCs w:val="18"/>
                <w:color w:val="auto"/>
                <w:w w:val="89"/>
              </w:rPr>
              <w:t>Common Stock, par value $0.10 per share</w:t>
            </w:r>
          </w:p>
        </w:tc>
        <w:tc>
          <w:tcPr>
            <w:tcW w:w="5820" w:type="dxa"/>
            <w:vAlign w:val="bottom"/>
          </w:tcPr>
          <w:p>
            <w:pPr>
              <w:jc w:val="center"/>
              <w:ind w:left="30"/>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58"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3440" w:space="720"/>
            <w:col w:w="3160" w:space="720"/>
            <w:col w:w="1900" w:space="720"/>
            <w:col w:w="760"/>
          </w:cols>
          <w:pgMar w:left="240" w:top="125" w:right="239" w:bottom="1440" w:gutter="0" w:footer="0" w:header="0"/>
          <w:type w:val="continuous"/>
        </w:sectPr>
      </w:pPr>
    </w:p>
    <w:p>
      <w:pPr>
        <w:spacing w:after="0" w:line="156"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680"/>
        <w:spacing w:after="0"/>
        <w:rPr>
          <w:sz w:val="20"/>
          <w:szCs w:val="20"/>
          <w:color w:val="auto"/>
        </w:rPr>
      </w:pPr>
      <w:r>
        <w:rPr>
          <w:rFonts w:ascii="Arial" w:cs="Arial" w:eastAsia="Arial" w:hAnsi="Arial"/>
          <w:sz w:val="14"/>
          <w:szCs w:val="14"/>
          <w:color w:val="auto"/>
        </w:rPr>
        <w:t>o</w:t>
      </w:r>
    </w:p>
    <w:p>
      <w:pPr>
        <w:spacing w:after="0" w:line="108" w:lineRule="exact"/>
        <w:rPr>
          <w:sz w:val="20"/>
          <w:szCs w:val="20"/>
          <w:color w:val="auto"/>
        </w:rPr>
      </w:pPr>
    </w:p>
    <w:p>
      <w:pPr>
        <w:sectPr>
          <w:pgSz w:w="11900" w:h="16838" w:orient="portrait"/>
          <w:cols w:equalWidth="0" w:num="4">
            <w:col w:w="3440" w:space="720"/>
            <w:col w:w="3160" w:space="720"/>
            <w:col w:w="1960" w:space="660"/>
            <w:col w:w="760"/>
          </w:cols>
          <w:pgMar w:left="240" w:top="125" w:right="2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January 31, 2012 was $105,910,000.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28, 2012:</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 4,879,226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B Stock – 2,050,118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A Common Stock – 0 shares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documents are incorporated by reference: Oil-Dri’s Proxy Statement for its 2012 Annual Meeting of Stockholders (“Proxy Statement”), which will be filed with the Securities and Exchange Commission (“SEC”) not later than November 28, 2012 (120 days after the end of Oil-Dri’s fiscal year ended July 31, 2012), is incorporated into Part III of this Annual Report on Form 10-K, as indicated herein.</w:t>
      </w:r>
    </w:p>
    <w:p>
      <w:pPr>
        <w:sectPr>
          <w:pgSz w:w="11900" w:h="16838" w:orient="portrait"/>
          <w:cols w:equalWidth="0" w:num="1">
            <w:col w:w="11420"/>
          </w:cols>
          <w:pgMar w:left="240" w:top="12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580" w:type="dxa"/>
            <w:vAlign w:val="bottom"/>
          </w:tcPr>
          <w:p>
            <w:pPr>
              <w:jc w:val="center"/>
              <w:ind w:left="1631"/>
              <w:spacing w:after="0"/>
              <w:rPr>
                <w:sz w:val="20"/>
                <w:szCs w:val="20"/>
                <w:color w:val="auto"/>
              </w:rPr>
            </w:pPr>
            <w:r>
              <w:rPr>
                <w:rFonts w:ascii="Arial" w:cs="Arial" w:eastAsia="Arial" w:hAnsi="Arial"/>
                <w:sz w:val="18"/>
                <w:szCs w:val="18"/>
                <w:b w:val="1"/>
                <w:bCs w:val="1"/>
                <w:color w:val="auto"/>
                <w:w w:val="98"/>
              </w:rPr>
              <w:t>CONTENTS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30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Item</w:t>
            </w:r>
          </w:p>
        </w:tc>
        <w:tc>
          <w:tcPr>
            <w:tcW w:w="206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color w:val="auto"/>
              </w:rPr>
              <w:t>Page</w:t>
            </w: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8580" w:type="dxa"/>
            <w:vAlign w:val="bottom"/>
            <w:tcBorders>
              <w:bottom w:val="single" w:sz="8" w:color="CCEEFF"/>
            </w:tcBorders>
            <w:shd w:val="clear" w:color="auto" w:fill="CCEEFF"/>
          </w:tcPr>
          <w:p>
            <w:pPr>
              <w:jc w:val="center"/>
              <w:ind w:left="1631"/>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1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2060" w:type="dxa"/>
            <w:vAlign w:val="bottom"/>
            <w:gridSpan w:val="4"/>
            <w:shd w:val="clear" w:color="auto" w:fill="CCEEFF"/>
          </w:tcPr>
          <w:p>
            <w:pPr>
              <w:jc w:val="right"/>
              <w:ind w:right="4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1A.</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1B.</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Unresolved Staff Comments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Properties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Legal Proceedings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580" w:type="dxa"/>
            <w:vAlign w:val="bottom"/>
            <w:shd w:val="clear" w:color="auto" w:fill="CCEEFF"/>
          </w:tcPr>
          <w:p>
            <w:pPr>
              <w:ind w:left="1000"/>
              <w:spacing w:after="0" w:line="202" w:lineRule="exact"/>
              <w:rPr>
                <w:sz w:val="20"/>
                <w:szCs w:val="20"/>
                <w:color w:val="auto"/>
              </w:rPr>
            </w:pPr>
            <w:r>
              <w:rPr>
                <w:rFonts w:ascii="Arial" w:cs="Arial" w:eastAsia="Arial" w:hAnsi="Arial"/>
                <w:sz w:val="18"/>
                <w:szCs w:val="18"/>
                <w:color w:val="0000FF"/>
              </w:rPr>
              <w:t>Mine Safety Disclosure</w:t>
            </w:r>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c>
          <w:tcPr>
            <w:tcW w:w="40" w:type="dxa"/>
            <w:vAlign w:val="bottom"/>
            <w:shd w:val="clear" w:color="auto" w:fill="CCEEFF"/>
          </w:tcPr>
          <w:p>
            <w:pPr>
              <w:spacing w:after="0"/>
              <w:rPr>
                <w:sz w:val="21"/>
                <w:szCs w:val="21"/>
                <w:color w:val="auto"/>
              </w:rPr>
            </w:pPr>
          </w:p>
        </w:tc>
      </w:tr>
      <w:tr>
        <w:trPr>
          <w:trHeight w:val="203"/>
        </w:trPr>
        <w:tc>
          <w:tcPr>
            <w:tcW w:w="300" w:type="dxa"/>
            <w:vAlign w:val="bottom"/>
            <w:tcBorders>
              <w:top w:val="single" w:sz="8" w:color="CCEEFF"/>
            </w:tcBorders>
          </w:tcPr>
          <w:p>
            <w:pPr>
              <w:spacing w:after="0"/>
              <w:rPr>
                <w:sz w:val="17"/>
                <w:szCs w:val="17"/>
                <w:color w:val="auto"/>
              </w:rPr>
            </w:pPr>
          </w:p>
        </w:tc>
        <w:tc>
          <w:tcPr>
            <w:tcW w:w="85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8580" w:type="dxa"/>
            <w:vAlign w:val="bottom"/>
            <w:tcBorders>
              <w:bottom w:val="single" w:sz="8" w:color="CCEEFF"/>
            </w:tcBorders>
            <w:shd w:val="clear" w:color="auto" w:fill="CCEEFF"/>
          </w:tcPr>
          <w:p>
            <w:pPr>
              <w:jc w:val="center"/>
              <w:ind w:left="1631"/>
              <w:spacing w:after="0"/>
              <w:rPr>
                <w:rFonts w:ascii="Arial" w:cs="Arial" w:eastAsia="Arial" w:hAnsi="Arial"/>
                <w:sz w:val="18"/>
                <w:szCs w:val="18"/>
                <w:b w:val="1"/>
                <w:bCs w:val="1"/>
                <w:color w:val="0000FF"/>
              </w:rPr>
            </w:pPr>
            <w:hyperlink w:anchor="page20">
              <w:r>
                <w:rPr>
                  <w:rFonts w:ascii="Arial" w:cs="Arial" w:eastAsia="Arial" w:hAnsi="Arial"/>
                  <w:sz w:val="18"/>
                  <w:szCs w:val="18"/>
                  <w:b w:val="1"/>
                  <w:bCs w:val="1"/>
                  <w:color w:val="0000FF"/>
                </w:rPr>
                <w:t>PART II</w:t>
              </w:r>
            </w:hyperlink>
          </w:p>
        </w:tc>
        <w:tc>
          <w:tcPr>
            <w:tcW w:w="1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300" w:type="dxa"/>
            <w:vAlign w:val="bottom"/>
            <w:shd w:val="clear" w:color="auto" w:fill="CCEEFF"/>
          </w:tcPr>
          <w:p>
            <w:pPr>
              <w:spacing w:after="0"/>
              <w:rPr>
                <w:sz w:val="19"/>
                <w:szCs w:val="19"/>
                <w:color w:val="auto"/>
              </w:rPr>
            </w:pPr>
          </w:p>
        </w:tc>
        <w:tc>
          <w:tcPr>
            <w:tcW w:w="8580" w:type="dxa"/>
            <w:vAlign w:val="bottom"/>
            <w:shd w:val="clear" w:color="auto" w:fill="CCEEFF"/>
          </w:tcPr>
          <w:p>
            <w:pPr>
              <w:ind w:left="1000"/>
              <w:spacing w:after="0"/>
              <w:rPr>
                <w:rFonts w:ascii="Arial" w:cs="Arial" w:eastAsia="Arial" w:hAnsi="Arial"/>
                <w:sz w:val="18"/>
                <w:szCs w:val="18"/>
                <w:color w:val="0000FF"/>
              </w:rPr>
            </w:pPr>
            <w:hyperlink w:anchor="page21">
              <w:r>
                <w:rPr>
                  <w:rFonts w:ascii="Arial" w:cs="Arial" w:eastAsia="Arial" w:hAnsi="Arial"/>
                  <w:sz w:val="18"/>
                  <w:szCs w:val="18"/>
                  <w:color w:val="0000FF"/>
                </w:rPr>
                <w:t>Market for Registrant's Common Equity, Related Stockholder Matters and Issuer Purchases of</w:t>
              </w:r>
            </w:hyperlink>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5</w:t>
            </w:r>
          </w:p>
        </w:tc>
        <w:tc>
          <w:tcPr>
            <w:tcW w:w="8580" w:type="dxa"/>
            <w:vAlign w:val="bottom"/>
            <w:shd w:val="clear" w:color="auto" w:fill="CCEEFF"/>
          </w:tcPr>
          <w:p>
            <w:pPr>
              <w:ind w:left="1000"/>
              <w:spacing w:after="0" w:line="190" w:lineRule="exact"/>
              <w:rPr>
                <w:rFonts w:ascii="Arial" w:cs="Arial" w:eastAsia="Arial" w:hAnsi="Arial"/>
                <w:sz w:val="18"/>
                <w:szCs w:val="18"/>
                <w:color w:val="0000FF"/>
              </w:rPr>
            </w:pPr>
            <w:hyperlink w:anchor="page21">
              <w:r>
                <w:rPr>
                  <w:rFonts w:ascii="Arial" w:cs="Arial" w:eastAsia="Arial" w:hAnsi="Arial"/>
                  <w:sz w:val="18"/>
                  <w:szCs w:val="18"/>
                  <w:color w:val="0000FF"/>
                </w:rPr>
                <w:t>Equity Securities</w:t>
              </w:r>
            </w:hyperlink>
          </w:p>
        </w:tc>
        <w:tc>
          <w:tcPr>
            <w:tcW w:w="2020" w:type="dxa"/>
            <w:vAlign w:val="bottom"/>
            <w:gridSpan w:val="3"/>
            <w:shd w:val="clear" w:color="auto" w:fill="CCEEFF"/>
          </w:tcPr>
          <w:p>
            <w:pPr>
              <w:jc w:val="right"/>
              <w:spacing w:after="0" w:line="190" w:lineRule="exact"/>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40" w:type="dxa"/>
            <w:vAlign w:val="bottom"/>
            <w:shd w:val="clear" w:color="auto" w:fill="CCEEFF"/>
          </w:tcPr>
          <w:p>
            <w:pPr>
              <w:spacing w:after="0"/>
              <w:rPr>
                <w:sz w:val="20"/>
                <w:szCs w:val="20"/>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Selected Financial Data</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7A.</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Financial Statements and Supplementary Data</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spacing w:after="0"/>
              <w:rPr>
                <w:sz w:val="21"/>
                <w:szCs w:val="21"/>
                <w:color w:val="auto"/>
              </w:rPr>
            </w:pP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Management's Report on Internal Control Over Financial Reporting</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spacing w:after="0"/>
              <w:rPr>
                <w:sz w:val="21"/>
                <w:szCs w:val="21"/>
                <w:color w:val="auto"/>
              </w:rPr>
            </w:pP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Report of Independent Registered Public Accounting Firm</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Changes in and Disagreements with Accountants on Accounting and Financial Disclosure</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9A.</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Controls and Procedures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9B.</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Other Information</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c>
          <w:tcPr>
            <w:tcW w:w="40" w:type="dxa"/>
            <w:vAlign w:val="bottom"/>
            <w:shd w:val="clear" w:color="auto" w:fill="CCEEFF"/>
          </w:tcPr>
          <w:p>
            <w:pPr>
              <w:spacing w:after="0"/>
              <w:rPr>
                <w:sz w:val="21"/>
                <w:szCs w:val="21"/>
                <w:color w:val="auto"/>
              </w:rPr>
            </w:pPr>
          </w:p>
        </w:tc>
      </w:tr>
      <w:tr>
        <w:trPr>
          <w:trHeight w:val="203"/>
        </w:trPr>
        <w:tc>
          <w:tcPr>
            <w:tcW w:w="300" w:type="dxa"/>
            <w:vAlign w:val="bottom"/>
            <w:tcBorders>
              <w:top w:val="single" w:sz="8" w:color="CCEEFF"/>
            </w:tcBorders>
          </w:tcPr>
          <w:p>
            <w:pPr>
              <w:spacing w:after="0"/>
              <w:rPr>
                <w:sz w:val="17"/>
                <w:szCs w:val="17"/>
                <w:color w:val="auto"/>
              </w:rPr>
            </w:pPr>
          </w:p>
        </w:tc>
        <w:tc>
          <w:tcPr>
            <w:tcW w:w="85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858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FF"/>
              </w:rPr>
            </w:pPr>
            <w:hyperlink w:anchor="page66">
              <w:r>
                <w:rPr>
                  <w:rFonts w:ascii="Arial" w:cs="Arial" w:eastAsia="Arial" w:hAnsi="Arial"/>
                  <w:sz w:val="18"/>
                  <w:szCs w:val="18"/>
                  <w:b w:val="1"/>
                  <w:bCs w:val="1"/>
                  <w:color w:val="0000FF"/>
                </w:rPr>
                <w:t>PART III</w:t>
              </w:r>
            </w:hyperlink>
          </w:p>
        </w:tc>
        <w:tc>
          <w:tcPr>
            <w:tcW w:w="1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Directors, Executive Officers and Corporate Governance</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Executive Compensation</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29"/>
        </w:trPr>
        <w:tc>
          <w:tcPr>
            <w:tcW w:w="300" w:type="dxa"/>
            <w:vAlign w:val="bottom"/>
            <w:shd w:val="clear" w:color="auto" w:fill="CCEEFF"/>
          </w:tcPr>
          <w:p>
            <w:pPr>
              <w:spacing w:after="0"/>
              <w:rPr>
                <w:sz w:val="19"/>
                <w:szCs w:val="19"/>
                <w:color w:val="auto"/>
              </w:rPr>
            </w:pPr>
          </w:p>
        </w:tc>
        <w:tc>
          <w:tcPr>
            <w:tcW w:w="8580" w:type="dxa"/>
            <w:vAlign w:val="bottom"/>
            <w:shd w:val="clear" w:color="auto" w:fill="CCEEFF"/>
          </w:tcPr>
          <w:p>
            <w:pPr>
              <w:ind w:left="1000"/>
              <w:spacing w:after="0"/>
              <w:rPr>
                <w:rFonts w:ascii="Arial" w:cs="Arial" w:eastAsia="Arial" w:hAnsi="Arial"/>
                <w:sz w:val="18"/>
                <w:szCs w:val="18"/>
                <w:color w:val="0000FF"/>
              </w:rPr>
            </w:pPr>
            <w:hyperlink w:anchor="page67">
              <w:r>
                <w:rPr>
                  <w:rFonts w:ascii="Arial" w:cs="Arial" w:eastAsia="Arial" w:hAnsi="Arial"/>
                  <w:sz w:val="18"/>
                  <w:szCs w:val="18"/>
                  <w:color w:val="0000FF"/>
                </w:rPr>
                <w:t>Security Ownership of Certain Beneficial Owners and Management and Related Stockholder</w:t>
              </w:r>
            </w:hyperlink>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12</w:t>
            </w:r>
          </w:p>
        </w:tc>
        <w:tc>
          <w:tcPr>
            <w:tcW w:w="8580" w:type="dxa"/>
            <w:vAlign w:val="bottom"/>
            <w:shd w:val="clear" w:color="auto" w:fill="CCEEFF"/>
          </w:tcPr>
          <w:p>
            <w:pPr>
              <w:ind w:left="1000"/>
              <w:spacing w:after="0" w:line="190" w:lineRule="exact"/>
              <w:rPr>
                <w:rFonts w:ascii="Arial" w:cs="Arial" w:eastAsia="Arial" w:hAnsi="Arial"/>
                <w:sz w:val="18"/>
                <w:szCs w:val="18"/>
                <w:color w:val="0000FF"/>
              </w:rPr>
            </w:pPr>
            <w:hyperlink w:anchor="page67">
              <w:r>
                <w:rPr>
                  <w:rFonts w:ascii="Arial" w:cs="Arial" w:eastAsia="Arial" w:hAnsi="Arial"/>
                  <w:sz w:val="18"/>
                  <w:szCs w:val="18"/>
                  <w:color w:val="0000FF"/>
                </w:rPr>
                <w:t>Matters</w:t>
              </w:r>
            </w:hyperlink>
          </w:p>
        </w:tc>
        <w:tc>
          <w:tcPr>
            <w:tcW w:w="2020" w:type="dxa"/>
            <w:vAlign w:val="bottom"/>
            <w:gridSpan w:val="3"/>
            <w:shd w:val="clear" w:color="auto" w:fill="CCEEFF"/>
          </w:tcPr>
          <w:p>
            <w:pPr>
              <w:jc w:val="right"/>
              <w:spacing w:after="0" w:line="190" w:lineRule="exact"/>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c>
          <w:tcPr>
            <w:tcW w:w="40" w:type="dxa"/>
            <w:vAlign w:val="bottom"/>
            <w:shd w:val="clear" w:color="auto" w:fill="CCEEFF"/>
          </w:tcPr>
          <w:p>
            <w:pPr>
              <w:spacing w:after="0"/>
              <w:rPr>
                <w:sz w:val="20"/>
                <w:szCs w:val="20"/>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Certain Relationships and Related Transactions, and Director Independence</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Principal Accountant Fees and Services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c>
          <w:tcPr>
            <w:tcW w:w="40" w:type="dxa"/>
            <w:vAlign w:val="bottom"/>
            <w:shd w:val="clear" w:color="auto" w:fill="CCEEFF"/>
          </w:tcPr>
          <w:p>
            <w:pPr>
              <w:spacing w:after="0"/>
              <w:rPr>
                <w:sz w:val="17"/>
                <w:szCs w:val="17"/>
                <w:color w:val="auto"/>
              </w:rPr>
            </w:pPr>
          </w:p>
        </w:tc>
      </w:tr>
      <w:tr>
        <w:trPr>
          <w:trHeight w:val="48"/>
        </w:trPr>
        <w:tc>
          <w:tcPr>
            <w:tcW w:w="300" w:type="dxa"/>
            <w:vAlign w:val="bottom"/>
            <w:tcBorders>
              <w:top w:val="single" w:sz="8" w:color="CCEEFF"/>
            </w:tcBorders>
            <w:shd w:val="clear" w:color="auto" w:fill="CCEEFF"/>
          </w:tcPr>
          <w:p>
            <w:pPr>
              <w:spacing w:after="0"/>
              <w:rPr>
                <w:sz w:val="4"/>
                <w:szCs w:val="4"/>
                <w:color w:val="auto"/>
              </w:rPr>
            </w:pPr>
          </w:p>
        </w:tc>
        <w:tc>
          <w:tcPr>
            <w:tcW w:w="858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940"/>
          </w:cols>
          <w:pgMar w:left="500" w:top="364" w:right="459" w:bottom="1440"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40"/>
          </w:cols>
          <w:pgMar w:left="500" w:top="364" w:right="459" w:bottom="1440" w:gutter="0" w:footer="0" w:header="0"/>
          <w:type w:val="continuous"/>
        </w:sectPr>
      </w:pPr>
    </w:p>
    <w:bookmarkStart w:id="3" w:name="page4"/>
    <w:bookmarkEnd w:id="3"/>
    <w:tbl>
      <w:tblPr>
        <w:tblLayout w:type="fixed"/>
        <w:tblInd w:w="1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180" w:type="dxa"/>
            <w:vAlign w:val="bottom"/>
          </w:tcPr>
          <w:p>
            <w:pPr>
              <w:jc w:val="center"/>
              <w:ind w:left="2190"/>
              <w:spacing w:after="0"/>
              <w:rPr>
                <w:sz w:val="20"/>
                <w:szCs w:val="20"/>
                <w:color w:val="auto"/>
              </w:rPr>
            </w:pPr>
            <w:r>
              <w:rPr>
                <w:rFonts w:ascii="Arial" w:cs="Arial" w:eastAsia="Arial" w:hAnsi="Arial"/>
                <w:sz w:val="18"/>
                <w:szCs w:val="18"/>
                <w:b w:val="1"/>
                <w:bCs w:val="1"/>
                <w:color w:val="auto"/>
              </w:rPr>
              <w:t>CONTENTS (CONTINUED)</w:t>
            </w: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2"/>
        </w:trPr>
        <w:tc>
          <w:tcPr>
            <w:tcW w:w="3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Item</w:t>
            </w:r>
          </w:p>
        </w:tc>
        <w:tc>
          <w:tcPr>
            <w:tcW w:w="266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color w:val="auto"/>
              </w:rPr>
              <w:t>Page</w:t>
            </w: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shd w:val="clear" w:color="auto" w:fill="CCEEFF"/>
          </w:tcPr>
          <w:p>
            <w:pPr>
              <w:jc w:val="center"/>
              <w:ind w:left="2210"/>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PART IV</w:t>
              </w:r>
            </w:hyperlink>
          </w:p>
        </w:tc>
        <w:tc>
          <w:tcPr>
            <w:tcW w:w="2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38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3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89"/>
              </w:rPr>
              <w:t>15</w:t>
            </w:r>
          </w:p>
        </w:tc>
        <w:tc>
          <w:tcPr>
            <w:tcW w:w="8180" w:type="dxa"/>
            <w:vAlign w:val="bottom"/>
            <w:shd w:val="clear" w:color="auto" w:fill="CCEEFF"/>
          </w:tcPr>
          <w:p>
            <w:pPr>
              <w:ind w:left="122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Exhibits and Financial Statement Schedule</w:t>
              </w:r>
            </w:hyperlink>
          </w:p>
        </w:tc>
        <w:tc>
          <w:tcPr>
            <w:tcW w:w="2640" w:type="dxa"/>
            <w:vAlign w:val="bottom"/>
            <w:gridSpan w:val="2"/>
            <w:shd w:val="clear" w:color="auto" w:fill="CCEEFF"/>
          </w:tcPr>
          <w:p>
            <w:pPr>
              <w:jc w:val="right"/>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c>
          <w:tcPr>
            <w:tcW w:w="20" w:type="dxa"/>
            <w:vAlign w:val="bottom"/>
            <w:shd w:val="clear" w:color="auto" w:fill="CCEEFF"/>
          </w:tcPr>
          <w:p>
            <w:pPr>
              <w:spacing w:after="0"/>
              <w:rPr>
                <w:sz w:val="21"/>
                <w:szCs w:val="21"/>
                <w:color w:val="auto"/>
              </w:rPr>
            </w:pPr>
          </w:p>
        </w:tc>
      </w:tr>
      <w:tr>
        <w:trPr>
          <w:trHeight w:val="270"/>
        </w:trPr>
        <w:tc>
          <w:tcPr>
            <w:tcW w:w="380" w:type="dxa"/>
            <w:vAlign w:val="bottom"/>
            <w:tcBorders>
              <w:top w:val="single" w:sz="8" w:color="CCEEFF"/>
            </w:tcBorders>
          </w:tcPr>
          <w:p>
            <w:pPr>
              <w:spacing w:after="0"/>
              <w:rPr>
                <w:sz w:val="23"/>
                <w:szCs w:val="23"/>
                <w:color w:val="auto"/>
              </w:rPr>
            </w:pPr>
          </w:p>
        </w:tc>
        <w:tc>
          <w:tcPr>
            <w:tcW w:w="818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380" w:type="dxa"/>
            <w:vAlign w:val="bottom"/>
            <w:shd w:val="clear" w:color="auto" w:fill="CCEEFF"/>
          </w:tcPr>
          <w:p>
            <w:pPr>
              <w:spacing w:after="0"/>
              <w:rPr>
                <w:sz w:val="21"/>
                <w:szCs w:val="21"/>
                <w:color w:val="auto"/>
              </w:rPr>
            </w:pPr>
          </w:p>
        </w:tc>
        <w:tc>
          <w:tcPr>
            <w:tcW w:w="8180" w:type="dxa"/>
            <w:vAlign w:val="bottom"/>
            <w:shd w:val="clear" w:color="auto" w:fill="CCEEFF"/>
          </w:tcPr>
          <w:p>
            <w:pPr>
              <w:ind w:left="1220"/>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Signatures</w:t>
              </w:r>
            </w:hyperlink>
          </w:p>
        </w:tc>
        <w:tc>
          <w:tcPr>
            <w:tcW w:w="2640" w:type="dxa"/>
            <w:vAlign w:val="bottom"/>
            <w:gridSpan w:val="2"/>
            <w:shd w:val="clear" w:color="auto" w:fill="CCEEFF"/>
          </w:tcPr>
          <w:p>
            <w:pPr>
              <w:jc w:val="right"/>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73</w:t>
              </w:r>
            </w:hyperlink>
          </w:p>
        </w:tc>
        <w:tc>
          <w:tcPr>
            <w:tcW w:w="20" w:type="dxa"/>
            <w:vAlign w:val="bottom"/>
            <w:shd w:val="clear" w:color="auto" w:fill="CCEEFF"/>
          </w:tcPr>
          <w:p>
            <w:pPr>
              <w:spacing w:after="0"/>
              <w:rPr>
                <w:sz w:val="21"/>
                <w:szCs w:val="21"/>
                <w:color w:val="auto"/>
              </w:rPr>
            </w:pPr>
          </w:p>
        </w:tc>
      </w:tr>
      <w:tr>
        <w:trPr>
          <w:trHeight w:val="270"/>
        </w:trPr>
        <w:tc>
          <w:tcPr>
            <w:tcW w:w="380" w:type="dxa"/>
            <w:vAlign w:val="bottom"/>
            <w:tcBorders>
              <w:top w:val="single" w:sz="8" w:color="CCEEFF"/>
            </w:tcBorders>
          </w:tcPr>
          <w:p>
            <w:pPr>
              <w:spacing w:after="0"/>
              <w:rPr>
                <w:sz w:val="23"/>
                <w:szCs w:val="23"/>
                <w:color w:val="auto"/>
              </w:rPr>
            </w:pPr>
          </w:p>
        </w:tc>
        <w:tc>
          <w:tcPr>
            <w:tcW w:w="818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380" w:type="dxa"/>
            <w:vAlign w:val="bottom"/>
            <w:shd w:val="clear" w:color="auto" w:fill="CCEEFF"/>
          </w:tcPr>
          <w:p>
            <w:pPr>
              <w:spacing w:after="0"/>
              <w:rPr>
                <w:sz w:val="21"/>
                <w:szCs w:val="21"/>
                <w:color w:val="auto"/>
              </w:rPr>
            </w:pPr>
          </w:p>
        </w:tc>
        <w:tc>
          <w:tcPr>
            <w:tcW w:w="8180" w:type="dxa"/>
            <w:vAlign w:val="bottom"/>
            <w:shd w:val="clear" w:color="auto" w:fill="CCEEFF"/>
          </w:tcPr>
          <w:p>
            <w:pPr>
              <w:ind w:left="1220"/>
              <w:spacing w:after="0" w:line="202" w:lineRule="exact"/>
              <w:rPr>
                <w:rFonts w:ascii="Arial" w:cs="Arial" w:eastAsia="Arial" w:hAnsi="Arial"/>
                <w:sz w:val="18"/>
                <w:szCs w:val="18"/>
                <w:color w:val="0000FF"/>
              </w:rPr>
            </w:pPr>
            <w:hyperlink w:anchor="page74">
              <w:r>
                <w:rPr>
                  <w:rFonts w:ascii="Arial" w:cs="Arial" w:eastAsia="Arial" w:hAnsi="Arial"/>
                  <w:sz w:val="18"/>
                  <w:szCs w:val="18"/>
                  <w:color w:val="0000FF"/>
                </w:rPr>
                <w:t>Schedule II - Valuation and Qualifying Accounts</w:t>
              </w:r>
            </w:hyperlink>
          </w:p>
        </w:tc>
        <w:tc>
          <w:tcPr>
            <w:tcW w:w="2640" w:type="dxa"/>
            <w:vAlign w:val="bottom"/>
            <w:gridSpan w:val="2"/>
            <w:shd w:val="clear" w:color="auto" w:fill="CCEEFF"/>
          </w:tcPr>
          <w:p>
            <w:pPr>
              <w:jc w:val="right"/>
              <w:spacing w:after="0" w:line="202" w:lineRule="exact"/>
              <w:rPr>
                <w:rFonts w:ascii="Arial" w:cs="Arial" w:eastAsia="Arial" w:hAnsi="Arial"/>
                <w:sz w:val="18"/>
                <w:szCs w:val="18"/>
                <w:color w:val="0000FF"/>
              </w:rPr>
            </w:pPr>
            <w:hyperlink w:anchor="page74">
              <w:r>
                <w:rPr>
                  <w:rFonts w:ascii="Arial" w:cs="Arial" w:eastAsia="Arial" w:hAnsi="Arial"/>
                  <w:sz w:val="18"/>
                  <w:szCs w:val="18"/>
                  <w:color w:val="0000FF"/>
                </w:rPr>
                <w:t>75</w:t>
              </w:r>
            </w:hyperlink>
          </w:p>
        </w:tc>
        <w:tc>
          <w:tcPr>
            <w:tcW w:w="20" w:type="dxa"/>
            <w:vAlign w:val="bottom"/>
            <w:shd w:val="clear" w:color="auto" w:fill="CCEEFF"/>
          </w:tcPr>
          <w:p>
            <w:pPr>
              <w:spacing w:after="0"/>
              <w:rPr>
                <w:sz w:val="21"/>
                <w:szCs w:val="21"/>
                <w:color w:val="auto"/>
              </w:rPr>
            </w:pPr>
          </w:p>
        </w:tc>
      </w:tr>
      <w:tr>
        <w:trPr>
          <w:trHeight w:val="270"/>
        </w:trPr>
        <w:tc>
          <w:tcPr>
            <w:tcW w:w="380" w:type="dxa"/>
            <w:vAlign w:val="bottom"/>
            <w:tcBorders>
              <w:top w:val="single" w:sz="8" w:color="CCEEFF"/>
            </w:tcBorders>
          </w:tcPr>
          <w:p>
            <w:pPr>
              <w:spacing w:after="0"/>
              <w:rPr>
                <w:sz w:val="23"/>
                <w:szCs w:val="23"/>
                <w:color w:val="auto"/>
              </w:rPr>
            </w:pPr>
          </w:p>
        </w:tc>
        <w:tc>
          <w:tcPr>
            <w:tcW w:w="818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380" w:type="dxa"/>
            <w:vAlign w:val="bottom"/>
            <w:shd w:val="clear" w:color="auto" w:fill="CCEEFF"/>
          </w:tcPr>
          <w:p>
            <w:pPr>
              <w:spacing w:after="0"/>
              <w:rPr>
                <w:sz w:val="21"/>
                <w:szCs w:val="21"/>
                <w:color w:val="auto"/>
              </w:rPr>
            </w:pPr>
          </w:p>
        </w:tc>
        <w:tc>
          <w:tcPr>
            <w:tcW w:w="8180" w:type="dxa"/>
            <w:vAlign w:val="bottom"/>
            <w:shd w:val="clear" w:color="auto" w:fill="CCEEFF"/>
          </w:tcPr>
          <w:p>
            <w:pPr>
              <w:ind w:left="1220"/>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Exhibit Index</w:t>
              </w:r>
            </w:hyperlink>
          </w:p>
        </w:tc>
        <w:tc>
          <w:tcPr>
            <w:tcW w:w="2640" w:type="dxa"/>
            <w:vAlign w:val="bottom"/>
            <w:gridSpan w:val="2"/>
            <w:shd w:val="clear" w:color="auto" w:fill="CCEEFF"/>
          </w:tcPr>
          <w:p>
            <w:pPr>
              <w:jc w:val="right"/>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76</w:t>
              </w:r>
            </w:hyperlink>
          </w:p>
        </w:tc>
        <w:tc>
          <w:tcPr>
            <w:tcW w:w="20" w:type="dxa"/>
            <w:vAlign w:val="bottom"/>
            <w:shd w:val="clear" w:color="auto" w:fill="CCEEFF"/>
          </w:tcPr>
          <w:p>
            <w:pPr>
              <w:spacing w:after="0"/>
              <w:rPr>
                <w:sz w:val="21"/>
                <w:szCs w:val="21"/>
                <w:color w:val="auto"/>
              </w:rPr>
            </w:pPr>
          </w:p>
        </w:tc>
      </w:tr>
      <w:tr>
        <w:trPr>
          <w:trHeight w:val="432"/>
        </w:trPr>
        <w:tc>
          <w:tcPr>
            <w:tcW w:w="380" w:type="dxa"/>
            <w:vAlign w:val="bottom"/>
            <w:tcBorders>
              <w:top w:val="single" w:sz="8" w:color="CCEEFF"/>
            </w:tcBorders>
          </w:tcPr>
          <w:p>
            <w:pPr>
              <w:spacing w:after="0"/>
              <w:rPr>
                <w:sz w:val="24"/>
                <w:szCs w:val="24"/>
                <w:color w:val="auto"/>
              </w:rPr>
            </w:pPr>
          </w:p>
        </w:tc>
        <w:tc>
          <w:tcPr>
            <w:tcW w:w="8180" w:type="dxa"/>
            <w:vAlign w:val="bottom"/>
            <w:tcBorders>
              <w:top w:val="single" w:sz="8" w:color="CCEEFF"/>
            </w:tcBorders>
          </w:tcPr>
          <w:p>
            <w:pPr>
              <w:jc w:val="center"/>
              <w:ind w:left="2210"/>
              <w:spacing w:after="0"/>
              <w:rPr>
                <w:sz w:val="20"/>
                <w:szCs w:val="20"/>
                <w:color w:val="auto"/>
              </w:rPr>
            </w:pPr>
            <w:r>
              <w:rPr>
                <w:rFonts w:ascii="Arial" w:cs="Arial" w:eastAsia="Arial" w:hAnsi="Arial"/>
                <w:sz w:val="18"/>
                <w:szCs w:val="18"/>
                <w:b w:val="1"/>
                <w:bCs w:val="1"/>
                <w:color w:val="auto"/>
              </w:rPr>
              <w:t>FORWARD-LOOKING STATEMENTS</w:t>
            </w:r>
          </w:p>
        </w:tc>
        <w:tc>
          <w:tcPr>
            <w:tcW w:w="246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7"/>
          <w:szCs w:val="17"/>
          <w:color w:val="auto"/>
        </w:rPr>
        <w:t>Agsorb, Calibrin, Cat’s Pride, ConditionAde, Flo-Fre, Fresh &amp; Light, Jonny Cat, KatKit, Oil-Dri, Pel-Unite, Perform, Pro Mound, Pure-Flo, Rapid Dry, Select, Terra-Green, Ultra-Clear and Verge are all registered trademarks of Oil-Dri Corporation of America or of its subsidiaries. Pro’s Choice and Saular are trademarks of Oil-Dri Corporation of America. Fresh Step is a registered trademark of The Clorox Company (“Clorox”).</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02"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1969, Oil-Dri Corporation of America was incorporated in Delaware as the successor to an Illinois corporation incorporated in 1946; the Illinois corporation was the successor to a partnership that commenced business in 1941. Except as otherwise indicated herein or as the context otherwise requires, references to “Oil-Dri,” the “Company,” “we,” “us” or “our” refer to Oil-Dri Corporation of America and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fiscal 2012 operating results reflect increased net sales in both our Retail and Wholesale Products and our Business to Business Products operating segments; however, certain events resulted in one-time charges that negatively impacted earnings. Throughout fiscal 2012, promotional expenditures were substantial for our Cat's Pride Fresh &amp; Light products, which were launched in the fourth quarter of fiscal 2011. We incurred a one-time charge in our fiscal 2012 fourth quarter to relocate the manufacturing of specific products from our plant located in Illinois to our plants located in Mississippi in order to improve production efficiencies. See Note 2 of the Notes to the Consolidated Financial Statements for further information about the production relocation charge. In addition, during fiscal 2012 we experienced certain cost increases to produce, package and transport our products, which more than offset the lower cost of fuel used in our manufacturing processes. We expect transportation cost increases to continue due to recent trends and regulations in the freight industry. We also continued to invest in our capital assets and maintained a strong consolidated balance sheet during fiscal 2012. For more information on recent business developments, see Item 7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leader in developing, manufacturing and marketing sorbent products. Our sorbent products are principally produced from clay minerals, primarily consisting of montmorillonite and attapulgite and, to a lesser extent, other clay-like sorbent materials, such as Antelope shale, which we refer to collectively as our “clay” or our “minerals.” Our sorbent technologies include absorbent and adsorbent products. Absorbents, like sponges, draw liquids up into their many pores. Examples of our absorbent clay products are Cat’s Pride and Jonny Cat branded premium cat litter, as well as other private label cat litters. We also produce Oil-Dri branded floor absorbents, Agsorb and Verge agricultural chemical carriers, ConditionAde and Calibrin enterosorbents used in animal feed and Pel-Unite animal feed binders. Adsorbent products attract impurities in liquids, such as metals and surfactants, and form low-level chemical bonds. Examples of our adsorbent products are Oil-Dri synthetic sorbents, which are used for industrial cleanup, and Pure-Flo, Perform and Select bleaching clay products, which act as a filtration media for edible oils, fats and tallows. Also, our Ultra-Clear product serves as a clarification aid for petroleum-based oils and by-products. Our absorbent and adsorbent products are described in more detail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produce two types of cat litter products, traditional coarse and scoopable, both of which have absorbent and odor controlling characteristics. Scoopable litters have the additional characteristic of clumping when exposed to moisture, allowing the consumer to selectively dispose of the used portion of the litter. Our coarse and scoopable products are sold under our Cat’s Pride and Jonny Cat brand names. We also package and market Cat’s Pride KatKit and Jonny Cat cat litter in a disposable tray, as well as Cat's Pride and Jonny Cat litter pan liners. We manufacture Fresh Step brand coarse cat litter for Clorox. We also produce private label cat litters for other customers that are sold through independent food brokers and our sales force to major retail outlets.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two long-term supply arrangements (one of which is material) under which we manufacture branded traditional litters for other marketers. Under these co-manufacturing relationships, the marketer controls all aspects of sales, marketing, and distribution, as well as the odor control formula, and we are responsible for manufacturing. Our material agreement is with Clorox, under which we have the exclusive right to supply Clorox’s requirements for Fresh Step coarse cat litter up to certain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Sorbent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manufacture products from clay, polypropylene and recycled cotton materials that absorb oil, grease, water and other types of spills. These products are used in industrial, home and automotive environments. Our clay-based sorbent products, such as Oil-Dri branded floor absorbent, are used for floor maintenance in industrial applications to provide a non-slip and non-flammable surface for workers. These floor absorbents are also used in automotive repair facilities and car dealerships, as well as for home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applications in garages and driveways. Our Oil-Dri branded polypropylene-based and cotton-based products are sold in various forms, such as pads, rolls, socks, booms and spill kits.</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Industrial and automotive sorbent products are sold through a distribution network that includes industrial, auto parts, safety, sanitary supply, chemical and paper distributors. These products are also sold through environmental service companies, mass merchandisers, catalogs and the Internet.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Bleaching Clay and Clarification Aid Products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produce an array of bleaching, purification and filtration applications used by edible oil, jet fuel and other petroleum-based product processors around the world.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be used to prepare oil prior to the creation of biodiesel fuel. Our Ultra-Clear clarification aid is used as a filtration and purification medium for jet fuel and other petroleum-based products.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products are marketed in the United States and in international markets. The products are supported by our team of technical sales employees as well as by agent representatives and the services of our research and development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produce a wide range of granular and powdered mineral absorbent products that are used as carriers for crop protection chemicals, agricultural drying agents, bulk processing aids, growing media components and seed enhancement media. Our brands include: Agsorb, an agricultural chemical carrier and drying agent; Verge, an engineered granule agricultural chemical carrier; Flo-Fre, a highly absorbent microgranule flowability aid; and Terra-Green, a growing media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Agsorb and Verge carriers are used as an alternative to agricultural sprays. The clay granules absorb crop protection chemicals and are then delivered directly into, or on top of, the ground providing a more precise application than chemical sprays. Verge carriers are spherical, uniform-sized granules with very low dust. Agsorb drying agent is blended into fertilizer-pesticide blends applied by farmers to absorb moisture and improve flowability. Agsorb also acts as a flowability aid for fertilizers and chemicals used in the lawn and garden market. Flo-Fre microgranules are used by grain processors and other large handlers of bulk products to soak up excess moisture preventing caking. We employ technical sales people to market agricultural products in the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Animal Health and Nutrition Products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produce several products used in the livestock feed industry. Calibrin and ConditionAde branded enterosorbent products are used in animal feed to absorb naturally-occurring mycotoxins in the feed and thereby improve animal health and productivity. Pel-Unite and Pel-Unite Plus are specialized animal feed binders used in the manufacture of pelleted feeds. These products are sold through a network of feed products distributors in the United States and primarily through exclusive distribution agreements with animal health and nutrition products distributors in Latin America, Africa and Asia.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Sports Products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Pro’s Choice sports field products are used on baseball, football and soccer fields. Pro’s Choice soil conditioners are used in field construction or as top dressing to absorb moisture, suppress dust and improve field performance. Pro Mound packing clay is used to construct pitcher’s mounds and batter’s boxes. Rapid Dry drying agent is used to dry up puddles and slick spots after rain. Sports products are used at all levels of play, including professional, college and high school and on municipal fields. These products are sold through a network of distributors specializing in sports turf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EGMENTS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two reportable operating segments for financial reporting derived from the different characteristics of our two major customer groups: Retail and Wholesale Products Group and Business to Business Products Group.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and marketers of consumer products.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Beginning in fiscal 2011, our sports field products were included in the Retail and Wholesale Products Group to reflect a change in management organization intended to better serve our customers. Certain financial information on both segments is contained in Note 3 of the Notes to the Consolidated Financial Statements and is incorporated herein by reference. Prior year segment information has been restated to reflect this change.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manage our business, allocate resources or generate revenue data by product line. Any of our products may be sold in one or both of our operating segments. Information concerning total revenue of classes of similar products accounting for more than 10% of consolidated revenues in any of the last three fiscal years is not separately provided because it would be impracticable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Canada ULC, is a manufacturer and marketer of branded and private label cat litter in the Canadian marketplace. Among its leading brands are Saular, Cat’s Pride and Jonny Cat. Our Canadian business also sells industrial granule floor absorbents, synthetic polypropylene sorbent materials and agricultural chemical carriers.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(U.K.) Limited, is a manufacturer and marketer of industrial floor absorbents and cat litter. These products are marketed in the United Kingdom and Western Europe. Oil-Dri (U.K.) Limited also sells synthetic polypropylene sorbent materials, filtration units and plastic containment products.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wholly-owned subsidiary, Oil-Dri SARL, is a Swiss company that performs various management, customer service and administrative functions for the international business of our domestic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foreign operations are subject to the normal risks of doing business overseas, such as currency fluctuations, restrictions on the transfer of funds and import/export duties. We were not materially impacted by these foreign currency fluctuations in any of our last three fiscal years. See Item 7A “Quantitative and Qualitative Disclosures About Market Risk” for further information about our foreign markets risks. Certain financial information about our foreign operations is contained in Note 3 of the Notes to the Consolidated Financial Statements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USTOMERS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to Wal-Mart Stores, Inc. (“Walmart”) and its affiliates accounted for approximately 22%, 21% and 20% of our total net sales for the fiscal years ended July 31, 2012, 2011 and 2010, respectively. Walmart is a customer in our Retail and Wholesale Products Group segment. There are no customers in the Business to Business Products Group with sales equal to or greater than 10% of our total sales; however, sales to Clorox (a customer in our Business to Business Products Group) and its affiliates accounted for approximately 7%, 8% and 9% of total net sales for fiscal years 2012, 2011 and 2010, respectively. The degree of margin contribution of our significant customers in the Business to Business Products Group varies, with certain customers having a greater effect on our operating results</w:t>
      </w:r>
      <w:r>
        <w:rPr>
          <w:rFonts w:ascii="Arial" w:cs="Arial" w:eastAsia="Arial" w:hAnsi="Arial"/>
          <w:sz w:val="14"/>
          <w:szCs w:val="14"/>
          <w:color w:val="auto"/>
        </w:rPr>
        <w:t>.</w:t>
      </w:r>
      <w:r>
        <w:rPr>
          <w:rFonts w:ascii="Arial" w:cs="Arial" w:eastAsia="Arial" w:hAnsi="Arial"/>
          <w:sz w:val="18"/>
          <w:szCs w:val="18"/>
          <w:color w:val="auto"/>
        </w:rPr>
        <w:t xml:space="preserve"> The loss of any customer other than those described in this paragraph would not be expected to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Price, customer service, marketing, technical support, product quality and delivery are the principal methods of competition in our markets and competition historically has been very vigorous. Some of our competitors are large companies whose financial resources and brand recognition are substantially greater than ours.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our Retail and Wholesale Products Group, we have six principal competitors, including one which is also a customer of ours. The overall cat litter market has been stable in recent years. Scoopable products have a majority of the cat litter market share followed by traditional coarse products. The overwhelming majority of all cat litter is mineral based; however, cat litters based on alternative strata such as paper, various agricultural waste products and silica gels have niche positions. The consumer trend away from regional grocery stores towards large national retailers, such as supercenter-type stores, dollar stores and pet specialty stores, has presented competitive challenges as well as opportunities. These retailers enjoy substantial negotiating leverage over their suppliers, including us; however, our operations support nation-wide distribution, which gives us a potential advantage over smaller and regional manufacturers in selling to them.</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Business to Business Products Group, we have 15 principal competitors. The agricultural chemical carrier portion of this segment has experienced competition from new technologies in the agricultural and horticultural markets. The bleaching clay and fluids clarification aid portion of this segment operates in a highly cost competitive global marketplace. Product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performance is also a primary competitive factor for these products. The animal health portion of this segment also operates in a global marketplace with price and performance competition from multi-national and local competitors.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ATENTS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obtained or applied for patents for certain of our processes and products sold to customers in both the Retail and Wholesale Products Group and the Business to Business Products Group. These patents expire at various times, including fiscal 2013. We expect no material impact on our business from the expiration of patents this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ACKLOG</w:t>
      </w:r>
      <w:r>
        <w:rPr>
          <w:rFonts w:ascii="Arial" w:cs="Arial" w:eastAsia="Arial" w:hAnsi="Arial"/>
          <w:sz w:val="18"/>
          <w:szCs w:val="18"/>
          <w:b w:val="1"/>
          <w:bCs w:val="1"/>
          <w:color w:val="auto"/>
        </w:rPr>
        <w:t>; S</w:t>
      </w:r>
      <w:r>
        <w:rPr>
          <w:rFonts w:ascii="Arial" w:cs="Arial" w:eastAsia="Arial" w:hAnsi="Arial"/>
          <w:sz w:val="14"/>
          <w:szCs w:val="14"/>
          <w:b w:val="1"/>
          <w:bCs w:val="1"/>
          <w:color w:val="auto"/>
        </w:rPr>
        <w:t>EASONALITY</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July 31, 2012, 2011 and 2010, our backlog of orders was approximately $4,741,000, $5,145,000 and $6,368,000, respectively. The value of backlog orders is determined by the number of tons on backlog order and the net selling prices. All backlog orders are expected to be filled within the next 12 months. We consider our business, taken as a whole, to be moderately seasonal; however, business activities of certain customers (such as agricultural chemical manufacturers) are subject to such seasonal factors as crop acreage planted, product formulation cycles and weather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NFLATION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and Item 7A “Quantitative and Qualitative Disclosures About Market Risk”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mine our clay on leased or owned land near our manufacturing facilities in Mississippi, Georgia, Illinois and California; we also have reserves in Nevada, Oregon and Tennessee. We estimate our proven mineral reserves are approximately 152,144,000 tons in aggregate and our probable reserves are approximately 138,257,000 tons in aggregate, for a total of 290,401,000 tons of mineral reserves. Based on our rate of consumption during fiscal year 2012,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is reflected at cost on our balance sheet.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our policy to attempt to add to reserves in most years, but not necessarily in every year, an amount at least equal to the amount of reserves consumed in that year. We have a program of exploration for additional reserves and, although reserves have been acquired,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the fiscal year ended July 31, 2012, we utilized these reserves to produce a majority of the sorbent products that we sold.</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employ geologists and mineral specialists who estimate and evaluate existing and potential reserves in terms of quality, quantity and availability.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conducted mining operations in Ripley, Mississippi since 1963, in Ochlocknee, Georgia since 1968, in Blue Mountain, Mississippi since 1989, in Mounds, Illinois since 1998 and in Taft, California since 2002. Our clay is surface mined on a year-round basis, generally using large earth moving scrapers, bulldozers, or excavators and off-road trucks to remove overburden (non-usable material), and then loaded into dump trucks with backhoes or front end loaders for movement to the processing facilities. The mining and hauling of our clay is performed by us and by independent contractors. Our current operating mines range in distance from immediately adjacent to approximately 13 miles from the related processing plants. Processing facilities are generally accessed from the mining areas by private roads and in some instances by public highways. Each of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processing facilities maintains inventories of unprocessed clay of approximately one week of production requirements. See Item 2 “Properties” below for additional information regarding our mining properties and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schedule summarizes the net book value of land and other plant and equipment for each of our manufacturing facilities: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Plant and</w:t>
            </w:r>
          </w:p>
        </w:tc>
      </w:tr>
      <w:tr>
        <w:trPr>
          <w:trHeight w:val="234"/>
        </w:trPr>
        <w:tc>
          <w:tcPr>
            <w:tcW w:w="8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Land</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Equipment</w:t>
            </w:r>
          </w:p>
        </w:tc>
      </w:tr>
      <w:tr>
        <w:trPr>
          <w:trHeight w:val="270"/>
        </w:trPr>
        <w:tc>
          <w:tcPr>
            <w:tcW w:w="8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93"/>
              </w:rPr>
              <w:t>(in thousands)</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Ochlocknee, Georgia</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8,601</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Ripley, Mississippi</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1,773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11,363</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Mounds, Illinois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1,545</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Blue Mountain, Mississippi</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878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11,433</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Taft, California</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1,391</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3,638</w:t>
            </w:r>
          </w:p>
        </w:tc>
      </w:tr>
      <w:tr>
        <w:trPr>
          <w:trHeight w:val="27"/>
        </w:trPr>
        <w:tc>
          <w:tcPr>
            <w:tcW w:w="8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July 31, 2012, we employed 757 persons, 42 of whom were employed by our foreign subsidiaries. We believe our corporate offices, research and development center and manufacturing facilities are adequately staffed and no material labor shortages are anticipated. Approximately 46 of our employees in the U.S. and approximately 20 of our employees in Canada are represented by labor unions, with whom we have entered into separate collective bargaining agreements. We consider our employee relations to be satisfactory.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NVIRONMENTAL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mining and manufacturing operations and facilities in Georgia, Mississippi, California and Illinois are required to comply with state surface mining and wetland statutes. These domestic locations and our Canadian operations are subject to various federal, state and local statutes, regulations and ordinances which govern the discharge of materials, water and waste into the environment or otherwise regulate our operations. In recent years, environmental regulation has grown increasingly stringent, a trend that we expect will continue. We endeavor to be in compliance at all times and in all material respects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connection with reclaiming exhausted mining sites. Historically, reclamation expenses have not had a material effect on our cost of sales.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environmental requirements relating to mining and manufacturing operations and facilities, there is increasing federal and state regulation with respect to the content, labeling, use, and disposal after use of various products that we sell. We endeavor to be in compliance at all times and in all material respects with those regulations and to assist our customers in that compliance.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that, despite all commercially reasonable efforts, we will always be in compliance in all material respects with all applicable environmental regulations or with requirements regarding the content, labeling, use, and disposal after use of our products; nor can we assure that from time to time enforcement of such requirements will not have a material adverse effect on our business. See Item 1A “Risk Factors” below for a discussion of these and other risks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NERGY</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primarily used natural gas in the processing of our clay products during fiscal 2012. We have the ability to switch among various energy sources, including natural gas, recycled oil and coal as permitted. See Item 7A “Quantitative and Qualitative Disclosures About Market Risk” below for more information about commodity risk with respect to our energy use.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At our research and development facility in Vernon Hills, Illinois, we develop new products and applications and improve existing products. The facility’s staff (and various consultants they engage from time to time) consists of geologists, mineralogists and chemists. In the past several years, our research efforts have resulted in a number of new sorbent products and processes. The facility produces prototype samples and tests new products for customer trial and evaluation. None of this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VAILABLE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on Form 10-K, as well as our Quarterly Reports on Form 10-Q, Current Reports on Form 8-K and any amendments to all of the foregoing reports, are made available free of charge on or through the “Investor Information” section of our website at www.oildri.com as soon as reasonably practicable after such reports are electronically filed with or furnished to the SEC.</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Information relating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 Information” section of our website at www.oildri.com. The information on our website in not included as a part of, nor incorporated by reference into, this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significant portion of our net sales comes from the sale of products in mature categories, some of which have had little or no volume growth or have had volume declines in recent fiscal years.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may occur even after substantial effort and expense on our part. Even in the case of a successful launch of a new product, the ultimate benefit we realize may be uncertain if the new product “cannibalizes” sales of our existing products beyond expected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markets are highly competitive and we expect that both direct and indirect competition will increase in the future. Our overall competitive position depends on a number of factors including price, customer service, marketing, technical support, product quality and delivery. Some of our competitors, particularly in the sale of cat litter (the largest product in our Retail and Wholesale Products Group), are much larger and have substantially greater financial resources and have established brands. The competition in the future may, in some cases, result in price reductions, reduced margins or loss of market share or product distribution, any of which could materially and adversely affect our business, operating results and financial condition. If we fail to compete successfully based on these or other factors, our business, financial condition and future financial results could be materially and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periodic results may be volatile.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73" w:lineRule="exact"/>
        <w:rPr>
          <w:sz w:val="20"/>
          <w:szCs w:val="20"/>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fluctuating demand for our products and services;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size and timing of sales of our products and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mix of products with varying profitability sold in a given quarter;</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and adapt to rapidly changing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implement price increases and surcharges, as well as other changes in our pricing policies or those of our competitors;</w:t>
      </w:r>
    </w:p>
    <w:p>
      <w:pPr>
        <w:spacing w:after="0" w:line="20" w:lineRule="exact"/>
        <w:rPr>
          <w:rFonts w:ascii="Arial" w:cs="Arial" w:eastAsia="Arial" w:hAnsi="Arial"/>
          <w:sz w:val="17"/>
          <w:szCs w:val="17"/>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purchasing patterns by our customers, including due to weather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major customers and other debtors to meet their obligations to us as they come due;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manage regulatory, intellectual property, tax and legal matters;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incurrence of restructuring, impairment or other charges;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specific economic conditions in our industry and the industries of our customers.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Accordingly, we believe that quarter-to-quarter comparisons of our operating results are not necessarily meaningful. Investors should not rely on the results of one quarter as an indication of our future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171" w:lineRule="exact"/>
        <w:rPr>
          <w:sz w:val="20"/>
          <w:szCs w:val="20"/>
          <w:color w:val="auto"/>
        </w:rPr>
      </w:pPr>
    </w:p>
    <w:p>
      <w:pPr>
        <w:ind w:left="500" w:hanging="168"/>
        <w:spacing w:after="0" w:line="258"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in assessing the value, strengths, and potential profitability of acquisition candidates, and in identifying the extent of all weaknesses, risks, contingent and other liabilities (including environmental or mining safety liabilities) of those candidates;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customers, management and employees of an acquired business;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identified operating and financial synergies anticipated to result from an acquisition;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that could arise from the integration of the acquired business; and</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In addition, future acquisitions could result in our assuming more long-term liabilities relative to the value of the acquired assets than we have assumed in our previous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limited number of customers account for a large percentage of our net sales, as described in Item 1 “Business” above. The loss of, or a substantial decrease in the volume of, purchases by Walmart, Clorox or any of our other top customers would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21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or trade concessions, or the failure to make them to retain customers, could adversely affect our sales and profitability.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energy and other commodity prices would increase our operating costs, and we may be unable to pass all these increases on to our customers in the form of higher prices and surcharges.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our energy costs increase disproportionately to our net sales, our earnings could be significantly reduced. Increases in our operating costs may reduce our profitability if we are unable to pass all the increases in energy and other commodity prices on to our customers through price increases or surcharges. Sustained price increases or surcharges in turn may lead to declines in volume, and while we seek to project tradeoffs between price increases and surcharges, on the one hand, and volume, on the other, there can be no assurance that our projections will prove to be accurate.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volatility in the price and availability of natural gas, as well as other sources of energy. In the past, we have endeavored to reallocate a portion of our energy needs among different sources of energy due to seasonal supply limitations and the higher cost of one particular fuel relative to other fuels; however, there can be no assurance that we will be able to effectively reallocate among different fuels in the future. From time to time, we may use forward purchase contracts or financial instruments to hedge the volatility of a portion of our energy costs. The success or failure of any such hedging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prices of other commodities such as paper, plastic resins, synthetic rubber, raw materials and steel significantly influence the costs of packaging, replacement parts and equipment we use in the manufacture of our products and the maintenance of our facilities. As a result, increases in the prices of these commodities generally increase the costs of the related materials we use. These increased materials costs present the same types of risks as described above with respect to increased energy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by supply and logistics disruptions.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Supply and logistics disruptions could adversely affect our ability to manufacture, package or transport our products. Some of our products require raw materials that are provided by a limited number of suppliers, or are demanded by other industries or are simply not available at times. In addition, an increase in truck or ocean freight costs may reduce our profitability if we are unable to pass such increases on to our customers through price increases or surcharges.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inventory by our customers could adversely affect our sales and increase our inventory risk.</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customers in both our Retail and Wholesale Products Group and our Business to Business Products Group have reduced inventory levels as part of managing their working capital requirements. Any reduction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value of our inventory may decline as a result of surplus inventory,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salability of our inventory; however, there is no guaranty that these arrangements will be sufficient to avoid write-offs in excess of our reserves.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protection, reclamation and restoration of mining properties after mining is completed, the discharge of materials into the environment, and the effects that mining has on groundwater quality and availability. We believe we have obtained all material permits and licenses required to conduct our present operations. We will, however, need additional permits and renewals of permits in the future.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There can be no assurance that future events, including changes in any environmental requirements and the costs associated with complying with such requirements, will not have a material adverse effect on us.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the regulatory matters described above, our operations are subject to various federal, state, local and foreign laws and regulations relating to the manufacture, packaging, labeling, content, storage, distribution and advertising of our products and the conduct of our business operations. For example, in the United States, many of our products are regulated by the Food and Drug Administration, the Consumer Product Safety Commission and the Environmental Protection Agency and our product claims and advertising are regulated by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European Union, there is also increasing government scrutiny and regulation of the food chain and products entering or affecting the food chain.</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If these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permits and registrations in the future.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a majority of our supply of sorbent minerals.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heavy rains and flooding, equipment failures and other unexpected maintenance problems, variations in the amount of rock and soil overlying our reserves, variations 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key member of our senior management team may impede the implementation of our business plans in a timely manner.</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these team members.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 a result of our international sales and business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derived approximately 20% of our net sales from sales outside of the United States in the fiscal year ended July 31, 2012. Our ability to sell our products and conduct our operations outside of the United States is subject to a number of risks. Local economic, political and labor conditions in each country could adversely affect demand for our products or disrupt our operations in these markets, particularly when local political and economic conditions are unstable. In addition, international sales and operations are subject to currency exchange fluctuations, fund transfer restrictions and import/export duties, and international operations are subject to foreign regulatory requirements and issues, including with respect to environmental matters. Any of these matters could result in sudden, and potentially prolonged, changes in demand for our products. Also, we may have difficulty enforcing agreements and collecting accounts receivable through a foreign country’s legal system.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product liability claims that are costly, create adverse publicity and may add further governmental regulation.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of the products that we sell cause harm to any of our customers or to consumers, we could be exposed to product liability lawsuits or governmental actions. If we are found liable under product liability claims, we could be required to pay substantial monetary damages or change our product formulations in response to governmental action. Further, even if we successfully defend ourselves against this type of claim, we could be forced to spend a substantial amount of money in litigation expenses, our management could be required to spend valuable time in the defense against these claims and our reputation could suffer, any of which could harm our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2012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us and thus limit the ability of other stockholders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influence corporate matters. Beneficial ownership of Common Stock and Class B Stock by Jaffee Investment Partnership, L.P. and its affiliates (including Richard M. Jaffee, our Chairman, and Daniel S. Jaffee, his son and our President and Chief Executive Officer)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“controlled company” under the New York Stock Exchange Corporate Governance Standards. As a controlled company, we may rely on exemptions from certain NYSE corporate governance requirements that otherwise would be applicable, including the requirements:</w:t>
      </w:r>
    </w:p>
    <w:p>
      <w:pPr>
        <w:spacing w:after="0" w:line="170"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23"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nominating and governance committee comprised entirely of independent directors with a written charter addressing the committee’s purpose and responsibilities;</w:t>
      </w: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compensation committee comprised entirely of independent directors with a written charter addressing the committee’s purpose and responsibilities; and</w:t>
      </w: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conduct an annual performance evaluation of the nominating and corporate governance and compensation committees.</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previously relied on these exemptions, and we intend to continue to rely on them in the future. As a result, you may not have the same benefits and information available to stockholders of NYSE-listed companies that are subject to all of the NYSE corporate governance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recent periods, there has been volatility in the market price for our Common Stock. Furthermore, the market price of our Common Stock could fluctuate substantially in the future in response to a number of factors, including the following:</w:t>
      </w:r>
    </w:p>
    <w:p>
      <w:pPr>
        <w:spacing w:after="0" w:line="170" w:lineRule="exact"/>
        <w:rPr>
          <w:sz w:val="20"/>
          <w:szCs w:val="20"/>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conditions in the economy, the financial markets, or the industries in which we operate;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alliances or joint ventures by us, our customers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introduction of new products or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price of energy sources and other raw materials;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developments affecting us, our industries, customers or competitors.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9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ITEM 2 – PROPERTIES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80" w:type="dxa"/>
            <w:vAlign w:val="bottom"/>
            <w:gridSpan w:val="9"/>
          </w:tcPr>
          <w:p>
            <w:pPr>
              <w:ind w:left="60"/>
              <w:spacing w:after="0"/>
              <w:rPr>
                <w:sz w:val="20"/>
                <w:szCs w:val="20"/>
                <w:color w:val="auto"/>
              </w:rPr>
            </w:pPr>
            <w:r>
              <w:rPr>
                <w:rFonts w:ascii="Arial" w:cs="Arial" w:eastAsia="Arial" w:hAnsi="Arial"/>
                <w:sz w:val="18"/>
                <w:szCs w:val="18"/>
                <w:b w:val="1"/>
                <w:bCs w:val="1"/>
                <w:color w:val="auto"/>
                <w:w w:val="95"/>
              </w:rPr>
              <w:t>Real Property Holdings and Mineral Reserves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Land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Land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Land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Unpatented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Proven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Probable</w:t>
            </w:r>
          </w:p>
        </w:tc>
        <w:tc>
          <w:tcPr>
            <w:tcW w:w="10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Owned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Leased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Claims</w:t>
            </w: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Reserves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Reserves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0"/>
        </w:trPr>
        <w:tc>
          <w:tcPr>
            <w:tcW w:w="12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40" w:type="dxa"/>
            <w:vAlign w:val="bottom"/>
            <w:gridSpan w:val="4"/>
          </w:tcPr>
          <w:p>
            <w:pPr>
              <w:ind w:left="40"/>
              <w:spacing w:after="0"/>
              <w:rPr>
                <w:sz w:val="20"/>
                <w:szCs w:val="20"/>
                <w:color w:val="auto"/>
              </w:rPr>
            </w:pPr>
            <w:r>
              <w:rPr>
                <w:rFonts w:ascii="Arial" w:cs="Arial" w:eastAsia="Arial" w:hAnsi="Arial"/>
                <w:sz w:val="18"/>
                <w:szCs w:val="18"/>
                <w:b w:val="1"/>
                <w:bCs w:val="1"/>
                <w:color w:val="auto"/>
              </w:rPr>
              <w:t>(acres)</w:t>
            </w: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(000's of tons)</w:t>
            </w:r>
          </w:p>
        </w:tc>
        <w:tc>
          <w:tcPr>
            <w:tcW w:w="100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California</w:t>
            </w:r>
          </w:p>
        </w:tc>
        <w:tc>
          <w:tcPr>
            <w:tcW w:w="720" w:type="dxa"/>
            <w:vAlign w:val="bottom"/>
          </w:tcPr>
          <w:p>
            <w:pPr>
              <w:jc w:val="right"/>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11,226</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15,859</w:t>
            </w:r>
          </w:p>
        </w:tc>
      </w:tr>
      <w:tr>
        <w:trPr>
          <w:trHeight w:val="27"/>
        </w:trPr>
        <w:tc>
          <w:tcPr>
            <w:tcW w:w="1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Georgia</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37,384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63,891</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3,614</w:t>
            </w:r>
          </w:p>
        </w:tc>
      </w:tr>
      <w:tr>
        <w:trPr>
          <w:trHeight w:val="27"/>
        </w:trPr>
        <w:tc>
          <w:tcPr>
            <w:tcW w:w="1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Mississippi</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80,197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94,523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174,720</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Nevada</w:t>
            </w:r>
          </w:p>
        </w:tc>
        <w:tc>
          <w:tcPr>
            <w:tcW w:w="720" w:type="dxa"/>
            <w:vAlign w:val="bottom"/>
          </w:tcPr>
          <w:p>
            <w:pPr>
              <w:jc w:val="right"/>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23,316</w:t>
            </w:r>
          </w:p>
        </w:tc>
        <w:tc>
          <w:tcPr>
            <w:tcW w:w="1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26,292</w:t>
            </w:r>
          </w:p>
        </w:tc>
      </w:tr>
      <w:tr>
        <w:trPr>
          <w:trHeight w:val="27"/>
        </w:trPr>
        <w:tc>
          <w:tcPr>
            <w:tcW w:w="1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Oregon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Tennessee</w:t>
            </w:r>
          </w:p>
        </w:tc>
        <w:tc>
          <w:tcPr>
            <w:tcW w:w="72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6,000</w:t>
            </w:r>
          </w:p>
        </w:tc>
      </w:tr>
      <w:tr>
        <w:trPr>
          <w:trHeight w:val="27"/>
        </w:trPr>
        <w:tc>
          <w:tcPr>
            <w:tcW w:w="12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152,144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138,257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290,401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Mississippi, Georgia, Tennessee, Nevada, California and Illinois properties are primarily mineral in nature, except our research and development facility which is included in the Illinois owned land. We mine sorbent minerals primarily consisting of montmorillonite and attapulgite and, to a lesser extent, other clay-like sorbent materials, such as Antelope shale. We employ geologists and mineral specialists who prepared the estimated reserves of these minerals in the table above. See also Item 1 “Business” above for further information about our reserves. The locations in the table above collectively produced approximately 824,000 tons in fiscal 2012, 844,000 tons in fiscal 2011 and 863,000 tons in fiscal 2010. Parcels of such land are also sites of manufacturing facilities operated by us. We own approximately one acre of land in Laval, Quebec, Canada, which is the site of the processing and packaging facility for our Canadian subsidiary</w:t>
      </w:r>
      <w:r>
        <w:rPr>
          <w:rFonts w:ascii="Arial" w:cs="Arial" w:eastAsia="Arial" w:hAnsi="Arial"/>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mining operations are conducted on land that we own or lease. The Georgia, Illinois and Mississippi mining leases generally require that we pay a minimum monthly rental to continue the lease term. The rental payments are generally applied against a stated royalty related to the number of unprocessed, or in some cases processed, tons of minerals extracted from the leased property. Many of our mining leases have no stated expiration dates. Some of our leases, however, do have expiration dates ranging from 2014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 See also Item 1 “Business” above for further information on our reserves.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8"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ANUFACTURING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ETHODS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and Hauling</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LVM Clay: RVM clay is fed from storage tanks into the LVM kiln where the moisture content is further reduced. The clay then proceeds into a rotary cooler, then on to a screening circuit which separates the clay into the desired particle sizes.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certain fluid purification and animal health products are further processed into a powder form. We also use a proprietary process for our engineered granules to create spherical, uniform-sized granules.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Packaging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Once the clay has been dried to the desired level it will be sized and packaged. Our products have package sizes ranging from bags, boxes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clay manufacturing and non-clay production facilities on property owned or leased by us as shown on the map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154940</wp:posOffset>
            </wp:positionV>
            <wp:extent cx="4193540" cy="4047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93540" cy="404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1780"/>
              <w:spacing w:after="0"/>
              <w:rPr>
                <w:sz w:val="20"/>
                <w:szCs w:val="20"/>
                <w:color w:val="auto"/>
              </w:rPr>
            </w:pPr>
            <w:r>
              <w:rPr>
                <w:rFonts w:ascii="Arial" w:cs="Arial" w:eastAsia="Arial" w:hAnsi="Arial"/>
                <w:sz w:val="18"/>
                <w:szCs w:val="18"/>
                <w:b w:val="1"/>
                <w:bCs w:val="1"/>
                <w:color w:val="auto"/>
              </w:rPr>
              <w:t>Location</w:t>
            </w:r>
          </w:p>
        </w:tc>
        <w:tc>
          <w:tcPr>
            <w:tcW w:w="2500" w:type="dxa"/>
            <w:vAlign w:val="bottom"/>
          </w:tcPr>
          <w:p>
            <w:pPr>
              <w:ind w:left="1080"/>
              <w:spacing w:after="0"/>
              <w:rPr>
                <w:sz w:val="20"/>
                <w:szCs w:val="20"/>
                <w:color w:val="auto"/>
              </w:rPr>
            </w:pPr>
            <w:r>
              <w:rPr>
                <w:rFonts w:ascii="Arial" w:cs="Arial" w:eastAsia="Arial" w:hAnsi="Arial"/>
                <w:sz w:val="18"/>
                <w:szCs w:val="18"/>
                <w:b w:val="1"/>
                <w:bCs w:val="1"/>
                <w:color w:val="auto"/>
              </w:rPr>
              <w:t>Owned/Leased</w:t>
            </w:r>
          </w:p>
        </w:tc>
        <w:tc>
          <w:tcPr>
            <w:tcW w:w="5380" w:type="dxa"/>
            <w:vAlign w:val="bottom"/>
          </w:tcPr>
          <w:p>
            <w:pPr>
              <w:ind w:left="2460"/>
              <w:spacing w:after="0"/>
              <w:rPr>
                <w:sz w:val="20"/>
                <w:szCs w:val="20"/>
                <w:color w:val="auto"/>
              </w:rPr>
            </w:pPr>
            <w:r>
              <w:rPr>
                <w:rFonts w:ascii="Arial" w:cs="Arial" w:eastAsia="Arial" w:hAnsi="Arial"/>
                <w:sz w:val="18"/>
                <w:szCs w:val="18"/>
                <w:b w:val="1"/>
                <w:bCs w:val="1"/>
                <w:color w:val="auto"/>
              </w:rPr>
              <w:t>Function</w:t>
            </w:r>
          </w:p>
        </w:tc>
      </w:tr>
      <w:tr>
        <w:trPr>
          <w:trHeight w:val="27"/>
        </w:trPr>
        <w:tc>
          <w:tcPr>
            <w:tcW w:w="35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Alpharetta, Georgia</w:t>
            </w:r>
          </w:p>
        </w:tc>
        <w:tc>
          <w:tcPr>
            <w:tcW w:w="25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Leased</w:t>
            </w:r>
          </w:p>
        </w:tc>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Non-clay processing and packaging</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Bentonville, Arkansas</w:t>
            </w:r>
          </w:p>
        </w:tc>
        <w:tc>
          <w:tcPr>
            <w:tcW w:w="2500" w:type="dxa"/>
            <w:vAlign w:val="bottom"/>
          </w:tcPr>
          <w:p>
            <w:pPr>
              <w:ind w:left="1080"/>
              <w:spacing w:after="0"/>
              <w:rPr>
                <w:sz w:val="20"/>
                <w:szCs w:val="20"/>
                <w:color w:val="auto"/>
              </w:rPr>
            </w:pPr>
            <w:r>
              <w:rPr>
                <w:rFonts w:ascii="Arial" w:cs="Arial" w:eastAsia="Arial" w:hAnsi="Arial"/>
                <w:sz w:val="18"/>
                <w:szCs w:val="18"/>
                <w:color w:val="auto"/>
              </w:rPr>
              <w:t>Leased</w:t>
            </w:r>
          </w:p>
        </w:tc>
        <w:tc>
          <w:tcPr>
            <w:tcW w:w="5380" w:type="dxa"/>
            <w:vAlign w:val="bottom"/>
          </w:tcPr>
          <w:p>
            <w:pPr>
              <w:ind w:left="280"/>
              <w:spacing w:after="0"/>
              <w:rPr>
                <w:sz w:val="20"/>
                <w:szCs w:val="20"/>
                <w:color w:val="auto"/>
              </w:rPr>
            </w:pPr>
            <w:r>
              <w:rPr>
                <w:rFonts w:ascii="Arial" w:cs="Arial" w:eastAsia="Arial" w:hAnsi="Arial"/>
                <w:sz w:val="18"/>
                <w:szCs w:val="18"/>
                <w:color w:val="auto"/>
              </w:rPr>
              <w:t>Sales office</w:t>
            </w:r>
          </w:p>
        </w:tc>
      </w:tr>
      <w:tr>
        <w:trPr>
          <w:trHeight w:val="27"/>
        </w:trPr>
        <w:tc>
          <w:tcPr>
            <w:tcW w:w="35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Blue Mountain, Mississippi</w:t>
            </w:r>
          </w:p>
        </w:tc>
        <w:tc>
          <w:tcPr>
            <w:tcW w:w="25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Both</w:t>
            </w:r>
          </w:p>
        </w:tc>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Clay mining, manufacturing and packaging</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Chicago, Illinois</w:t>
            </w:r>
          </w:p>
        </w:tc>
        <w:tc>
          <w:tcPr>
            <w:tcW w:w="2500" w:type="dxa"/>
            <w:vAlign w:val="bottom"/>
          </w:tcPr>
          <w:p>
            <w:pPr>
              <w:ind w:left="1080"/>
              <w:spacing w:after="0"/>
              <w:rPr>
                <w:sz w:val="20"/>
                <w:szCs w:val="20"/>
                <w:color w:val="auto"/>
              </w:rPr>
            </w:pPr>
            <w:r>
              <w:rPr>
                <w:rFonts w:ascii="Arial" w:cs="Arial" w:eastAsia="Arial" w:hAnsi="Arial"/>
                <w:sz w:val="18"/>
                <w:szCs w:val="18"/>
                <w:color w:val="auto"/>
              </w:rPr>
              <w:t>Leased</w:t>
            </w:r>
          </w:p>
        </w:tc>
        <w:tc>
          <w:tcPr>
            <w:tcW w:w="5380" w:type="dxa"/>
            <w:vAlign w:val="bottom"/>
          </w:tcPr>
          <w:p>
            <w:pPr>
              <w:ind w:left="280"/>
              <w:spacing w:after="0"/>
              <w:rPr>
                <w:sz w:val="20"/>
                <w:szCs w:val="20"/>
                <w:color w:val="auto"/>
              </w:rPr>
            </w:pPr>
            <w:r>
              <w:rPr>
                <w:rFonts w:ascii="Arial" w:cs="Arial" w:eastAsia="Arial" w:hAnsi="Arial"/>
                <w:sz w:val="18"/>
                <w:szCs w:val="18"/>
                <w:color w:val="auto"/>
              </w:rPr>
              <w:t>Principal executive office</w:t>
            </w:r>
          </w:p>
        </w:tc>
      </w:tr>
      <w:tr>
        <w:trPr>
          <w:trHeight w:val="27"/>
        </w:trPr>
        <w:tc>
          <w:tcPr>
            <w:tcW w:w="35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Coppet, Switzerland</w:t>
            </w:r>
          </w:p>
        </w:tc>
        <w:tc>
          <w:tcPr>
            <w:tcW w:w="25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Leased</w:t>
            </w:r>
          </w:p>
        </w:tc>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service office</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Laval, Quebec, Canada</w:t>
            </w:r>
          </w:p>
        </w:tc>
        <w:tc>
          <w:tcPr>
            <w:tcW w:w="2500" w:type="dxa"/>
            <w:vAlign w:val="bottom"/>
          </w:tcPr>
          <w:p>
            <w:pPr>
              <w:ind w:left="1080"/>
              <w:spacing w:after="0"/>
              <w:rPr>
                <w:sz w:val="20"/>
                <w:szCs w:val="20"/>
                <w:color w:val="auto"/>
              </w:rPr>
            </w:pPr>
            <w:r>
              <w:rPr>
                <w:rFonts w:ascii="Arial" w:cs="Arial" w:eastAsia="Arial" w:hAnsi="Arial"/>
                <w:sz w:val="18"/>
                <w:szCs w:val="18"/>
                <w:color w:val="auto"/>
              </w:rPr>
              <w:t>Owned</w:t>
            </w:r>
          </w:p>
        </w:tc>
        <w:tc>
          <w:tcPr>
            <w:tcW w:w="5380" w:type="dxa"/>
            <w:vAlign w:val="bottom"/>
          </w:tcPr>
          <w:p>
            <w:pPr>
              <w:ind w:left="280"/>
              <w:spacing w:after="0"/>
              <w:rPr>
                <w:sz w:val="20"/>
                <w:szCs w:val="20"/>
                <w:color w:val="auto"/>
              </w:rPr>
            </w:pPr>
            <w:r>
              <w:rPr>
                <w:rFonts w:ascii="Arial" w:cs="Arial" w:eastAsia="Arial" w:hAnsi="Arial"/>
                <w:sz w:val="18"/>
                <w:szCs w:val="18"/>
                <w:color w:val="auto"/>
              </w:rPr>
              <w:t>Non-clay production and clay and non-clay packaging</w:t>
            </w:r>
          </w:p>
        </w:tc>
      </w:tr>
      <w:tr>
        <w:trPr>
          <w:trHeight w:val="27"/>
        </w:trPr>
        <w:tc>
          <w:tcPr>
            <w:tcW w:w="35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Mounds, Illinois</w:t>
            </w:r>
          </w:p>
        </w:tc>
        <w:tc>
          <w:tcPr>
            <w:tcW w:w="25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Owned</w:t>
            </w:r>
          </w:p>
        </w:tc>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Clay mining, manufacturing and packaging</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Ochlocknee, Georgia</w:t>
            </w:r>
          </w:p>
        </w:tc>
        <w:tc>
          <w:tcPr>
            <w:tcW w:w="2500" w:type="dxa"/>
            <w:vAlign w:val="bottom"/>
          </w:tcPr>
          <w:p>
            <w:pPr>
              <w:ind w:left="1080"/>
              <w:spacing w:after="0"/>
              <w:rPr>
                <w:sz w:val="20"/>
                <w:szCs w:val="20"/>
                <w:color w:val="auto"/>
              </w:rPr>
            </w:pPr>
            <w:r>
              <w:rPr>
                <w:rFonts w:ascii="Arial" w:cs="Arial" w:eastAsia="Arial" w:hAnsi="Arial"/>
                <w:sz w:val="18"/>
                <w:szCs w:val="18"/>
                <w:color w:val="auto"/>
              </w:rPr>
              <w:t>Owned</w:t>
            </w:r>
          </w:p>
        </w:tc>
        <w:tc>
          <w:tcPr>
            <w:tcW w:w="5380" w:type="dxa"/>
            <w:vAlign w:val="bottom"/>
          </w:tcPr>
          <w:p>
            <w:pPr>
              <w:ind w:left="280"/>
              <w:spacing w:after="0"/>
              <w:rPr>
                <w:sz w:val="20"/>
                <w:szCs w:val="20"/>
                <w:color w:val="auto"/>
              </w:rPr>
            </w:pPr>
            <w:r>
              <w:rPr>
                <w:rFonts w:ascii="Arial" w:cs="Arial" w:eastAsia="Arial" w:hAnsi="Arial"/>
                <w:sz w:val="18"/>
                <w:szCs w:val="18"/>
                <w:color w:val="auto"/>
              </w:rPr>
              <w:t>Clay mining, manufacturing and packaging</w:t>
            </w:r>
          </w:p>
        </w:tc>
      </w:tr>
      <w:tr>
        <w:trPr>
          <w:trHeight w:val="27"/>
        </w:trPr>
        <w:tc>
          <w:tcPr>
            <w:tcW w:w="35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Ripley, Mississippi</w:t>
            </w:r>
          </w:p>
        </w:tc>
        <w:tc>
          <w:tcPr>
            <w:tcW w:w="25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Owned</w:t>
            </w:r>
          </w:p>
        </w:tc>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Clay mining, manufacturing and packaging</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Taft, California</w:t>
            </w:r>
          </w:p>
        </w:tc>
        <w:tc>
          <w:tcPr>
            <w:tcW w:w="2500" w:type="dxa"/>
            <w:vAlign w:val="bottom"/>
          </w:tcPr>
          <w:p>
            <w:pPr>
              <w:ind w:left="1080"/>
              <w:spacing w:after="0"/>
              <w:rPr>
                <w:sz w:val="20"/>
                <w:szCs w:val="20"/>
                <w:color w:val="auto"/>
              </w:rPr>
            </w:pPr>
            <w:r>
              <w:rPr>
                <w:rFonts w:ascii="Arial" w:cs="Arial" w:eastAsia="Arial" w:hAnsi="Arial"/>
                <w:sz w:val="18"/>
                <w:szCs w:val="18"/>
                <w:color w:val="auto"/>
              </w:rPr>
              <w:t>Owned</w:t>
            </w:r>
          </w:p>
        </w:tc>
        <w:tc>
          <w:tcPr>
            <w:tcW w:w="5380" w:type="dxa"/>
            <w:vAlign w:val="bottom"/>
          </w:tcPr>
          <w:p>
            <w:pPr>
              <w:ind w:left="280"/>
              <w:spacing w:after="0"/>
              <w:rPr>
                <w:sz w:val="20"/>
                <w:szCs w:val="20"/>
                <w:color w:val="auto"/>
              </w:rPr>
            </w:pPr>
            <w:r>
              <w:rPr>
                <w:rFonts w:ascii="Arial" w:cs="Arial" w:eastAsia="Arial" w:hAnsi="Arial"/>
                <w:sz w:val="18"/>
                <w:szCs w:val="18"/>
                <w:color w:val="auto"/>
              </w:rPr>
              <w:t>Clay mining, manufacturing and packaging</w:t>
            </w:r>
          </w:p>
        </w:tc>
      </w:tr>
      <w:tr>
        <w:trPr>
          <w:trHeight w:val="27"/>
        </w:trPr>
        <w:tc>
          <w:tcPr>
            <w:tcW w:w="35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Vernon Hills, Illinois</w:t>
            </w:r>
          </w:p>
        </w:tc>
        <w:tc>
          <w:tcPr>
            <w:tcW w:w="25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Owned</w:t>
            </w:r>
          </w:p>
        </w:tc>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Wisbech, United Kingdom</w:t>
            </w:r>
          </w:p>
        </w:tc>
        <w:tc>
          <w:tcPr>
            <w:tcW w:w="2500" w:type="dxa"/>
            <w:vAlign w:val="bottom"/>
          </w:tcPr>
          <w:p>
            <w:pPr>
              <w:ind w:left="1080"/>
              <w:spacing w:after="0"/>
              <w:rPr>
                <w:sz w:val="20"/>
                <w:szCs w:val="20"/>
                <w:color w:val="auto"/>
              </w:rPr>
            </w:pPr>
            <w:r>
              <w:rPr>
                <w:rFonts w:ascii="Arial" w:cs="Arial" w:eastAsia="Arial" w:hAnsi="Arial"/>
                <w:sz w:val="18"/>
                <w:szCs w:val="18"/>
                <w:color w:val="auto"/>
              </w:rPr>
              <w:t>Leased</w:t>
            </w:r>
          </w:p>
        </w:tc>
        <w:tc>
          <w:tcPr>
            <w:tcW w:w="5380" w:type="dxa"/>
            <w:vAlign w:val="bottom"/>
          </w:tcPr>
          <w:p>
            <w:pPr>
              <w:ind w:left="280"/>
              <w:spacing w:after="0"/>
              <w:rPr>
                <w:sz w:val="20"/>
                <w:szCs w:val="20"/>
                <w:color w:val="auto"/>
              </w:rPr>
            </w:pPr>
            <w:r>
              <w:rPr>
                <w:rFonts w:ascii="Arial" w:cs="Arial" w:eastAsia="Arial" w:hAnsi="Arial"/>
                <w:sz w:val="18"/>
                <w:szCs w:val="18"/>
                <w:color w:val="auto"/>
              </w:rPr>
              <w:t>Non-clay production and clay and non-clay packaging</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mortgages on the real property we own. The lease for the Bentonville, Arkansas office expires in 2013. The leases for the Alpharetta, Georgia facility and the Chicago, Illinois corporate office space expire in 2018. The lease for the Wisbech, United Kingdom facility expires in 2032. The lease for the Coppet, Switzerland office is on a year-to-year basis. We consider that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properties are generally in good condition, well maintained and suitable and adequate to carry on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lawsuits, we believe that none of the pending proceedings will have a material adverse effect on our business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is traded on the NYSE under the symbol ODC. There is no established trading market for our Class B Stock. There are no shares of Class A Common Stock currently outstanding. See Note 7 of the Notes to the Consolidated Financial Statements for a description of our Common Stock, Class B Stock and Class A Common Stock. The number of holders of record of Common Stock and Class B Stock on September 28, 2012 were 641 and 29, respectively, as reported by our transfer agent. In the last three years, we have not sold any securities which were not registered under the Securities Act of 1933.</w:t>
      </w:r>
    </w:p>
    <w:p>
      <w:pPr>
        <w:spacing w:after="0" w:line="229" w:lineRule="exact"/>
        <w:rPr>
          <w:sz w:val="20"/>
          <w:szCs w:val="20"/>
          <w:color w:val="auto"/>
        </w:rPr>
      </w:pPr>
    </w:p>
    <w:p>
      <w:pPr>
        <w:jc w:val="both"/>
        <w:ind w:firstLine="702"/>
        <w:spacing w:after="0" w:line="324" w:lineRule="auto"/>
        <w:rPr>
          <w:sz w:val="20"/>
          <w:szCs w:val="20"/>
          <w:color w:val="auto"/>
        </w:rPr>
      </w:pPr>
      <w:r>
        <w:rPr>
          <w:rFonts w:ascii="Arial" w:cs="Arial" w:eastAsia="Arial" w:hAnsi="Arial"/>
          <w:sz w:val="18"/>
          <w:szCs w:val="18"/>
          <w:color w:val="auto"/>
        </w:rPr>
        <w:t>The following table sets forth, for the periods indicated, the high and low sales price for our Common Stock listed on the NYSE and dividends per share declared on our Common Stock and Class B Stock.</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8"/>
                <w:szCs w:val="18"/>
                <w:color w:val="auto"/>
              </w:rPr>
            </w:pPr>
          </w:p>
        </w:tc>
        <w:tc>
          <w:tcPr>
            <w:tcW w:w="21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Cash Dividends</w:t>
            </w:r>
          </w:p>
        </w:tc>
      </w:tr>
      <w:tr>
        <w:trPr>
          <w:trHeight w:val="234"/>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Price Range</w:t>
            </w:r>
          </w:p>
        </w:tc>
        <w:tc>
          <w:tcPr>
            <w:tcW w:w="120" w:type="dxa"/>
            <w:vAlign w:val="bottom"/>
          </w:tcPr>
          <w:p>
            <w:pPr>
              <w:spacing w:after="0"/>
              <w:rPr>
                <w:sz w:val="20"/>
                <w:szCs w:val="20"/>
                <w:color w:val="auto"/>
              </w:rPr>
            </w:pPr>
          </w:p>
        </w:tc>
        <w:tc>
          <w:tcPr>
            <w:tcW w:w="21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Per Share</w:t>
            </w:r>
          </w:p>
        </w:tc>
      </w:tr>
      <w:tr>
        <w:trPr>
          <w:trHeight w:val="27"/>
        </w:trPr>
        <w:tc>
          <w:tcPr>
            <w:tcW w:w="7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Class B</w:t>
            </w:r>
          </w:p>
        </w:tc>
      </w:t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Common</w:t>
            </w:r>
          </w:p>
        </w:tc>
      </w:tr>
      <w:tr>
        <w:trPr>
          <w:trHeight w:val="234"/>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Stock</w:t>
            </w: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2012:</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16.87</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0.1700</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0.1275</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0.1275</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19.39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0.1700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0.1275</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0.1800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0.1350</w:t>
            </w:r>
          </w:p>
        </w:tc>
      </w:tr>
      <w:tr>
        <w:trPr>
          <w:trHeight w:val="297"/>
        </w:trPr>
        <w:tc>
          <w:tcPr>
            <w:tcW w:w="70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0.6900</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0.5175</w:t>
            </w:r>
          </w:p>
        </w:tc>
      </w:tr>
      <w:tr>
        <w:trPr>
          <w:trHeight w:val="176"/>
        </w:trPr>
        <w:tc>
          <w:tcPr>
            <w:tcW w:w="7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Fiscal 2011:</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0.1200</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0.1600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0.1200</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0.1200</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0.1700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0.1275</w:t>
            </w: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0.6500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0.4875</w:t>
            </w: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909"/>
        <w:spacing w:after="0" w:line="302" w:lineRule="auto"/>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Our Board of Directors determines the timing and amount of any dividends. Our Board of Directors may change its dividend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The declaration and payment of future dividends, if any, will depend upon, among other things, our future earnings, capital requirements, financial condition, legal requirements, contractual restrictions and other factors that our Board of Directors deems relevant. Our 1998 Note Agreement with Prudential Financial, our Credit Agreement with Harris N.A. and our 2005 Note Agreement with The Prudential Insurance Company of America and Prudential Retirement Insurance and Annuity Company require that certain minimum net worth and tangible net worth levels are to be maintained. To the extent that these balances are not attained, our ability to pay dividends may be impaired. See Note 4 of the Notes to the Consolidated Financial Statements for further information about our note agreements.</w:t>
      </w:r>
    </w:p>
    <w:p>
      <w:pPr>
        <w:spacing w:after="0" w:line="203" w:lineRule="exact"/>
        <w:rPr>
          <w:sz w:val="20"/>
          <w:szCs w:val="20"/>
          <w:color w:val="auto"/>
        </w:rPr>
      </w:pPr>
    </w:p>
    <w:p>
      <w:pPr>
        <w:jc w:val="both"/>
        <w:ind w:firstLine="936"/>
        <w:spacing w:after="0" w:line="305" w:lineRule="auto"/>
        <w:rPr>
          <w:sz w:val="20"/>
          <w:szCs w:val="20"/>
          <w:color w:val="auto"/>
        </w:rPr>
      </w:pPr>
      <w:r>
        <w:rPr>
          <w:rFonts w:ascii="Arial" w:cs="Arial" w:eastAsia="Arial" w:hAnsi="Arial"/>
          <w:sz w:val="18"/>
          <w:szCs w:val="18"/>
          <w:b w:val="1"/>
          <w:bCs w:val="1"/>
          <w:color w:val="auto"/>
        </w:rPr>
        <w:t xml:space="preserve">Issuer Repurchase of Equity Securities. </w:t>
      </w:r>
      <w:r>
        <w:rPr>
          <w:rFonts w:ascii="Arial" w:cs="Arial" w:eastAsia="Arial" w:hAnsi="Arial"/>
          <w:sz w:val="18"/>
          <w:szCs w:val="18"/>
          <w:color w:val="auto"/>
        </w:rPr>
        <w:t>On March 10, 2010, our Board of Directors authorized the repurchase of 250,000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All shares under this authorization have been repurchased. Additional repurchases of 250,000 shares each were authorized by our Board of Directors on March 11, 2011 and June 14, 2012. These authorizations do not have a stated expiration date. As of July 31, 2012, a total of 320,450 shares of Common Stock may yet be repurchased under these authorizations. We do not have any current authorization from our Board of Directors to repurchase shares of Class B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summarizes our Common Stock purchases during the three months ended July 31, 2012.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3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20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2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2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Shares that may yet be</w:t>
            </w:r>
          </w:p>
        </w:tc>
      </w:tr>
      <w:tr>
        <w:trPr>
          <w:trHeight w:val="216"/>
        </w:trPr>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3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Total Number of Shares</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Purchased Under Plans or</w:t>
            </w:r>
          </w:p>
        </w:tc>
      </w:tr>
      <w:tr>
        <w:trPr>
          <w:trHeight w:val="261"/>
        </w:trPr>
        <w:tc>
          <w:tcPr>
            <w:tcW w:w="2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Ended July 31, 2012</w:t>
            </w:r>
          </w:p>
        </w:tc>
        <w:tc>
          <w:tcPr>
            <w:tcW w:w="2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Purchased</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60" w:type="dxa"/>
            <w:vAlign w:val="bottom"/>
            <w:tcBorders>
              <w:bottom w:val="single" w:sz="8" w:color="auto"/>
            </w:tcBorders>
          </w:tcPr>
          <w:p>
            <w:pPr>
              <w:jc w:val="center"/>
              <w:ind w:left="10"/>
              <w:spacing w:after="0" w:line="262" w:lineRule="exact"/>
              <w:rPr>
                <w:sz w:val="20"/>
                <w:szCs w:val="20"/>
                <w:color w:val="auto"/>
              </w:rPr>
            </w:pPr>
            <w:r>
              <w:rPr>
                <w:rFonts w:ascii="Arial" w:cs="Arial" w:eastAsia="Arial" w:hAnsi="Arial"/>
                <w:sz w:val="18"/>
                <w:szCs w:val="18"/>
                <w:b w:val="1"/>
                <w:bCs w:val="1"/>
                <w:color w:val="auto"/>
                <w:w w:val="85"/>
              </w:rPr>
              <w:t>Programs</w:t>
            </w:r>
            <w:r>
              <w:rPr>
                <w:rFonts w:ascii="Arial" w:cs="Arial" w:eastAsia="Arial" w:hAnsi="Arial"/>
                <w:sz w:val="25"/>
                <w:szCs w:val="25"/>
                <w:b w:val="1"/>
                <w:bCs w:val="1"/>
                <w:color w:val="auto"/>
                <w:w w:val="85"/>
                <w:vertAlign w:val="superscript"/>
              </w:rPr>
              <w:t>2</w:t>
            </w:r>
          </w:p>
        </w:tc>
      </w:tr>
      <w:tr>
        <w:trPr>
          <w:trHeight w:val="291"/>
        </w:trPr>
        <w:tc>
          <w:tcPr>
            <w:tcW w:w="204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29"/>
        </w:trPr>
        <w:tc>
          <w:tcPr>
            <w:tcW w:w="2040" w:type="dxa"/>
            <w:vAlign w:val="bottom"/>
          </w:tcPr>
          <w:p>
            <w:pPr>
              <w:ind w:left="40"/>
              <w:spacing w:after="0"/>
              <w:rPr>
                <w:sz w:val="20"/>
                <w:szCs w:val="20"/>
                <w:color w:val="auto"/>
              </w:rPr>
            </w:pPr>
            <w:r>
              <w:rPr>
                <w:rFonts w:ascii="Arial" w:cs="Arial" w:eastAsia="Arial" w:hAnsi="Arial"/>
                <w:sz w:val="18"/>
                <w:szCs w:val="18"/>
                <w:color w:val="auto"/>
              </w:rPr>
              <w:t>May, 1 2012 to May 31,</w:t>
            </w:r>
          </w:p>
        </w:tc>
        <w:tc>
          <w:tcPr>
            <w:tcW w:w="2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040" w:type="dxa"/>
            <w:vAlign w:val="bottom"/>
          </w:tcPr>
          <w:p>
            <w:pPr>
              <w:ind w:left="40"/>
              <w:spacing w:after="0"/>
              <w:rPr>
                <w:sz w:val="20"/>
                <w:szCs w:val="20"/>
                <w:color w:val="auto"/>
              </w:rPr>
            </w:pPr>
            <w:r>
              <w:rPr>
                <w:rFonts w:ascii="Arial" w:cs="Arial" w:eastAsia="Arial" w:hAnsi="Arial"/>
                <w:sz w:val="18"/>
                <w:szCs w:val="18"/>
                <w:color w:val="auto"/>
              </w:rPr>
              <w:t>2012</w:t>
            </w:r>
          </w:p>
        </w:tc>
        <w:tc>
          <w:tcPr>
            <w:tcW w:w="2340" w:type="dxa"/>
            <w:vAlign w:val="bottom"/>
          </w:tcPr>
          <w:p>
            <w:pPr>
              <w:jc w:val="center"/>
              <w:ind w:right="10"/>
              <w:spacing w:after="0"/>
              <w:rPr>
                <w:sz w:val="20"/>
                <w:szCs w:val="20"/>
                <w:color w:val="auto"/>
              </w:rPr>
            </w:pPr>
            <w:r>
              <w:rPr>
                <w:rFonts w:ascii="Arial" w:cs="Arial" w:eastAsia="Arial" w:hAnsi="Arial"/>
                <w:sz w:val="18"/>
                <w:szCs w:val="18"/>
                <w:color w:val="auto"/>
                <w:w w:val="92"/>
              </w:rPr>
              <w:t>161,838</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$20.84</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161,838</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87"/>
              </w:rPr>
              <w:t>89,229</w:t>
            </w:r>
          </w:p>
        </w:tc>
      </w:tr>
      <w:tr>
        <w:trPr>
          <w:trHeight w:val="27"/>
        </w:trPr>
        <w:tc>
          <w:tcPr>
            <w:tcW w:w="2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97"/>
        </w:trPr>
        <w:tc>
          <w:tcPr>
            <w:tcW w:w="204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29"/>
        </w:trPr>
        <w:tc>
          <w:tcPr>
            <w:tcW w:w="2040" w:type="dxa"/>
            <w:vAlign w:val="bottom"/>
          </w:tcPr>
          <w:p>
            <w:pPr>
              <w:ind w:left="40"/>
              <w:spacing w:after="0"/>
              <w:rPr>
                <w:sz w:val="20"/>
                <w:szCs w:val="20"/>
                <w:color w:val="auto"/>
              </w:rPr>
            </w:pPr>
            <w:r>
              <w:rPr>
                <w:rFonts w:ascii="Arial" w:cs="Arial" w:eastAsia="Arial" w:hAnsi="Arial"/>
                <w:sz w:val="18"/>
                <w:szCs w:val="18"/>
                <w:color w:val="auto"/>
                <w:w w:val="99"/>
              </w:rPr>
              <w:t>June 1, 2012 to June 30,</w:t>
            </w:r>
          </w:p>
        </w:tc>
        <w:tc>
          <w:tcPr>
            <w:tcW w:w="2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040" w:type="dxa"/>
            <w:vAlign w:val="bottom"/>
          </w:tcPr>
          <w:p>
            <w:pPr>
              <w:ind w:left="40"/>
              <w:spacing w:after="0"/>
              <w:rPr>
                <w:sz w:val="20"/>
                <w:szCs w:val="20"/>
                <w:color w:val="auto"/>
              </w:rPr>
            </w:pPr>
            <w:r>
              <w:rPr>
                <w:rFonts w:ascii="Arial" w:cs="Arial" w:eastAsia="Arial" w:hAnsi="Arial"/>
                <w:sz w:val="18"/>
                <w:szCs w:val="18"/>
                <w:color w:val="auto"/>
              </w:rPr>
              <w:t>2012</w:t>
            </w:r>
          </w:p>
        </w:tc>
        <w:tc>
          <w:tcPr>
            <w:tcW w:w="2340" w:type="dxa"/>
            <w:vAlign w:val="bottom"/>
          </w:tcPr>
          <w:p>
            <w:pPr>
              <w:jc w:val="center"/>
              <w:ind w:right="10"/>
              <w:spacing w:after="0"/>
              <w:rPr>
                <w:sz w:val="20"/>
                <w:szCs w:val="20"/>
                <w:color w:val="auto"/>
              </w:rPr>
            </w:pPr>
            <w:r>
              <w:rPr>
                <w:rFonts w:ascii="Arial" w:cs="Arial" w:eastAsia="Arial" w:hAnsi="Arial"/>
                <w:sz w:val="18"/>
                <w:szCs w:val="18"/>
                <w:color w:val="auto"/>
                <w:w w:val="88"/>
              </w:rPr>
              <w:t>9,675</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$20.50</w:t>
            </w: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9,675</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92"/>
              </w:rPr>
              <w:t>329,554</w:t>
            </w:r>
          </w:p>
        </w:tc>
      </w:tr>
      <w:tr>
        <w:trPr>
          <w:trHeight w:val="27"/>
        </w:trPr>
        <w:tc>
          <w:tcPr>
            <w:tcW w:w="2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97"/>
        </w:trPr>
        <w:tc>
          <w:tcPr>
            <w:tcW w:w="204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29"/>
        </w:trPr>
        <w:tc>
          <w:tcPr>
            <w:tcW w:w="2040" w:type="dxa"/>
            <w:vAlign w:val="bottom"/>
          </w:tcPr>
          <w:p>
            <w:pPr>
              <w:ind w:left="40"/>
              <w:spacing w:after="0"/>
              <w:rPr>
                <w:sz w:val="20"/>
                <w:szCs w:val="20"/>
                <w:color w:val="auto"/>
              </w:rPr>
            </w:pPr>
            <w:r>
              <w:rPr>
                <w:rFonts w:ascii="Arial" w:cs="Arial" w:eastAsia="Arial" w:hAnsi="Arial"/>
                <w:sz w:val="18"/>
                <w:szCs w:val="18"/>
                <w:color w:val="auto"/>
              </w:rPr>
              <w:t>July 1, 2012 to July 31,</w:t>
            </w:r>
          </w:p>
        </w:tc>
        <w:tc>
          <w:tcPr>
            <w:tcW w:w="2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040" w:type="dxa"/>
            <w:vAlign w:val="bottom"/>
          </w:tcPr>
          <w:p>
            <w:pPr>
              <w:ind w:left="40"/>
              <w:spacing w:after="0"/>
              <w:rPr>
                <w:sz w:val="20"/>
                <w:szCs w:val="20"/>
                <w:color w:val="auto"/>
              </w:rPr>
            </w:pPr>
            <w:r>
              <w:rPr>
                <w:rFonts w:ascii="Arial" w:cs="Arial" w:eastAsia="Arial" w:hAnsi="Arial"/>
                <w:sz w:val="18"/>
                <w:szCs w:val="18"/>
                <w:color w:val="auto"/>
              </w:rPr>
              <w:t>2012</w:t>
            </w:r>
          </w:p>
        </w:tc>
        <w:tc>
          <w:tcPr>
            <w:tcW w:w="2340" w:type="dxa"/>
            <w:vAlign w:val="bottom"/>
          </w:tcPr>
          <w:p>
            <w:pPr>
              <w:jc w:val="center"/>
              <w:ind w:right="10"/>
              <w:spacing w:after="0"/>
              <w:rPr>
                <w:sz w:val="20"/>
                <w:szCs w:val="20"/>
                <w:color w:val="auto"/>
              </w:rPr>
            </w:pPr>
            <w:r>
              <w:rPr>
                <w:rFonts w:ascii="Arial" w:cs="Arial" w:eastAsia="Arial" w:hAnsi="Arial"/>
                <w:sz w:val="18"/>
                <w:szCs w:val="18"/>
                <w:color w:val="auto"/>
                <w:w w:val="88"/>
              </w:rPr>
              <w:t>9,104</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$21.46</w:t>
            </w: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9,104</w:t>
            </w:r>
          </w:p>
        </w:tc>
        <w:tc>
          <w:tcPr>
            <w:tcW w:w="2260" w:type="dxa"/>
            <w:vAlign w:val="bottom"/>
          </w:tcPr>
          <w:p>
            <w:pPr>
              <w:jc w:val="center"/>
              <w:ind w:left="10"/>
              <w:spacing w:after="0"/>
              <w:rPr>
                <w:sz w:val="20"/>
                <w:szCs w:val="20"/>
                <w:color w:val="auto"/>
              </w:rPr>
            </w:pPr>
            <w:r>
              <w:rPr>
                <w:rFonts w:ascii="Arial" w:cs="Arial" w:eastAsia="Arial" w:hAnsi="Arial"/>
                <w:sz w:val="18"/>
                <w:szCs w:val="18"/>
                <w:color w:val="auto"/>
                <w:w w:val="92"/>
              </w:rPr>
              <w:t>320,450</w:t>
            </w:r>
          </w:p>
        </w:tc>
      </w:tr>
    </w:tbl>
    <w:p>
      <w:pPr>
        <w:spacing w:after="0" w:line="229" w:lineRule="exact"/>
        <w:rPr>
          <w:sz w:val="20"/>
          <w:szCs w:val="20"/>
          <w:color w:val="auto"/>
        </w:rPr>
      </w:pPr>
    </w:p>
    <w:p>
      <w:pPr>
        <w:jc w:val="both"/>
        <w:ind w:firstLine="8"/>
        <w:spacing w:after="0" w:line="226" w:lineRule="auto"/>
        <w:tabs>
          <w:tab w:leader="none" w:pos="108"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7 of Notes to the Consolidated Financial Statements.</w:t>
      </w:r>
    </w:p>
    <w:p>
      <w:pPr>
        <w:spacing w:after="0" w:line="204" w:lineRule="exact"/>
        <w:rPr>
          <w:sz w:val="20"/>
          <w:szCs w:val="20"/>
          <w:color w:val="auto"/>
        </w:rPr>
      </w:pPr>
    </w:p>
    <w:p>
      <w:pPr>
        <w:ind w:firstLine="8"/>
        <w:spacing w:after="0" w:line="216" w:lineRule="auto"/>
        <w:tabs>
          <w:tab w:leader="none" w:pos="113"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The share numbers in this column indicate the number of shares of Common Stock that may yet be repurchased under our Board of Director authorizations described above.</w:t>
      </w:r>
    </w:p>
    <w:p>
      <w:pPr>
        <w:spacing w:after="0" w:line="19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18"/>
          <w:szCs w:val="18"/>
          <w:color w:val="auto"/>
        </w:rPr>
        <w:t>The following table presents information about compensation plans under which our equity securities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See Note 8 of the Notes to the Consolidated Financial Statements for further information about these stock-based compensation plans.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 securities to be</w:t>
            </w: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further issuance under equity</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0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Weighted-average exercise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outstanding options (in</w:t>
            </w:r>
          </w:p>
        </w:tc>
        <w:tc>
          <w:tcPr>
            <w:tcW w:w="2040" w:type="dxa"/>
            <w:vAlign w:val="bottom"/>
            <w:gridSpan w:val="3"/>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thousands)</w:t>
            </w:r>
          </w:p>
        </w:tc>
        <w:tc>
          <w:tcPr>
            <w:tcW w:w="2040" w:type="dxa"/>
            <w:vAlign w:val="bottom"/>
            <w:gridSpan w:val="3"/>
          </w:tcPr>
          <w:p>
            <w:pPr>
              <w:ind w:left="60"/>
              <w:spacing w:after="0"/>
              <w:rPr>
                <w:sz w:val="20"/>
                <w:szCs w:val="20"/>
                <w:color w:val="auto"/>
              </w:rPr>
            </w:pPr>
            <w:r>
              <w:rPr>
                <w:rFonts w:ascii="Arial" w:cs="Arial" w:eastAsia="Arial" w:hAnsi="Arial"/>
                <w:sz w:val="14"/>
                <w:szCs w:val="14"/>
                <w:b w:val="1"/>
                <w:bCs w:val="1"/>
                <w:color w:val="auto"/>
              </w:rPr>
              <w:t>price of outstanding options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in column (a)) (in thousands)</w:t>
            </w:r>
          </w:p>
        </w:tc>
        <w:tc>
          <w:tcPr>
            <w:tcW w:w="0" w:type="dxa"/>
            <w:vAlign w:val="bottom"/>
          </w:tcPr>
          <w:p>
            <w:pPr>
              <w:spacing w:after="0"/>
              <w:rPr>
                <w:sz w:val="1"/>
                <w:szCs w:val="1"/>
                <w:color w:val="auto"/>
              </w:rPr>
            </w:pPr>
          </w:p>
        </w:tc>
      </w:tr>
      <w:tr>
        <w:trPr>
          <w:trHeight w:val="276"/>
        </w:trPr>
        <w:tc>
          <w:tcPr>
            <w:tcW w:w="526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Plan category</w:t>
            </w:r>
          </w:p>
        </w:tc>
        <w:tc>
          <w:tcPr>
            <w:tcW w:w="24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24"/>
                <w:szCs w:val="2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approved by stockholders</w:t>
            </w:r>
          </w:p>
        </w:tc>
        <w:tc>
          <w:tcPr>
            <w:tcW w:w="1700" w:type="dxa"/>
            <w:vAlign w:val="bottom"/>
          </w:tcPr>
          <w:p>
            <w:pPr>
              <w:jc w:val="right"/>
              <w:ind w:right="641"/>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21"/>
                <w:szCs w:val="21"/>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11.78</w:t>
            </w:r>
          </w:p>
        </w:tc>
        <w:tc>
          <w:tcPr>
            <w:tcW w:w="200" w:type="dxa"/>
            <w:vAlign w:val="bottom"/>
          </w:tcPr>
          <w:p>
            <w:pPr>
              <w:spacing w:after="0"/>
              <w:rPr>
                <w:sz w:val="21"/>
                <w:szCs w:val="21"/>
                <w:color w:val="auto"/>
              </w:rPr>
            </w:pPr>
          </w:p>
        </w:tc>
        <w:tc>
          <w:tcPr>
            <w:tcW w:w="1940" w:type="dxa"/>
            <w:vAlign w:val="bottom"/>
          </w:tcPr>
          <w:p>
            <w:pPr>
              <w:jc w:val="right"/>
              <w:ind w:right="764"/>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0"/>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1700" w:type="dxa"/>
            <w:vAlign w:val="bottom"/>
          </w:tcPr>
          <w:p>
            <w:pPr>
              <w:jc w:val="right"/>
              <w:ind w:right="681"/>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3"/>
                <w:szCs w:val="23"/>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13.07</w:t>
            </w:r>
          </w:p>
        </w:tc>
        <w:tc>
          <w:tcPr>
            <w:tcW w:w="2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70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1321"/>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graph shows the annual cumulative total stockholders’ return for the five years ending July 31, 2012 on an assumed investment of $100 on July 31, 2007 in our Common Stock, the Russell Microcap Index and the Russell 2000-Material and Processing Economic Sector Index. Our Common Stock is included in the Russell Microcap Index and we consider the Russell 2000-Material and Processing Economic Sector Index to be our peer group. The graph assumes all dividends were reinvested. The historical stock price performance of our Common Stock is not necessarily indicative of future stock performance.</w:t>
      </w:r>
    </w:p>
    <w:p>
      <w:pPr>
        <w:spacing w:after="0" w:line="18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Comparative Five-Year Total Returns</w:t>
      </w:r>
    </w:p>
    <w:p>
      <w:pPr>
        <w:spacing w:after="0" w:line="27" w:lineRule="exact"/>
        <w:rPr>
          <w:sz w:val="20"/>
          <w:szCs w:val="20"/>
          <w:color w:val="auto"/>
        </w:rPr>
      </w:pPr>
    </w:p>
    <w:p>
      <w:pPr>
        <w:ind w:left="2600" w:right="2960" w:hanging="1944"/>
        <w:spacing w:after="0" w:line="261" w:lineRule="auto"/>
        <w:rPr>
          <w:sz w:val="20"/>
          <w:szCs w:val="20"/>
          <w:color w:val="auto"/>
        </w:rPr>
      </w:pPr>
      <w:r>
        <w:rPr>
          <w:rFonts w:ascii="Arial" w:cs="Arial" w:eastAsia="Arial" w:hAnsi="Arial"/>
          <w:sz w:val="18"/>
          <w:szCs w:val="18"/>
          <w:b w:val="1"/>
          <w:bCs w:val="1"/>
          <w:color w:val="auto"/>
        </w:rPr>
        <w:t>Oil-Dri Corporation of America, Russell Microcap Index , Russell 2000-Materials &amp; Processing Index (Performance results through July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848985" cy="3027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2007</w:t>
            </w: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2008</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2009</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2011</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2012</w:t>
            </w:r>
          </w:p>
        </w:tc>
      </w:tr>
      <w:tr>
        <w:trPr>
          <w:trHeight w:val="237"/>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ODC</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106.20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154.69</w:t>
            </w:r>
          </w:p>
        </w:tc>
      </w:tr>
      <w:tr>
        <w:trPr>
          <w:trHeight w:val="27"/>
        </w:trPr>
        <w:tc>
          <w:tcPr>
            <w:tcW w:w="3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Russell Microcap</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r>
      <w:tr>
        <w:trPr>
          <w:trHeight w:val="261"/>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w w:val="95"/>
              </w:rPr>
              <w:t>Russell 2000-Materials &amp; Processing</w:t>
            </w:r>
          </w:p>
        </w:tc>
        <w:tc>
          <w:tcPr>
            <w:tcW w:w="540" w:type="dxa"/>
            <w:vAlign w:val="bottom"/>
          </w:tcPr>
          <w:p>
            <w:pPr>
              <w:jc w:val="center"/>
              <w:spacing w:after="0"/>
              <w:rPr>
                <w:sz w:val="20"/>
                <w:szCs w:val="20"/>
                <w:color w:val="auto"/>
              </w:rPr>
            </w:pPr>
            <w:r>
              <w:rPr>
                <w:rFonts w:ascii="Arial" w:cs="Arial" w:eastAsia="Arial" w:hAnsi="Arial"/>
                <w:sz w:val="20"/>
                <w:szCs w:val="20"/>
                <w:color w:val="auto"/>
                <w:w w:val="96"/>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110.94</w:t>
            </w:r>
          </w:p>
        </w:tc>
      </w:tr>
    </w:tbl>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performance graph and accompanying disclosure is not soliciting material, is not deemed filed with the SEC, and is not incorporated by reference in any of our filings under the Securities Act or the Exchange Act, whether made on, before or after the date of this filing and irrespective of any general incorporation language in such filing.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IVE</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UMMARY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IN THOUSANDS EXCEPT FOR PER SHARE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MOUNTS</w:t>
      </w:r>
      <w:r>
        <w:rPr>
          <w:rFonts w:ascii="Arial" w:cs="Arial" w:eastAsia="Arial" w:hAnsi="Arial"/>
          <w:sz w:val="18"/>
          <w:szCs w:val="18"/>
          <w:b w:val="1"/>
          <w:bCs w:val="1"/>
          <w:color w:val="auto"/>
        </w:rPr>
        <w:t>)</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Fiscal 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2008</w:t>
            </w:r>
          </w:p>
        </w:tc>
      </w:tr>
      <w:tr>
        <w:trPr>
          <w:trHeight w:val="27"/>
        </w:trPr>
        <w:tc>
          <w:tcPr>
            <w:tcW w:w="4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Summary of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240,681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226,755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219,050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236,245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232,359</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(1)</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(181,676)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(176,715)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(169,362)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(186,861)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(186,289)</w:t>
            </w: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59,005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50,040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49,688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49,384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46,070</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(47,303)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(33,340)</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Capacity Rationalization Charges (2)</w:t>
            </w: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10,079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13,549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12,730</w:t>
            </w: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1,070</w:t>
            </w: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(2,060)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(2,189)</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(Losses) Gains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w:t>
            </w: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507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399</w:t>
            </w:r>
          </w:p>
        </w:tc>
      </w:tr>
      <w:tr>
        <w:trPr>
          <w:trHeight w:val="27"/>
        </w:trPr>
        <w:tc>
          <w:tcPr>
            <w:tcW w:w="4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Expense, Net</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8,361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12,141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12,814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13,309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12,175</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(3,136)</w:t>
            </w:r>
          </w:p>
        </w:tc>
      </w:tr>
      <w:tr>
        <w:trPr>
          <w:trHeight w:val="297"/>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6,098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9,051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9,458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9,586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9,039</w:t>
            </w:r>
          </w:p>
        </w:tc>
      </w:tr>
      <w:tr>
        <w:trPr>
          <w:trHeight w:val="23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Diluted (3)</w:t>
            </w:r>
          </w:p>
        </w:tc>
        <w:tc>
          <w:tcPr>
            <w:tcW w:w="4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7,062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7,152</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Basic Common (3)</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0.92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1.39</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Class B Common (3)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Diluted (3)</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0.85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1.25</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Important Highlights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174,267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173,393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153,982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149,261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148,988</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21,500</w:t>
            </w: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Working Capital</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66,080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65,336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48,398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49,949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52,550</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Working Capital Ratio</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Book Value per Share</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12.19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12.66</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3,463</w:t>
            </w: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Dividends Declared per Common Share</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0.6900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0.6500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0.6100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0.5700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0.5300</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Dividends Declared per Class B Common Share</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0.5175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0.4275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0.3975</w:t>
            </w: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6,960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13,806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15,253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7,302</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7,455</w:t>
            </w: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Net Income as a Percent of Net Sales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Return on Average Stockholders'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4560" w:type="dxa"/>
            <w:vAlign w:val="bottom"/>
          </w:tcPr>
          <w:p>
            <w:pPr>
              <w:ind w:left="360"/>
              <w:spacing w:after="0"/>
              <w:rPr>
                <w:sz w:val="20"/>
                <w:szCs w:val="20"/>
                <w:color w:val="auto"/>
              </w:rPr>
            </w:pPr>
            <w:r>
              <w:rPr>
                <w:rFonts w:ascii="Arial" w:cs="Arial" w:eastAsia="Arial" w:hAnsi="Arial"/>
                <w:sz w:val="18"/>
                <w:szCs w:val="18"/>
                <w:color w:val="auto"/>
              </w:rPr>
              <w:t>Gross Profit as a Percent of Net Sales</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Expenses as a Percent of Net Sales</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675"/>
        </w:trPr>
        <w:tc>
          <w:tcPr>
            <w:tcW w:w="4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160"/>
          </w:cols>
          <w:pgMar w:left="240" w:top="125" w:right="4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fiscal year 2008, cost of sales was reduced by pre-tax net proceeds of $831,000 from the sale of emission reduction credits to unaffiliated third parties.</w:t>
      </w:r>
    </w:p>
    <w:p>
      <w:pPr>
        <w:spacing w:after="0" w:line="248" w:lineRule="exact"/>
        <w:rPr>
          <w:rFonts w:ascii="Arial" w:cs="Arial" w:eastAsia="Arial" w:hAnsi="Arial"/>
          <w:sz w:val="16"/>
          <w:szCs w:val="16"/>
          <w:color w:val="auto"/>
        </w:rPr>
      </w:pPr>
    </w:p>
    <w:p>
      <w:pPr>
        <w:jc w:val="both"/>
        <w:ind w:firstLine="8"/>
        <w:spacing w:after="0" w:line="264" w:lineRule="auto"/>
        <w:tabs>
          <w:tab w:leader="none" w:pos="27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fiscal year 2012, one-time charges were incurred for the relocation of production of our industrial floor absorbent and cat litter products from our facility located in Mounds, Illinois to our plants located in Mississippi. See Note 2 of the Notes to the Consolidated Financial Statements for further information about the production relocation charge.</w:t>
      </w:r>
    </w:p>
    <w:p>
      <w:pPr>
        <w:spacing w:after="0" w:line="181" w:lineRule="exact"/>
        <w:rPr>
          <w:rFonts w:ascii="Arial" w:cs="Arial" w:eastAsia="Arial" w:hAnsi="Arial"/>
          <w:sz w:val="18"/>
          <w:szCs w:val="18"/>
          <w:color w:val="auto"/>
        </w:rPr>
      </w:pPr>
    </w:p>
    <w:p>
      <w:pPr>
        <w:jc w:val="both"/>
        <w:ind w:firstLine="8"/>
        <w:spacing w:after="0" w:line="259"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fiscal year 2010, we adopted guidance under Accounting Standards Codification Topic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which required our unvested restricted stock awards to be considered participating securities and to be included in the computation of earnings per share pursuant to the two-class method. Upon adoption, we were required to retrospectively adjust earnings per share data to conform to this standard. Accordingly, we have restated diluted average shares outstanding and net income per share for all prior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develop, mine, manufacture and market sorbent products principally produced from clay minerals, primarily consisting of montmorillonite and attapulgite and, to a lesser extent, other clay-like sorbent materials, such as Antelope shale. Our principal products include cat litter, industrial and automotive floor absorbents, fluids purification and filtration bleaching clays, agricultural and horticultural chemical carriers, animal health and nutrition products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Each operating segment is discussed individually below. Additional detailed descriptions of the operating segments are included in Item 1 “Business” above. Beginning in fiscal 2011, our sports field products were moved to the Retail and Wholesale Products Group to reflect a change in management organization intended to better serve our customers. Prior year segment information has been restated to reflect this change.</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fiscal 2012 operating results reflect increased net sales in several markets; however, certain events resulted in one-time charges that negatively impacted earnings. Consolidated net sales for the year ended July 31, 2012 were $240,681,000, a 6% increase from net sales of $226,755,000 in fiscal 2011. Net sales increased in both our Retail and Wholesale Products and Business to Business Products operating segments. Consolidated net income was $6,098,000, or $0.85 per diluted share, for the year ended July 31, 2012, a 33% decrease from net income of $9,051,000, or $1.26 per diluted share, for the year ended July 31, 2011. Throughout fiscal 2012, promotional expenditures were substantial for our Cat's Pride Fresh &amp; Light products, which were launched in the fourth quarter of fiscal 2011. We incurred a one-time charge in our fourth quarter to relocate the manufacturing of specific products from our plant located in Illinois to our plants located in Mississippi in order to improve production efficiencies. See Note 2 of the Notes to the Consolidated Financial Statements for further information about the production relocation charge. In addition, during fiscal 2012 we experienced certain cost increases to produce, package and transport our products, which more than offset the lower cost of fuel used in our manufacturing processes. We expect transportation cost increases to continue due to recent trends and regulations in the freight industry. We also continued to invest in our capital assets and maintained a strong consolidated balance sheet during fiscal 2012.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2012 C</w:t>
      </w:r>
      <w:r>
        <w:rPr>
          <w:rFonts w:ascii="Arial" w:cs="Arial" w:eastAsia="Arial" w:hAnsi="Arial"/>
          <w:sz w:val="14"/>
          <w:szCs w:val="14"/>
          <w:b w:val="1"/>
          <w:bCs w:val="1"/>
          <w:color w:val="auto"/>
        </w:rPr>
        <w:t>OMPARED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2011</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Consolidated net sales for the year ended July 31, 2012 were $240,681,000, a 6% increase from net sales of $226,755,000 in fiscal 2011. Net sales increased for both our Business to Business Products Group and our Retail and Wholesale Products Group due to increased net selling prices and a favorable product sales mix, defined as a greater proportion of sales from higher priced products. Our Business to Business Products Group also benefited from an increase in tons sold. Consolidated net income for fiscal 2012 was $6,098,000, a 33% decrease from net income of $9,051,000 in fiscal 2011. The decline in net income was driven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primarily by increased advertising expenditures in the Retail and Wholesale Products Group and a one-time charge to relocate our industrial floor absorbent and cat litter products from our facility located in Mounds, Illinois to our plants located in Mississippi. In addition, during fiscal 2012 we experienced higher freight, packaging and material costs for both operating segments and higher non-fuel manufacturing costs, which outweighed the benefit of lower cost for fuel used in our manufacturing processes. Segment operating income increased for the the Business to Business Products Group and decreased for the Retail and Wholesale Products Group as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Net sales of the Business to Business Products Group for fiscal 2012 were $85,456,000, an increase of $10,977,000, or 15%, from net sales of $74,479,000 in fiscal 2011. The increase in net sales was attributed to a 3% increase in tons sold, a favorable product sales mix and higher net selling prices. Net sales of agricultural and horticultural products, fluid purification products and animal health products all increased, while net sales of co-packaged cat litter decreased. Net sales of agricultural and horticultural products increased approximately 35% due to 15% more tons sold, a favorable product sales mix and higher net selling prices. Sales increased to agricultural chemical carrier formulators. Sales also increased to customers for our engineered granule product in the professional pesticides and agricultural markets. Net sales of fluid purification products increased approximately 13% from fiscal 2011 with a 9% increase in tons sold. Sales in domestic and some export markets improved due to new customers and increased sales to existing customers. Net sales of animal health and nutrition products increased approximately 34% due to a favorable product sales mix and 12% more tons sold. Higher sales of our newer enterosorbent animal health products in foreign markets resulted from improved distribution and new product registration in certain countries. The increased sales of our newer enterosorbent products considerably outweighed a decline in sales of our longer established animal health products. Our co-packaged traditional coarse cat litter net sales decreased 5% due to the continued decline in the coarse cat litter segment of the market.</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Business to Business Products Group’s operating income was $28,643,000 in fiscal 2012, an increase of $9,139,000, or 47%, from operating income of $19,504,000 in fiscal 2011. This increase was driven by the higher net selling prices and favorable product sales mix described above, which was partially offset by higher freight and materials costs per ton. Freight costs increased approximately 8% due primarily to higher diesel fuel prices and other cost increases in the freight industry, which are expected to continue due to recent trends and regulations. Material costs increased approximately 2% due to higher non-fuel manufacturing costs, which exceeded a reduction in the cost of fuel used in our manufacturing processes. See further discussion of manufacturing costs under “Consolidated Results” below. The Business to Business Products Group’s selling, general and administrative expenses in fiscal 2012 were even with fiscal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sales of the Retail and Wholesale Products Group for fiscal 2012 were $155,225,000, an increase of $2,949,000, or 2%, from net sales of $152,276,000 in fiscal 2011. The increase in net sales was attributed to a favorable product sales mix and higher net selling prices, which more than offset a 6% decline in tons sold. Net sales increased for our cat litter products, but decreased for our foreign subsidiaries, as described under “Foreign Operations” below. Net sales for our industrial absorbent products were even with the prior year. Cat litter net sales increased approximately 4% due to a favorable product sales mix and higher net selling prices, which outweighed a 7% decrease in tons sold. Branded cat litter net sales increased approximately 26% with 14% more tons sold. Branded cat litter sales improved due primarily to our Cat's Pride Fresh &amp; Light scoopable products, which were introduced in the fourth quarter of fiscal 2011, combined with higher sales of our established Cat's Pride scoopable products. The increase in branded cat litter net sales was partially offset by approximately 16% lower sales of private label cat litter. The decline in private label cat litter sales resulted from the continued decline in the coarse cat litter market, as well as a market trend away from private label cat litter products.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Retail and Wholesale Products Group’s segment operating income for fiscal 2012 was $2,098,000, a decrease of $8,341,000, or 80%, from operating income of $10,439,000 in fiscal 2011. The decrease was driven primarily by increased advertising costs for our Cat's Pride Fresh &amp; Light cat litter. In addition, the Retail and Wholesale Group’s combined freight, packaging and material costs increased approximately 8% compared to fiscal 2011. Packaging costs increased 15% due to fluctuations in the price of paper and resin. Freight costs increased approximately 10% as a result of higher diesel fuel prices and other cost increases in the freight industry, which we expect to continue due to recent trends and regulations. Material costs increased approximately 4% due primarily to increased purchases of additives, fragrances and other materials for the production of scoopable cat litters. These cost increases more than offset the lower cost of fuel used in our manufacturing processes. See further discussion of manufacturing costs under “Consolidated Results” below.</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general and administrative expenses for the Retail and Wholesale Products Group increased 65% compared to fiscal 2011 due primarily to increased advertising expenditures described above. Advertising and promotions spending in fiscal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2013 is anticipated to be less than in fiscal 2012, but will remain higher than historic levels.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Consolidated gross profit as a percentage of net sales in fiscal 2012 increased to 25% from 22% in fiscal 2011. Gross profit improved because of the higher sales described above, a greater proportion of sales from higher margin products and 25% lower costs for fuel, primarily natural gas, used to operate kilns that dry our clay. Partially offsetting these positive impacts were higher packaging, freight and material costs. The increase in packaging and freight costs are described in the operating segment discussions above. Material costs were negatively impacted by a 6% increase in non-fuel manufacturing cost per ton produced, including depreciation and amortization. The increase in non-fuel manufacturing costs was attributed to higher depreciation expense and increased manufacturing of products that required purchased additives, fragrances and other materials.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Selling, general and administrative expenses as a percentage of net sales were 20% in fiscal 2012, compared to 16% in fiscal 2011. The discussions of each segment's operating income above describes the increased selling, general and administrative expenses that were allocated to the operating segments, including approximately $7,800,000 higher advertising costs in the Retail and Wholesale Products Group. The remaining unallocated corporate expenses in fiscal 2012 included a higher estimated annual incentive plan bonus accrual and higher costs for the supplemental employee retirement plan. The incentive bonus expense was based on performance targets that are established for each fiscal year. See Note 9 of the Notes to the Consolidated Financial Statements for additional information about the supplemental employee retirement plan.</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effective tax rate was 27.1% of pre-tax income in fiscal 2012 compared to 25.5% in fiscal 2011. During fiscal 2012, we generated an additional $955,000 in alternative minimum tax credits (“AMT”) based on the fiscal 2011 tax return as filed. Consistent with AMT credits generated in prior years, we recorded a full valuation allowance against these credits, which increased the fiscal 2012 effective tax rate. This increase was partially offset by a higher deduction for tax mining depletion. See Note 6 of the Notes to the Consolidated Financial Statements for additional information about our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2011 C</w:t>
      </w:r>
      <w:r>
        <w:rPr>
          <w:rFonts w:ascii="Arial" w:cs="Arial" w:eastAsia="Arial" w:hAnsi="Arial"/>
          <w:sz w:val="14"/>
          <w:szCs w:val="14"/>
          <w:b w:val="1"/>
          <w:bCs w:val="1"/>
          <w:color w:val="auto"/>
        </w:rPr>
        <w:t>OMPARED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2010</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Consolidated net sales for the year ended July 31, 2011 were $226,755,000, a 4% increase from net sales of $219,050,000 in fiscal 2010. Net sales increased for our Business to Business Products Group and our Retail and Wholesale Products Group as discussed below. Net income for fiscal 2011 was $9,051,000, a 4% decrease from net income of $9,458,000 in fiscal 2010. Net income was negatively impacted by a 3% decrease in tons sold for both of our operating segments, higher costs for freight, packaging and materials and increased spending for product market research and promotion development. These negative factors outweighed the favorable affects of increased net selling prices, an increased proportion of sales from products with a higher net selling price and a lower cost for fuel used in our manufacturing processes. Segment operating income declined for both the Retail and Wholesale and the Business to Business Products Groups as discussed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Net sales of the Business to Business Products Group for fiscal 2011 were $74,479,000, an increase of $2,488,000, or 3%, from net sales of $71,991,000 in fiscal 2010. A higher average net selling price in fiscal 2011 more than offset a 3% decrease in tons sold compared to fiscal 2010. Net sales of agricultural and horticultural products, fluid purification products and animal health products all increased, while net sales of co-packaged cat litter decreased. Net sales of agricultural and horticultural products increased 19% with approximately 5% more tons sold. Our traditional agricultural chemical carrier products tons sold increased in fiscal 2011 after the downturn in the agricultural chemical carriers market during fiscal 2010. Our new engineered granule product, that was introduced late in fiscal 2010, also provided incremental sales in the professional pesticides and agricultural markets for fiscal 2011. Net sales of fluid purification products increased 5% from fiscal 2010 with a 5% increase in tons sold. Sales in some export and domestic markets improved for fluid purification products used in edible oil and recycled oil processing; however, sales of our products used for biodiesel processing declined. Net sales of animal health and nutrition products rose 1% in fiscal 2011 as a higher average net selling price outweighed a 2% decrease in tons sold. Product registration in new countries, including China, opened additional markets during fiscal 2011; however, sales in certain existing foreign markets were temporarily disrupted during the year due to implementation of new distribution processes. In addition, our co-packaged traditional coarse cat litter net sales decreased 7% as the coarse cat litter market continued to decline as a whole.</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Business to Business Products Group’s operating income was $19,504,000 in fiscal 2011, a decrease of $421,000, or 2%, from operating income of $19,925,000 in fiscal 2010. This decrease was driven by an increase of approximately 8% for combined freight, packaging and material costs. Freight costs increased approximately 20% due primarily to higher diesel fuel prices. Packaging costs increased 10% due to fluctuations in the price of paper and resin. Material costs increased approximately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4% as higher non-fuel manufacturing costs more than offset the lower cost of fuel used in our manufacturing processes. See further discussion of manufacturing costs under “Consolidated Results” below. The Business to Business Products Group’s selling, general and administrative expenses in fiscal 2011 were even with fiscal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Net sales of the Retail and Wholesale Products Group for fiscal 2011 were $152,276,000, an increase of $5,217,000, or 4%, from net sales of $147,059,000 in fiscal 2010. The segments's net sales benefited from higher average net selling prices and a greater proportion of sales from higher priced products, which more than offset a 3% decrease in tons sold. Sales increased for both cat litter and industrial absorbent products. These increases outweighed a decrease in sales by our foreign subsidiaries, which is described under “Foreign Operations” below. Cat litter net sales increased approximately 5% due to a higher average net selling price and a greater proportion of sales from higher priced products. Net sales of branded cat litter increased approximately 17% due to more tons sold and lower trade spending. Sales to Walmart increased during fiscal 2011 as our branded scoopable litter was reinstated following the reduction in the number of cat litter brands carried, including ours, in the first quarter of fiscal 2010. We also introduced our new Cat's Pride Fresh &amp; Light product in the fourth quarter of fiscal 2011. Net sales of private label cat litter decreased approximately 4% compared to fiscal 2010 as the coarse cat litter market continued to decline as a whole. Sales of cat litter box liners increased 10% due primarily to increased distribution to existing customers. Net sales of industrial absorbents increased approximately 3% compared to fiscal 2010. The increase in sales was due primarily to selling price increases that outweighed a decline in tons sold.</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Retail and Wholesale Products Group’s segment operating income for fiscal 2011 was $10,439,000, a decrease of $1,230,000, or 11%, from operating income of $11,669,000 in fiscal 2010. This decrease was driven by higher costs, which more than offset the increased net sales described above. The segment's combined freight, packaging and material costs increased approximately 9% compared to fiscal 2010. Freight costs increased approximately 10% due primarily to higher diesel fuel prices. Packaging costs increased 9% due to fluctuations in the price of paper and resin. Material costs increased approximately 7% as higher non-fuel manufacturing costs more than offset the lower cost of fuel used in manufacturing. See further discussion of manufacturing costs under “Consolidated Results” below. The Retail and Wholesale Products Group’s selling, general and administrative expenses increased 16% compared to fiscal 2010 due primarily to significant spending for new product market research and promotion development.</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fiscal 2011, we made substantial outlays for capital investment and for market research and promotion development related to our new Cat's Pride Fresh &amp; Light product launched in the fourth quarter of fiscal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Consolidated gross profit as a percentage of net sales in fiscal 2011 decreased to 22% from 23% in fiscal 2010. Gross profit was negatively impacted by increased costs for freight, packaging and materials. The increase in packaging and freight costs are described in the operating segment discussions above. Material costs were negatively impacted by a 6% increase in non-fuel manufacturing cost per ton produced, which included depreciation and amortization. This cost increase was driven primarily by increased manufacturing of products that required purchased additives, fragrances and other materials. Labor and employee benefit costs also increased compared to the prior year. These cost increases exceeded the benefit from a 13% lower cost of fuel used in our manufacturing processes. We use natural gas, recycled oil and coal in the manufacturing process to operate kilns that dry our clay.</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Selling, general and administrative expenses as a percentage of net sales were 16% in fiscal 2011, compared to 17% in fiscal 2010. The discussions of each segment's operating income above describes the increased selling and administrative expenses that were allocated to the operating segments. The remaining unallocated corporate expenses in fiscal 2011 included a lower estimated annual incentive plan bonus accrual. The incentive bonus expense was based on performance targets that are established for each fiscal year. The lower bonus expense was partially offset by higher depreciation expense for computer software and equipment, additional compensation expense related to restricted stock awards and increased spending for research and development.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in fiscal 2011 increased $708,000 from fiscal 2010. Interest expense increased due primarily to the discontinued capitalization of interest for a capital project and additional interest on new debt issued in the second quarter of fiscal 2011. Interest income in fiscal 2011 decreased $65,000 from fiscal 2010 due to less interest earned on a lease receivable, which exceeded the additional interest received on higher average investment balances at a slightly higher average interest rate.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other income in fiscal 2011 decreased $251,000 from fiscal 2010 due to a reduction in lease income related to a lease arrangement with a co-packaging partner and regulatory expense accruals.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effective tax rate was 25.5% of pre-tax income in fiscal 2011 compared to 26.2% in fiscal 2010. The effective tax rate was lower in fiscal 2011 due to the net impact of foreign tax attributes. See Note 6 of the Notes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Net sales by our foreign subsidiaries during fiscal 2012 were $11,299,000, a decrease of $1,217,000, or 10%, from net sales of $12,516,000 during fiscal 2011. Net sales by our foreign subsidiaries represented 5% of our consolidated net sales during fiscal year 2012. Net sales declined 14% for our United Kingdom subsidiary and 9% for our Canadian subsidiary. Bleaching earth and industrial absorbents sales by our United Kingdom subsidiary decreased due to a strong competitive and price sensitive marketplace. Both branded and private label cat litter sales for our Canadian subsidiary were lower due to the continued decline in the coarse litter market and increased competition. Industrial product sales for our Canadian subsidiary were relatively flat.</w:t>
      </w:r>
    </w:p>
    <w:p>
      <w:pPr>
        <w:spacing w:after="0" w:line="15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fiscal 2012, our foreign subsidiaries reported a net loss of $876,000, compared to a net loss of $567,000 in fiscal 2011. The increase in the net loss was due primarily to lower sales, which were partially offset by a reduction in overhead costs at both our Canadian and United Kingdom subsidiaries.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Identifiable assets of our foreign subsidiaries as of July 31, 2012 were $8,702,000 compared to $9,697,000 as of July 31, 2011. The decrease is primarily due to lower accounts receivable.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Net sales by our foreign subsidiaries during fiscal 2011 were $12,516,000, a decrease of $1,212,000, or 9%, from net sales of $13,728,000 during fiscal 2010. Net sales by our foreign subsidiaries represented 6% of our consolidated net sales during fiscal year 2011. Net sales declined 15% for our United Kingdom subsidiary and 7% for our Canadian subsidiary. Bleaching earth and industrial absorbents sales by our United Kingdom subsidiary declined in a strong competitive and price sensitive marketplace. Industrial product sales for our Canadian subsidiary were relatively flat and cat litter sales were lower due to the loss of a customer and lower sales to existing customers. The impact of these sales declines was lessened by the relative strength of the Canadian Dollar and British Pound compared to the U.S. Dollar. The Canadian Dollar was about 5% stronger on average and the British Pound was about 2% stronger on average against the U.S. Dollar during fiscal 2011 compared to fiscal 2010, which resulted in higher sales values after translation to U.S. Dollars.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fiscal 2011, our foreign subsidiaries reported a net loss of $567,000, compared to a net loss of $519,000 in fiscal 2010. The increase in the net loss was due primarily to lower sales and increased costs for freight and purchased materials, which were partially offset by the foreign currency exchange gain described above.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Identifiable assets of our foreign subsidiaries as of July 31, 2011 were $9,697,000 compared to $9,424,000 as of July 31, 2010. The increase is primarily due to higher accounts receivable and cash and cash equivalents, which were partially offset by lower inventories and prepaid taxes.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capital requirements include funding working capital needs, purchasing and upgrading real estate, equipment and facilities, investing in infrastructure and potential acquisitions. We have principally used cash generated from operations and, to the extent needed, issuance of debt securities and borrowings under our credit facilities to fund these requirements. Cash and cash equivalents totaled $27,093,000, $17,885,000 and $18,762,000 at July 31, 2012, 2011 and 2010,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elements of our Consolidated Statements of Cash Flows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6"/>
          </w:tcPr>
          <w:p>
            <w:pPr>
              <w:jc w:val="right"/>
              <w:spacing w:after="0"/>
              <w:rPr>
                <w:sz w:val="20"/>
                <w:szCs w:val="20"/>
                <w:color w:val="auto"/>
              </w:rPr>
            </w:pPr>
            <w:r>
              <w:rPr>
                <w:rFonts w:ascii="Arial" w:cs="Arial" w:eastAsia="Arial" w:hAnsi="Arial"/>
                <w:sz w:val="18"/>
                <w:szCs w:val="18"/>
                <w:b w:val="1"/>
                <w:bCs w:val="1"/>
                <w:color w:val="auto"/>
              </w:rPr>
              <w:t>Fiscal Year Ended</w:t>
            </w:r>
          </w:p>
        </w:tc>
        <w:tc>
          <w:tcPr>
            <w:tcW w:w="84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8"/>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31,</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July 31,</w:t>
            </w:r>
          </w:p>
        </w:tc>
      </w:tr>
      <w:tr>
        <w:trPr>
          <w:trHeight w:val="234"/>
        </w:trPr>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r>
      <w:tr>
        <w:trPr>
          <w:trHeight w:val="27"/>
        </w:trPr>
        <w:tc>
          <w:tcPr>
            <w:tcW w:w="7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26,216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(7,890)</w:t>
            </w:r>
          </w:p>
        </w:tc>
      </w:tr>
      <w:tr>
        <w:trPr>
          <w:trHeight w:val="27"/>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7"/>
        </w:trPr>
        <w:tc>
          <w:tcPr>
            <w:tcW w:w="7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6,923</w:t>
            </w: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operations was $23,339,000 for fiscal 2012 compared to $13,108,000 for fiscal 2011. The change was due to working capital fluctuations and changes in other accounts. The changes in the primary components of working capital and other accounts that impacted operating cash flows for these years are as follows: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Deferred income taxes were $2,568,000 higher at fiscal year-end 2012 compared to fiscal year-end 2011 due primarily to a higher postretirement benefits liability, benefits from a tax net operating loss and increased accrued expenses, which were partially offset by the impact of higher tax bonus depreciation expense. Deferred income taxes were $3,515,000 lower at fiscal year-end 2011 compared to fiscal year-end 2010 due primarily to lower accrued expenses and higher depreciation and amortization expense. See Notes 5 and 9 of the Notes to the Consolidated Financial Statements for more information regarding income taxes and postretirement benefit plans, respectively. The change in accrued expenses is discussed below.</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Accounts receivable, less allowance for doubtful accounts, were $994,000 higher at fiscal year-end 2012 compared to fiscal year-end 2011. The increase was attributed primarily to higher fiscal 2012 fourth quarter sales compared to fiscal 2011 fourth quarter sales. Accounts receivable, less allowance for doubtful accounts, were $2,039,000 higher at fiscal year-end 2011 compared to fiscal year-end 2010. The increase was due primarily to higher fiscal 2011 fourth quarter sales compared to fiscal 2010 fourth quarter sales. The change in both periods is subject to timing of sales and collections and the payment terms provided to various customers.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Inventories were $456,000 higher at fiscal year-end 2012 compared to fiscal year-end 2011. Inventories of additives and fragrances increased to meet production requirements for certain products. Inventories were $3,207,000 higher at fiscal year-end 2011 compared to fiscal year-end 2010. Finished goods and packaging inventories were up at fiscal year-end 2011 due primarily to higher costs. Purchased materials inventories were also up due to cost increases and the mix of products produced.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Prepaid expenses were $1,878,000 lower at fiscal year-end 2012 compared to fiscal year-end 2011 due primarily to a decrease in prepaid income taxes and lower prepaid advertising costs. Prepaid expenses were $2,954,000 higher at fiscal year-end 2011 compared to fiscal year-end 2010 due primarily to an increase in prepaid income taxes and higher prepaid advertising costs.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Other assets were $510,000 higher at fiscal year-end 2012 compared to fiscal year-end 2011. Other assets were $110,000 higher at fiscal year-end 2011 compared to fiscal year-end 2010. The change in other assets for both periods included the effect of currency exchange rate fluctuations on non-cash assets held by our foreign subsidiaries. The change in the relative value of the U.S. Dollar to both the British Pound and the Canadian Dollar resulted in an increase in other assets in fiscal 2012 compared to a decrease in fiscal 2011. The change in both years also included increased cash surrender value of life insurance on former key employees. In addition, capitalized costs related to the issuance of new debt contributed to the increase in fiscal 2011.</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Accounts payable were $456,000 higher at fiscal year-end 2012 compared to fiscal year-end 2011 due primarily to increased trade accounts payable. Accounts payable were $275,000 higher at fiscal year-end 2011 compared to fiscal year-end 2010 due primarily to an increased trade accounts payable, which was partially offset by lower income taxes payable. See Note 6 of the Notes to the Consolidated Financial Statements for additional information about income taxes. Changes in trade accounts payable in all periods are also subject to normal fluctuations in the timing of payments.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Accrued expenses were $1,622,000 higher at fiscal year-end 2012 compared to fiscal year-end 2011. Accrued expenses for fiscal 2012 were higher for both the discretionary bonus and advertising expenses. This increase was partially offset by lower other accrued operating expenses due to the lower cost of fuel used in our manufacturing processes. Accrued expenses were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$1,384,000 lower at fiscal year-end 2011 compared to fiscal year-end 2010. Accrued expenses included a lower discretionary bonus accrual for fiscal 2011. This decrease was partially offset by increased accrued freight and other accrued operating expenses due to higher freight costs. Changes in accrued expenses in all periods are also subject to normal fluctuations in the timing of payments.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Deferred compensation was $921,000 higher at fiscal year-end 2012 compared to fiscal year-end 2011 and was $378,000 higher at fiscal year-end 2011 compared to fiscal 2010. The change in both years was due to employee deferrals and interest on accumulated deferred compensation balances that exceeded payouts. See Note 10 of the Notes to the Consolidated Financial Statements for more information regarding our deferred compensation plans.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Pension and other postretirement liabilities were $4,730,000 higher at fiscal year-end 2012 compared to fiscal year-end 2011 and were $672,000 higher at fiscal year-end 2011 compared to fiscal year-end 2010. A lower discount rate required for the actuarial calculation of postretirement benefit obligations resulted in a significantly higher liability at fiscal year-end 2012. See Note 9 of the Notes to the Consolidated Financial Statements for more information regarding our postretirement benefit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used in investing activities was $270,000 in fiscal 2012 compared to $23,665,000 in fiscal 2011. Dispositions of investment securities were $6,659,000 greater than purchases in fiscal 2012. In fiscal 2011, purchases of investment securities exceeded dispositions by $10,008,000 due to the investment of cash received from the issuance of new debt. Purchases and dispositions of investment securities in both periods are subject to variations in the timing of investment maturities. Cash used for capital expenditures of $6,960,000 in fiscal 2012 included a new storage facility and replacement of machinery at our manufacturing facilities. Capital expenditures in fiscal 2011 of $13,806,000 included new product-related projects at our manufacturing facilities, replacement of machinery and land purchases.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used in investing activities was $23,665,000 in fiscal 2011 compared to $7,890,000 in fiscal 2010. Purchases of investment securities were $10,008,000 greater than dispositions in fiscal 2011 due to the investment of cash received from the issuance of new debt. In fiscal 2010, dispositions of investment securities exceeded purchases by $2,148,000. Purchases and dispositions of investment securities in both periods are subject to variations in the timing of investment maturities. Cash used for capital expenditures of $13,806,000 in fiscal 2011 included new product-related projects at our manufacturing facilities, replacement of machinery and land purchases. Capital expenditures for the same period in fiscal 2010 of $10,413,000 included approximately $3,000,000 to purchase land and mineral rights near our Georgia production plant.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Cash used in financing activities was $13,889,000 in fiscal 2012 compared to cash provided by financing activities of $9,785,000 in fiscal 2011. Cash used to purchase treasury stock was $6,247,000 and $2,474,000 in fiscal 2012 and 2011, respectively. Payments on long-term debt in fiscal 2012 were $3,600,000 compared to $3,500,000 in fiscal 2011. Dividend payments during fiscal 2012 of $4,486,000 were higher than the $4,218,000 paid during fiscal 2011 due to a dividend rate increase. Proceeds from issuance of Common Stock and treasury stock related to stock option exercises were $352,000 and $1,135,000 in fiscal 2012 and 2011, respectively. Issuance of new debt during fiscal 2011 provided $18,500,000 in additional cash.</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Cash provided by financing activities was $9,785,000 in fiscal 2011 compared to cash used in financing activities of $11,436,000 in fiscal 2010. Issuance of new debt during fiscal 2011 provided $18,500,000 in additional cash. Payments on long-term debt in fiscal 2011 were $3,500,000 compared to $3,200,000 in fiscal 2010. Dividend payments during fiscal 2011 of $4,218,000 were higher than the $3,992,000 paid during fiscal 2010 due to a dividend rate increase. Cash used to purchase treasury stock was $2,474,000 and $5,988,000 in fiscal 2011 and 2010, respectively. Proceeds from issuance of Common Stock and treasury stock related to stock option exercises were $1,135,000 and $1,361,000 in fiscal 2011 and 2010,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cash and investment balances held by our foreign subsidiaries at July 31, 2012, 2011 and 2010 were $1,847,000, $1,904,000 and $1,773,000, respectively. Cash and investment balances fluctuated due to normal business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 $15,000,000 unsecured revolving credit agreement with BMO Harris Bank N.A. (“BMO Harris”) which will expire December 31, 2014. The credit agreement provides that we may select a variable rate based on either BMO Harris’ prime rate or a LIBOR-based rate, plus a margin which varies depending on our debt to earnings ratio, or a fixed rate as agreed between us and BMO Harris. The credit agreement also allows us to obtain foreign letters of credit when necessary. At July 31, 2012, the variable rates would have been 3.25% for BMO Harris’ prime-based rate or 2.32% for LIBOR-based rate. The credit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2012 and 2011, there were no outstanding borrowings under this credit facility and we were in compliance with its covenants.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12, 2010, we sold at aggregate face value $18,500,000 in senior promissory notes to The Prudential Insurance Company of America, Prudential Retirement Insurance and Annuity Company, Forethought Life Insurance Company, Physicians Mutual Insurance Company and BCBSM, Inc. dba Blue Cross and Blue Shield of Minnesota pursuant to a Note Agreement dated November 12, 2010 (the “Note Agreement”). The notes bear interest at 3.96% per annum and mature on August 1, 2020. The proceeds of the sale may be used to fund future principal payments of our debt, acquisitions, stock repurchases, capital expenditures and for working capital purposes. The Note Agreement contains certain covenants that restrict our ability and the ability of certain of our subsidiaries to, among other things, (i) incur liens, (ii) incur indebtedness, (iii) merge or consolidate, (iv) sell assets, (v) sell stock of those certain subsidiaries, (vi) engage in business that would change the general nature of the business we are engaged in, and (vii) enter into transactions other than on “arm’s length” terms with affiliates.</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7"/>
          <w:szCs w:val="17"/>
          <w:color w:val="auto"/>
        </w:rPr>
        <w:t>We believe that cash flow from operations, availability under our current revolving credit facility and current cash and investment balances will provide adequate cash funds for foreseeable working capital needs, capital expenditures at existing facilities and debt service obligations for at least the next 12 months. We expect cash requirements for capital expenditures in fiscal 2013 to be higher than in fiscal 2012 due to projects at our manufacturing facilities; however, we expect the increase in capital expenditures to be more than offset by a reduction in spending for advertising, as described in “Results of Operations Fiscal 2012 Compared To Fiscal 2011” above.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the current credit agreement and any successor agreements,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OMMERCIAL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capital requirements are subject to change as business conditions warrant and opportunities arise. The following tables summarize our significant contractual obligations and commercial commitments at July 31, 2012 and the effect such obligations are expected to have on liquidity and cash flows in future periods: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5"/>
          </w:tcPr>
          <w:p>
            <w:pPr>
              <w:ind w:left="960"/>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Less Than 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9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3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3,800,000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7,000,000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6,567,000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12,333,000</w:t>
            </w:r>
          </w:p>
        </w:tc>
      </w:tr>
      <w:tr>
        <w:trPr>
          <w:trHeight w:val="243"/>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5,479,000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1,334,000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1,925,000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1,238,000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982,000</w:t>
            </w: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8,445,000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1,812,000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2,946,000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2,292,000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1,395,000</w:t>
            </w:r>
          </w:p>
        </w:tc>
      </w:tr>
      <w:tr>
        <w:trPr>
          <w:trHeight w:val="257"/>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43,624,000</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6,946,000</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11,871,000</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10,097,000</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14,710,000</w:t>
            </w:r>
          </w:p>
        </w:tc>
      </w:tr>
      <w:tr>
        <w:trPr>
          <w:trHeight w:val="20"/>
        </w:trPr>
        <w:tc>
          <w:tcPr>
            <w:tcW w:w="3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third quarter of fiscal 2012, we made a contribution of approximately $1,068,000 to our defined benefit pension plan. We have not presented this obligation for future years in the table above because the funding requirement can vary from year to year based on changes in the fair value of plan assets and actuarial assumptions. See Item 7A “Quantitative and Qualitative Disclosures About Market Risk” below for certain information regarding the potential impact of financial market fluctuations on pension plan assets and future funding contributions.</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gridSpan w:val="8"/>
          </w:tcPr>
          <w:p>
            <w:pPr>
              <w:ind w:left="120"/>
              <w:spacing w:after="0"/>
              <w:rPr>
                <w:sz w:val="20"/>
                <w:szCs w:val="20"/>
                <w:color w:val="auto"/>
              </w:rPr>
            </w:pPr>
            <w:r>
              <w:rPr>
                <w:rFonts w:ascii="Arial" w:cs="Arial" w:eastAsia="Arial" w:hAnsi="Arial"/>
                <w:sz w:val="18"/>
                <w:szCs w:val="18"/>
                <w:b w:val="1"/>
                <w:bCs w:val="1"/>
                <w:color w:val="auto"/>
              </w:rPr>
              <w:t>Amount of Commitment Expiration Per Period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Total Amounts</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Less Than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After 5</w:t>
            </w:r>
          </w:p>
        </w:tc>
      </w:tr>
      <w:tr>
        <w:trPr>
          <w:trHeight w:val="234"/>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Committed</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24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Other Commercial Commitments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25,855,000</w:t>
            </w:r>
          </w:p>
        </w:tc>
        <w:tc>
          <w:tcPr>
            <w:tcW w:w="2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w w:val="99"/>
              </w:rPr>
              <w:t>$   25,855,000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0"/>
        </w:trPr>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obligations above are open purchase orders primarily for packaging and other ingredients used in our products. The expected timing of payments of these obligations is estimated based on current information. Timing of payments and actual amounts paid may be different, depending on the time of receipt of goods or services, or changes to agreed-upon amounts for some obligations.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have any unconsolidated special purpose entities. As of July 31, 2012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our Consolidated Financial Statements, which have been prepared in accordance with the generally accepted accounting principles of the United States. We review our financial reporting and disclosure practices and accounting policies annually to ensure that our financial reporting and disclosures provide accurate and transparent information relative to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generally accepted accounting principles requires management to make estimates and assumptions that affect the reported amount of assets and liabilities, as well as the reported amounts of revenues and expenses during the reporting period. Significant estimates include promotional programs, allowance for doubtful accounts, pension accounting and income taxes. Actual results could differ from these estimates.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recognize trade receivables when the risk of loss and title pass to the customer. We record an allowance for doubtful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based on our historical experience and a periodic review of our accounts receivable, including a review of the overall aging of accounts and analysis of specific accounts. A customer account is determined to be uncollectible when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recorded an allowance for doubtful accounts of $626,000 and $607,000 at July 31, 2012 and 2011, respectively.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We value inventories at the lower of cost (first-in, first-out) or market. Inventory costs include the cost of raw materials, packaging</w:t>
      </w:r>
      <w:r>
        <w:rPr>
          <w:rFonts w:ascii="Arial" w:cs="Arial" w:eastAsia="Arial" w:hAnsi="Arial"/>
          <w:sz w:val="17"/>
          <w:szCs w:val="17"/>
          <w:b w:val="1"/>
          <w:bCs w:val="1"/>
          <w:color w:val="auto"/>
        </w:rPr>
        <w:t xml:space="preserve"> </w:t>
      </w:r>
      <w:r>
        <w:rPr>
          <w:rFonts w:ascii="Arial" w:cs="Arial" w:eastAsia="Arial" w:hAnsi="Arial"/>
          <w:sz w:val="17"/>
          <w:szCs w:val="17"/>
          <w:color w:val="auto"/>
        </w:rPr>
        <w:t>supplies, labor and other overhead costs. We perform a detailed review of our inventory items to determine if an obsolescence reserve adjustment is necessary. The review surveys all of our operating facilities and sales divisions to ensure that both historical issues and new market trends are considered. The obsolescence reserve not only considers specific items, but also takes into consideration the overall value of the inventory as of the balance sheet date. The inventory obsolescence reserve values at July 31, 2012 and 2011 were $281,000 and $326,000, respectively.</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Reclamation. </w:t>
      </w:r>
      <w:r>
        <w:rPr>
          <w:rFonts w:ascii="Arial" w:cs="Arial" w:eastAsia="Arial" w:hAnsi="Arial"/>
          <w:sz w:val="18"/>
          <w:szCs w:val="18"/>
          <w:color w:val="auto"/>
        </w:rPr>
        <w:t>During the normal course of our mining process we remove overburden and perform on-going reclamation activities. As overburden is</w:t>
      </w:r>
      <w:r>
        <w:rPr>
          <w:rFonts w:ascii="Arial" w:cs="Arial" w:eastAsia="Arial" w:hAnsi="Arial"/>
          <w:sz w:val="18"/>
          <w:szCs w:val="18"/>
          <w:b w:val="1"/>
          <w:bCs w:val="1"/>
          <w:color w:val="auto"/>
        </w:rPr>
        <w:t xml:space="preserve"> </w:t>
      </w:r>
      <w:r>
        <w:rPr>
          <w:rFonts w:ascii="Arial" w:cs="Arial" w:eastAsia="Arial" w:hAnsi="Arial"/>
          <w:sz w:val="18"/>
          <w:szCs w:val="18"/>
          <w:color w:val="auto"/>
        </w:rPr>
        <w:t>removed from a pit, it is hauled to a previously mined pit and used to refill older sites. This process allows us to continuously reclaim older pits and dispose of overburden simultaneously, therefore minimizing the liability of the reclamation process.</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On an annual basis we evaluate our potential reclamation liability in accordance with ASC 410, </w:t>
      </w:r>
      <w:r>
        <w:rPr>
          <w:rFonts w:ascii="Arial" w:cs="Arial" w:eastAsia="Arial" w:hAnsi="Arial"/>
          <w:sz w:val="17"/>
          <w:szCs w:val="17"/>
          <w:i w:val="1"/>
          <w:iCs w:val="1"/>
          <w:color w:val="auto"/>
        </w:rPr>
        <w:t>Asset Retirement and Environmental Obligations</w:t>
      </w:r>
      <w:r>
        <w:rPr>
          <w:rFonts w:ascii="Arial" w:cs="Arial" w:eastAsia="Arial" w:hAnsi="Arial"/>
          <w:sz w:val="17"/>
          <w:szCs w:val="17"/>
          <w:color w:val="auto"/>
        </w:rPr>
        <w:t>. As of July 31, 2012 and 2011, we have recorded an estimated net reclamation asset of $619,000 and $495,000, respectively, and a corresponding estimated reclamation liability of $1,269,000 and $1,114,000, respectively.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once again over the estimated useful lives of the mines.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for reclamation obligations requires that we make estimates unique to each mining operation of the future costs we will incur to complete the reclamation work required to comply with existing laws and regulations. Actual costs incurred in the future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Impairment of goodwill, trademarks and other intangible assets. </w:t>
      </w:r>
      <w:r>
        <w:rPr>
          <w:rFonts w:ascii="Arial" w:cs="Arial" w:eastAsia="Arial" w:hAnsi="Arial"/>
          <w:sz w:val="18"/>
          <w:szCs w:val="18"/>
          <w:color w:val="auto"/>
        </w:rPr>
        <w:t>We review carrying values of goodwill, trademarks and other indefinite lived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intangible assets periodically for possible impairment in accordance ASC 350, </w:t>
      </w:r>
      <w:r>
        <w:rPr>
          <w:rFonts w:ascii="Arial" w:cs="Arial" w:eastAsia="Arial" w:hAnsi="Arial"/>
          <w:sz w:val="18"/>
          <w:szCs w:val="18"/>
          <w:i w:val="1"/>
          <w:iCs w:val="1"/>
          <w:color w:val="auto"/>
        </w:rPr>
        <w:t>Intangibles – Goodwill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and Other. </w:t>
      </w:r>
      <w:r>
        <w:rPr>
          <w:rFonts w:ascii="Arial" w:cs="Arial" w:eastAsia="Arial" w:hAnsi="Arial"/>
          <w:sz w:val="17"/>
          <w:szCs w:val="17"/>
          <w:color w:val="auto"/>
        </w:rPr>
        <w:t>Our impairment review is based on a discounted cash flow approach that requires significant judgment with respect to volume, revenue,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growth rates and the selection of an appropriate discount rate. Impairment occurs when the carrying value exceeds the fair value. Our impairment analysis is performed in the first quarter of the fiscal year and when indicators such as unexpected adverse economic factors, unanticipated technological changes, competitive activities and acts by governments and courts indicate that an asset may become impaired. We use judgment in assessing whether assets may have become impaired. Our analysis in the first quarter of fiscal 2012 did not indicate any impairment. We continue to monitor events, circumstances or changes in the business that might imply a reduction in value and might lead to impairment.</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Trade Promotions. </w:t>
      </w:r>
      <w:r>
        <w:rPr>
          <w:rFonts w:ascii="Arial" w:cs="Arial" w:eastAsia="Arial" w:hAnsi="Arial"/>
          <w:sz w:val="17"/>
          <w:szCs w:val="17"/>
          <w:color w:val="auto"/>
        </w:rPr>
        <w:t>We routinely commit to one-time or ongoing trade promotion programs in our Retail and Wholesale Products Group.</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with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$2,979,000 and $2,259,000 for trade promotions at July 31, 2012 and 2011, respectively.</w:t>
      </w:r>
    </w:p>
    <w:p>
      <w:pPr>
        <w:spacing w:after="0" w:line="17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We account for stock options and restricted stock issued under our long term incentive plans in accordance with ASC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requires the determination of the fair value of stock-based compensation at the grant date and the recognition in the financial statements of the related compensation expense over the appropriate vesting period. The fair value of stock options was estimated on the grant date using the Black-Scholes Option Pricing Method. This method requires management to make certain estimates, including estimating the expected term of stock options, expected volatility of our stock and expected dividends. In addition, judgment is required in estimating the amount of stock-based awards that are expected to be forfeited. It could have a material effect on our Consolidated Financial Statements if actual results differ significantly from these estimates or different key assumptions were used. We recognized stock-based compensation expense of $523,000 in fiscal 2012 and $478,000 in fiscal 2011, net of related tax effect. These amounts include expense related to both stock option grants and restricted stock awards.</w:t>
      </w:r>
    </w:p>
    <w:p>
      <w:pPr>
        <w:spacing w:after="0" w:line="16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Pension and Postretirement Benefit Costs. </w:t>
      </w:r>
      <w:r>
        <w:rPr>
          <w:rFonts w:ascii="Arial" w:cs="Arial" w:eastAsia="Arial" w:hAnsi="Arial"/>
          <w:sz w:val="16"/>
          <w:szCs w:val="16"/>
          <w:color w:val="auto"/>
        </w:rPr>
        <w:t>We calculate our pension and postretirement health benefit obligations and the related effects on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1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cashflows discounted with spot rates on a yield curve of investment-grade corporate bonds. The yield curve is the Citigroup Pension Liability Index.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9 of the Notes to the Consolidated Financial Statements for additional information.</w:t>
      </w:r>
    </w:p>
    <w:p>
      <w:pPr>
        <w:spacing w:after="0" w:line="17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Our effective tax rate is based on expected income, statutory tax rates and tax planning opportunities available to us in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jurisdictions in which we operate. Significant judgment is required in determining our effective tax rate and in evaluating our tax positions.</w:t>
      </w:r>
    </w:p>
    <w:p>
      <w:pPr>
        <w:spacing w:after="0" w:line="1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determine our current and deferred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tax effect of the expected reversal of tax differences is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 We maintain valuation allowances where it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 We recorded valuation allowances for income taxes of $4,061,000 and $3,106,000 at July 31, 2012 and 2011, respectively. The valuation allowance at July 31, 2012 has been established for the full amount of the deferred tax benefit related to our alternative minimum tax credit carryforwards since we believe it is more likely than not that the benefit of these credits will not be realized.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valuation allowances, we provide for uncertain tax positions when such tax positions do not meet certain recognition thresholds or measurement standards. Amounts for uncertain tax positions are adjusted when new information becomes available or when positions are effectively settled. Our liability for unrecognized tax benefits based on tax positions related to the current and prior fiscal years were $273,000 at both July 31, 2012 and 2011. See Note 6 of the Notes to the Consolidated Financial Statements for further discussion.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In the first quarter of fiscal 2012, we adopted the Financial Accounting Standards Board (“FASB”) issued guidance under ASC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 Improving Disclosures about Fair Value Measurements</w:t>
      </w:r>
      <w:r>
        <w:rPr>
          <w:rFonts w:ascii="Arial" w:cs="Arial" w:eastAsia="Arial" w:hAnsi="Arial"/>
          <w:sz w:val="16"/>
          <w:szCs w:val="16"/>
          <w:color w:val="auto"/>
        </w:rPr>
        <w:t>. This guidance requires new disclosures related to Level 3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however, no new disclosures were required during fiscal 2012 since we have no financial assets or liabilities with this fair value classification.</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third quarter of fiscal 2012, we adopted FASB guidance issued under ASC 820, </w:t>
      </w:r>
      <w:r>
        <w:rPr>
          <w:rFonts w:ascii="Arial" w:cs="Arial" w:eastAsia="Arial" w:hAnsi="Arial"/>
          <w:sz w:val="18"/>
          <w:szCs w:val="18"/>
          <w:i w:val="1"/>
          <w:iCs w:val="1"/>
          <w:color w:val="auto"/>
        </w:rPr>
        <w:t>Fair Value Measurement: Amendments to Achieve Common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Measurement and Disclosure Requirements in U.S. GAAP and IFRSs. </w:t>
      </w:r>
      <w:r>
        <w:rPr>
          <w:rFonts w:ascii="Arial" w:cs="Arial" w:eastAsia="Arial" w:hAnsi="Arial"/>
          <w:sz w:val="18"/>
          <w:szCs w:val="18"/>
          <w:color w:val="auto"/>
        </w:rPr>
        <w:t>In accordance with the new requirements, we provided enhanced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measurement of the estimated fair value of debt. There was no impact on our Consolidated Financial Statements as a result of adopting this new guidance.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2011, the FASB issued guidance under ASC 220, </w:t>
      </w:r>
      <w:r>
        <w:rPr>
          <w:rFonts w:ascii="Arial" w:cs="Arial" w:eastAsia="Arial" w:hAnsi="Arial"/>
          <w:sz w:val="18"/>
          <w:szCs w:val="18"/>
          <w:i w:val="1"/>
          <w:iCs w:val="1"/>
          <w:color w:val="auto"/>
        </w:rPr>
        <w:t>Comprehensive Income: Presentation of Comprehensive Income,</w:t>
      </w:r>
      <w:r>
        <w:rPr>
          <w:rFonts w:ascii="Arial" w:cs="Arial" w:eastAsia="Arial" w:hAnsi="Arial"/>
          <w:sz w:val="18"/>
          <w:szCs w:val="18"/>
          <w:color w:val="auto"/>
        </w:rPr>
        <w:t xml:space="preserve"> that requires presentation of the components of net income and other comprehensive income either in one continuous statement, referred to as the Statement of Comprehensive Income, or in two separate consecutive statements. The requirements eliminate the current option to report other comprehensive income and its components in the Statement of Stockholders' Equity. The components recognized in net income or other comprehensive income under current accounting guidance will not change. The presentation requirements will be adopted beginning with our Quarterly Report on Form 10-Q for the quarter ending October 31, 2012 and will be applied retrospectively.</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September 2011, the FASB issued guidance under ASC 350,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xml:space="preserve"> that provides the option to first assess qualitative factors to determine if the annual two-step test of goodwill for impairment must be performed</w:t>
      </w:r>
      <w:r>
        <w:rPr>
          <w:rFonts w:ascii="Arial" w:cs="Arial" w:eastAsia="Arial" w:hAnsi="Arial"/>
          <w:sz w:val="17"/>
          <w:szCs w:val="17"/>
          <w:i w:val="1"/>
          <w:iCs w:val="1"/>
          <w:color w:val="auto"/>
        </w:rPr>
        <w:t>.</w:t>
      </w:r>
      <w:r>
        <w:rPr>
          <w:rFonts w:ascii="Arial" w:cs="Arial" w:eastAsia="Arial" w:hAnsi="Arial"/>
          <w:sz w:val="17"/>
          <w:szCs w:val="17"/>
          <w:color w:val="auto"/>
        </w:rPr>
        <w:t xml:space="preserve"> If, based on the qualitative assessment of events or circumstances, an entity determines it is not more likely than not that the goodwill fair value is less than its carrying amount, then it is not necessary to perform the two-step impairment test. However, if an entity concludes otherwise, then the two-step impairment test must be performed to identify potential impairment and to measure the amount of goodwill impairment, if any. We will consider the option provided in this guidance for our annual goodwill impairment testing for our 2013 fiscal year and believe there will be no material impact on our Consolidated Financial Statements.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July 2012, the FASB issued guidance under ASC 350, </w:t>
      </w:r>
      <w:r>
        <w:rPr>
          <w:rFonts w:ascii="Arial" w:cs="Arial" w:eastAsia="Arial" w:hAnsi="Arial"/>
          <w:sz w:val="17"/>
          <w:szCs w:val="17"/>
          <w:i w:val="1"/>
          <w:iCs w:val="1"/>
          <w:color w:val="auto"/>
        </w:rPr>
        <w:t>Testing Indefinite-Lived Intangible Assets for Impairment,</w:t>
      </w:r>
      <w:r>
        <w:rPr>
          <w:rFonts w:ascii="Arial" w:cs="Arial" w:eastAsia="Arial" w:hAnsi="Arial"/>
          <w:sz w:val="17"/>
          <w:szCs w:val="17"/>
          <w:color w:val="auto"/>
        </w:rPr>
        <w:t xml:space="preserve"> that provides the option to first assess qualitative factors to determine whether it is more likely than not that an indefinite-lived intangible asset is impaired as a basis for determining whether it is necessary to perform the second, quantitative impairment test. If, based on the qualitative assessment of events or circumstances, an entity determines it is not more likely than not that the indefinite-lived intangible asset's fair value is less than its carrying amount, then it is not necessary to perform the quantitative impairment test. However, if an entity concludes otherwise, then the quantitative impairment test must also be performed to identify and measure any potential impairment amount. We are currently evaluating the impact this guidance will have on our annual indefinite-lived intangible asset impairment testing for our fiscal year 2014 beginning August 1, 2013.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exposed to foreign currency fluctuation risk, primarily U.S. Dollar/British Pound, U.S. Dollar/Euro and U.S. Dollar/Canadian Dollar, as it relates to certain accounts receivables and to our foreign operations. We are subject to translation exposure of our foreign subsidiaries’ financial statements. In recent years, our foreign subsidiaries have not generated a substantial portion of our consolidated net sales or net income. In addition, a small portion of our consolidated accounts receivable are denominated in foreign currencies. During fiscal 2012, we entered into two derivative contracts to reduce exposure to fluctuations in the exchange rate of the Euro compared to the U.S. Dollar. These contracts expired prior to July 31, 2012 and no transactions were executed per the contractual terms because exchange rates did not fluctuate outside the stated levels. We believe that the overall foreign currency fluctuation risk is immaterial to our Consolidated Financial Statements.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market risk at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regulatory risk in the fluids purification, agricultural and animal health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we may contract for a portion of our anticipated fuel needs using forward purchase contracts to mitigate the volatility of our kiln fuel prices. Natural gas prices have remained relatively stable over the past twelve months; therefore, as of July 31, 2012, we have purchased no natural gas contracts for our planned kiln fuel needs for fiscal 2013. We continue to purchase natural gas at spot rates on a month to month basis.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also see Item 1A “Risk Factors” above for a discussion of these and other risks and uncertainties we face in our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80" w:type="dxa"/>
            <w:vAlign w:val="bottom"/>
          </w:tcPr>
          <w:p>
            <w:pPr>
              <w:spacing w:after="0"/>
              <w:rPr>
                <w:sz w:val="24"/>
                <w:szCs w:val="24"/>
                <w:color w:val="auto"/>
              </w:rPr>
            </w:pPr>
          </w:p>
        </w:tc>
        <w:tc>
          <w:tcPr>
            <w:tcW w:w="7180" w:type="dxa"/>
            <w:vAlign w:val="bottom"/>
          </w:tcPr>
          <w:p>
            <w:pPr>
              <w:ind w:left="288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July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180" w:type="dxa"/>
            <w:vAlign w:val="bottom"/>
          </w:tcPr>
          <w:p>
            <w:pPr>
              <w:ind w:left="256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26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(in thousands of dollars)</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27,093</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17,885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Investment in short-term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w:t>
            </w:r>
          </w:p>
        </w:tc>
        <w:tc>
          <w:tcPr>
            <w:tcW w:w="0" w:type="dxa"/>
            <w:vAlign w:val="bottom"/>
          </w:tcPr>
          <w:p>
            <w:pPr>
              <w:spacing w:after="0"/>
              <w:rPr>
                <w:sz w:val="1"/>
                <w:szCs w:val="1"/>
                <w:color w:val="auto"/>
              </w:rPr>
            </w:pPr>
          </w:p>
        </w:tc>
      </w:tr>
      <w:tr>
        <w:trPr>
          <w:trHeight w:val="229"/>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Accounts receivable, less allowance of $626 and $607</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30,225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520"/>
              <w:spacing w:after="0"/>
              <w:rPr>
                <w:sz w:val="20"/>
                <w:szCs w:val="20"/>
                <w:color w:val="auto"/>
              </w:rPr>
            </w:pPr>
            <w:r>
              <w:rPr>
                <w:rFonts w:ascii="Arial" w:cs="Arial" w:eastAsia="Arial" w:hAnsi="Arial"/>
                <w:sz w:val="18"/>
                <w:szCs w:val="18"/>
                <w:color w:val="auto"/>
              </w:rPr>
              <w:t>in 2012 and 2011,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29,217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19,673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2,611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repairs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2,888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95,202</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91,816</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Buildings and 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28,338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27,642</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109,181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115,978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Office furniture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Vehicles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10,621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10,570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depreciable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157,860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164,183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(112,254)</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(121,251)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depreciable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45,606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42,932</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2,572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16,275</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237"/>
        </w:trPr>
        <w:tc>
          <w:tcPr>
            <w:tcW w:w="8460" w:type="dxa"/>
            <w:vAlign w:val="bottom"/>
            <w:gridSpan w:val="2"/>
          </w:tcPr>
          <w:p>
            <w:pPr>
              <w:ind w:left="114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64,453</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68,028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5,162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Trademarks and patents, net of accumulated amortization</w:t>
            </w:r>
          </w:p>
        </w:tc>
        <w:tc>
          <w:tcPr>
            <w:tcW w:w="28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of $409 and $381 in 2012 and 2011,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9"/>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Debt issuance costs, net of accumulated amortization</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520"/>
              <w:spacing w:after="0"/>
              <w:rPr>
                <w:sz w:val="20"/>
                <w:szCs w:val="20"/>
                <w:color w:val="auto"/>
              </w:rPr>
            </w:pPr>
            <w:r>
              <w:rPr>
                <w:rFonts w:ascii="Arial" w:cs="Arial" w:eastAsia="Arial" w:hAnsi="Arial"/>
                <w:sz w:val="18"/>
                <w:szCs w:val="18"/>
                <w:color w:val="auto"/>
              </w:rPr>
              <w:t>of $380 and $333 in 2012 and 2011,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Licensing agreements and non-compete agreements,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of accumulated amortization of $1,611 and $1,361 in</w:t>
            </w:r>
          </w:p>
        </w:tc>
        <w:tc>
          <w:tcPr>
            <w:tcW w:w="2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627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2012 and 2011,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3,224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4,638</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37"/>
        </w:trPr>
        <w:tc>
          <w:tcPr>
            <w:tcW w:w="8460" w:type="dxa"/>
            <w:vAlign w:val="bottom"/>
            <w:gridSpan w:val="2"/>
          </w:tcPr>
          <w:p>
            <w:pPr>
              <w:ind w:left="1140"/>
              <w:spacing w:after="0"/>
              <w:rPr>
                <w:sz w:val="20"/>
                <w:szCs w:val="20"/>
                <w:color w:val="auto"/>
              </w:rPr>
            </w:pPr>
            <w:r>
              <w:rPr>
                <w:rFonts w:ascii="Arial" w:cs="Arial" w:eastAsia="Arial" w:hAnsi="Arial"/>
                <w:sz w:val="18"/>
                <w:szCs w:val="18"/>
                <w:color w:val="auto"/>
              </w:rPr>
              <w:t>Total Other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14,612</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174,267</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173,393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8"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FF"/>
            </w:tcBorders>
          </w:tcPr>
          <w:p>
            <w:pPr>
              <w:spacing w:after="0"/>
              <w:rPr>
                <w:sz w:val="24"/>
                <w:szCs w:val="24"/>
                <w:color w:val="auto"/>
              </w:rPr>
            </w:pPr>
          </w:p>
        </w:tc>
        <w:tc>
          <w:tcPr>
            <w:tcW w:w="7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July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180" w:type="dxa"/>
            <w:vAlign w:val="bottom"/>
          </w:tcPr>
          <w:p>
            <w:pPr>
              <w:ind w:left="9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0"/>
                <w:szCs w:val="20"/>
                <w:color w:val="auto"/>
              </w:rPr>
            </w:pPr>
          </w:p>
        </w:tc>
        <w:tc>
          <w:tcPr>
            <w:tcW w:w="26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(in thousands of dollars)</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Current maturities of notes payable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3,800</w:t>
            </w:r>
          </w:p>
        </w:tc>
        <w:tc>
          <w:tcPr>
            <w:tcW w:w="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6,700</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1,154</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640"/>
              <w:spacing w:after="0"/>
              <w:rPr>
                <w:sz w:val="20"/>
                <w:szCs w:val="20"/>
                <w:color w:val="auto"/>
              </w:rPr>
            </w:pPr>
            <w:r>
              <w:rPr>
                <w:rFonts w:ascii="Arial" w:cs="Arial" w:eastAsia="Arial" w:hAnsi="Arial"/>
                <w:sz w:val="18"/>
                <w:szCs w:val="18"/>
                <w:color w:val="auto"/>
              </w:rPr>
              <w:t>Salaries, wages and commissions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6,201</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Trade promotions and 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3,302</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640"/>
              <w:spacing w:after="0"/>
              <w:rPr>
                <w:sz w:val="20"/>
                <w:szCs w:val="20"/>
                <w:color w:val="auto"/>
              </w:rPr>
            </w:pPr>
            <w:r>
              <w:rPr>
                <w:rFonts w:ascii="Arial" w:cs="Arial" w:eastAsia="Arial" w:hAnsi="Arial"/>
                <w:sz w:val="18"/>
                <w:szCs w:val="18"/>
                <w:color w:val="auto"/>
              </w:rPr>
              <w:t>Freight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2,585</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5,380</w:t>
            </w: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37"/>
        </w:trPr>
        <w:tc>
          <w:tcPr>
            <w:tcW w:w="8460" w:type="dxa"/>
            <w:vAlign w:val="bottom"/>
            <w:gridSpan w:val="2"/>
          </w:tcPr>
          <w:p>
            <w:pPr>
              <w:ind w:left="1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29,122</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26,480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25,900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29,700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8,117</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7,196</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24,241</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1,579</w:t>
            </w: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7"/>
        </w:trPr>
        <w:tc>
          <w:tcPr>
            <w:tcW w:w="8460" w:type="dxa"/>
            <w:vAlign w:val="bottom"/>
            <w:gridSpan w:val="2"/>
          </w:tcPr>
          <w:p>
            <w:pPr>
              <w:ind w:left="11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59,837</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88,959</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78,095</w:t>
            </w: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Common Stock, par value $.10 per share, issued 7,786,241</w:t>
            </w:r>
          </w:p>
        </w:tc>
        <w:tc>
          <w:tcPr>
            <w:tcW w:w="280" w:type="dxa"/>
            <w:vAlign w:val="bottom"/>
          </w:tcPr>
          <w:p>
            <w:pPr>
              <w:spacing w:after="0"/>
              <w:rPr>
                <w:sz w:val="19"/>
                <w:szCs w:val="19"/>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779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shares in 2012 and 7,750,324 shares in 2011</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Class B Stock, par value $.10 per share, issued 2,374,859</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shares in 2012 and 2,372,859 shares in 2011</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29,759</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29,213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Restricted unearned 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(2,214)</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122,901</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121,388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720"/>
              <w:spacing w:after="0"/>
              <w:rPr>
                <w:sz w:val="20"/>
                <w:szCs w:val="20"/>
                <w:color w:val="auto"/>
              </w:rPr>
            </w:pPr>
            <w:r>
              <w:rPr>
                <w:rFonts w:ascii="Arial" w:cs="Arial" w:eastAsia="Arial" w:hAnsi="Arial"/>
                <w:sz w:val="18"/>
                <w:szCs w:val="18"/>
                <w:color w:val="auto"/>
              </w:rPr>
              <w:t>Unrealized gain on marketable securities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72</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(11,591)</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43"/>
        </w:trPr>
        <w:tc>
          <w:tcPr>
            <w:tcW w:w="8460" w:type="dxa"/>
            <w:vAlign w:val="bottom"/>
            <w:gridSpan w:val="2"/>
          </w:tcPr>
          <w:p>
            <w:pPr>
              <w:ind w:left="7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573</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Less treasury stock, at cost (2,911,564 Common and 324,741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Class B shares in 2012 and 2,642,387 Common and</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(55,208)</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324,741 Class B shares in 2011)</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vMerge w:val="continue"/>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(49,424)</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85,308</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95,298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28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174,267</w:t>
            </w:r>
          </w:p>
        </w:tc>
        <w:tc>
          <w:tcPr>
            <w:tcW w:w="44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173,393</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460" w:type="dxa"/>
            <w:vAlign w:val="bottom"/>
            <w:gridSpan w:val="2"/>
          </w:tcPr>
          <w:p>
            <w:pPr>
              <w:ind w:left="562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96"/>
        </w:trPr>
        <w:tc>
          <w:tcPr>
            <w:tcW w:w="1280" w:type="dxa"/>
            <w:vAlign w:val="bottom"/>
            <w:tcBorders>
              <w:top w:val="single" w:sz="8" w:color="0000FF"/>
            </w:tcBorders>
          </w:tcPr>
          <w:p>
            <w:pPr>
              <w:spacing w:after="0"/>
              <w:rPr>
                <w:sz w:val="24"/>
                <w:szCs w:val="24"/>
                <w:color w:val="auto"/>
              </w:rPr>
            </w:pPr>
          </w:p>
        </w:tc>
        <w:tc>
          <w:tcPr>
            <w:tcW w:w="2300" w:type="dxa"/>
            <w:vAlign w:val="bottom"/>
          </w:tcPr>
          <w:p>
            <w:pPr>
              <w:spacing w:after="0"/>
              <w:rPr>
                <w:sz w:val="24"/>
                <w:szCs w:val="24"/>
                <w:color w:val="auto"/>
              </w:rPr>
            </w:pPr>
          </w:p>
        </w:tc>
        <w:tc>
          <w:tcPr>
            <w:tcW w:w="46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Year Ended July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7"/>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89"/>
              </w:rPr>
              <w:t>(in thousands, except for per share data)</w:t>
            </w:r>
          </w:p>
        </w:tc>
      </w:tr>
      <w:tr>
        <w:trPr>
          <w:trHeight w:val="216"/>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240,681</w:t>
            </w:r>
          </w:p>
        </w:tc>
        <w:tc>
          <w:tcPr>
            <w:tcW w:w="5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226,755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219,050</w:t>
            </w: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 of Sales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(181,676)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(176,715)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(169,362)</w:t>
            </w:r>
          </w:p>
        </w:tc>
      </w:tr>
      <w:tr>
        <w:trPr>
          <w:trHeight w:val="27"/>
        </w:trPr>
        <w:tc>
          <w:tcPr>
            <w:tcW w:w="1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59,005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50,040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49,688</w:t>
            </w: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Selling, General and Administrative Expenses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(47,303)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(36,331)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(36,139)</w:t>
            </w: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Capacity Rationalization Charges</w:t>
            </w:r>
          </w:p>
        </w:tc>
        <w:tc>
          <w:tcPr>
            <w:tcW w:w="3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10,079</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13,709</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13,549</w:t>
            </w:r>
          </w:p>
        </w:tc>
      </w:tr>
      <w:tr>
        <w:trPr>
          <w:trHeight w:val="27"/>
        </w:trPr>
        <w:tc>
          <w:tcPr>
            <w:tcW w:w="1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43"/>
        </w:trPr>
        <w:tc>
          <w:tcPr>
            <w:tcW w:w="3580" w:type="dxa"/>
            <w:vAlign w:val="bottom"/>
            <w:gridSpan w:val="2"/>
          </w:tcPr>
          <w:p>
            <w:pPr>
              <w:ind w:left="380"/>
              <w:spacing w:after="0"/>
              <w:rPr>
                <w:sz w:val="20"/>
                <w:szCs w:val="20"/>
                <w:color w:val="auto"/>
              </w:rPr>
            </w:pPr>
            <w:r>
              <w:rPr>
                <w:rFonts w:ascii="Arial" w:cs="Arial" w:eastAsia="Arial" w:hAnsi="Arial"/>
                <w:sz w:val="18"/>
                <w:szCs w:val="18"/>
                <w:color w:val="auto"/>
              </w:rPr>
              <w:t>Foreign exchange loss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507</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r>
        <w:trPr>
          <w:trHeight w:val="237"/>
        </w:trPr>
        <w:tc>
          <w:tcPr>
            <w:tcW w:w="3580" w:type="dxa"/>
            <w:vAlign w:val="bottom"/>
            <w:gridSpan w:val="2"/>
          </w:tcPr>
          <w:p>
            <w:pPr>
              <w:ind w:left="720"/>
              <w:spacing w:after="0"/>
              <w:rPr>
                <w:sz w:val="20"/>
                <w:szCs w:val="20"/>
                <w:color w:val="auto"/>
              </w:rPr>
            </w:pPr>
            <w:r>
              <w:rPr>
                <w:rFonts w:ascii="Arial" w:cs="Arial" w:eastAsia="Arial" w:hAnsi="Arial"/>
                <w:sz w:val="18"/>
                <w:szCs w:val="18"/>
                <w:color w:val="auto"/>
              </w:rPr>
              <w:t>Total Other Expense, Net</w:t>
            </w:r>
          </w:p>
        </w:tc>
        <w:tc>
          <w:tcPr>
            <w:tcW w:w="3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(1,718)</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w:t>
            </w:r>
          </w:p>
        </w:tc>
      </w:tr>
      <w:tr>
        <w:trPr>
          <w:trHeight w:val="27"/>
        </w:trPr>
        <w:tc>
          <w:tcPr>
            <w:tcW w:w="1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8,361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12,814</w:t>
            </w: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Taxes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(2,263)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(3,356)</w:t>
            </w:r>
          </w:p>
        </w:tc>
      </w:tr>
      <w:tr>
        <w:trPr>
          <w:trHeight w:val="27"/>
        </w:trPr>
        <w:tc>
          <w:tcPr>
            <w:tcW w:w="1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5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6,098</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9,051</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35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Basic Common</w:t>
            </w:r>
          </w:p>
        </w:tc>
        <w:tc>
          <w:tcPr>
            <w:tcW w:w="3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0.92</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r>
      <w:tr>
        <w:trPr>
          <w:trHeight w:val="251"/>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 Class B Common</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0"/>
        </w:trPr>
        <w:tc>
          <w:tcPr>
            <w:tcW w:w="1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358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6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0.85</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365"/>
        </w:trPr>
        <w:tc>
          <w:tcPr>
            <w:tcW w:w="1280" w:type="dxa"/>
            <w:vAlign w:val="bottom"/>
            <w:tcBorders>
              <w:top w:val="single" w:sz="8" w:color="CCEEFF"/>
            </w:tcBorders>
            <w:shd w:val="clear" w:color="auto" w:fill="CCEEFF"/>
          </w:tcPr>
          <w:p>
            <w:pPr>
              <w:spacing w:after="0"/>
              <w:rPr>
                <w:sz w:val="24"/>
                <w:szCs w:val="24"/>
                <w:color w:val="auto"/>
              </w:rPr>
            </w:pPr>
          </w:p>
        </w:tc>
        <w:tc>
          <w:tcPr>
            <w:tcW w:w="2300" w:type="dxa"/>
            <w:vAlign w:val="bottom"/>
            <w:tcBorders>
              <w:top w:val="single" w:sz="8" w:color="CCEEFF"/>
            </w:tcBorders>
            <w:shd w:val="clear" w:color="auto" w:fill="CCEEFF"/>
          </w:tcPr>
          <w:p>
            <w:pPr>
              <w:spacing w:after="0"/>
              <w:rPr>
                <w:sz w:val="24"/>
                <w:szCs w:val="24"/>
                <w:color w:val="auto"/>
              </w:rPr>
            </w:pPr>
          </w:p>
        </w:tc>
        <w:tc>
          <w:tcPr>
            <w:tcW w:w="32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 Common</w:t>
            </w:r>
          </w:p>
        </w:tc>
        <w:tc>
          <w:tcPr>
            <w:tcW w:w="3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5,063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5,203</w:t>
            </w:r>
          </w:p>
        </w:tc>
      </w:tr>
      <w:tr>
        <w:trPr>
          <w:trHeight w:val="20"/>
        </w:trPr>
        <w:tc>
          <w:tcPr>
            <w:tcW w:w="1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35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Basic Class B Common</w:t>
            </w:r>
          </w:p>
        </w:tc>
        <w:tc>
          <w:tcPr>
            <w:tcW w:w="3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1,934</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1,908</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1,891</w:t>
            </w:r>
          </w:p>
        </w:tc>
      </w:tr>
      <w:tr>
        <w:trPr>
          <w:trHeight w:val="251"/>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7,062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7,103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7,275</w:t>
            </w:r>
          </w:p>
        </w:tc>
      </w:tr>
      <w:tr>
        <w:trPr>
          <w:trHeight w:val="20"/>
        </w:trPr>
        <w:tc>
          <w:tcPr>
            <w:tcW w:w="1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8"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OTHER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6"/>
          </w:tcPr>
          <w:p>
            <w:pPr>
              <w:ind w:left="60"/>
              <w:spacing w:after="0"/>
              <w:rPr>
                <w:sz w:val="20"/>
                <w:szCs w:val="20"/>
                <w:color w:val="auto"/>
              </w:rPr>
            </w:pPr>
            <w:r>
              <w:rPr>
                <w:rFonts w:ascii="Arial" w:cs="Arial" w:eastAsia="Arial" w:hAnsi="Arial"/>
                <w:sz w:val="14"/>
                <w:szCs w:val="14"/>
                <w:b w:val="1"/>
                <w:bCs w:val="1"/>
                <w:color w:val="auto"/>
              </w:rPr>
              <w:t>(in thousands of dollars)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9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94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Income/(Loss)</w:t>
            </w:r>
          </w:p>
        </w:tc>
        <w:tc>
          <w:tcPr>
            <w:tcW w:w="200" w:type="dxa"/>
            <w:vAlign w:val="bottom"/>
          </w:tcPr>
          <w:p>
            <w:pPr>
              <w:spacing w:after="0"/>
              <w:rPr>
                <w:sz w:val="16"/>
                <w:szCs w:val="16"/>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2009</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9,715,372</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(2,607,262)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23,366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111,593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(41,722)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(4,262)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89,563</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9,458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9,458</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w w:val="96"/>
              </w:rPr>
              <w:t>Cumulative Translation Adjustments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Unrealized gain (loss) 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Unrecognized actuarial gain (loss),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prior service cost and transition</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liability</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Comprehensive Income</w:t>
            </w:r>
          </w:p>
        </w:tc>
        <w:tc>
          <w:tcPr>
            <w:tcW w:w="8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8,969</w:t>
            </w:r>
          </w:p>
        </w:tc>
        <w:tc>
          <w:tcPr>
            <w:tcW w:w="0" w:type="dxa"/>
            <w:vAlign w:val="bottom"/>
          </w:tcPr>
          <w:p>
            <w:pPr>
              <w:spacing w:after="0"/>
              <w:rPr>
                <w:sz w:val="1"/>
                <w:szCs w:val="1"/>
                <w:color w:val="auto"/>
              </w:rPr>
            </w:pPr>
          </w:p>
        </w:tc>
      </w:tr>
      <w:tr>
        <w:trPr>
          <w:trHeight w:val="25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(4,041)</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(288,243)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(5,988)</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w w:val="96"/>
              </w:rPr>
              <w:t>Issuance of Stock Under Long-Term</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Incentive Plans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168,767</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Balance, July 31, 2010</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9,884,139</w:t>
            </w:r>
          </w:p>
        </w:tc>
        <w:tc>
          <w:tcPr>
            <w:tcW w:w="120" w:type="dxa"/>
            <w:vAlign w:val="bottom"/>
          </w:tcPr>
          <w:p>
            <w:pPr>
              <w:spacing w:after="0"/>
              <w:rPr>
                <w:sz w:val="22"/>
                <w:szCs w:val="22"/>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(2,883,505)</w:t>
            </w:r>
          </w:p>
        </w:tc>
        <w:tc>
          <w:tcPr>
            <w:tcW w:w="1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988</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25,104</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116,917</w:t>
            </w:r>
          </w:p>
        </w:tc>
        <w:tc>
          <w:tcPr>
            <w:tcW w:w="1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(156)</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(47,513)</w:t>
            </w:r>
          </w:p>
        </w:tc>
        <w:tc>
          <w:tcPr>
            <w:tcW w:w="10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(4,751)</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90,589</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9,051</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0"/>
                <w:szCs w:val="20"/>
                <w:color w:val="auto"/>
              </w:rPr>
            </w:pPr>
            <w:r>
              <w:rPr>
                <w:rFonts w:ascii="Arial" w:cs="Arial" w:eastAsia="Arial" w:hAnsi="Arial"/>
                <w:sz w:val="14"/>
                <w:szCs w:val="14"/>
                <w:color w:val="auto"/>
                <w:w w:val="96"/>
              </w:rPr>
              <w:t>Cumulative Translation Adjustments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w w:val="94"/>
              </w:rPr>
              <w:t>Unrealized gain (loss) on marketable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7"/>
        </w:trPr>
        <w:tc>
          <w:tcPr>
            <w:tcW w:w="2180" w:type="dxa"/>
            <w:vAlign w:val="bottom"/>
          </w:tcPr>
          <w:p>
            <w:pPr>
              <w:spacing w:after="0" w:line="157" w:lineRule="exact"/>
              <w:rPr>
                <w:sz w:val="20"/>
                <w:szCs w:val="20"/>
                <w:color w:val="auto"/>
              </w:rPr>
            </w:pPr>
            <w:r>
              <w:rPr>
                <w:rFonts w:ascii="Arial" w:cs="Arial" w:eastAsia="Arial" w:hAnsi="Arial"/>
                <w:sz w:val="14"/>
                <w:szCs w:val="14"/>
                <w:color w:val="auto"/>
              </w:rPr>
              <w:t>Unrecognized actuarial gain (loss),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80"/>
              <w:spacing w:after="0" w:line="149" w:lineRule="exact"/>
              <w:rPr>
                <w:sz w:val="20"/>
                <w:szCs w:val="20"/>
                <w:color w:val="auto"/>
              </w:rPr>
            </w:pPr>
            <w:r>
              <w:rPr>
                <w:rFonts w:ascii="Arial" w:cs="Arial" w:eastAsia="Arial" w:hAnsi="Arial"/>
                <w:sz w:val="14"/>
                <w:szCs w:val="14"/>
                <w:color w:val="auto"/>
              </w:rPr>
              <w:t>prior service cost and transition</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liability</w:t>
            </w: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9,357</w:t>
            </w: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(4,305)</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(117,123)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157"/>
        </w:trPr>
        <w:tc>
          <w:tcPr>
            <w:tcW w:w="2180" w:type="dxa"/>
            <w:vAlign w:val="bottom"/>
          </w:tcPr>
          <w:p>
            <w:pPr>
              <w:spacing w:after="0" w:line="157" w:lineRule="exact"/>
              <w:rPr>
                <w:sz w:val="20"/>
                <w:szCs w:val="20"/>
                <w:color w:val="auto"/>
              </w:rPr>
            </w:pPr>
            <w:r>
              <w:rPr>
                <w:rFonts w:ascii="Arial" w:cs="Arial" w:eastAsia="Arial" w:hAnsi="Arial"/>
                <w:sz w:val="14"/>
                <w:szCs w:val="14"/>
                <w:color w:val="auto"/>
              </w:rPr>
              <w:t>Issuance of Stock Under Long-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239,044</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33,500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3,741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2011</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6"/>
              </w:rPr>
              <w:t>10,123,183</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(2,967,128)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1,012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29,213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121,388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(49,424)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(4,445)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95,298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6,098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w w:val="96"/>
              </w:rPr>
              <w:t>Cumulative Translation Adjustments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57"/>
        </w:trPr>
        <w:tc>
          <w:tcPr>
            <w:tcW w:w="2180" w:type="dxa"/>
            <w:vAlign w:val="bottom"/>
          </w:tcPr>
          <w:p>
            <w:pPr>
              <w:spacing w:after="0" w:line="157" w:lineRule="exact"/>
              <w:rPr>
                <w:sz w:val="20"/>
                <w:szCs w:val="20"/>
                <w:color w:val="auto"/>
              </w:rPr>
            </w:pPr>
            <w:r>
              <w:rPr>
                <w:rFonts w:ascii="Arial" w:cs="Arial" w:eastAsia="Arial" w:hAnsi="Arial"/>
                <w:sz w:val="14"/>
                <w:szCs w:val="14"/>
                <w:color w:val="auto"/>
              </w:rPr>
              <w:t>Unrealized gain (loss) 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marketable securities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Unrecognized actuarial gain (loss),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prior service cost and transition</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liability</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(6,276)</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Comprehensive Income</w:t>
            </w:r>
          </w:p>
        </w:tc>
        <w:tc>
          <w:tcPr>
            <w:tcW w:w="8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25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(4,511)</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(296,427)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Issuance of Stock Under Long-</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Incentive Plans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37,917</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Balance, July 31, 2012</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10,161,100</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(3,236,305)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29,759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122,901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(2,214)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(55,208)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(10,946)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85,308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FF"/>
            </w:tcBorders>
          </w:tcPr>
          <w:p>
            <w:pPr>
              <w:spacing w:after="0"/>
              <w:rPr>
                <w:sz w:val="24"/>
                <w:szCs w:val="24"/>
                <w:color w:val="auto"/>
              </w:rPr>
            </w:pPr>
          </w:p>
        </w:tc>
        <w:tc>
          <w:tcPr>
            <w:tcW w:w="6960" w:type="dxa"/>
            <w:vAlign w:val="bottom"/>
          </w:tcPr>
          <w:p>
            <w:pPr>
              <w:ind w:left="2320"/>
              <w:spacing w:after="0"/>
              <w:rPr>
                <w:sz w:val="20"/>
                <w:szCs w:val="20"/>
                <w:color w:val="auto"/>
              </w:rPr>
            </w:pPr>
            <w:r>
              <w:rPr>
                <w:rFonts w:ascii="Arial" w:cs="Arial" w:eastAsia="Arial" w:hAnsi="Arial"/>
                <w:sz w:val="18"/>
                <w:szCs w:val="18"/>
                <w:b w:val="1"/>
                <w:bCs w:val="1"/>
                <w:color w:val="auto"/>
              </w:rPr>
              <w:t>CONSOLIDATED STATEMENTS OF CASH FLOWS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w w:val="91"/>
              </w:rPr>
              <w:t>Year Ended July 31,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7"/>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89"/>
              </w:rPr>
              <w:t>(in thousands of dollars)</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6,098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9,051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9,272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8,473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Amortization of investment discounts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Non-cash stock compensation expense</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727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(2,568)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Provision for bad debts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Loss on the sale of property, plant and equipment</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445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Capacity rationalization charges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(Increase) decrease in:</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43"/>
        </w:trPr>
        <w:tc>
          <w:tcPr>
            <w:tcW w:w="8240" w:type="dxa"/>
            <w:vAlign w:val="bottom"/>
            <w:gridSpan w:val="2"/>
          </w:tcPr>
          <w:p>
            <w:pPr>
              <w:ind w:left="9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9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Increase (decrease) in:</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9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456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90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921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43"/>
        </w:trPr>
        <w:tc>
          <w:tcPr>
            <w:tcW w:w="8240" w:type="dxa"/>
            <w:vAlign w:val="bottom"/>
            <w:gridSpan w:val="2"/>
          </w:tcPr>
          <w:p>
            <w:pPr>
              <w:ind w:left="9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172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17,241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16,758</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23,339</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13,108</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26,216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(6,960)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(13,806)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(10,413)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Proceeds from sale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Purchases of investment in short-term securities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(17,601)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(60,083)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(21,852)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Dispositions of investment in short-term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24,260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50,075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(270)</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(23,665)</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Proceeds from issuance of notes payable</w:t>
            </w:r>
          </w:p>
        </w:tc>
        <w:tc>
          <w:tcPr>
            <w:tcW w:w="18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18,500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Principal payments on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(4,486)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Purchase of treasury stock</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(6,247)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Proceeds from issuance of treasury stock</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43"/>
        </w:trPr>
        <w:tc>
          <w:tcPr>
            <w:tcW w:w="8240" w:type="dxa"/>
            <w:vAlign w:val="bottom"/>
            <w:gridSpan w:val="2"/>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92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(11,436)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9,208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17,885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18,762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27,093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17,885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08"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include the accounts of Oil-Dri Corporation of America and its subsidiaries, all of which are wholly-owned.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from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are highly liquid investments with maturities of three months or less when purchased.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NVESTMENT IN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HORT</w:t>
      </w:r>
      <w:r>
        <w:rPr>
          <w:rFonts w:ascii="Arial" w:cs="Arial" w:eastAsia="Arial" w:hAnsi="Arial"/>
          <w:sz w:val="18"/>
          <w:szCs w:val="18"/>
          <w:b w:val="1"/>
          <w:bCs w:val="1"/>
          <w:color w:val="auto"/>
        </w:rPr>
        <w:t>-</w:t>
      </w:r>
      <w:r>
        <w:rPr>
          <w:rFonts w:ascii="Arial" w:cs="Arial" w:eastAsia="Arial" w:hAnsi="Arial"/>
          <w:sz w:val="14"/>
          <w:szCs w:val="14"/>
          <w:b w:val="1"/>
          <w:bCs w:val="1"/>
          <w:color w:val="auto"/>
        </w:rPr>
        <w:t>TERM</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investment in short-term securities was as follows as of July 31 (in thousands):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5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5,998</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12,499</w:t>
            </w: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1,195</w:t>
            </w:r>
          </w:p>
        </w:tc>
      </w:tr>
      <w:tr>
        <w:trPr>
          <w:trHeight w:val="27"/>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Short-Term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15,837</w:t>
            </w: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and have the ability to hold these investments to maturity; therefore, these investments are reported at amortized cost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ECEIVABLES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trade receivables when the risk of loss and title pass to the customer. We record an allowance for doubtful accounts based on our historical experience and a periodic review of our accounts receivable, including a review of the overall aging of accounts and analysis of specific accounts. A customer account is determined to be uncollectible when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NVENTORIES</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value inventories at the lower of cost (first-in, first-out) or market. We recorded inventory obsolescence reserves of approximately $281,000 and $326,000 as of July 31, 2012 and 2011, respectively. The composition of inventories was as follows as of July 31 (in thousands):</w:t>
      </w:r>
    </w:p>
    <w:p>
      <w:pPr>
        <w:spacing w:after="0" w:line="112"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3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11,313</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11,041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3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Other</w:t>
            </w:r>
          </w:p>
        </w:tc>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4,378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19,673</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4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URRENCIES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at the exchange rates in effect at period end. Income statement items are translated at the average exchange rate on a monthly basis. Resulting translation adjustments are recorded as a separate component of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 AND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amortize most of our intangible assets on a straight-line basis over periods ranging from three to 17 years. We have some intangible assets that were determined to have indefinite lives and are not amortized. We periodically review intangibles and goodwill to assess recoverability from projected discounted cash flows of the related operating entities. Our review is based on discounted cash flow and other approaches that require significant judgment with respect to volume, revenue, expense growth rates and the selection of an appropriate discount rate. Impairment occurs when the carrying value exceeds the fair value. Our impairment analysis is performed in the first quarter of the fiscal year and when indicators such as unexpected adverse economic factors, unanticipated technological changes, competitive activities and acts by governments and courts indicate that an asset may become impaired.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estimated intangible amortization expense for the next five fiscal years is as follows (in thousands):</w:t>
      </w:r>
    </w:p>
    <w:p>
      <w:pPr>
        <w:spacing w:after="0" w:line="158" w:lineRule="exact"/>
        <w:rPr>
          <w:sz w:val="20"/>
          <w:szCs w:val="20"/>
          <w:color w:val="auto"/>
        </w:rPr>
      </w:pPr>
    </w:p>
    <w:tbl>
      <w:tblPr>
        <w:tblLayout w:type="fixed"/>
        <w:tblInd w:w="2500" w:type="dxa"/>
        <w:tblCellMar>
          <w:top w:w="0" w:type="dxa"/>
          <w:left w:w="0" w:type="dxa"/>
          <w:bottom w:w="0" w:type="dxa"/>
          <w:right w:w="0" w:type="dxa"/>
        </w:tblCellMar>
      </w:tblPr>
      <w:tr>
        <w:trPr>
          <w:trHeight w:val="270"/>
        </w:trPr>
        <w:tc>
          <w:tcPr>
            <w:tcW w:w="298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w w:val="94"/>
              </w:rPr>
              <w:t>2013</w:t>
            </w:r>
          </w:p>
        </w:tc>
        <w:tc>
          <w:tcPr>
            <w:tcW w:w="2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r>
      <w:tr>
        <w:trPr>
          <w:trHeight w:val="243"/>
        </w:trPr>
        <w:tc>
          <w:tcPr>
            <w:tcW w:w="2980" w:type="dxa"/>
            <w:vAlign w:val="bottom"/>
          </w:tcPr>
          <w:p>
            <w:pPr>
              <w:jc w:val="right"/>
              <w:ind w:right="2490"/>
              <w:spacing w:after="0"/>
              <w:rPr>
                <w:sz w:val="20"/>
                <w:szCs w:val="20"/>
                <w:color w:val="auto"/>
              </w:rPr>
            </w:pPr>
            <w:r>
              <w:rPr>
                <w:rFonts w:ascii="Arial" w:cs="Arial" w:eastAsia="Arial" w:hAnsi="Arial"/>
                <w:sz w:val="18"/>
                <w:szCs w:val="18"/>
                <w:color w:val="auto"/>
                <w:w w:val="94"/>
              </w:rPr>
              <w:t>2014</w:t>
            </w:r>
          </w:p>
        </w:tc>
        <w:tc>
          <w:tcPr>
            <w:tcW w:w="29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316</w:t>
            </w:r>
          </w:p>
        </w:tc>
      </w:tr>
      <w:tr>
        <w:trPr>
          <w:trHeight w:val="27"/>
        </w:trPr>
        <w:tc>
          <w:tcPr>
            <w:tcW w:w="29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jc w:val="right"/>
              <w:ind w:right="2490"/>
              <w:spacing w:after="0"/>
              <w:rPr>
                <w:sz w:val="20"/>
                <w:szCs w:val="20"/>
                <w:color w:val="auto"/>
              </w:rPr>
            </w:pPr>
            <w:r>
              <w:rPr>
                <w:rFonts w:ascii="Arial" w:cs="Arial" w:eastAsia="Arial" w:hAnsi="Arial"/>
                <w:sz w:val="18"/>
                <w:szCs w:val="18"/>
                <w:color w:val="auto"/>
                <w:w w:val="94"/>
              </w:rPr>
              <w:t>2015</w:t>
            </w:r>
          </w:p>
        </w:tc>
        <w:tc>
          <w:tcPr>
            <w:tcW w:w="2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r>
      <w:tr>
        <w:trPr>
          <w:trHeight w:val="243"/>
        </w:trPr>
        <w:tc>
          <w:tcPr>
            <w:tcW w:w="2980" w:type="dxa"/>
            <w:vAlign w:val="bottom"/>
          </w:tcPr>
          <w:p>
            <w:pPr>
              <w:jc w:val="right"/>
              <w:ind w:right="2490"/>
              <w:spacing w:after="0"/>
              <w:rPr>
                <w:sz w:val="20"/>
                <w:szCs w:val="20"/>
                <w:color w:val="auto"/>
              </w:rPr>
            </w:pPr>
            <w:r>
              <w:rPr>
                <w:rFonts w:ascii="Arial" w:cs="Arial" w:eastAsia="Arial" w:hAnsi="Arial"/>
                <w:sz w:val="18"/>
                <w:szCs w:val="18"/>
                <w:color w:val="auto"/>
                <w:w w:val="94"/>
              </w:rPr>
              <w:t>2016</w:t>
            </w:r>
          </w:p>
        </w:tc>
        <w:tc>
          <w:tcPr>
            <w:tcW w:w="29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7"/>
        </w:trPr>
        <w:tc>
          <w:tcPr>
            <w:tcW w:w="29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298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w w:val="94"/>
              </w:rPr>
              <w:t>2017</w:t>
            </w:r>
          </w:p>
        </w:tc>
        <w:tc>
          <w:tcPr>
            <w:tcW w:w="2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r>
      <w:tr>
        <w:trPr>
          <w:trHeight w:val="27"/>
        </w:trPr>
        <w:tc>
          <w:tcPr>
            <w:tcW w:w="29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 are also capitalized. All exploration related costs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activities.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P</w:t>
      </w:r>
      <w:r>
        <w:rPr>
          <w:rFonts w:ascii="Arial" w:cs="Arial" w:eastAsia="Arial" w:hAnsi="Arial"/>
          <w:sz w:val="14"/>
          <w:szCs w:val="14"/>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Property, plant and equipment are generally depreciated using the straight-line method over their estimated useful lives which are listed below. Major improvements and betterments are capitalized, while maintenance and repairs that do not extend the useful life of the applicable assets are expensed as incurred.</w:t>
      </w:r>
    </w:p>
    <w:p>
      <w:pPr>
        <w:spacing w:after="0" w:line="1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2200" w:type="dxa"/>
        <w:tblCellMar>
          <w:top w:w="0" w:type="dxa"/>
          <w:left w:w="0" w:type="dxa"/>
          <w:bottom w:w="0" w:type="dxa"/>
          <w:right w:w="0" w:type="dxa"/>
        </w:tblCellMar>
      </w:tblPr>
      <w:tr>
        <w:trPr>
          <w:trHeight w:val="264"/>
        </w:trPr>
        <w:tc>
          <w:tcPr>
            <w:tcW w:w="5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5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4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Packaging</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Processing</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27"/>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Mining and Other</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Office furniture, computers and equipment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Property, plant and equipment are reviewed for possible impairment on an annual basis. We take into consideration idle and underutilized equipment and review business plans for possible impairment. When impairment is indicated, an impairment charge is recorded for the difference between the carrying value of the asset and its fair market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ROMOTIONS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with trade spending patterns and that of the industry, current trends and forecast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Advertising expenses were approximately $10,846,000, $3,220,000, and $2,102,000 for the years ended July 31, 2012, 2011 and 2010,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Advertising expenses increased in fiscal 2012 for our Cat's Pride Fresh &amp; Light products, which were introduced in the fourth quarter of fiscal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Non-derivative financial instruments included in the Consolidated Balance Sheets are cash and cash equivalents, investment in short-term securities, cash surrender value of life insurance policies and notes payable. These instruments, except for notes payable, were carried at amounts approximating fair value as of July 31, 2012 and 2011. The investment in short-term securities includes U.S. Treasury securities, certificates of deposit and debt securities. We intend and have the ability to hold our investment in short-term securities to maturity; therefore, these investments are reported at amortized cost, which was approximately equal to fair value. See Note 5 of the Notes to the Consolidated Financial Statements for additional information regarding the fair value of notes payable, as well as assets and liabilities recorded at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terms of our sales agreements with customers, we recognize revenue when risk of loss and title are transferred. An invoice is generated at the time of shipment based on a fixed and determinable price. Sales returns and allowances are not 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OST OF SALES</w:t>
      </w:r>
    </w:p>
    <w:p>
      <w:pPr>
        <w:spacing w:after="0" w:line="24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Cost of sales includes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are included in cost of sales and were approximately $42,095,000, $39,763,000 and $36,101,000 for the fiscal years ended July 31, 2012, 2011 and 2010,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costs of approximately $2,006,000, $1,933,000 and $1,826,000 were charged to expense as incurred for the fiscal years ended July 31, 2012, 2011 and 2010,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ENSION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OSTRETIREMENT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The funded status of our defined pension and postretirement health benefit plans are recognized on the Consolidated Balance Sheets. Changes in the funded status that arise during the period but are not recognized as components of net periodic benefit cost are recognized within other comprehensive income, net of income tax. See Note 9 of the Notes to the Consolidated Financial Statements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account for stock options and restricted stock issued under our long term incentive plans in accordance with ASC 718,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Stock </w:t>
      </w:r>
      <w:r>
        <w:rPr>
          <w:rFonts w:ascii="Arial" w:cs="Arial" w:eastAsia="Arial" w:hAnsi="Arial"/>
          <w:sz w:val="17"/>
          <w:szCs w:val="17"/>
          <w:i w:val="1"/>
          <w:iCs w:val="1"/>
          <w:color w:val="auto"/>
        </w:rPr>
        <w:t>Compensation</w:t>
      </w:r>
      <w:r>
        <w:rPr>
          <w:rFonts w:ascii="Arial" w:cs="Arial" w:eastAsia="Arial" w:hAnsi="Arial"/>
          <w:sz w:val="17"/>
          <w:szCs w:val="17"/>
          <w:color w:val="auto"/>
        </w:rPr>
        <w:t>. The fair value of stock-based compensation is determined at the grant date. The related compensation expense is recognized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vesting period. See Note 8 of the Notes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 TAXES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In addition to existing valuation allowances, we provide for uncertain tax positions when such tax positions do not meet the recognition thresholds or measurement standards prescribed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Amounts for uncertain tax positions are adjusted when new information becomes available or when positions are effectively settled. We recognize interest and penalties accrued related to uncertain tax positions in income tax (benefit) expense.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6 of the Notes to the Consolidated Financial Statements for additional information about income taxes.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the first quarter of fiscal 2012, we adopted the FASB issued guidance under ASC 820, </w:t>
      </w:r>
      <w:r>
        <w:rPr>
          <w:rFonts w:ascii="Arial" w:cs="Arial" w:eastAsia="Arial" w:hAnsi="Arial"/>
          <w:sz w:val="18"/>
          <w:szCs w:val="18"/>
          <w:i w:val="1"/>
          <w:iCs w:val="1"/>
          <w:color w:val="auto"/>
        </w:rPr>
        <w:t>Fair Value Measurements and Disclosures: Improving</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about Fair Value Measurements</w:t>
      </w:r>
      <w:r>
        <w:rPr>
          <w:rFonts w:ascii="Arial" w:cs="Arial" w:eastAsia="Arial" w:hAnsi="Arial"/>
          <w:sz w:val="18"/>
          <w:szCs w:val="18"/>
          <w:color w:val="auto"/>
        </w:rPr>
        <w:t>. This guidance requires new disclosures related to Level 3 fair value measurements; however, no new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were required during fiscal 2012 since we have no financial assets or liabilities with this fair value classification.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third quarter of fiscal 2012, we adopted FASB guidance issued under ASC 820, </w:t>
      </w:r>
      <w:r>
        <w:rPr>
          <w:rFonts w:ascii="Arial" w:cs="Arial" w:eastAsia="Arial" w:hAnsi="Arial"/>
          <w:sz w:val="18"/>
          <w:szCs w:val="18"/>
          <w:i w:val="1"/>
          <w:iCs w:val="1"/>
          <w:color w:val="auto"/>
        </w:rPr>
        <w:t>Fair Value Measurement: Amendments to Achieve Common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Measurement and Disclosure Requirements in U.S. GAAP and IFRSs. </w:t>
      </w:r>
      <w:r>
        <w:rPr>
          <w:rFonts w:ascii="Arial" w:cs="Arial" w:eastAsia="Arial" w:hAnsi="Arial"/>
          <w:sz w:val="18"/>
          <w:szCs w:val="18"/>
          <w:color w:val="auto"/>
        </w:rPr>
        <w:t>In accordance with the new requirements, we provided enhanced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measurement of the estimated fair value of debt. There was no impact on our Consolidated Financial Statements as a result of adopting this new guidance.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2011, the FASB issued guidance under ASC 220, </w:t>
      </w:r>
      <w:r>
        <w:rPr>
          <w:rFonts w:ascii="Arial" w:cs="Arial" w:eastAsia="Arial" w:hAnsi="Arial"/>
          <w:sz w:val="18"/>
          <w:szCs w:val="18"/>
          <w:i w:val="1"/>
          <w:iCs w:val="1"/>
          <w:color w:val="auto"/>
        </w:rPr>
        <w:t>Comprehensive Income: Presentation of Comprehensive Income,</w:t>
      </w:r>
      <w:r>
        <w:rPr>
          <w:rFonts w:ascii="Arial" w:cs="Arial" w:eastAsia="Arial" w:hAnsi="Arial"/>
          <w:sz w:val="18"/>
          <w:szCs w:val="18"/>
          <w:color w:val="auto"/>
        </w:rPr>
        <w:t xml:space="preserve"> that requires presentation of the components of net income and other comprehensive income either in one continuous statement, referred to as the Statement of Comprehensive Income, or in two separate consecutive statements. The requirements eliminate the current option to report other comprehensive income and its components in the Statement of Stockholders' Equity. The components recognized in net income or other comprehensive income under current accounting guidance will not change. The presentation requirements will be adopted beginning with our Quarterly Report on Form 10-Q for the quarter ending October 31, 2012 and will be applied retrospectively.</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September 2011, the FASB issued guidance under ASC 350,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xml:space="preserve"> that provides the option to first assess qualitative factors to determine if the annual two-step test of goodwill for impairment must be performed</w:t>
      </w:r>
      <w:r>
        <w:rPr>
          <w:rFonts w:ascii="Arial" w:cs="Arial" w:eastAsia="Arial" w:hAnsi="Arial"/>
          <w:sz w:val="17"/>
          <w:szCs w:val="17"/>
          <w:i w:val="1"/>
          <w:iCs w:val="1"/>
          <w:color w:val="auto"/>
        </w:rPr>
        <w:t>.</w:t>
      </w:r>
      <w:r>
        <w:rPr>
          <w:rFonts w:ascii="Arial" w:cs="Arial" w:eastAsia="Arial" w:hAnsi="Arial"/>
          <w:sz w:val="17"/>
          <w:szCs w:val="17"/>
          <w:color w:val="auto"/>
        </w:rPr>
        <w:t xml:space="preserve"> If, based on the qualitative assessment of events or circumstances, an entity determines it is not more likely than not that the goodwill fair value is less than its carrying amount, then it is not necessary to perform the two-step impairment test. However, if an entity concludes otherwise, then the two-step impairment test must be performed to identify potential impairment and to measure the amount of goodwill impairment, if any. We will consider the option provided in this guidance for our annual goodwill impairment testing for our 2013 fiscal year and believe there will be no material impact on our Consolidated Financial Statements.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July 2012, the FASB issued guidance under ASC 350, </w:t>
      </w:r>
      <w:r>
        <w:rPr>
          <w:rFonts w:ascii="Arial" w:cs="Arial" w:eastAsia="Arial" w:hAnsi="Arial"/>
          <w:sz w:val="17"/>
          <w:szCs w:val="17"/>
          <w:i w:val="1"/>
          <w:iCs w:val="1"/>
          <w:color w:val="auto"/>
        </w:rPr>
        <w:t>Testing Indefinite-Lived Intangible Assets for Impairment,</w:t>
      </w:r>
      <w:r>
        <w:rPr>
          <w:rFonts w:ascii="Arial" w:cs="Arial" w:eastAsia="Arial" w:hAnsi="Arial"/>
          <w:sz w:val="17"/>
          <w:szCs w:val="17"/>
          <w:color w:val="auto"/>
        </w:rPr>
        <w:t xml:space="preserve"> that provides the option to first assess qualitative factors to determine whether it is more likely than not that an indefinite-lived intangible asset is impaired as a basis for determining whether it is necessary to perform the second, quantitative impairment test. If, based on the qualitative assessment of events or circumstances, an entity determines it is not more likely than not that the indefinite-lived intangible asset's fair value is less than its carrying amount, then it is not necessary to perform the quantitative impairment test. However, if an entity concludes otherwise, then the quantitative impairment test must also be performed to identify and measure any potential impairment amount. We are currently evaluating the impact this guidance will have on our annual indefinite-lived intangible asset impairment testing for our fiscal year 2014 beginning August 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SPECIAL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Capacity Rationalization Charges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30, 2012, we announced the planned relocation of production of our industrial floor absorbent and cat litter products from our facility located in Mounds, Illinois (“Mounds”), to our plants located in Mississippi. This decision was made due to the continued decline in the coarse cat litter market and after a comprehensive evaluation of our manufacturing operations and cost structure, including state regulatory requirements.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incurred a pre-tax charge of $1,623,000 related to these actions during fiscal 2012 consisting of pre-tax asset write-offs of $1,187,000 and severance and other employee-related costs of $436,000. These costs are shown as “Capacity Rationalization Charges” on the Consolidated Statements of Operations. Allocation of these expenses between operating segments is impracticable due to the shared nature of our production facilities. In addition, we expect to incur an additional estimated $57,000 expense for asset write-offs and employee relocation to be recognized in the first quarter of fiscal 2013.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is a rollforward of the reserve included in Other Accrued Expenses on the Consolidated Balance Sheets as of July 31, 2012 (in thousands).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expected to be incurred during the first quarter of fiscal 2013.</w:t>
      </w:r>
    </w:p>
    <w:p>
      <w:pPr>
        <w:spacing w:after="0" w:line="36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Severance and</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other employee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Asset write-offs</w:t>
            </w:r>
          </w:p>
        </w:tc>
        <w:tc>
          <w:tcPr>
            <w:tcW w:w="12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related costs</w:t>
            </w: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Charges recognized in fiscal year</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Charges incurred to date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7"/>
        </w:trPr>
        <w:tc>
          <w:tcPr>
            <w:tcW w:w="5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balance at July 31, 2012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OPERATING SEGMENTS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two reportable operating segments derived from the different characteristics of our two major customer groups: Retail and Wholesale Products Group and Business to Business Products Group. Net sales and operating income for each segment are provided below. As the result of a change in management organization in fiscal 2011, our sports field products are now included in the Retail and Wholesale Products Group. Prior year segment net sales and operating income have also been restated to reflect this change. The organizational change was intended to better serve our customers and the segment information presented reflects the information regularly reviewed by our chief operating decision maker.</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Revenues by product line are not provided because it would be impracticable to do so. The accounting policies of the segments are the same as those described in the Note 1 of the Notes to the Consolidated Financial Statements.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Business to Business Products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and Wholesale Products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Unallocated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2229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2229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27"/>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gridSpan w:val="4"/>
          </w:tcPr>
          <w:p>
            <w:pPr>
              <w:ind w:left="200"/>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44,250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40,635</w:t>
            </w:r>
          </w:p>
        </w:tc>
        <w:tc>
          <w:tcPr>
            <w:tcW w:w="2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41,773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79,658</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81,049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69,248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50,359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51,709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42,961</w:t>
            </w:r>
          </w:p>
        </w:tc>
      </w:tr>
      <w:tr>
        <w:trPr>
          <w:trHeight w:val="27"/>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174,267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173,393</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153,982</w:t>
            </w:r>
          </w:p>
        </w:tc>
      </w:tr>
      <w:tr>
        <w:trPr>
          <w:trHeight w:val="27"/>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-719455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-376555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188595</wp:posOffset>
            </wp:positionV>
            <wp:extent cx="4631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125" w:right="239" w:bottom="1440" w:gutter="0" w:footer="0" w:header="0"/>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Year Ended July 31,</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85,456</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74,479</w:t>
            </w:r>
          </w:p>
        </w:tc>
        <w:tc>
          <w:tcPr>
            <w:tcW w:w="2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71,991</w:t>
            </w:r>
          </w:p>
        </w:tc>
        <w:tc>
          <w:tcPr>
            <w:tcW w:w="2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28,643</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19,504</w:t>
            </w:r>
          </w:p>
        </w:tc>
        <w:tc>
          <w:tcPr>
            <w:tcW w:w="2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19,925</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155,225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152,276</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147,059</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11,669</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240,681</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226,755</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219,050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(19,039)</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Capacity Rationalization Charges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(1,623)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10,079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13,709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(1,718)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8,361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12,141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(2,263)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(3,356)</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6,098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9,051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9,458</w:t>
            </w: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financial information by geographic region for the years ended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180"/>
              <w:spacing w:after="0"/>
              <w:rPr>
                <w:sz w:val="20"/>
                <w:szCs w:val="20"/>
                <w:color w:val="auto"/>
              </w:rPr>
            </w:pPr>
            <w:r>
              <w:rPr>
                <w:rFonts w:ascii="Arial" w:cs="Arial" w:eastAsia="Arial" w:hAnsi="Arial"/>
                <w:sz w:val="18"/>
                <w:szCs w:val="18"/>
                <w:color w:val="auto"/>
              </w:rPr>
              <w:t>Sales to unaffiliated customers by:</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Domestic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229,382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214,239</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205,322</w:t>
            </w:r>
          </w:p>
        </w:tc>
        <w:tc>
          <w:tcPr>
            <w:tcW w:w="0" w:type="dxa"/>
            <w:vAlign w:val="bottom"/>
          </w:tcPr>
          <w:p>
            <w:pPr>
              <w:spacing w:after="0"/>
              <w:rPr>
                <w:sz w:val="1"/>
                <w:szCs w:val="1"/>
                <w:color w:val="auto"/>
              </w:rPr>
            </w:pPr>
          </w:p>
        </w:tc>
      </w:tr>
      <w:tr>
        <w:trPr>
          <w:trHeight w:val="243"/>
        </w:trPr>
        <w:tc>
          <w:tcPr>
            <w:tcW w:w="7440" w:type="dxa"/>
            <w:vAlign w:val="bottom"/>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11,299</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12,516</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13,728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or transfers between geographic areas: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620"/>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4,440</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4,949</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660"/>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9,382</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12,815</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Domestic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6,974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9,618</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43"/>
        </w:trPr>
        <w:tc>
          <w:tcPr>
            <w:tcW w:w="7440" w:type="dxa"/>
            <w:vAlign w:val="bottom"/>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(876)</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660"/>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165,565</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163,696</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144,558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8,702</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9,697</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gridSpan w:val="4"/>
          </w:tcPr>
          <w:p>
            <w:pPr>
              <w:ind w:left="660"/>
              <w:spacing w:after="0"/>
              <w:rPr>
                <w:sz w:val="20"/>
                <w:szCs w:val="20"/>
                <w:color w:val="auto"/>
              </w:rPr>
            </w:pPr>
            <w:r>
              <w:rPr>
                <w:rFonts w:ascii="Arial" w:cs="Arial" w:eastAsia="Arial" w:hAnsi="Arial"/>
                <w:sz w:val="18"/>
                <w:szCs w:val="18"/>
                <w:color w:val="auto"/>
                <w:w w:val="91"/>
              </w:rPr>
              <w:t>Our largest customer accounted for the following percentage of consolidated net sales and net accounts receivable:</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732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2011</w:t>
            </w:r>
          </w:p>
        </w:tc>
        <w:tc>
          <w:tcPr>
            <w:tcW w:w="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73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for the years ended July 31</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22%</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21%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accounts receivable as of July 31</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8"/>
              </w:rPr>
              <w:t>33%</w:t>
            </w:r>
          </w:p>
        </w:tc>
        <w:tc>
          <w:tcPr>
            <w:tcW w:w="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NOTE 4 – NOTES PAYABLE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The composition of notes payable is as follows as of July 31 (in thousands):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Prudential Insurance Company of America, Prudential Retirement Insurance and Annuity Company, Forethought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Life Insurance Company, Physicians Mutual Insurance Company and BCBSM, Inc.</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380"/>
              <w:spacing w:after="0"/>
              <w:rPr>
                <w:sz w:val="20"/>
                <w:szCs w:val="20"/>
                <w:color w:val="auto"/>
              </w:rPr>
            </w:pPr>
            <w:r>
              <w:rPr>
                <w:rFonts w:ascii="Arial" w:cs="Arial" w:eastAsia="Arial" w:hAnsi="Arial"/>
                <w:sz w:val="18"/>
                <w:szCs w:val="18"/>
                <w:color w:val="auto"/>
                <w:w w:val="96"/>
              </w:rPr>
              <w:t>Payable in annual principal installments on August 1: $3,083 in each fiscal year 2016 through 2021. Interest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18,500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is payable semiannually at an annual rate of 3.96%</w:t>
            </w:r>
          </w:p>
        </w:tc>
        <w:tc>
          <w:tcPr>
            <w:tcW w:w="2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Prudential Financial</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380"/>
              <w:spacing w:after="0"/>
              <w:rPr>
                <w:sz w:val="20"/>
                <w:szCs w:val="20"/>
                <w:color w:val="auto"/>
              </w:rPr>
            </w:pPr>
            <w:r>
              <w:rPr>
                <w:rFonts w:ascii="Arial" w:cs="Arial" w:eastAsia="Arial" w:hAnsi="Arial"/>
                <w:sz w:val="18"/>
                <w:szCs w:val="18"/>
                <w:color w:val="auto"/>
                <w:w w:val="97"/>
              </w:rPr>
              <w:t>Payable in annual principal installments on April 15: $1,500 in fiscal 2013. Interest is payable semiannually</w:t>
            </w:r>
          </w:p>
        </w:tc>
        <w:tc>
          <w:tcPr>
            <w:tcW w:w="280" w:type="dxa"/>
            <w:vAlign w:val="bottom"/>
          </w:tcPr>
          <w:p>
            <w:pPr>
              <w:spacing w:after="0"/>
              <w:rPr>
                <w:sz w:val="19"/>
                <w:szCs w:val="19"/>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1,500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at an annual rate of 6.55%</w:t>
            </w: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Prudential Insurance Company of America and Prudential Retirement Insurance and Annuity Company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340"/>
              <w:spacing w:after="0"/>
              <w:rPr>
                <w:sz w:val="20"/>
                <w:szCs w:val="20"/>
                <w:color w:val="auto"/>
              </w:rPr>
            </w:pPr>
            <w:r>
              <w:rPr>
                <w:rFonts w:ascii="Arial" w:cs="Arial" w:eastAsia="Arial" w:hAnsi="Arial"/>
                <w:sz w:val="18"/>
                <w:szCs w:val="18"/>
                <w:color w:val="auto"/>
                <w:w w:val="95"/>
              </w:rPr>
              <w:t>Payable in annual principal installments on October 15: $2,300 in fiscal 2013; $3,500 in fiscal 2014 and 2015;</w:t>
            </w:r>
          </w:p>
        </w:tc>
        <w:tc>
          <w:tcPr>
            <w:tcW w:w="280" w:type="dxa"/>
            <w:vAlign w:val="bottom"/>
          </w:tcPr>
          <w:p>
            <w:pPr>
              <w:spacing w:after="0"/>
              <w:rPr>
                <w:sz w:val="19"/>
                <w:szCs w:val="19"/>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9,700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340"/>
              <w:spacing w:after="0"/>
              <w:rPr>
                <w:sz w:val="20"/>
                <w:szCs w:val="20"/>
                <w:color w:val="auto"/>
              </w:rPr>
            </w:pPr>
            <w:r>
              <w:rPr>
                <w:rFonts w:ascii="Arial" w:cs="Arial" w:eastAsia="Arial" w:hAnsi="Arial"/>
                <w:sz w:val="18"/>
                <w:szCs w:val="18"/>
                <w:color w:val="auto"/>
              </w:rPr>
              <w:t>and $400 in fiscal 2016. Interest is payable semiannually at an annual rate of 5.89%</w:t>
            </w: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29,700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43"/>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Less current maturities of notes payable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25,900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$18,500,000 of senior promissory notes to The Prudential Insurance Company of America, Prudential Retirement Insurance and Annuity Company, Forethought Life Insurance Company, Physicians Mutual Insurance Company and BCBSM, Inc. dba Blue Cross and Blue Shield of Minnesota pursuant to a Note Agreement dated November 12, 2010. The notes bear interest at 3.96% per annum and mature on August 1, 2020. The proceeds of the sale may be used to fund future principal payments of our debt, acquisitions, stock repurchases, capital expenditures and for working capital purposes. The note agreement contains certain covenants that restrict our ability and the ability of certain of our subsidiaries to, among other things, (i) incur liens, (ii) incur indebtedness, (iii) merge or consolidate, (iv) sell assets, (v) sell stock of those certain subsidiaries, (vi) engage in business that would change the general nature of the business we are engaged in, and (vii) enter into transactions other than on “arm's length” terms with affiliates.</w:t>
      </w:r>
    </w:p>
    <w:p>
      <w:pPr>
        <w:spacing w:after="0" w:line="16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a $25,000,000 Note Purchase Agreement with Prudential Financial. The note bears interest at 6.55% per annum and mature on April 15, 2013. An additional interest charge of 0.25% will be incurred for any fiscal quarter end for which the fixed charge coverage ratio is less than 1.50.</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sold at face value $15,000,000 in senior promissory notes to The Prudential Insurance Company of America and to Prudential Retirement Insurance and Annuity Company pursuant to a Note Agreement dated December 16, 2005. The notes bear interest at 5.89% per annum and mature on October 15, 2015. The proceeds of the sale may be used to fund future principal payments on debt, acquisitions, stock repurchases, and capital expenditures and for working capital purposes. The note agreement contains certain covenants that restrict our ability to, among other things, incur additional indebtedness, dispose of assets and merge or consolidate. The note agreement also requires a minimum fixed coverage ratio and a minimum consolidated net worth to be maintained.</w:t>
      </w:r>
    </w:p>
    <w:p>
      <w:pPr>
        <w:spacing w:after="0" w:line="2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21, 2011, we signed a second amendment to extend our $15,000,000 unsecured revolving credit agreement with BMO Harris. The second amendment extends the credit agreement until December 31, 2014. The credit agreement with BMO Harris provides that we may select a variable rate based on either BMO Harris’ prime rate or a LIBOR-based rate, plus a margin which varies depending on our debt to earnings ratio, or a fixed rate as agreed between us and BMO Harris. At July 31, 2012, the variable rates would have been 3.25% for the BMO Harris’ prime-based rate or 2.32% for the LIBOR-based rate. At July 31, 2011, the variable rates would have been 3.30% for the BMO Harris’ prime-based rate or 0.80%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On June 21, 2012, we signed a third amendment to the credit agreement which also allows us to obtain foreign letters of credit when necessary. As of July 31, 2012 and 2011, there were no outstanding borrowings under this credit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agreements with Prudential Financial and BMO Harris impose working capital requirements, dividend and financing limitations, minimum tangible net worth requirements and other restrictions. Our credit agreement with BMO Harris indirectly restricts dividends by requiring us to maintain consolidated net worth, as defined, of about $56,760,000 plus 25% of cumulative quarterly earnings from January 31, 2006.</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debt agreements also contain provisions such that if we default on one debt agreement, the others will automatically default. If we default on any guaranteed debt with a balance greater than $1,000,000, our unsecured revolving credit agreement with BMO Harris will be considered in default. If we default on any debt with a balance greater than $5,000,000 we will also be considered in default on the note agreement with Prudential Financial and with the promissory notes to The Prudential Insurance Company of America and Prudential Retirement Insurance and Annuity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restrictive covenants and limitations at July 31,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by fiscal year of future maturities of notes payable as of July 31, 2012 (in thousands):</w:t>
      </w:r>
    </w:p>
    <w:p>
      <w:pPr>
        <w:spacing w:after="0" w:line="158" w:lineRule="exact"/>
        <w:rPr>
          <w:sz w:val="20"/>
          <w:szCs w:val="20"/>
          <w:color w:val="auto"/>
        </w:rPr>
      </w:pPr>
    </w:p>
    <w:tbl>
      <w:tblPr>
        <w:tblLayout w:type="fixed"/>
        <w:tblInd w:w="2200" w:type="dxa"/>
        <w:tblCellMar>
          <w:top w:w="0" w:type="dxa"/>
          <w:left w:w="0" w:type="dxa"/>
          <w:bottom w:w="0" w:type="dxa"/>
          <w:right w:w="0" w:type="dxa"/>
        </w:tblCellMar>
      </w:tblPr>
      <w:tr>
        <w:trPr>
          <w:trHeight w:val="27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3,800</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2014</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3,500</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2016</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3,483</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3,083</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Later years</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12,334</w:t>
            </w:r>
          </w:p>
        </w:tc>
      </w:tr>
      <w:tr>
        <w:trPr>
          <w:trHeight w:val="27"/>
        </w:trPr>
        <w:tc>
          <w:tcPr>
            <w:tcW w:w="5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29,700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w:t>
      </w:r>
    </w:p>
    <w:p>
      <w:pPr>
        <w:spacing w:after="0" w:line="343"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640" w:hanging="443"/>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640" w:hanging="443"/>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640" w:hanging="443"/>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jc w:val="both"/>
        <w:ind w:left="1200" w:right="20" w:hanging="1161"/>
        <w:spacing w:after="0" w:line="264" w:lineRule="auto"/>
        <w:tabs>
          <w:tab w:leader="none" w:pos="11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financial assets and liabilities that were reported at fair value by level within the fair value hierarchy: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Fair Value at July 31, 2012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1"/>
              </w:rPr>
              <w:t>Level 1</w:t>
            </w:r>
          </w:p>
        </w:tc>
        <w:tc>
          <w:tcPr>
            <w:tcW w:w="16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Level 2</w:t>
            </w:r>
          </w:p>
        </w:tc>
        <w:tc>
          <w:tcPr>
            <w:tcW w:w="0" w:type="dxa"/>
            <w:vAlign w:val="bottom"/>
          </w:tcPr>
          <w:p>
            <w:pPr>
              <w:spacing w:after="0"/>
              <w:rPr>
                <w:sz w:val="1"/>
                <w:szCs w:val="1"/>
                <w:color w:val="auto"/>
              </w:rPr>
            </w:pPr>
          </w:p>
        </w:tc>
      </w:tr>
      <w:tr>
        <w:trPr>
          <w:trHeight w:val="27"/>
        </w:trPr>
        <w:tc>
          <w:tcPr>
            <w:tcW w:w="43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Assets</w:t>
            </w:r>
          </w:p>
        </w:tc>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vMerge w:val="continue"/>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equivalents</w:t>
            </w:r>
          </w:p>
        </w:tc>
        <w:tc>
          <w:tcPr>
            <w:tcW w:w="3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12,666</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Marketable equity securities</w:t>
            </w:r>
          </w:p>
        </w:tc>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surrender value of life insurance</w:t>
            </w:r>
          </w:p>
        </w:tc>
        <w:tc>
          <w:tcPr>
            <w:tcW w:w="3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4"/>
                <w:szCs w:val="24"/>
                <w:color w:val="auto"/>
              </w:rPr>
            </w:pPr>
          </w:p>
        </w:tc>
        <w:tc>
          <w:tcPr>
            <w:tcW w:w="3140" w:type="dxa"/>
            <w:vAlign w:val="bottom"/>
          </w:tcPr>
          <w:p>
            <w:pPr>
              <w:jc w:val="right"/>
              <w:ind w:right="155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equivalents are classified as Level 1 of the fair value hierarchy because they were valued using quoted market prices in active markets. These cash instruments are primarily money market mutual funds.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Marketable equity securities were valued using quoted market prices in active markets and as such are classified as Level 1 in the fair value hierarchy. These securities represent stock we own in one publicly traded company and are included in other noncurrent assets on the Consolidated Balance Sheets.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former key employees as of July 31, 2012. The cash surrender value of life insurance is included in other assets on the Consolidated Balance Sheets.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investment in short-term securities on the Consolidated Balance Sheets includes U.S. Treasury securities, certificates of deposit and debt securities. We intend and have the ability to hold our investment in short-term securities to maturity; therefore, these investments were reported at amortized cost on the Consolidated Balance Sheets, which approximated fair value as of July 31, 2012 and 2011, and these balances are excluded from the above table.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at July 31, 2012 and 2011 due to the short maturity and nature of those balances; therefore, these balances are excluded from the above table.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Notes payable on the Consolidated Balance Sheets are carried at the face amount of future maturities and are excluded from the above table. The estimated fair value of notes payable was approximately $31,749,000 as of July 31, 2012 and $33,923,000 as of July 31, 2011. Our debt does not trade on a daily basis in an active market, therefore the fair value of notes payable was estimated based on market observable borrowing rates currently available for debt with similar terms and average maturities and is classified as Level 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Financial instruments which potentially subject us to concentrations of credit risk consist principally of short-term investments and accounts receivable. We place our investments in government-backed instruments and with other quality institutions. Concentrations of credit risk with respect to accounts receivable are subject to the financial condition of certain major customers, principally the customer referred to in Note 3 of the Notes to the Consolidated Financial Statements. We generally do not require collateral to secure customer receivables; however, we require letters of credit for some foreign customers or we purchase insurance to reduce our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 expense (benefit) consists of the following at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404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3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38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358</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6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7"/>
        </w:trPr>
        <w:tc>
          <w:tcPr>
            <w:tcW w:w="4040" w:type="dxa"/>
            <w:vAlign w:val="bottom"/>
          </w:tcPr>
          <w:p>
            <w:pPr>
              <w:ind w:left="500"/>
              <w:spacing w:after="0"/>
              <w:rPr>
                <w:sz w:val="20"/>
                <w:szCs w:val="20"/>
                <w:color w:val="auto"/>
              </w:rPr>
            </w:pPr>
            <w:r>
              <w:rPr>
                <w:rFonts w:ascii="Arial" w:cs="Arial" w:eastAsia="Arial" w:hAnsi="Arial"/>
                <w:sz w:val="18"/>
                <w:szCs w:val="18"/>
                <w:color w:val="auto"/>
              </w:rPr>
              <w:t>Current Income Tax Total</w:t>
            </w:r>
          </w:p>
        </w:tc>
        <w:tc>
          <w:tcPr>
            <w:tcW w:w="36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2,038</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2,479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3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State</w:t>
            </w:r>
          </w:p>
        </w:tc>
        <w:tc>
          <w:tcPr>
            <w:tcW w:w="3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455</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Total</w:t>
            </w:r>
          </w:p>
        </w:tc>
        <w:tc>
          <w:tcPr>
            <w:tcW w:w="3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2,322</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3,053</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Total Income Tax Expense</w:t>
            </w:r>
          </w:p>
        </w:tc>
        <w:tc>
          <w:tcPr>
            <w:tcW w:w="36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2,263</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3,090</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620" w:type="dxa"/>
            <w:vAlign w:val="bottom"/>
            <w:vMerge w:val="restart"/>
          </w:tcPr>
          <w:p>
            <w:pPr>
              <w:jc w:val="right"/>
              <w:ind w:right="1770"/>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90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80"/>
        </w:trPr>
        <w:tc>
          <w:tcPr>
            <w:tcW w:w="10300" w:type="dxa"/>
            <w:vAlign w:val="bottom"/>
            <w:gridSpan w:val="6"/>
          </w:tcPr>
          <w:p>
            <w:pPr>
              <w:spacing w:after="0"/>
              <w:rPr>
                <w:sz w:val="20"/>
                <w:szCs w:val="20"/>
                <w:color w:val="auto"/>
              </w:rPr>
            </w:pPr>
            <w:r>
              <w:rPr>
                <w:rFonts w:ascii="Arial" w:cs="Arial" w:eastAsia="Arial" w:hAnsi="Arial"/>
                <w:sz w:val="18"/>
                <w:szCs w:val="18"/>
                <w:color w:val="auto"/>
                <w:w w:val="97"/>
              </w:rPr>
              <w:t>Principal reasons for variations between the statutory federal rate and the effective rates were as follows for the years ended July 31:</w:t>
            </w:r>
          </w:p>
        </w:tc>
        <w:tc>
          <w:tcPr>
            <w:tcW w:w="11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7"/>
        </w:trPr>
        <w:tc>
          <w:tcPr>
            <w:tcW w:w="128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income tax rate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34.0 %</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Depletion deductions allowed for mining</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(16.5)</w:t>
            </w:r>
          </w:p>
        </w:tc>
        <w:tc>
          <w:tcPr>
            <w:tcW w:w="2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(9.2)</w:t>
            </w:r>
          </w:p>
        </w:tc>
      </w:tr>
      <w:tr>
        <w:trPr>
          <w:trHeight w:val="27"/>
        </w:trPr>
        <w:tc>
          <w:tcPr>
            <w:tcW w:w="1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 expense, net of federal tax expense</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Foreign tax restructuring</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Difference in effective tax rate of foreign subsidiaries</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Empowerment zone credits</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1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 increase (decrease)</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11.4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(3.6)</w:t>
            </w:r>
          </w:p>
        </w:tc>
        <w:tc>
          <w:tcPr>
            <w:tcW w:w="2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128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Effective income tax rate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27.1 %</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26.2 %</w:t>
            </w:r>
          </w:p>
        </w:tc>
      </w:tr>
      <w:tr>
        <w:trPr>
          <w:trHeight w:val="20"/>
        </w:trPr>
        <w:tc>
          <w:tcPr>
            <w:tcW w:w="12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Balance Sheets included the following tax effects of cumulative temporary differences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2012</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2011</w:t>
            </w:r>
          </w:p>
        </w:tc>
        <w:tc>
          <w:tcPr>
            <w:tcW w:w="98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Assets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Liabilities</w:t>
            </w:r>
          </w:p>
        </w:tc>
      </w:tr>
      <w:tr>
        <w:trPr>
          <w:trHeight w:val="27"/>
        </w:trPr>
        <w:tc>
          <w:tcPr>
            <w:tcW w:w="6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10,622</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5,116</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Postretirement benefits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8,200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2,339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260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marketing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183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4,233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3,106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279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Reclamation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assets – foreign</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deferred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17,282</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11,447</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9,767</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6,467</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July 31, 2012, we had AMT credit carryforwards for federal income tax purposes of approximately $4,061,000, which can be carried forward indefinitely or until utilized. A number of factors determine whether or not we will be able to utilize the AMT credit carryforwards. We believe it is more likely than not that we will not realize a benefit from the carryforwards; therefore, a valuation allowance has been established for the full amount of the deferred tax benefit related to the AMT tax credits.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provided for income taxes related to previously untaxed earnings of foreign subsidiaries during fiscal 2011. Due to the availability of foreign tax credits, the additional income tax expense related to these foreign earnings was not 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08"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liability for unrecognized tax benefits (“UTBs”) based on tax positions related to the current and prior fiscal years did not change during fiscal 2012. Reconciliations of the beginning and ending amount of UTBs were as follows for the years ended July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r>
      <w:tr>
        <w:trPr>
          <w:trHeight w:val="27"/>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Gross balance – beginning of year</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273</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increases - tax positions in current year</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Gross decreases - tax positions from prior years</w:t>
            </w:r>
          </w:p>
        </w:tc>
        <w:tc>
          <w:tcPr>
            <w:tcW w:w="20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balance – end of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amount of UTBs that, if recognized as of July 31, 2012, would affect our effective tax rate was $142,000. We classify interest and penalty accruals related to UTBs as income tax expense. During fiscal 2012, we recognized an immaterial amount of interest and penalties. As of July 31, 2012, we had accrued $7,000 for the payment of interest and penalties.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U.S. federal income tax as well as income tax in multiple state and foreign jurisdictions. Our federal income tax returns for the fiscal years ended July 31, 2009, 2010 and 2011 remain open and are currently under examination. Foreign and U.S. state jurisdictions have statutes of limitations generally ranging from 3 to 5 years. The state impact of any federal income tax changes remains subject to examination by various states for a period of up to one year after formal notification to the states. There are no material open or unsettled state, local or foreign income tax audits. We believe our accrual for tax liabilities is adequate for all open audit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authorized capital stock at July 31, 2012 and 2011 consisted of 15,000,000 shares of Common Stock, 7,000,000 shares of Class B Stock and 30,000,000 shares of Class A Common Stock, each with a par value of $.10 per share. There are no Class A Common Stock shares currently outstanding.</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Common Stock and Class B Stock are equal, on a per share basis, in all respects except as to voting rights, conversion rights, cash dividends and stock splits or stock dividends. The Class A Common Stock is equal, on a per share basis, in all respects, to the Common Stock except as to voting rights and stock splits or stock dividends. In the case of voting rights, Common Stock is entitled to one vote per share and Class B Stock is entitled to ten votes per share, while Class A Common Stock generally has no voting rights. Common Stock has no conversion rights and Class A Common Stock has no conversion rights. Class B Stock is convertible on a share-by-share basis into Common Stock at any time and is subject to mandatory conversion under certain circumstances.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 See Note 4 regarding dividend restrictions provided in our debt agreements.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Board of Directors has authorized in the aggregate the repurchase of 3,666,771 shares of the Company stock since fiscal 1991. As of July 31, 2012, 3,004,080 shares of Common Stock and 342,241 shares of Class B Stock have been repurchased under the Board approved repurchase authorizations and 146,545 shares of Common Stock by other transactions authorized by management prior to the adoption of the Board’s repurchase authorizations.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determined the fair value of stock options and restricted stock issued under our long term incentive plans as of the grant date. The fair value of the stock options was estimated on the date of the grant using a Black-Scholes option valuation model that used various assumptions. The risk free interest rate was based on the U.S. Treasury yield curve in effect at the time of grant. Expected life (estimated period of time outstanding) of a grant was determined by reference to the vesting schedule, past exercise behavior and comparison with other reporting companies. The dividend rate at the date of grant was used as the best estimate of future dividends. Expected volatility was determined by calculating the standard deviation of our stock price for the five years immediately prior to the grant date. This period of time closely resembles the expected term. All stock options issued under our plans have an exercise price equal to the closing market price of our Common Stock on the date of grant. All options currently outstanding have a term of ten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1995 Long Term Incentive Plan (“1995 Plan”) provided for grants of both incentive and non-qualified stock options and restricted stock. Stock options granted under the 1995 Plan generally vest 25% two years after the grant date and in each of the three following anniversaries of the grant date. All shares of stock issued upon option exercises under this plan were from authorized but unissued stock; all shares of restricted stock issued were from treasury stock. There are no shares available for future grants under this plan.</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Oil-Dri Corporation of America 2006 Long Term Incentive Plan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shares of restricted stock have been issued under the 2006 Plan as described in the restricted stock section below. As of July 31, 2012, there were 623,000 shares available for future grants under this plan.</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Oil-Dri Corporation of America Outside Director Stock Plan (the “Directors’ Plan”) provides for grants of stock options to directors, who are considered employees. Stock options have been granted to our directors with a one year vesting period. There are no shares available for future grants under this plan. All shares of stock issued under the Directors’ Plan were from treasury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7000" w:type="dxa"/>
            <w:vAlign w:val="bottom"/>
            <w:gridSpan w:val="4"/>
          </w:tcPr>
          <w:p>
            <w:pPr>
              <w:ind w:left="660"/>
              <w:spacing w:after="0"/>
              <w:rPr>
                <w:sz w:val="20"/>
                <w:szCs w:val="20"/>
                <w:color w:val="auto"/>
              </w:rPr>
            </w:pPr>
            <w:r>
              <w:rPr>
                <w:rFonts w:ascii="Arial" w:cs="Arial" w:eastAsia="Arial" w:hAnsi="Arial"/>
                <w:sz w:val="18"/>
                <w:szCs w:val="18"/>
                <w:color w:val="auto"/>
              </w:rPr>
              <w:t>A summary of stock option transactions under the plans is shown below.</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Term</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1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(Years)</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(in thousands)</w:t>
            </w:r>
          </w:p>
        </w:tc>
      </w:tr>
      <w:tr>
        <w:trPr>
          <w:trHeight w:val="27"/>
        </w:trPr>
        <w:tc>
          <w:tcPr>
            <w:tcW w:w="12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at July 31, 2009</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3,363</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Options exercisable at July 31, 2009</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473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3,321</w:t>
            </w: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non-vested at July 31, 2009</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1,881</w:t>
            </w: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Options outstanding at July 31, 2010</w:t>
            </w:r>
          </w:p>
        </w:tc>
        <w:tc>
          <w:tcPr>
            <w:tcW w:w="13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3,934</w:t>
            </w: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exercisable at July 31, 2010</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3,885</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Options non-vested at July 31, 2010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Options outstanding at July 31, 2011</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2.8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1,882</w:t>
            </w: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exercisable at July 31, 2011</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Options non-vested at July 31, 2011</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Exercised</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8.34</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515</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Options outstanding at July 31, 2012</w:t>
            </w:r>
          </w:p>
        </w:tc>
        <w:tc>
          <w:tcPr>
            <w:tcW w:w="13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147</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11.89</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2.2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1,473</w:t>
            </w: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July 31, 2012</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11.89</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1,473</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Options non-vested at July 31, 2012</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amount of cash received from the exercise of options during the fiscal year ended July 31, 2012 was approximately $866,000 and the related tax benefit was approximately $234,000. The amount of cash received from the exercise of options during the fiscal year ended July 31, 2011 was approximately $2,867,000 and the related tax benefit was approximately $831,000. The amount of cash received from the exercise of options during the fiscal year ended July 31, 2010 was approximately $3,242,000 and the related tax benefit was approximately $849,000.</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information related to stock options outstanding and exercisable at July 31, 2012. All outstanding stock options were exercisable as of July 31,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00" w:type="dxa"/>
            <w:vAlign w:val="bottom"/>
            <w:gridSpan w:val="6"/>
          </w:tcPr>
          <w:p>
            <w:pPr>
              <w:jc w:val="right"/>
              <w:ind w:right="1190"/>
              <w:spacing w:after="0"/>
              <w:rPr>
                <w:sz w:val="20"/>
                <w:szCs w:val="20"/>
                <w:color w:val="auto"/>
              </w:rPr>
            </w:pPr>
            <w:r>
              <w:rPr>
                <w:rFonts w:ascii="Arial" w:cs="Arial" w:eastAsia="Arial" w:hAnsi="Arial"/>
                <w:sz w:val="18"/>
                <w:szCs w:val="18"/>
                <w:b w:val="1"/>
                <w:bCs w:val="1"/>
                <w:color w:val="auto"/>
              </w:rPr>
              <w:t>Options Outstanding And Exercisable</w:t>
            </w:r>
          </w:p>
        </w:tc>
      </w:tr>
      <w:tr>
        <w:trPr>
          <w:trHeight w:val="234"/>
        </w:trPr>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60" w:type="dxa"/>
            <w:vAlign w:val="bottom"/>
            <w:gridSpan w:val="5"/>
          </w:tcPr>
          <w:p>
            <w:pPr>
              <w:jc w:val="right"/>
              <w:spacing w:after="0"/>
              <w:rPr>
                <w:sz w:val="20"/>
                <w:szCs w:val="20"/>
                <w:color w:val="auto"/>
              </w:rPr>
            </w:pPr>
            <w:r>
              <w:rPr>
                <w:rFonts w:ascii="Arial" w:cs="Arial" w:eastAsia="Arial" w:hAnsi="Arial"/>
                <w:sz w:val="18"/>
                <w:szCs w:val="18"/>
                <w:b w:val="1"/>
                <w:bCs w:val="1"/>
                <w:color w:val="auto"/>
              </w:rPr>
              <w:t>By Price Range As Of July 31, 2012</w:t>
            </w:r>
          </w:p>
        </w:tc>
        <w:tc>
          <w:tcPr>
            <w:tcW w:w="1340" w:type="dxa"/>
            <w:vAlign w:val="bottom"/>
          </w:tcPr>
          <w:p>
            <w:pPr>
              <w:spacing w:after="0"/>
              <w:rPr>
                <w:sz w:val="20"/>
                <w:szCs w:val="20"/>
                <w:color w:val="auto"/>
              </w:rPr>
            </w:pPr>
          </w:p>
        </w:tc>
      </w:tr>
      <w:tr>
        <w:trPr>
          <w:trHeight w:val="27"/>
        </w:trPr>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and</w:t>
            </w:r>
          </w:p>
        </w:tc>
        <w:tc>
          <w:tcPr>
            <w:tcW w:w="2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4"/>
              </w:rPr>
              <w:t>Contractual Life</w:t>
            </w:r>
          </w:p>
        </w:tc>
        <w:tc>
          <w:tcPr>
            <w:tcW w:w="24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Weighted Average</w:t>
            </w:r>
          </w:p>
        </w:tc>
      </w:tr>
      <w:tr>
        <w:trPr>
          <w:trHeight w:val="234"/>
        </w:trPr>
        <w:tc>
          <w:tcPr>
            <w:tcW w:w="240" w:type="dxa"/>
            <w:vAlign w:val="bottom"/>
          </w:tcPr>
          <w:p>
            <w:pPr>
              <w:spacing w:after="0"/>
              <w:rPr>
                <w:sz w:val="20"/>
                <w:szCs w:val="20"/>
                <w:color w:val="auto"/>
              </w:rPr>
            </w:pPr>
          </w:p>
        </w:tc>
        <w:tc>
          <w:tcPr>
            <w:tcW w:w="2640" w:type="dxa"/>
            <w:vAlign w:val="bottom"/>
            <w:gridSpan w:val="5"/>
          </w:tcPr>
          <w:p>
            <w:pPr>
              <w:ind w:left="100"/>
              <w:spacing w:after="0"/>
              <w:rPr>
                <w:sz w:val="20"/>
                <w:szCs w:val="20"/>
                <w:color w:val="auto"/>
              </w:rPr>
            </w:pPr>
            <w:r>
              <w:rPr>
                <w:rFonts w:ascii="Arial" w:cs="Arial" w:eastAsia="Arial" w:hAnsi="Arial"/>
                <w:sz w:val="18"/>
                <w:szCs w:val="18"/>
                <w:b w:val="1"/>
                <w:bCs w:val="1"/>
                <w:color w:val="auto"/>
              </w:rPr>
              <w:t>Range of Exercise Prices</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Exercise Price</w:t>
            </w:r>
          </w:p>
        </w:tc>
      </w:tr>
      <w:tr>
        <w:trPr>
          <w:trHeight w:val="27"/>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98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5"/>
              </w:rPr>
              <w:t>1.07</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4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10.51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12.00</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98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5"/>
              </w:rPr>
              <w:t>2.19</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4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13.51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w:t>
            </w:r>
          </w:p>
        </w:tc>
        <w:tc>
          <w:tcPr>
            <w:tcW w:w="1980" w:type="dxa"/>
            <w:vAlign w:val="bottom"/>
            <w:gridSpan w:val="2"/>
          </w:tcPr>
          <w:p>
            <w:pPr>
              <w:jc w:val="center"/>
              <w:ind w:left="150"/>
              <w:spacing w:after="0"/>
              <w:rPr>
                <w:sz w:val="20"/>
                <w:szCs w:val="20"/>
                <w:color w:val="auto"/>
              </w:rPr>
            </w:pPr>
            <w:r>
              <w:rPr>
                <w:rFonts w:ascii="Arial" w:cs="Arial" w:eastAsia="Arial" w:hAnsi="Arial"/>
                <w:sz w:val="18"/>
                <w:szCs w:val="18"/>
                <w:color w:val="auto"/>
                <w:w w:val="85"/>
              </w:rPr>
              <w:t>3.86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7"/>
        </w:trPr>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98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5"/>
              </w:rPr>
              <w:t>3.62</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4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16.51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17.00</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c>
          <w:tcPr>
            <w:tcW w:w="1980" w:type="dxa"/>
            <w:vAlign w:val="bottom"/>
            <w:gridSpan w:val="2"/>
          </w:tcPr>
          <w:p>
            <w:pPr>
              <w:jc w:val="center"/>
              <w:ind w:left="150"/>
              <w:spacing w:after="0"/>
              <w:rPr>
                <w:sz w:val="20"/>
                <w:szCs w:val="20"/>
                <w:color w:val="auto"/>
              </w:rPr>
            </w:pPr>
            <w:r>
              <w:rPr>
                <w:rFonts w:ascii="Arial" w:cs="Arial" w:eastAsia="Arial" w:hAnsi="Arial"/>
                <w:sz w:val="18"/>
                <w:szCs w:val="18"/>
                <w:color w:val="auto"/>
                <w:w w:val="85"/>
              </w:rPr>
              <w:t>4.31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7"/>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9.00</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3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98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5"/>
              </w:rPr>
              <w:t>2.16</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recognized the related compensation expense over the period from the date of grant to the date when the award is no longer contingent on the employee providing additional service to us. As of July 31, 2012, we had no unamortized expense associated with outstanding stock options. As of July 31, 2011 and July 31, 2010, we had total unamortized compensation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08"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approximately $4,000 and $18,000, respectively. The weighted average period over which this expense was expected to be amortized was 0.3 years and 1.3 years at July 31, 2011 and July 31, 2010,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of our non-vested restricted stock as of July 31, 2012 was issued under the 2006 Plan with vesting periods between two and five years.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Unamortized</w:t>
            </w:r>
          </w:p>
        </w:tc>
      </w:tr>
      <w:tr>
        <w:trPr>
          <w:trHeight w:val="216"/>
        </w:trPr>
        <w:tc>
          <w:tcPr>
            <w:tcW w:w="53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Expense</w:t>
            </w:r>
          </w:p>
        </w:tc>
      </w:tr>
      <w:tr>
        <w:trPr>
          <w:trHeight w:val="216"/>
        </w:trPr>
        <w:tc>
          <w:tcPr>
            <w:tcW w:w="53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Grant Date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(in</w:t>
            </w:r>
          </w:p>
        </w:tc>
      </w:tr>
      <w:tr>
        <w:trPr>
          <w:trHeight w:val="234"/>
        </w:trPr>
        <w:tc>
          <w:tcPr>
            <w:tcW w:w="53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thousands)</w:t>
            </w:r>
          </w:p>
        </w:tc>
      </w:tr>
      <w:tr>
        <w:trPr>
          <w:trHeight w:val="27"/>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2009</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Non-vested restricted stock outstanding at July 31, 2010</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15.31</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134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Vested</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(18)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15.37</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139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20.95</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(30)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Forfeitures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19.61</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restricted stock outstanding at July 31, 2012</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132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2,214</w:t>
            </w:r>
          </w:p>
        </w:tc>
      </w:tr>
      <w:tr>
        <w:trPr>
          <w:trHeight w:val="20"/>
        </w:trPr>
        <w:tc>
          <w:tcPr>
            <w:tcW w:w="5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PENSION AND OTHER POSTRETIREMENT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Oil-Dri Corporation of American Pension Plan (“Pension Plan”) is a defined benefit pension plan for eligible salaried and hourly employees.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Pension benefits are based on a formula of years of credited service and levels of compensation or stated amounts for each year of credited service.</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provide a postretirement health benefits plan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maintain a 401(k) savings plan under which we match a portion of employee contributions. This plan is available to essentially all domestic employees following a specific number of days of employment. Our contributions to this plan, and to similar plans maintained by our foreign subsidiaries, were $673,000, $714,000 and $660,000 for the fiscal years ended July 31, 2012, 2011 and 2010,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a reconciliation of changes in the plans’ benefit obligations, assets’ fair values and funded status for the fiscal years ended July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80"/>
              <w:spacing w:after="0"/>
              <w:rPr>
                <w:sz w:val="20"/>
                <w:szCs w:val="20"/>
                <w:color w:val="auto"/>
              </w:rPr>
            </w:pPr>
            <w:r>
              <w:rPr>
                <w:rFonts w:ascii="Arial" w:cs="Arial" w:eastAsia="Arial" w:hAnsi="Arial"/>
                <w:sz w:val="18"/>
                <w:szCs w:val="18"/>
                <w:b w:val="1"/>
                <w:bCs w:val="1"/>
                <w:color w:val="auto"/>
              </w:rPr>
              <w:t>Pension Benefits</w:t>
            </w:r>
          </w:p>
        </w:tc>
        <w:tc>
          <w:tcPr>
            <w:tcW w:w="24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Postretirement Health Benefits</w:t>
            </w:r>
          </w:p>
        </w:tc>
      </w:tr>
      <w:tr>
        <w:trPr>
          <w:trHeight w:val="27"/>
        </w:trPr>
        <w:tc>
          <w:tcPr>
            <w:tcW w:w="6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31,142</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27,994</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2,042</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1,933</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1,617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105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8,609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(853)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41,839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31,142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2,042</w:t>
            </w: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19,878</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17,287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1,068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90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97"/>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20,108</w:t>
            </w:r>
          </w:p>
        </w:tc>
        <w:tc>
          <w:tcPr>
            <w:tcW w:w="2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19,878</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Funded status, recorded in Consolidated Balance Sheets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(21,731)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accumulated benefit obligation for the Pension Plan was $35,255,000 as of July 31, 2012 and $25,734,000 as of July 31,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recognized in the Consolidated Balance Sheets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4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60"/>
              <w:spacing w:after="0"/>
              <w:rPr>
                <w:sz w:val="20"/>
                <w:szCs w:val="20"/>
                <w:color w:val="auto"/>
              </w:rPr>
            </w:pPr>
            <w:r>
              <w:rPr>
                <w:rFonts w:ascii="Arial" w:cs="Arial" w:eastAsia="Arial" w:hAnsi="Arial"/>
                <w:sz w:val="18"/>
                <w:szCs w:val="18"/>
                <w:b w:val="1"/>
                <w:bCs w:val="1"/>
                <w:color w:val="auto"/>
              </w:rPr>
              <w:t>Pension Benefits</w:t>
            </w:r>
          </w:p>
        </w:tc>
        <w:tc>
          <w:tcPr>
            <w:tcW w:w="260" w:type="dxa"/>
            <w:vAlign w:val="bottom"/>
          </w:tcPr>
          <w:p>
            <w:pPr>
              <w:spacing w:after="0"/>
              <w:rPr>
                <w:sz w:val="20"/>
                <w:szCs w:val="20"/>
                <w:color w:val="auto"/>
              </w:rPr>
            </w:pPr>
          </w:p>
        </w:tc>
        <w:tc>
          <w:tcPr>
            <w:tcW w:w="14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7"/>
              </w:rPr>
              <w:t>Benefits</w:t>
            </w:r>
          </w:p>
        </w:tc>
        <w:tc>
          <w:tcPr>
            <w:tcW w:w="82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27"/>
        </w:trPr>
        <w:tc>
          <w:tcPr>
            <w:tcW w:w="48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7,274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(21,731)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–net of tax:</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10,883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Prior service cost</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obligation at transition</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675"/>
        </w:trPr>
        <w:tc>
          <w:tcPr>
            <w:tcW w:w="4800" w:type="dxa"/>
            <w:vAlign w:val="bottom"/>
          </w:tcPr>
          <w:p>
            <w:pPr>
              <w:spacing w:after="0"/>
              <w:rPr>
                <w:sz w:val="24"/>
                <w:szCs w:val="24"/>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Costs and Amortizations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components of the net periodic pension and postretirement health benefit costs for the fiscal years ended July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Pension Cost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7"/>
          </w:tcPr>
          <w:p>
            <w:pPr>
              <w:jc w:val="right"/>
              <w:ind w:right="270"/>
              <w:spacing w:after="0"/>
              <w:rPr>
                <w:sz w:val="20"/>
                <w:szCs w:val="20"/>
                <w:color w:val="auto"/>
              </w:rPr>
            </w:pPr>
            <w:r>
              <w:rPr>
                <w:rFonts w:ascii="Arial" w:cs="Arial" w:eastAsia="Arial" w:hAnsi="Arial"/>
                <w:sz w:val="18"/>
                <w:szCs w:val="18"/>
                <w:b w:val="1"/>
                <w:bCs w:val="1"/>
                <w:color w:val="auto"/>
                <w:w w:val="96"/>
              </w:rPr>
              <w:t>Postretirement Health Benefit Cost</w:t>
            </w:r>
          </w:p>
        </w:tc>
      </w:tr>
      <w:tr>
        <w:trPr>
          <w:trHeight w:val="27"/>
        </w:trPr>
        <w:tc>
          <w:tcPr>
            <w:tcW w:w="4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7"/>
        </w:trPr>
        <w:tc>
          <w:tcPr>
            <w:tcW w:w="4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1,617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w:t>
            </w:r>
          </w:p>
        </w:tc>
      </w:tr>
      <w:tr>
        <w:trPr>
          <w:trHeight w:val="27"/>
        </w:trPr>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transition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Prior service costs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57"/>
        </w:trPr>
        <w:tc>
          <w:tcPr>
            <w:tcW w:w="418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1,793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amounts, net of tax, that are recognized in other comprehensive income for the fiscal years ended July 31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ind w:left="160"/>
              <w:spacing w:after="0"/>
              <w:rPr>
                <w:sz w:val="20"/>
                <w:szCs w:val="20"/>
                <w:color w:val="auto"/>
              </w:rPr>
            </w:pPr>
            <w:r>
              <w:rPr>
                <w:rFonts w:ascii="Arial" w:cs="Arial" w:eastAsia="Arial" w:hAnsi="Arial"/>
                <w:sz w:val="18"/>
                <w:szCs w:val="18"/>
                <w:b w:val="1"/>
                <w:bCs w:val="1"/>
                <w:color w:val="auto"/>
              </w:rPr>
              <w:t>Pension Benefits</w:t>
            </w:r>
          </w:p>
        </w:tc>
        <w:tc>
          <w:tcPr>
            <w:tcW w:w="1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64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Net transition obligation</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actuarial loss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recognized in other comprehensive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6,041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amortization amounts, net of tax, expected to be recognized in fiscal 2013 in accumulated other comprehensive income (in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3"/>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Postretirement Health</w:t>
            </w:r>
          </w:p>
        </w:tc>
      </w:tr>
      <w:tr>
        <w:trPr>
          <w:trHeight w:val="234"/>
        </w:trPr>
        <w:tc>
          <w:tcPr>
            <w:tcW w:w="74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Pension Benefits</w:t>
            </w: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Benefits</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obligation at transition</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7440" w:type="dxa"/>
            <w:vAlign w:val="bottom"/>
          </w:tcPr>
          <w:p>
            <w:pPr>
              <w:ind w:left="80"/>
              <w:spacing w:after="0"/>
              <w:rPr>
                <w:sz w:val="20"/>
                <w:szCs w:val="20"/>
                <w:color w:val="auto"/>
              </w:rPr>
            </w:pPr>
            <w:r>
              <w:rPr>
                <w:rFonts w:ascii="Arial" w:cs="Arial" w:eastAsia="Arial" w:hAnsi="Arial"/>
                <w:sz w:val="18"/>
                <w:szCs w:val="18"/>
                <w:b w:val="1"/>
                <w:bCs w:val="1"/>
                <w:color w:val="auto"/>
              </w:rPr>
              <w:t>Total to be recognized as other comprehensive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559</w:t>
            </w:r>
          </w:p>
        </w:tc>
        <w:tc>
          <w:tcPr>
            <w:tcW w:w="3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funded the Pension Plan based upon actuarially determined contributions that take into account the amount deductible for income tax purposes, the normal cost and the minimum contribution required and the maximum contribution allowed under the Employee Retirement Income Security Act of 1974 (ERISA), as amended. We expect to contribute approximately $1,880,000 in fiscal 2013.</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postretirement health plan is an unfunded plan. Our policy is to pay insurance premiums and claims from our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estimated future benefit payments (in thousands):</w:t>
      </w:r>
    </w:p>
    <w:p>
      <w:pPr>
        <w:spacing w:after="0" w:line="16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280" w:type="dxa"/>
            <w:vAlign w:val="bottom"/>
          </w:tcPr>
          <w:p>
            <w:pPr>
              <w:ind w:left="620"/>
              <w:spacing w:after="0"/>
              <w:rPr>
                <w:sz w:val="20"/>
                <w:szCs w:val="20"/>
                <w:color w:val="auto"/>
              </w:rPr>
            </w:pPr>
            <w:r>
              <w:rPr>
                <w:rFonts w:ascii="Arial" w:cs="Arial" w:eastAsia="Arial" w:hAnsi="Arial"/>
                <w:sz w:val="18"/>
                <w:szCs w:val="18"/>
                <w:b w:val="1"/>
                <w:bCs w:val="1"/>
                <w:color w:val="auto"/>
                <w:w w:val="91"/>
              </w:rPr>
              <w:t>Pension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Postretirement</w:t>
            </w:r>
          </w:p>
        </w:tc>
      </w:tr>
      <w:tr>
        <w:trPr>
          <w:trHeight w:val="234"/>
        </w:trPr>
        <w:tc>
          <w:tcPr>
            <w:tcW w:w="5600" w:type="dxa"/>
            <w:vAlign w:val="bottom"/>
          </w:tcPr>
          <w:p>
            <w:pPr>
              <w:spacing w:after="0"/>
              <w:rPr>
                <w:sz w:val="20"/>
                <w:szCs w:val="20"/>
                <w:color w:val="auto"/>
              </w:rPr>
            </w:pPr>
          </w:p>
        </w:tc>
        <w:tc>
          <w:tcPr>
            <w:tcW w:w="1280" w:type="dxa"/>
            <w:vAlign w:val="bottom"/>
          </w:tcPr>
          <w:p>
            <w:pPr>
              <w:ind w:left="600"/>
              <w:spacing w:after="0"/>
              <w:rPr>
                <w:sz w:val="20"/>
                <w:szCs w:val="20"/>
                <w:color w:val="auto"/>
              </w:rPr>
            </w:pPr>
            <w:r>
              <w:rPr>
                <w:rFonts w:ascii="Arial" w:cs="Arial" w:eastAsia="Arial" w:hAnsi="Arial"/>
                <w:sz w:val="18"/>
                <w:szCs w:val="18"/>
                <w:b w:val="1"/>
                <w:bCs w:val="1"/>
                <w:color w:val="auto"/>
                <w:w w:val="92"/>
              </w:rPr>
              <w:t>Benefits</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Health Benefits</w:t>
            </w:r>
          </w:p>
        </w:tc>
      </w:tr>
      <w:tr>
        <w:trPr>
          <w:trHeight w:val="27"/>
        </w:trPr>
        <w:tc>
          <w:tcPr>
            <w:tcW w:w="56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2014</w:t>
            </w:r>
          </w:p>
        </w:tc>
        <w:tc>
          <w:tcPr>
            <w:tcW w:w="12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1,096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5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1,161</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2016</w:t>
            </w:r>
          </w:p>
        </w:tc>
        <w:tc>
          <w:tcPr>
            <w:tcW w:w="12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1,198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5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1,292</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2018-22</w:t>
            </w:r>
          </w:p>
        </w:tc>
        <w:tc>
          <w:tcPr>
            <w:tcW w:w="12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8,101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886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Actual results in any given year will often differ from actuarial assumptions because of economic and other factors. The assumptions used in the previous calculations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5700" w:type="dxa"/>
            <w:vAlign w:val="bottom"/>
          </w:tcPr>
          <w:p>
            <w:pPr>
              <w:spacing w:after="0"/>
              <w:rPr>
                <w:sz w:val="20"/>
                <w:szCs w:val="20"/>
                <w:color w:val="auto"/>
              </w:rPr>
            </w:pPr>
          </w:p>
        </w:tc>
        <w:tc>
          <w:tcPr>
            <w:tcW w:w="268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Benefits</w:t>
            </w:r>
          </w:p>
        </w:tc>
        <w:tc>
          <w:tcPr>
            <w:tcW w:w="820" w:type="dxa"/>
            <w:vAlign w:val="bottom"/>
          </w:tcPr>
          <w:p>
            <w:pPr>
              <w:spacing w:after="0"/>
              <w:rPr>
                <w:sz w:val="20"/>
                <w:szCs w:val="20"/>
                <w:color w:val="auto"/>
              </w:rPr>
            </w:pPr>
          </w:p>
        </w:tc>
        <w:tc>
          <w:tcPr>
            <w:tcW w:w="1520" w:type="dxa"/>
            <w:vAlign w:val="bottom"/>
            <w:gridSpan w:val="3"/>
          </w:tcPr>
          <w:p>
            <w:pPr>
              <w:jc w:val="center"/>
              <w:ind w:right="730"/>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5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300" w:type="dxa"/>
            <w:vAlign w:val="bottom"/>
          </w:tcPr>
          <w:p>
            <w:pPr>
              <w:spacing w:after="0"/>
              <w:rPr>
                <w:sz w:val="20"/>
                <w:szCs w:val="20"/>
                <w:color w:val="auto"/>
              </w:rPr>
            </w:pPr>
          </w:p>
        </w:tc>
        <w:tc>
          <w:tcPr>
            <w:tcW w:w="82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2012</w:t>
            </w:r>
          </w:p>
        </w:tc>
        <w:tc>
          <w:tcPr>
            <w:tcW w:w="15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5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5.25%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7"/>
              </w:rPr>
              <w:t>5.25%</w:t>
            </w:r>
          </w:p>
        </w:tc>
        <w:tc>
          <w:tcPr>
            <w:tcW w:w="1520" w:type="dxa"/>
            <w:vAlign w:val="bottom"/>
            <w:tcBorders>
              <w:bottom w:val="single" w:sz="8" w:color="CCEEFF"/>
            </w:tcBorders>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90"/>
              </w:rPr>
              <w:t>5.50%</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Discount rate for year-end obligations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3.75%</w:t>
            </w:r>
          </w:p>
        </w:tc>
        <w:tc>
          <w:tcPr>
            <w:tcW w:w="2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5.25%</w:t>
            </w:r>
          </w:p>
        </w:tc>
        <w:tc>
          <w:tcPr>
            <w:tcW w:w="300" w:type="dxa"/>
            <w:vAlign w:val="bottom"/>
          </w:tcPr>
          <w:p>
            <w:pPr>
              <w:spacing w:after="0"/>
              <w:rPr>
                <w:sz w:val="21"/>
                <w:szCs w:val="21"/>
                <w:color w:val="auto"/>
              </w:rPr>
            </w:pPr>
          </w:p>
        </w:tc>
        <w:tc>
          <w:tcPr>
            <w:tcW w:w="82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3.75%</w:t>
            </w:r>
          </w:p>
        </w:tc>
        <w:tc>
          <w:tcPr>
            <w:tcW w:w="152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5.25%</w:t>
            </w:r>
          </w:p>
        </w:tc>
      </w:tr>
      <w:tr>
        <w:trPr>
          <w:trHeight w:val="27"/>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 for net periodic benefit costs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4.00%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Rate of increase in compensation levels for year-end obligations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2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4.00%</w:t>
            </w:r>
          </w:p>
        </w:tc>
        <w:tc>
          <w:tcPr>
            <w:tcW w:w="300" w:type="dxa"/>
            <w:vAlign w:val="bottom"/>
          </w:tcPr>
          <w:p>
            <w:pPr>
              <w:spacing w:after="0"/>
              <w:rPr>
                <w:sz w:val="21"/>
                <w:szCs w:val="21"/>
                <w:color w:val="auto"/>
              </w:rPr>
            </w:pPr>
          </w:p>
        </w:tc>
        <w:tc>
          <w:tcPr>
            <w:tcW w:w="82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7.50%</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discount rate for fiscal 2012 and 2011 was the single equivalent rate that would yield the same present value as the plan’s expected cashflows discounted with spot rates on a yield curve of investment-grade corporate bonds. The yield curve is the Citigroup Pension Liability Index.</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expected rate of return on Pension Plan assets is determined by our asset allocation, our historical long-term investment performance, our estimate of future long-term returns by asset class (using input from our actuaries, investment services and investment managers), and long-term inflation assumptions. Our historical actual return averaged approximately 7.4% for the 10-year period ending July 31, 2012. The actual rate of return in fiscal 2012 was approximately 1.4%. Future actual pension expense will depend on future investment performance, changes in future discount rates and various other factors related to the population of participants in our pension plans.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fiscal 2012, the medical cost trend assumption was 8.0% . The graded trend rate is expected to decrease to an ultimate rate of 5.0% in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reflects the effect on postretirement health costs and accruals of a one-percentage point change in the assumed health care cost trend in the fiscal year ended July 31, 2012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One-Percentage Point</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One-Percentage</w:t>
            </w:r>
          </w:p>
        </w:tc>
      </w:tr>
      <w:tr>
        <w:trPr>
          <w:trHeight w:val="234"/>
        </w:trPr>
        <w:tc>
          <w:tcPr>
            <w:tcW w:w="5380" w:type="dxa"/>
            <w:vAlign w:val="bottom"/>
          </w:tcPr>
          <w:p>
            <w:pPr>
              <w:spacing w:after="0"/>
              <w:rPr>
                <w:sz w:val="20"/>
                <w:szCs w:val="20"/>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Point Decrease</w:t>
            </w:r>
          </w:p>
        </w:tc>
      </w:tr>
      <w:tr>
        <w:trPr>
          <w:trHeight w:val="27"/>
        </w:trPr>
        <w:tc>
          <w:tcPr>
            <w:tcW w:w="538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service and interest cost</w:t>
            </w:r>
          </w:p>
        </w:tc>
        <w:tc>
          <w:tcPr>
            <w:tcW w:w="22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$(27)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Effect on accumulated postretirement benefit obligation</w:t>
            </w:r>
          </w:p>
        </w:tc>
        <w:tc>
          <w:tcPr>
            <w:tcW w:w="2280" w:type="dxa"/>
            <w:vAlign w:val="bottom"/>
          </w:tcPr>
          <w:p>
            <w:pPr>
              <w:jc w:val="right"/>
              <w:ind w:right="870"/>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21"/>
                <w:szCs w:val="21"/>
                <w:color w:val="auto"/>
              </w:rPr>
            </w:pPr>
          </w:p>
        </w:tc>
        <w:tc>
          <w:tcPr>
            <w:tcW w:w="1980" w:type="dxa"/>
            <w:vAlign w:val="bottom"/>
          </w:tcPr>
          <w:p>
            <w:pPr>
              <w:jc w:val="right"/>
              <w:ind w:right="650"/>
              <w:spacing w:after="0"/>
              <w:rPr>
                <w:sz w:val="20"/>
                <w:szCs w:val="20"/>
                <w:color w:val="auto"/>
              </w:rPr>
            </w:pPr>
            <w:r>
              <w:rPr>
                <w:rFonts w:ascii="Arial" w:cs="Arial" w:eastAsia="Arial" w:hAnsi="Arial"/>
                <w:sz w:val="18"/>
                <w:szCs w:val="18"/>
                <w:color w:val="auto"/>
              </w:rPr>
              <w:t>$(282)</w:t>
            </w:r>
          </w:p>
        </w:tc>
      </w:tr>
      <w:tr>
        <w:trPr>
          <w:trHeight w:val="702"/>
        </w:trPr>
        <w:tc>
          <w:tcPr>
            <w:tcW w:w="5380" w:type="dxa"/>
            <w:vAlign w:val="bottom"/>
          </w:tcPr>
          <w:p>
            <w:pPr>
              <w:spacing w:after="0"/>
              <w:rPr>
                <w:sz w:val="24"/>
                <w:szCs w:val="24"/>
                <w:color w:val="auto"/>
              </w:rPr>
            </w:pPr>
          </w:p>
        </w:tc>
        <w:tc>
          <w:tcPr>
            <w:tcW w:w="2280" w:type="dxa"/>
            <w:vAlign w:val="bottom"/>
          </w:tcPr>
          <w:p>
            <w:pPr>
              <w:jc w:val="right"/>
              <w:ind w:right="177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measure and monitor the plan’s asset investment performance and the allocation of assets through quarterly investment portfolio reviews. Investment performance is measured by absolute returns, returns relative to benchmark indices and any other appropriate basis of comparison. The targeted allocation percentages of plan assets is shown below for fiscal 2013 and the actual allocation as of July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Target fiscal</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7320" w:type="dxa"/>
            <w:vAlign w:val="bottom"/>
          </w:tcPr>
          <w:p>
            <w:pPr>
              <w:ind w:left="2980"/>
              <w:spacing w:after="0"/>
              <w:rPr>
                <w:sz w:val="20"/>
                <w:szCs w:val="20"/>
                <w:color w:val="auto"/>
              </w:rPr>
            </w:pPr>
            <w:r>
              <w:rPr>
                <w:rFonts w:ascii="Arial" w:cs="Arial" w:eastAsia="Arial" w:hAnsi="Arial"/>
                <w:sz w:val="18"/>
                <w:szCs w:val="18"/>
                <w:b w:val="1"/>
                <w:bCs w:val="1"/>
                <w:color w:val="auto"/>
              </w:rPr>
              <w:t>Asset Allocation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3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accrued income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3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32%</w:t>
            </w:r>
          </w:p>
        </w:tc>
        <w:tc>
          <w:tcPr>
            <w:tcW w:w="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31%</w:t>
            </w:r>
          </w:p>
        </w:tc>
      </w:tr>
      <w:tr>
        <w:trPr>
          <w:trHeight w:val="27"/>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61%</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63%</w:t>
            </w:r>
          </w:p>
        </w:tc>
      </w:tr>
      <w:tr>
        <w:trPr>
          <w:trHeight w:val="27"/>
        </w:trPr>
        <w:tc>
          <w:tcPr>
            <w:tcW w:w="7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by level, within the fair value hierarchy, the Pension Plan's assets carried at fair value as of July 31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Fair Value At July 31, 2012</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Markets for</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identical</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2)</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5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5840" w:type="dxa"/>
            <w:vAlign w:val="bottom"/>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3"/>
                <w:szCs w:val="23"/>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U.S. companies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companies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Pr>
          <w:p>
            <w:pPr>
              <w:ind w:left="340"/>
              <w:spacing w:after="0" w:line="270" w:lineRule="exact"/>
              <w:rPr>
                <w:sz w:val="20"/>
                <w:szCs w:val="20"/>
                <w:color w:val="auto"/>
              </w:rPr>
            </w:pPr>
            <w:r>
              <w:rPr>
                <w:rFonts w:ascii="Arial" w:cs="Arial" w:eastAsia="Arial" w:hAnsi="Arial"/>
                <w:sz w:val="18"/>
                <w:szCs w:val="18"/>
                <w:color w:val="auto"/>
              </w:rPr>
              <w:t>Corporate bonds</w:t>
            </w:r>
            <w:r>
              <w:rPr>
                <w:rFonts w:ascii="Arial" w:cs="Arial" w:eastAsia="Arial" w:hAnsi="Arial"/>
                <w:sz w:val="25"/>
                <w:szCs w:val="25"/>
                <w:color w:val="auto"/>
                <w:vertAlign w:val="superscript"/>
              </w:rPr>
              <w:t>(f)</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(g)</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(h)</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(i)</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7"/>
        </w:trPr>
        <w:tc>
          <w:tcPr>
            <w:tcW w:w="5840" w:type="dxa"/>
            <w:vAlign w:val="bottom"/>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FF"/>
            </w:tcBorders>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Fair Value At July 31, 2011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Markets for</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identical</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2)</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58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Asset Class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companies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International companies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4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U.S. Treasuries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Corporate bonds</w:t>
            </w:r>
            <w:r>
              <w:rPr>
                <w:rFonts w:ascii="Arial" w:cs="Arial" w:eastAsia="Arial" w:hAnsi="Arial"/>
                <w:sz w:val="25"/>
                <w:szCs w:val="25"/>
                <w:color w:val="auto"/>
                <w:vertAlign w:val="superscript"/>
              </w:rPr>
              <w:t>(f)</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(h)</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(i)</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at least 80% of their assets in stocks of non- U.S. companies that are primarily in developed markets, however the fund allows up to 20% in 2012 and 35% in 2011 to be invested in emerging markets.</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mutual funds seek long-term capital growth by investing at least 80% of their assets in stocks of companies located in Asia, excluding Japan.</w:t>
      </w:r>
    </w:p>
    <w:p>
      <w:pPr>
        <w:spacing w:after="0" w:line="3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majority of the investments in this class seek maximum real return by investing primarily in commodity-linked derivative instruments. Assets not invested in commodity-linked instruments may be invested in inflation-indexed securities and other fixed income instruments.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includes bonds of U.S. and non-U.S. issuers from diverse industries.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invests at least 80% of its net assets, plus any borrowing for investment purposes, directly in, or in derivative instruments that provide exposure to, emerging market bonds and other debt instruments denominated in the local currency of issue.</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represents a beneficial ownership interest in a pool of single-family residential mortgage loans. These investments are not backed by the full faith and credit of the United States government.</w:t>
      </w:r>
    </w:p>
    <w:p>
      <w:pPr>
        <w:jc w:val="both"/>
        <w:ind w:left="660" w:right="2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seek long-term positive returns by employing a number of arbitrage and alternative investment strategies. The portfolio of instruments may include equities, convertible securities, debt securities, warrants, options, swaps, future contracts, forwards or other types of derivative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DEFERRED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Oil-Dri's deferred compensation plans permit directors and certain management employees to defer portions of their compensation and to earn interest on the deferred amounts. Participants have deferred $416,000 and $532,000 into these plans in fiscal years 2012 and 2011, respectively. We recorded $462,000 and $400,000 of interest expense associated with these plans in fiscal years 2012 and 2011, respectively. Payments to participants were $400,000 and $348,000 in fiscal 2012 and 2011, respectively, and the total liability recorded for deferred compensation was $7,272,000 and $6,701,000 at July 31, 2012 and 2011,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08"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Oil-Dri Corporation of America Annual Incentive Plan provides certain executives with the opportunity to receive a deferred executive bonus award if certain financial goals are met. A total of $322,000 was awarded for the fiscal year ended July 31, 2012 to certain executives. These awards will vest and accrue interest over a three-year period. Financial targets under the provisions of the plan were not achieved for the fiscal year ended July 31, 2011; therefore, there was no award for fiscal 2011.</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Both of the above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Oil-Dri Corporation of America Supplemental Executive Retirement Plan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We recorded approximately $698,000 and $24,000 in expense associated with the SERP in the fiscal years ended July 31, 2012 and 2011, respectively. The SERP is unfunded and we will fund benefits when payments are made. The total liability recorded for the SERP was $1,241,000 at July 31, 2012 and $544,000 at July 31,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CONTINGENCIES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mining operations are conducted on leased or owned property. These leases generally provide us with the right to mine as long as we continue to pay a minimum monthly rental, which is applied against the per ton royalty when the property is mined. We also lease certain offices and production facilities. In addition, we lease vehicles, railcars, mining property and equipment, warehouse space, data processing equipment, and office equipment. In most cases, we expect that, in the normal course of business, leases will be renewed or replaced by other leases.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is a schedule by year of future minimum rental requirements under operating leases that have initial or remaining non-cancelable lease terms in excess of one year as of July 31, 2012 (in thousands):</w:t>
      </w:r>
    </w:p>
    <w:p>
      <w:pPr>
        <w:spacing w:after="0" w:line="104" w:lineRule="exact"/>
        <w:rPr>
          <w:sz w:val="20"/>
          <w:szCs w:val="20"/>
          <w:color w:val="auto"/>
        </w:rPr>
      </w:pPr>
    </w:p>
    <w:tbl>
      <w:tblPr>
        <w:tblLayout w:type="fixed"/>
        <w:tblInd w:w="2360" w:type="dxa"/>
        <w:tblCellMar>
          <w:top w:w="0" w:type="dxa"/>
          <w:left w:w="0" w:type="dxa"/>
          <w:bottom w:w="0" w:type="dxa"/>
          <w:right w:w="0" w:type="dxa"/>
        </w:tblCellMar>
      </w:tblPr>
      <w:tr>
        <w:trPr>
          <w:trHeight w:val="27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2013</w:t>
            </w:r>
          </w:p>
        </w:tc>
        <w:tc>
          <w:tcPr>
            <w:tcW w:w="2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43"/>
        </w:trPr>
        <w:tc>
          <w:tcPr>
            <w:tcW w:w="3320" w:type="dxa"/>
            <w:vAlign w:val="bottom"/>
          </w:tcPr>
          <w:p>
            <w:pPr>
              <w:ind w:left="260"/>
              <w:spacing w:after="0"/>
              <w:rPr>
                <w:sz w:val="20"/>
                <w:szCs w:val="20"/>
                <w:color w:val="auto"/>
              </w:rPr>
            </w:pPr>
            <w:r>
              <w:rPr>
                <w:rFonts w:ascii="Arial" w:cs="Arial" w:eastAsia="Arial" w:hAnsi="Arial"/>
                <w:sz w:val="18"/>
                <w:szCs w:val="18"/>
                <w:color w:val="auto"/>
              </w:rPr>
              <w:t>2014</w:t>
            </w:r>
          </w:p>
        </w:tc>
        <w:tc>
          <w:tcPr>
            <w:tcW w:w="2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1,567</w:t>
            </w:r>
          </w:p>
        </w:tc>
      </w:tr>
      <w:tr>
        <w:trPr>
          <w:trHeight w:val="27"/>
        </w:trPr>
        <w:tc>
          <w:tcPr>
            <w:tcW w:w="33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2015</w:t>
            </w:r>
          </w:p>
        </w:tc>
        <w:tc>
          <w:tcPr>
            <w:tcW w:w="2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43"/>
        </w:trPr>
        <w:tc>
          <w:tcPr>
            <w:tcW w:w="3320" w:type="dxa"/>
            <w:vAlign w:val="bottom"/>
          </w:tcPr>
          <w:p>
            <w:pPr>
              <w:ind w:left="260"/>
              <w:spacing w:after="0"/>
              <w:rPr>
                <w:sz w:val="20"/>
                <w:szCs w:val="20"/>
                <w:color w:val="auto"/>
              </w:rPr>
            </w:pPr>
            <w:r>
              <w:rPr>
                <w:rFonts w:ascii="Arial" w:cs="Arial" w:eastAsia="Arial" w:hAnsi="Arial"/>
                <w:sz w:val="18"/>
                <w:szCs w:val="18"/>
                <w:color w:val="auto"/>
              </w:rPr>
              <w:t>2016</w:t>
            </w:r>
          </w:p>
        </w:tc>
        <w:tc>
          <w:tcPr>
            <w:tcW w:w="2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27"/>
        </w:trPr>
        <w:tc>
          <w:tcPr>
            <w:tcW w:w="33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w:t>
            </w:r>
          </w:p>
        </w:tc>
        <w:tc>
          <w:tcPr>
            <w:tcW w:w="2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243"/>
        </w:trPr>
        <w:tc>
          <w:tcPr>
            <w:tcW w:w="3320" w:type="dxa"/>
            <w:vAlign w:val="bottom"/>
          </w:tcPr>
          <w:p>
            <w:pPr>
              <w:ind w:left="260"/>
              <w:spacing w:after="0"/>
              <w:rPr>
                <w:sz w:val="20"/>
                <w:szCs w:val="20"/>
                <w:color w:val="auto"/>
              </w:rPr>
            </w:pPr>
            <w:r>
              <w:rPr>
                <w:rFonts w:ascii="Arial" w:cs="Arial" w:eastAsia="Arial" w:hAnsi="Arial"/>
                <w:sz w:val="18"/>
                <w:szCs w:val="18"/>
                <w:color w:val="auto"/>
              </w:rPr>
              <w:t>Later years</w:t>
            </w:r>
          </w:p>
        </w:tc>
        <w:tc>
          <w:tcPr>
            <w:tcW w:w="2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1,395</w:t>
            </w: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schedule shows the composition of total rental expense for all operating leases, including those with terms of one month or less which were not renewed, for the fiscal years ended July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r>
      <w:tr>
        <w:trPr>
          <w:trHeight w:val="27"/>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Vehicles and Railcars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2,029</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1,536</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Office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Warehouse facilities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252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Mining properties: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500"/>
              <w:spacing w:after="0"/>
              <w:rPr>
                <w:sz w:val="20"/>
                <w:szCs w:val="20"/>
                <w:color w:val="auto"/>
              </w:rPr>
            </w:pPr>
            <w:r>
              <w:rPr>
                <w:rFonts w:ascii="Arial" w:cs="Arial" w:eastAsia="Arial" w:hAnsi="Arial"/>
                <w:sz w:val="18"/>
                <w:szCs w:val="18"/>
                <w:color w:val="auto"/>
              </w:rPr>
              <w:t>Minimum</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123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Contingent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141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3,695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Contingent mining royalty payments are determined based on the tons of raw clay mined.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CASH FLOW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payments for interest and income taxes were as follows for the fiscal years ended July 31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1,607</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1,275</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r>
      <w:tr>
        <w:trPr>
          <w:trHeight w:val="243"/>
        </w:trPr>
        <w:tc>
          <w:tcPr>
            <w:tcW w:w="418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993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0"/>
              <w:spacing w:after="0"/>
              <w:rPr>
                <w:sz w:val="20"/>
                <w:szCs w:val="20"/>
                <w:color w:val="auto"/>
              </w:rPr>
            </w:pPr>
            <w:r>
              <w:rPr>
                <w:rFonts w:ascii="Arial" w:cs="Arial" w:eastAsia="Arial" w:hAnsi="Arial"/>
                <w:sz w:val="18"/>
                <w:szCs w:val="18"/>
                <w:color w:val="auto"/>
              </w:rPr>
              <w:t>2,501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r>
      <w:tr>
        <w:trPr>
          <w:trHeight w:val="459"/>
        </w:trPr>
        <w:tc>
          <w:tcPr>
            <w:tcW w:w="7000" w:type="dxa"/>
            <w:vAlign w:val="bottom"/>
            <w:gridSpan w:val="5"/>
          </w:tcPr>
          <w:p>
            <w:pPr>
              <w:spacing w:after="0"/>
              <w:rPr>
                <w:sz w:val="20"/>
                <w:szCs w:val="20"/>
                <w:color w:val="auto"/>
              </w:rPr>
            </w:pPr>
            <w:r>
              <w:rPr>
                <w:rFonts w:ascii="Arial" w:cs="Arial" w:eastAsia="Arial" w:hAnsi="Arial"/>
                <w:sz w:val="18"/>
                <w:szCs w:val="18"/>
                <w:b w:val="1"/>
                <w:bCs w:val="1"/>
                <w:color w:val="auto"/>
              </w:rPr>
              <w:t>NOTE 14 – SELECTED QUARTERLY FINANCIAL DATA (UNAUDITED)</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7000" w:type="dxa"/>
            <w:vAlign w:val="bottom"/>
            <w:gridSpan w:val="5"/>
          </w:tcPr>
          <w:p>
            <w:pPr>
              <w:ind w:left="660"/>
              <w:spacing w:after="0"/>
              <w:rPr>
                <w:sz w:val="20"/>
                <w:szCs w:val="20"/>
                <w:color w:val="auto"/>
              </w:rPr>
            </w:pPr>
            <w:r>
              <w:rPr>
                <w:rFonts w:ascii="Arial" w:cs="Arial" w:eastAsia="Arial" w:hAnsi="Arial"/>
                <w:sz w:val="18"/>
                <w:szCs w:val="18"/>
                <w:color w:val="auto"/>
              </w:rPr>
              <w:t>A summary of selected information for fiscal years 2012 and 2011 is as follows: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08"/>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6"/>
              </w:rPr>
              <w:t>Fiscal 2012 Quarter Ended</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October 31</w:t>
            </w:r>
          </w:p>
        </w:tc>
        <w:tc>
          <w:tcPr>
            <w:tcW w:w="36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January 31</w:t>
            </w:r>
          </w:p>
        </w:tc>
        <w:tc>
          <w:tcPr>
            <w:tcW w:w="34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April 30</w:t>
            </w:r>
          </w:p>
        </w:tc>
        <w:tc>
          <w:tcPr>
            <w:tcW w:w="1640" w:type="dxa"/>
            <w:vAlign w:val="bottom"/>
            <w:gridSpan w:val="5"/>
          </w:tcPr>
          <w:p>
            <w:pPr>
              <w:ind w:left="580"/>
              <w:spacing w:after="0"/>
              <w:rPr>
                <w:sz w:val="20"/>
                <w:szCs w:val="20"/>
                <w:color w:val="auto"/>
              </w:rPr>
            </w:pPr>
            <w:r>
              <w:rPr>
                <w:rFonts w:ascii="Arial" w:cs="Arial" w:eastAsia="Arial" w:hAnsi="Arial"/>
                <w:sz w:val="18"/>
                <w:szCs w:val="18"/>
                <w:b w:val="1"/>
                <w:bCs w:val="1"/>
                <w:color w:val="auto"/>
              </w:rPr>
              <w:t>July 31</w:t>
            </w:r>
          </w:p>
        </w:tc>
        <w:tc>
          <w:tcPr>
            <w:tcW w:w="200" w:type="dxa"/>
            <w:vAlign w:val="bottom"/>
          </w:tcPr>
          <w:p>
            <w:pPr>
              <w:spacing w:after="0"/>
              <w:rPr>
                <w:sz w:val="20"/>
                <w:szCs w:val="20"/>
                <w:color w:val="auto"/>
              </w:rPr>
            </w:pPr>
          </w:p>
        </w:tc>
        <w:tc>
          <w:tcPr>
            <w:tcW w:w="12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7"/>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7"/>
          </w:tcPr>
          <w:p>
            <w:pPr>
              <w:jc w:val="center"/>
              <w:ind w:left="1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59,582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60,203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59,780</w:t>
            </w:r>
          </w:p>
        </w:tc>
        <w:tc>
          <w:tcPr>
            <w:tcW w:w="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61,116</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240,681</w:t>
            </w:r>
          </w:p>
        </w:tc>
        <w:tc>
          <w:tcPr>
            <w:tcW w:w="160" w:type="dxa"/>
            <w:vAlign w:val="bottom"/>
          </w:tcPr>
          <w:p>
            <w:pPr>
              <w:spacing w:after="0"/>
              <w:rPr>
                <w:sz w:val="21"/>
                <w:szCs w:val="21"/>
                <w:color w:val="auto"/>
              </w:rPr>
            </w:pP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14,203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14,554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14,705</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15,543</w:t>
            </w: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59,005</w:t>
            </w:r>
          </w:p>
        </w:tc>
        <w:tc>
          <w:tcPr>
            <w:tcW w:w="1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3,239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1,892</w:t>
            </w:r>
          </w:p>
        </w:tc>
        <w:tc>
          <w:tcPr>
            <w:tcW w:w="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c>
          <w:tcPr>
            <w:tcW w:w="160" w:type="dxa"/>
            <w:vAlign w:val="bottom"/>
          </w:tcPr>
          <w:p>
            <w:pPr>
              <w:spacing w:after="0"/>
              <w:rPr>
                <w:sz w:val="21"/>
                <w:szCs w:val="21"/>
                <w:color w:val="auto"/>
              </w:rPr>
            </w:pP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Net Income (Loss) Per Share</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c>
          <w:tcPr>
            <w:tcW w:w="160" w:type="dxa"/>
            <w:vAlign w:val="bottom"/>
          </w:tcPr>
          <w:p>
            <w:pPr>
              <w:spacing w:after="0"/>
              <w:rPr>
                <w:sz w:val="21"/>
                <w:szCs w:val="21"/>
                <w:color w:val="auto"/>
              </w:rPr>
            </w:pPr>
          </w:p>
        </w:tc>
      </w:tr>
      <w:tr>
        <w:trPr>
          <w:trHeight w:val="243"/>
        </w:trPr>
        <w:tc>
          <w:tcPr>
            <w:tcW w:w="4180" w:type="dxa"/>
            <w:vAlign w:val="bottom"/>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0.12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0.36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21"/>
                <w:szCs w:val="21"/>
                <w:color w:val="auto"/>
              </w:rPr>
            </w:pP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0.1700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0.1700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0.1700</w:t>
            </w:r>
          </w:p>
        </w:tc>
        <w:tc>
          <w:tcPr>
            <w:tcW w:w="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0.1800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0.6900</w:t>
            </w:r>
          </w:p>
        </w:tc>
        <w:tc>
          <w:tcPr>
            <w:tcW w:w="160" w:type="dxa"/>
            <w:vAlign w:val="bottom"/>
          </w:tcPr>
          <w:p>
            <w:pPr>
              <w:spacing w:after="0"/>
              <w:rPr>
                <w:sz w:val="21"/>
                <w:szCs w:val="21"/>
                <w:color w:val="auto"/>
              </w:rPr>
            </w:pPr>
          </w:p>
        </w:tc>
      </w:tr>
      <w:tr>
        <w:trPr>
          <w:trHeight w:val="243"/>
        </w:trPr>
        <w:tc>
          <w:tcPr>
            <w:tcW w:w="4180" w:type="dxa"/>
            <w:vAlign w:val="bottom"/>
          </w:tcPr>
          <w:p>
            <w:pPr>
              <w:ind w:left="500"/>
              <w:spacing w:after="0"/>
              <w:rPr>
                <w:sz w:val="20"/>
                <w:szCs w:val="20"/>
                <w:color w:val="auto"/>
              </w:rPr>
            </w:pPr>
            <w:r>
              <w:rPr>
                <w:rFonts w:ascii="Arial" w:cs="Arial" w:eastAsia="Arial" w:hAnsi="Arial"/>
                <w:sz w:val="18"/>
                <w:szCs w:val="18"/>
                <w:color w:val="auto"/>
              </w:rPr>
              <w:t>Class 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0.1275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0.1275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0.1275</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0.1350</w:t>
            </w: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0.5175</w:t>
            </w:r>
          </w:p>
        </w:tc>
        <w:tc>
          <w:tcPr>
            <w:tcW w:w="1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180" w:type="dxa"/>
            <w:vAlign w:val="bottom"/>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21.61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22.44</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22.39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19.39</w:t>
            </w:r>
          </w:p>
        </w:tc>
        <w:tc>
          <w:tcPr>
            <w:tcW w:w="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18.29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567"/>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6"/>
              </w:rPr>
              <w:t>Fiscal 2011 Quarter Ended</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October 31</w:t>
            </w:r>
          </w:p>
        </w:tc>
        <w:tc>
          <w:tcPr>
            <w:tcW w:w="36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January 31</w:t>
            </w:r>
          </w:p>
        </w:tc>
        <w:tc>
          <w:tcPr>
            <w:tcW w:w="34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April 30</w:t>
            </w:r>
          </w:p>
        </w:tc>
        <w:tc>
          <w:tcPr>
            <w:tcW w:w="1640" w:type="dxa"/>
            <w:vAlign w:val="bottom"/>
            <w:gridSpan w:val="5"/>
          </w:tcPr>
          <w:p>
            <w:pPr>
              <w:ind w:left="580"/>
              <w:spacing w:after="0"/>
              <w:rPr>
                <w:sz w:val="20"/>
                <w:szCs w:val="20"/>
                <w:color w:val="auto"/>
              </w:rPr>
            </w:pPr>
            <w:r>
              <w:rPr>
                <w:rFonts w:ascii="Arial" w:cs="Arial" w:eastAsia="Arial" w:hAnsi="Arial"/>
                <w:sz w:val="18"/>
                <w:szCs w:val="18"/>
                <w:b w:val="1"/>
                <w:bCs w:val="1"/>
                <w:color w:val="auto"/>
              </w:rPr>
              <w:t>July 31</w:t>
            </w:r>
          </w:p>
        </w:tc>
        <w:tc>
          <w:tcPr>
            <w:tcW w:w="200" w:type="dxa"/>
            <w:vAlign w:val="bottom"/>
          </w:tcPr>
          <w:p>
            <w:pPr>
              <w:spacing w:after="0"/>
              <w:rPr>
                <w:sz w:val="20"/>
                <w:szCs w:val="20"/>
                <w:color w:val="auto"/>
              </w:rPr>
            </w:pPr>
          </w:p>
        </w:tc>
        <w:tc>
          <w:tcPr>
            <w:tcW w:w="12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7"/>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7"/>
          </w:tcPr>
          <w:p>
            <w:pPr>
              <w:jc w:val="center"/>
              <w:ind w:left="1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56,285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57,201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55,538</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57,731</w:t>
            </w:r>
          </w:p>
        </w:tc>
        <w:tc>
          <w:tcPr>
            <w:tcW w:w="1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226,755</w:t>
            </w:r>
          </w:p>
        </w:tc>
        <w:tc>
          <w:tcPr>
            <w:tcW w:w="160" w:type="dxa"/>
            <w:vAlign w:val="bottom"/>
          </w:tcPr>
          <w:p>
            <w:pPr>
              <w:spacing w:after="0"/>
              <w:rPr>
                <w:sz w:val="23"/>
                <w:szCs w:val="23"/>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13,208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12,492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11,907</w:t>
            </w:r>
          </w:p>
        </w:tc>
        <w:tc>
          <w:tcPr>
            <w:tcW w:w="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12,433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50,040</w:t>
            </w:r>
          </w:p>
        </w:tc>
        <w:tc>
          <w:tcPr>
            <w:tcW w:w="160" w:type="dxa"/>
            <w:vAlign w:val="bottom"/>
          </w:tcPr>
          <w:p>
            <w:pPr>
              <w:spacing w:after="0"/>
              <w:rPr>
                <w:sz w:val="21"/>
                <w:szCs w:val="21"/>
                <w:color w:val="auto"/>
              </w:rPr>
            </w:pP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2,519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1,777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1,860</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2,895</w:t>
            </w: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9,051</w:t>
            </w:r>
          </w:p>
        </w:tc>
        <w:tc>
          <w:tcPr>
            <w:tcW w:w="1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180" w:type="dxa"/>
            <w:vAlign w:val="bottom"/>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0.38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0.27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0.43</w:t>
            </w: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0.33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1"/>
                <w:szCs w:val="21"/>
                <w:color w:val="auto"/>
              </w:rPr>
            </w:pPr>
          </w:p>
        </w:tc>
      </w:tr>
      <w:tr>
        <w:trPr>
          <w:trHeight w:val="243"/>
        </w:trPr>
        <w:tc>
          <w:tcPr>
            <w:tcW w:w="4180" w:type="dxa"/>
            <w:vAlign w:val="bottom"/>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0.35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0.25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0.40</w:t>
            </w: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180" w:type="dxa"/>
            <w:vAlign w:val="bottom"/>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0.1600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0.1600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0.1600</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0.1700</w:t>
            </w: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0.6500</w:t>
            </w:r>
          </w:p>
        </w:tc>
        <w:tc>
          <w:tcPr>
            <w:tcW w:w="1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Class 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0.1200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0.1200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0.1200</w:t>
            </w:r>
          </w:p>
        </w:tc>
        <w:tc>
          <w:tcPr>
            <w:tcW w:w="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0.1275</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0.4875</w:t>
            </w:r>
          </w:p>
        </w:tc>
        <w:tc>
          <w:tcPr>
            <w:tcW w:w="160" w:type="dxa"/>
            <w:vAlign w:val="bottom"/>
          </w:tcPr>
          <w:p>
            <w:pPr>
              <w:spacing w:after="0"/>
              <w:rPr>
                <w:sz w:val="21"/>
                <w:szCs w:val="21"/>
                <w:color w:val="auto"/>
              </w:rPr>
            </w:pP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22.17</w:t>
            </w:r>
          </w:p>
        </w:tc>
        <w:tc>
          <w:tcPr>
            <w:tcW w:w="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22.39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180" w:type="dxa"/>
            <w:vAlign w:val="bottom"/>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18.73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18.81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18.74</w:t>
            </w: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19.11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702"/>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Sponsoring Organizations of the Treadway Commission (COSO). Based on our assessment, our management concluded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internal control over financial reporting was effective as of July 31, 2012.</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Our internal controls over financial reporting as of July 31, 2012 have been audited by PricewaterhouseCoopers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 Oil-Dri Corporation of America:</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In our opinion, the consolidated financial statements listed in the index appearing under Item 15(a)(1) present fairly, in all material respects, the financial position of Oil-Dri Corporation of America and its subsidiaries at July 31, 2012 and 2011, and the results of their operations and their cash flows for each of the three years in the period ended July 31, 2012 in conformity with accounting principles generally accepted in the United States of America. In addition, in our opinion, the financial statement schedule listed in the accompanying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July 31, 2012,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The Company’s management is</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these financial statements, on the financial statement schedule, and on the Company’s internal control over financial reporting based on our integrated audits (which were integrated audits in 2012 and 2011).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7" w:lineRule="exact"/>
        <w:rPr>
          <w:sz w:val="20"/>
          <w:szCs w:val="20"/>
          <w:color w:val="auto"/>
        </w:rPr>
      </w:pPr>
    </w:p>
    <w:p>
      <w:pPr>
        <w:jc w:val="both"/>
        <w:ind w:firstLine="648"/>
        <w:spacing w:after="0" w:line="34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11, 2012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Report on Internal Control Over Financial Reporting is set forth in Part II, Item 8 of this Annual Report on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(except as set forth below) is contained in Oil-Dri’s Proxy Statement for its 2012 annual meeting of stockholders under the captions “1. Election of Directors,” “Executive Officers,” “Section 16(a) Beneficial Ownership Reporting Compliance,” “Director Nominations,” “Audit Committee” and “Corporate Governance Matters” and is incorporated herein by this reference.</w:t>
      </w:r>
    </w:p>
    <w:p>
      <w:pPr>
        <w:spacing w:after="0" w:line="20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and its compensation committee does not have a charter.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contained in Oil-Dri</w:t>
      </w:r>
      <w:r>
        <w:rPr>
          <w:rFonts w:ascii="Arial" w:cs="Arial" w:eastAsia="Arial" w:hAnsi="Arial"/>
          <w:sz w:val="18"/>
          <w:szCs w:val="18"/>
          <w:i w:val="1"/>
          <w:iCs w:val="1"/>
          <w:color w:val="auto"/>
        </w:rPr>
        <w:t>’</w:t>
      </w:r>
      <w:r>
        <w:rPr>
          <w:rFonts w:ascii="Arial" w:cs="Arial" w:eastAsia="Arial" w:hAnsi="Arial"/>
          <w:sz w:val="18"/>
          <w:szCs w:val="18"/>
          <w:color w:val="auto"/>
        </w:rPr>
        <w:t>s Proxy Statement for its 2012 annual meeting of stockholders under the captions “Executive Compensation,” “Report of the Compensation Committee of the Board of Directors,” “Compensation of Directors,” “Compensation Committee” and “Compensation Committee Interlocks and Insider Participation” and is incorporated herein by reference.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93" w:lineRule="exact"/>
        <w:rPr>
          <w:sz w:val="20"/>
          <w:szCs w:val="20"/>
          <w:color w:val="auto"/>
        </w:rPr>
      </w:pPr>
    </w:p>
    <w:p>
      <w:pPr>
        <w:jc w:val="both"/>
        <w:ind w:right="20" w:firstLine="648"/>
        <w:spacing w:after="0" w:line="357" w:lineRule="auto"/>
        <w:rPr>
          <w:sz w:val="20"/>
          <w:szCs w:val="20"/>
          <w:color w:val="auto"/>
        </w:rPr>
      </w:pPr>
      <w:r>
        <w:rPr>
          <w:rFonts w:ascii="Arial" w:cs="Arial" w:eastAsia="Arial" w:hAnsi="Arial"/>
          <w:sz w:val="17"/>
          <w:szCs w:val="17"/>
          <w:color w:val="auto"/>
        </w:rPr>
        <w:t>The information required by this Item is contained in Oil-Dri’s Proxy Statement for its 2012 annual meeting of stockholders under the captions “Principal Stockholders,” “Security Ownership of Management” and “Equity Compensation Plans” and is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2012 annual meeting of stockholders under the captions “Certain Relationships and Related Transactions” and “Director Independence”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2012 annual meeting of stockholders under the caption “Auditor Fees”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391"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contained herein.</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Balance Sheets as of July 31, 2012 and July 31, 2011.</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Statements of Operations for the fiscal years ended July 31, 2012, July 31, 2011 and July 31, 2010.</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Statements of Stockholders’ Equity for the fiscal years ended July 31, 2012, July 31, 2011 and July 31, 2010.</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Statements of Cash Flows for the fiscal years ended July 31, 2012, July 31, 2011 and July 31, 2010.</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333"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financial statement schedule is contained herein:</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Schedule to Financial Statements, as follows:</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Schedule II - Valuation and Qualifying Accounts, years ended July 31, 2012, July 31, 2011 and July 31, 2010.</w:t>
      </w:r>
    </w:p>
    <w:p>
      <w:pPr>
        <w:spacing w:after="0" w:line="333"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400"/>
          </w:cols>
          <w:pgMar w:left="240" w:top="125" w:right="259" w:bottom="1440" w:gutter="0" w:footer="0" w:header="0"/>
        </w:sectPr>
      </w:pPr>
    </w:p>
    <w:p>
      <w:pPr>
        <w:spacing w:after="0" w:line="279"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7"/>
          <w:szCs w:val="17"/>
          <w:color w:val="auto"/>
        </w:rPr>
        <w:t>(a)(3)</w:t>
      </w:r>
      <w:r>
        <w:rPr>
          <w:sz w:val="20"/>
          <w:szCs w:val="20"/>
          <w:color w:val="auto"/>
        </w:rPr>
        <w:tab/>
      </w:r>
      <w:r>
        <w:rPr>
          <w:rFonts w:ascii="Arial" w:cs="Arial" w:eastAsia="Arial" w:hAnsi="Arial"/>
          <w:sz w:val="17"/>
          <w:szCs w:val="17"/>
          <w:color w:val="auto"/>
        </w:rPr>
        <w:t>The following documents are exhibits to this Report:</w:t>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340"/>
        <w:spacing w:after="0"/>
        <w:tabs>
          <w:tab w:leader="none" w:pos="3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of Oil-Dri,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Oil-Dri’s Registration Statement on Form S-8 (Registration No. 333-57625), filed on June 24, 1998.</w:t>
      </w:r>
    </w:p>
    <w:p>
      <w:pPr>
        <w:spacing w:after="0" w:line="200" w:lineRule="exact"/>
        <w:rPr>
          <w:sz w:val="20"/>
          <w:szCs w:val="20"/>
          <w:color w:val="auto"/>
        </w:rPr>
      </w:pPr>
    </w:p>
    <w:p>
      <w:pPr>
        <w:sectPr>
          <w:pgSz w:w="11900" w:h="16838" w:orient="portrait"/>
          <w:cols w:equalWidth="0" w:num="2">
            <w:col w:w="5600" w:space="720"/>
            <w:col w:w="5080"/>
          </w:cols>
          <w:pgMar w:left="240" w:top="125" w:right="259" w:bottom="1440" w:gutter="0" w:footer="0" w:header="0"/>
          <w:type w:val="continuous"/>
        </w:sectPr>
      </w:pPr>
    </w:p>
    <w:p>
      <w:pPr>
        <w:spacing w:after="0" w:line="89" w:lineRule="exact"/>
        <w:rPr>
          <w:sz w:val="20"/>
          <w:szCs w:val="20"/>
          <w:color w:val="auto"/>
        </w:rPr>
      </w:pPr>
    </w:p>
    <w:p>
      <w:pPr>
        <w:ind w:left="1300" w:right="20" w:hanging="949"/>
        <w:spacing w:after="0" w:line="277"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Oil-Dri Corporation of America, as Amended and Restated on December 5, 2006.</w:t>
      </w:r>
    </w:p>
    <w:p>
      <w:pPr>
        <w:spacing w:after="0" w:line="279" w:lineRule="exact"/>
        <w:rPr>
          <w:sz w:val="20"/>
          <w:szCs w:val="20"/>
          <w:color w:val="auto"/>
        </w:rPr>
      </w:pPr>
    </w:p>
    <w:p>
      <w:pPr>
        <w:jc w:val="both"/>
        <w:ind w:left="1280" w:hanging="967"/>
        <w:spacing w:after="0" w:line="279" w:lineRule="auto"/>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Memorandum of Agreement #1450 “Fresh Step“™dated as of March 12, 2001 between A&amp;M Products Manufacturing Company and Oil-Dri (confidential treatment of certain portions of this exhibit has been granted).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Incorporated by reference to Exhibit 3.1 to Oil-Dri’s (file No. 001-12622) Current Report on Form 8-K filed on December 11, 2006.</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Exhibit 10(s) to Oil-Dri’s (File No. 001-12622) Current Report on Form 8-K filed on May 1, 2001.</w:t>
      </w:r>
    </w:p>
    <w:p>
      <w:pPr>
        <w:spacing w:after="0" w:line="631" w:lineRule="exact"/>
        <w:rPr>
          <w:sz w:val="20"/>
          <w:szCs w:val="20"/>
          <w:color w:val="auto"/>
        </w:rPr>
      </w:pPr>
    </w:p>
    <w:p>
      <w:pPr>
        <w:sectPr>
          <w:pgSz w:w="11900" w:h="16838" w:orient="portrait"/>
          <w:cols w:equalWidth="0" w:num="2">
            <w:col w:w="5940" w:space="380"/>
            <w:col w:w="5080"/>
          </w:cols>
          <w:pgMar w:left="240" w:top="125" w:right="259" w:bottom="1440" w:gutter="0" w:footer="0" w:header="0"/>
          <w:type w:val="continuous"/>
        </w:sectPr>
      </w:pPr>
    </w:p>
    <w:p>
      <w:pPr>
        <w:spacing w:after="0" w:line="80" w:lineRule="exact"/>
        <w:rPr>
          <w:sz w:val="20"/>
          <w:szCs w:val="20"/>
          <w:color w:val="auto"/>
        </w:rPr>
      </w:pPr>
    </w:p>
    <w:p>
      <w:pPr>
        <w:jc w:val="both"/>
        <w:ind w:left="1280" w:hanging="967"/>
        <w:spacing w:after="0" w:line="264" w:lineRule="auto"/>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dated as of December 13, 2002, to Memorandum of Agreement #1450 “Fresh Step”™dated as of March 12, 2001.</w:t>
      </w:r>
    </w:p>
    <w:p>
      <w:pPr>
        <w:spacing w:after="0" w:line="316" w:lineRule="exact"/>
        <w:rPr>
          <w:sz w:val="20"/>
          <w:szCs w:val="20"/>
          <w:color w:val="auto"/>
        </w:rPr>
      </w:pPr>
    </w:p>
    <w:p>
      <w:pPr>
        <w:jc w:val="both"/>
        <w:ind w:left="1280" w:hanging="967"/>
        <w:spacing w:after="0" w:line="264" w:lineRule="auto"/>
        <w:tabs>
          <w:tab w:leader="none" w:pos="12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Second Amendment, dated as of October 15, 2007, to Memorandum of Agreement #1450 “Fresh Step”™ dated as of March 12, 2001.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Annual Report on Form 10-K for the fiscal year ended July 31, 2007.</w:t>
      </w: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2008.</w:t>
      </w:r>
    </w:p>
    <w:p>
      <w:pPr>
        <w:spacing w:after="0" w:line="200" w:lineRule="exact"/>
        <w:rPr>
          <w:sz w:val="20"/>
          <w:szCs w:val="20"/>
          <w:color w:val="auto"/>
        </w:rPr>
      </w:pPr>
    </w:p>
    <w:p>
      <w:pPr>
        <w:sectPr>
          <w:pgSz w:w="11900" w:h="16838" w:orient="portrait"/>
          <w:cols w:equalWidth="0" w:num="2">
            <w:col w:w="5940" w:space="380"/>
            <w:col w:w="5080"/>
          </w:cols>
          <w:pgMar w:left="240" w:top="125" w:right="259" w:bottom="1440" w:gutter="0" w:footer="0" w:header="0"/>
          <w:type w:val="continuous"/>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125" w:right="25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280"/>
        <w:spacing w:after="0"/>
        <w:tabs>
          <w:tab w:leader="none" w:pos="30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04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57" w:lineRule="exact"/>
        <w:rPr>
          <w:sz w:val="20"/>
          <w:szCs w:val="20"/>
          <w:color w:val="auto"/>
        </w:rPr>
      </w:pPr>
    </w:p>
    <w:p>
      <w:pPr>
        <w:jc w:val="both"/>
        <w:ind w:left="1200" w:hanging="940"/>
        <w:spacing w:after="0" w:line="286" w:lineRule="auto"/>
        <w:tabs>
          <w:tab w:leader="none" w:pos="11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Exclusive Supply Agreement dated May 19, 1999 between Church &amp; Dwight Co., Inc. and Oil-Dri (confidential treatment of certain portions of this exhibit has been granted).</w:t>
      </w:r>
    </w:p>
    <w:p>
      <w:pPr>
        <w:spacing w:after="0" w:line="274" w:lineRule="exact"/>
        <w:rPr>
          <w:sz w:val="20"/>
          <w:szCs w:val="20"/>
          <w:color w:val="auto"/>
        </w:rPr>
      </w:pPr>
    </w:p>
    <w:p>
      <w:pPr>
        <w:jc w:val="both"/>
        <w:ind w:left="1200" w:hanging="940"/>
        <w:spacing w:after="0" w:line="286" w:lineRule="auto"/>
        <w:tabs>
          <w:tab w:leader="none" w:pos="11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$25,000,000 Note Purchase Agreement dated as of April 15, 1998 between Oil-Dri and Teachers Insurance and Annuity Association of America and Cigna Investments, Inc.</w:t>
      </w:r>
    </w:p>
    <w:p>
      <w:pPr>
        <w:spacing w:after="0" w:line="274" w:lineRule="exact"/>
        <w:rPr>
          <w:sz w:val="20"/>
          <w:szCs w:val="20"/>
          <w:color w:val="auto"/>
        </w:rPr>
      </w:pPr>
    </w:p>
    <w:p>
      <w:pPr>
        <w:jc w:val="both"/>
        <w:ind w:left="1200" w:right="20" w:hanging="940"/>
        <w:spacing w:after="0" w:line="277" w:lineRule="auto"/>
        <w:tabs>
          <w:tab w:leader="none" w:pos="11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First Amendment, dated as of January 15, 2001 to the Note Purchase Agreement dated as of April 15, 1998.</w:t>
      </w:r>
    </w:p>
    <w:p>
      <w:pPr>
        <w:spacing w:after="0" w:line="200" w:lineRule="exact"/>
        <w:rPr>
          <w:sz w:val="20"/>
          <w:szCs w:val="20"/>
          <w:color w:val="auto"/>
        </w:rPr>
      </w:pPr>
    </w:p>
    <w:p>
      <w:pPr>
        <w:spacing w:after="0" w:line="295" w:lineRule="exact"/>
        <w:rPr>
          <w:sz w:val="20"/>
          <w:szCs w:val="20"/>
          <w:color w:val="auto"/>
        </w:rPr>
      </w:pPr>
    </w:p>
    <w:p>
      <w:pPr>
        <w:jc w:val="both"/>
        <w:ind w:left="1200" w:right="20" w:hanging="940"/>
        <w:spacing w:after="0" w:line="277" w:lineRule="auto"/>
        <w:tabs>
          <w:tab w:leader="none" w:pos="11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Second Amendment, dated as of July 15, 2002 to Note Purchase Agreement dated as of April 15, 1998.</w:t>
      </w:r>
    </w:p>
    <w:p>
      <w:pPr>
        <w:spacing w:after="0" w:line="200" w:lineRule="exact"/>
        <w:rPr>
          <w:sz w:val="20"/>
          <w:szCs w:val="20"/>
          <w:color w:val="auto"/>
        </w:rPr>
      </w:pPr>
    </w:p>
    <w:p>
      <w:pPr>
        <w:spacing w:after="0" w:line="295" w:lineRule="exact"/>
        <w:rPr>
          <w:sz w:val="20"/>
          <w:szCs w:val="20"/>
          <w:color w:val="auto"/>
        </w:rPr>
      </w:pPr>
    </w:p>
    <w:p>
      <w:pPr>
        <w:jc w:val="both"/>
        <w:ind w:left="1200" w:hanging="940"/>
        <w:spacing w:after="0" w:line="277" w:lineRule="auto"/>
        <w:tabs>
          <w:tab w:leader="none" w:pos="11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Third Amendment, dated as of January 27, 2006 to Note Purchase Agreement dated as of April 15, 1998.</w:t>
      </w:r>
    </w:p>
    <w:p>
      <w:pPr>
        <w:spacing w:after="0" w:line="279" w:lineRule="exact"/>
        <w:rPr>
          <w:sz w:val="20"/>
          <w:szCs w:val="20"/>
          <w:color w:val="auto"/>
        </w:rPr>
      </w:pPr>
    </w:p>
    <w:p>
      <w:pPr>
        <w:jc w:val="both"/>
        <w:ind w:left="1200" w:hanging="940"/>
        <w:spacing w:after="0" w:line="264" w:lineRule="auto"/>
        <w:tabs>
          <w:tab w:leader="none" w:pos="11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$15,000,000 Credit Agreement, dated January 27, 2006 among the Company, certain subsidiaries of the Company and Harris N.A.</w:t>
      </w:r>
    </w:p>
    <w:p>
      <w:pPr>
        <w:spacing w:after="0" w:line="289" w:lineRule="exact"/>
        <w:rPr>
          <w:sz w:val="20"/>
          <w:szCs w:val="20"/>
          <w:color w:val="auto"/>
        </w:rPr>
      </w:pPr>
    </w:p>
    <w:p>
      <w:pPr>
        <w:jc w:val="both"/>
        <w:ind w:left="1200" w:right="20" w:hanging="985"/>
        <w:spacing w:after="0" w:line="277" w:lineRule="auto"/>
        <w:tabs>
          <w:tab w:leader="none" w:pos="11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First Amendment, dated as of December 19, 2008 to Credit Agreement dated as of January 27, 2006.</w:t>
      </w:r>
    </w:p>
    <w:p>
      <w:pPr>
        <w:spacing w:after="0" w:line="200" w:lineRule="exact"/>
        <w:rPr>
          <w:sz w:val="20"/>
          <w:szCs w:val="20"/>
          <w:color w:val="auto"/>
        </w:rPr>
      </w:pPr>
    </w:p>
    <w:p>
      <w:pPr>
        <w:spacing w:after="0" w:line="295" w:lineRule="exact"/>
        <w:rPr>
          <w:sz w:val="20"/>
          <w:szCs w:val="20"/>
          <w:color w:val="auto"/>
        </w:rPr>
      </w:pPr>
    </w:p>
    <w:p>
      <w:pPr>
        <w:jc w:val="both"/>
        <w:ind w:left="1200" w:hanging="982"/>
        <w:spacing w:after="0" w:line="277" w:lineRule="auto"/>
        <w:tabs>
          <w:tab w:leader="none" w:pos="11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Second Amendment, dated as of December 21, 2011 to Credit Agreement dated as of January 27, 2006.</w:t>
      </w:r>
    </w:p>
    <w:p>
      <w:pPr>
        <w:spacing w:after="0" w:line="279" w:lineRule="exact"/>
        <w:rPr>
          <w:sz w:val="20"/>
          <w:szCs w:val="20"/>
          <w:color w:val="auto"/>
        </w:rPr>
      </w:pPr>
    </w:p>
    <w:p>
      <w:pPr>
        <w:jc w:val="both"/>
        <w:ind w:left="1200" w:right="20" w:hanging="985"/>
        <w:spacing w:after="0" w:line="277" w:lineRule="auto"/>
        <w:tabs>
          <w:tab w:leader="none" w:pos="11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Third Amendment, dated as of June 21, 2012 to Credit Agreement dated as of January 27, 2006.</w:t>
      </w:r>
    </w:p>
    <w:p>
      <w:pPr>
        <w:spacing w:after="0" w:line="279" w:lineRule="exact"/>
        <w:rPr>
          <w:sz w:val="20"/>
          <w:szCs w:val="20"/>
          <w:color w:val="auto"/>
        </w:rPr>
      </w:pPr>
    </w:p>
    <w:p>
      <w:pPr>
        <w:jc w:val="both"/>
        <w:ind w:left="1200" w:hanging="985"/>
        <w:spacing w:after="0" w:line="259" w:lineRule="auto"/>
        <w:tabs>
          <w:tab w:leader="none" w:pos="11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$15,000,000 Note Agreement dated as of December 16, 2005 among the Company, The Prudential Insurance Company of America and Prudential Retirement Insurance and Annuity Company.</w:t>
      </w:r>
    </w:p>
    <w:p>
      <w:pPr>
        <w:spacing w:after="0" w:line="295" w:lineRule="exact"/>
        <w:rPr>
          <w:sz w:val="20"/>
          <w:szCs w:val="20"/>
          <w:color w:val="auto"/>
        </w:rPr>
      </w:pPr>
    </w:p>
    <w:p>
      <w:pPr>
        <w:jc w:val="both"/>
        <w:ind w:left="1200" w:right="20" w:hanging="985"/>
        <w:spacing w:after="0" w:line="277" w:lineRule="auto"/>
        <w:tabs>
          <w:tab w:leader="none" w:pos="11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First Amendment, dated as of July 12, 2006 to Note Agreement dated as of December 16, 2005.</w:t>
      </w:r>
    </w:p>
    <w:p>
      <w:pPr>
        <w:spacing w:after="0" w:line="200" w:lineRule="exact"/>
        <w:rPr>
          <w:sz w:val="20"/>
          <w:szCs w:val="20"/>
          <w:color w:val="auto"/>
        </w:rPr>
      </w:pPr>
    </w:p>
    <w:p>
      <w:pPr>
        <w:spacing w:after="0" w:line="295" w:lineRule="exact"/>
        <w:rPr>
          <w:sz w:val="20"/>
          <w:szCs w:val="20"/>
          <w:color w:val="auto"/>
        </w:rPr>
      </w:pPr>
    </w:p>
    <w:p>
      <w:pPr>
        <w:jc w:val="both"/>
        <w:ind w:left="1200" w:hanging="985"/>
        <w:spacing w:after="0" w:line="273" w:lineRule="auto"/>
        <w:tabs>
          <w:tab w:leader="none" w:pos="11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7"/>
          <w:szCs w:val="17"/>
          <w:color w:val="auto"/>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(10)(r) to Oil-Dri’s (File No. 001-12622) Annual Report on Form 10-K for the fiscal year ended July 31, 1999.</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(10)(m) to Oil-Dri’s (File No. 001-12622) Quarterly Report on Form 10-Q for the quarter ended April 30, 1998.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(10)(m)(5) to Oil-Dri’s (File No. 001-12622) Quarterly Report on Form 10-Q for the quarter ended January 31, 2001.</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10(m)(6) to Oil-Dri’s (File No. 001-12622) Annual Report on Form 10-K for the fiscal year ended July 31, 2002.</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10.2 to Oil-Dri’s (File No. 001-12622) Current Report on Form 8-K filed on February 1, 2006.</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 2006.</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2009.</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by reference to Exhibit 10 to Oil-Dri’s (File No. 001-12622) Current Report on Form 8-K filed on December 28, 2011.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December 22, 2005.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10.9 to Oil-Dri’s (File No. 001-12622) Annual Report on Form 10-K for the fiscal year ended July 31, 2006.</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Quarterly Report on Form 10-Q for the quarter ended October 31, 2010.</w:t>
      </w:r>
    </w:p>
    <w:p>
      <w:pPr>
        <w:spacing w:after="0" w:line="851" w:lineRule="exact"/>
        <w:rPr>
          <w:sz w:val="20"/>
          <w:szCs w:val="20"/>
          <w:color w:val="auto"/>
        </w:rPr>
      </w:pPr>
    </w:p>
    <w:p>
      <w:pPr>
        <w:sectPr>
          <w:pgSz w:w="11900" w:h="16838" w:orient="portrait"/>
          <w:cols w:equalWidth="0" w:num="2">
            <w:col w:w="5820" w:space="380"/>
            <w:col w:w="5200"/>
          </w:cols>
          <w:pgMar w:left="240" w:top="125" w:right="259" w:bottom="1440"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00"/>
          </w:cols>
          <w:pgMar w:left="240" w:top="125" w:right="25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Table of Contents</w:t>
              </w:r>
            </w:hyperlink>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30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Exhibit</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No.</w:t>
            </w:r>
          </w:p>
        </w:tc>
        <w:tc>
          <w:tcPr>
            <w:tcW w:w="4660" w:type="dxa"/>
            <w:vAlign w:val="bottom"/>
          </w:tcPr>
          <w:p>
            <w:pPr>
              <w:ind w:left="190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Description  of  1987  Executive  Deferred  Compensation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Program.*</w:t>
            </w:r>
          </w:p>
        </w:tc>
        <w:tc>
          <w:tcPr>
            <w:tcW w:w="0" w:type="dxa"/>
            <w:vAlign w:val="bottom"/>
          </w:tcPr>
          <w:p>
            <w:pPr>
              <w:spacing w:after="0"/>
              <w:rPr>
                <w:sz w:val="1"/>
                <w:szCs w:val="1"/>
                <w:color w:val="auto"/>
              </w:rPr>
            </w:pP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4"/>
              </w:rPr>
              <w:t>Salary Continuation Agreement dated August 1, l989 between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Richard M. Jaffee and Oil-Dri (“1989 Agreement”).*</w:t>
            </w:r>
          </w:p>
        </w:tc>
        <w:tc>
          <w:tcPr>
            <w:tcW w:w="0" w:type="dxa"/>
            <w:vAlign w:val="bottom"/>
          </w:tcPr>
          <w:p>
            <w:pPr>
              <w:spacing w:after="0"/>
              <w:rPr>
                <w:sz w:val="1"/>
                <w:szCs w:val="1"/>
                <w:color w:val="auto"/>
              </w:rPr>
            </w:pP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1"/>
              </w:rPr>
              <w:t>Extension and Amendment, dated October 9, 1998, to the 1989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5"/>
              </w:rPr>
              <w:t>Second Amendment, effective October 31, 2000, to the 1989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5"/>
              </w:rPr>
              <w:t>Third Amendment, dated as of January 31, 2006, to the 1989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3"/>
              </w:rPr>
              <w:t>Fourth Amendment, dated as of October 14, 2010, to the 1989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6"/>
              </w:rPr>
              <w:t>Oil-Dri Corporation of America Deferred Compensation Plan,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as amended and restated effective April 1, 2003.*</w:t>
            </w:r>
          </w:p>
        </w:tc>
        <w:tc>
          <w:tcPr>
            <w:tcW w:w="0" w:type="dxa"/>
            <w:vAlign w:val="bottom"/>
          </w:tcPr>
          <w:p>
            <w:pPr>
              <w:spacing w:after="0"/>
              <w:rPr>
                <w:sz w:val="1"/>
                <w:szCs w:val="1"/>
                <w:color w:val="auto"/>
              </w:rPr>
            </w:pP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8"/>
              </w:rPr>
              <w:t>First Amendment, effective as of January 1, 2007, to Oil-Dri</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6"/>
              </w:rPr>
              <w:t>Corporation  of  America  Deferred  Compensation  Plan,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amended and restated effective April 1, 2003.*</w:t>
            </w:r>
          </w:p>
        </w:tc>
        <w:tc>
          <w:tcPr>
            <w:tcW w:w="0" w:type="dxa"/>
            <w:vAlign w:val="bottom"/>
          </w:tcPr>
          <w:p>
            <w:pPr>
              <w:spacing w:after="0"/>
              <w:rPr>
                <w:sz w:val="1"/>
                <w:szCs w:val="1"/>
                <w:color w:val="auto"/>
              </w:rPr>
            </w:pP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2"/>
              </w:rPr>
              <w:t>Second Amendment, effective as of January 1, 2008, to Oil-Dri</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6"/>
              </w:rPr>
              <w:t>Corporation  of  America  Deferred  Compensation  Plan,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amended and restated effective April 1, 2003.*</w:t>
            </w:r>
          </w:p>
        </w:tc>
        <w:tc>
          <w:tcPr>
            <w:tcW w:w="0" w:type="dxa"/>
            <w:vAlign w:val="bottom"/>
          </w:tcPr>
          <w:p>
            <w:pPr>
              <w:spacing w:after="0"/>
              <w:rPr>
                <w:sz w:val="1"/>
                <w:szCs w:val="1"/>
                <w:color w:val="auto"/>
              </w:rPr>
            </w:pP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Oil-Dri Corporation of America 1995 Long-Term Incentive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Plan as amended and restated effective June 9, 2000.*</w:t>
            </w:r>
          </w:p>
        </w:tc>
        <w:tc>
          <w:tcPr>
            <w:tcW w:w="0" w:type="dxa"/>
            <w:vAlign w:val="bottom"/>
          </w:tcPr>
          <w:p>
            <w:pPr>
              <w:spacing w:after="0"/>
              <w:rPr>
                <w:sz w:val="1"/>
                <w:szCs w:val="1"/>
                <w:color w:val="auto"/>
              </w:rPr>
            </w:pPr>
          </w:p>
        </w:tc>
      </w:tr>
      <w:tr>
        <w:trPr>
          <w:trHeight w:val="7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3"/>
              </w:rPr>
              <w:t>Supplemental Executive Retirement Plan dated April 1, 2003.*</w:t>
            </w:r>
          </w:p>
        </w:tc>
        <w:tc>
          <w:tcPr>
            <w:tcW w:w="0" w:type="dxa"/>
            <w:vAlign w:val="bottom"/>
          </w:tcPr>
          <w:p>
            <w:pPr>
              <w:spacing w:after="0"/>
              <w:rPr>
                <w:sz w:val="1"/>
                <w:szCs w:val="1"/>
                <w:color w:val="auto"/>
              </w:rPr>
            </w:pPr>
          </w:p>
        </w:tc>
      </w:tr>
      <w:tr>
        <w:trPr>
          <w:trHeight w:val="9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vMerge w:val="restart"/>
          </w:tcPr>
          <w:p>
            <w:pPr>
              <w:spacing w:after="0"/>
              <w:rPr>
                <w:sz w:val="20"/>
                <w:szCs w:val="20"/>
                <w:color w:val="auto"/>
              </w:rPr>
            </w:pPr>
            <w:r>
              <w:rPr>
                <w:rFonts w:ascii="Arial" w:cs="Arial" w:eastAsia="Arial" w:hAnsi="Arial"/>
                <w:sz w:val="18"/>
                <w:szCs w:val="18"/>
                <w:color w:val="auto"/>
                <w:w w:val="94"/>
              </w:rPr>
              <w:t>Oil-Dri Corporation of America Outside Director Stock Plan as</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amended and restated effective October 16, 1999.*</w:t>
            </w:r>
          </w:p>
        </w:tc>
        <w:tc>
          <w:tcPr>
            <w:tcW w:w="0" w:type="dxa"/>
            <w:vAlign w:val="bottom"/>
          </w:tcPr>
          <w:p>
            <w:pPr>
              <w:spacing w:after="0"/>
              <w:rPr>
                <w:sz w:val="1"/>
                <w:szCs w:val="1"/>
                <w:color w:val="auto"/>
              </w:rPr>
            </w:pP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Oil-Dri Corporation of America Annual Incentive Plan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amended and restated effective January 1, 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(10)(f) to Oil-Dri’s (File No. 001-12622) Annual Report on Form 10-K for the fiscal year ended July 31, 1988.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(10)(g) to Oil-Dri’s (File No. 001-12622) Annual Report on Form 10-K for the fiscal year ended July 31, 1989.</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10.12 to Oil-Dri’s (File No. 001-12622) Annual Report on Form 10-K for the fiscal year ended July 31, 2006.</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99.1 to Oil-Dri’s (File No. 001-12622) Current Report on Form 8-K filed on November 13, 2000.</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13, 2006.</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8-5 filed on October 14, 2010.</w:t>
      </w:r>
    </w:p>
    <w:p>
      <w:pPr>
        <w:spacing w:after="0" w:line="2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(10)(j)(1) to Oil-Dri’s (File No. 001-12622) Quarterly Report on Form 10-Q for the quarter ended April 30, 2003.</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2008.</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(10)(k) to Oil-Dri’s (File No. 001-12622) Annual Report on Form 10-K for the fiscal year ended July 31, 2000.</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2003.</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(10)(n) to Oil-Dri’s (File No. 001-12622) Annual Report on Form 10-K for the fiscal year ended July 31, 2000.</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10.4 to Oil-Dri’s (File No. 001-12622) Quarterly Report on Form 10-Q for the quarter ended January 31, 2008.</w:t>
      </w:r>
    </w:p>
    <w:p>
      <w:pPr>
        <w:spacing w:after="0" w:line="200" w:lineRule="exact"/>
        <w:rPr>
          <w:sz w:val="20"/>
          <w:szCs w:val="20"/>
          <w:color w:val="auto"/>
        </w:rPr>
      </w:pPr>
    </w:p>
    <w:p>
      <w:pPr>
        <w:sectPr>
          <w:pgSz w:w="11900" w:h="16838" w:orient="portrait"/>
          <w:cols w:equalWidth="0" w:num="2">
            <w:col w:w="5960" w:space="360"/>
            <w:col w:w="5080"/>
          </w:cols>
          <w:pgMar w:left="240" w:top="108" w:right="25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108" w:right="25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320"/>
        <w:spacing w:after="0"/>
        <w:tabs>
          <w:tab w:leader="none" w:pos="314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306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57" w:lineRule="exact"/>
        <w:rPr>
          <w:sz w:val="20"/>
          <w:szCs w:val="20"/>
          <w:color w:val="auto"/>
        </w:rPr>
      </w:pPr>
    </w:p>
    <w:p>
      <w:pPr>
        <w:ind w:left="1300" w:hanging="1032"/>
        <w:spacing w:after="0" w:line="308" w:lineRule="auto"/>
        <w:tabs>
          <w:tab w:leader="none" w:pos="12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7"/>
          <w:szCs w:val="17"/>
          <w:color w:val="auto"/>
        </w:rPr>
        <w:t>Oil-Dri Corporation of America 2005 Deferred Compensation Plan (as amended and restated effective January 1, 2008)*</w:t>
      </w:r>
    </w:p>
    <w:p>
      <w:pPr>
        <w:spacing w:after="0" w:line="200" w:lineRule="exact"/>
        <w:rPr>
          <w:sz w:val="20"/>
          <w:szCs w:val="20"/>
          <w:color w:val="auto"/>
        </w:rPr>
      </w:pPr>
    </w:p>
    <w:p>
      <w:pPr>
        <w:spacing w:after="0" w:line="298"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88"/>
              </w:rPr>
              <w:t>10.30</w:t>
            </w:r>
          </w:p>
        </w:tc>
        <w:tc>
          <w:tcPr>
            <w:tcW w:w="4880" w:type="dxa"/>
            <w:vAlign w:val="bottom"/>
          </w:tcPr>
          <w:p>
            <w:pPr>
              <w:ind w:left="320"/>
              <w:spacing w:after="0"/>
              <w:rPr>
                <w:sz w:val="20"/>
                <w:szCs w:val="20"/>
                <w:color w:val="auto"/>
              </w:rPr>
            </w:pPr>
            <w:r>
              <w:rPr>
                <w:rFonts w:ascii="Arial" w:cs="Arial" w:eastAsia="Arial" w:hAnsi="Arial"/>
                <w:sz w:val="18"/>
                <w:szCs w:val="18"/>
                <w:color w:val="auto"/>
                <w:w w:val="99"/>
              </w:rPr>
              <w:t>Oil-Dri Corporation of America 2006 Long Term Incentive</w:t>
            </w:r>
          </w:p>
        </w:tc>
      </w:tr>
      <w:tr>
        <w:trPr>
          <w:trHeight w:val="230"/>
        </w:trPr>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Plan (as amended and restated effective July 28, 2006)*</w:t>
            </w:r>
          </w:p>
        </w:tc>
      </w:tr>
      <w:tr>
        <w:trPr>
          <w:trHeight w:val="742"/>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88"/>
              </w:rPr>
              <w:t>10.31</w:t>
            </w:r>
          </w:p>
        </w:tc>
        <w:tc>
          <w:tcPr>
            <w:tcW w:w="4880" w:type="dxa"/>
            <w:vAlign w:val="bottom"/>
          </w:tcPr>
          <w:p>
            <w:pPr>
              <w:ind w:left="320"/>
              <w:spacing w:after="0"/>
              <w:rPr>
                <w:sz w:val="20"/>
                <w:szCs w:val="20"/>
                <w:color w:val="auto"/>
              </w:rPr>
            </w:pPr>
            <w:r>
              <w:rPr>
                <w:rFonts w:ascii="Arial" w:cs="Arial" w:eastAsia="Arial" w:hAnsi="Arial"/>
                <w:sz w:val="18"/>
                <w:szCs w:val="18"/>
                <w:color w:val="auto"/>
                <w:w w:val="95"/>
              </w:rPr>
              <w:t>First Amendment, effective as of January 1, 2008, to Oil-Dri</w:t>
            </w:r>
          </w:p>
        </w:tc>
      </w:tr>
      <w:tr>
        <w:trPr>
          <w:trHeight w:val="216"/>
        </w:trPr>
        <w:tc>
          <w:tcPr>
            <w:tcW w:w="7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w w:val="96"/>
              </w:rPr>
              <w:t>Corporation of America 2006 Long Term Incentive Plan (as</w:t>
            </w:r>
          </w:p>
        </w:tc>
      </w:tr>
      <w:tr>
        <w:trPr>
          <w:trHeight w:val="230"/>
        </w:trPr>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amended and restated effective July 28, 2006)*</w:t>
            </w:r>
          </w:p>
        </w:tc>
      </w:tr>
      <w:tr>
        <w:trPr>
          <w:trHeight w:val="52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88"/>
              </w:rPr>
              <w:t>10.32</w:t>
            </w:r>
          </w:p>
        </w:tc>
        <w:tc>
          <w:tcPr>
            <w:tcW w:w="4880" w:type="dxa"/>
            <w:vAlign w:val="bottom"/>
          </w:tcPr>
          <w:p>
            <w:pPr>
              <w:ind w:left="3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7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w w:val="92"/>
              </w:rPr>
              <w:t>Incentive Plan Employee Stock Option Agreement for Class A</w:t>
            </w:r>
          </w:p>
        </w:tc>
      </w:tr>
      <w:tr>
        <w:trPr>
          <w:trHeight w:val="230"/>
        </w:trPr>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Common Stock.*</w:t>
            </w:r>
          </w:p>
        </w:tc>
      </w:tr>
      <w:tr>
        <w:trPr>
          <w:trHeight w:val="52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88"/>
              </w:rPr>
              <w:t>10.33</w:t>
            </w:r>
          </w:p>
        </w:tc>
        <w:tc>
          <w:tcPr>
            <w:tcW w:w="4880" w:type="dxa"/>
            <w:vAlign w:val="bottom"/>
          </w:tcPr>
          <w:p>
            <w:pPr>
              <w:ind w:left="3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7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w w:val="99"/>
              </w:rPr>
              <w:t>Incentive  Plan  Employee  Stock  Option  Agreement  for</w:t>
            </w:r>
          </w:p>
        </w:tc>
      </w:tr>
      <w:tr>
        <w:trPr>
          <w:trHeight w:val="230"/>
        </w:trPr>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Common Stock.*</w:t>
            </w:r>
          </w:p>
        </w:tc>
      </w:tr>
      <w:tr>
        <w:trPr>
          <w:trHeight w:val="52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88"/>
              </w:rPr>
              <w:t>10.34</w:t>
            </w:r>
          </w:p>
        </w:tc>
        <w:tc>
          <w:tcPr>
            <w:tcW w:w="4880" w:type="dxa"/>
            <w:vAlign w:val="bottom"/>
          </w:tcPr>
          <w:p>
            <w:pPr>
              <w:ind w:left="3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7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w w:val="92"/>
              </w:rPr>
              <w:t>Incentive Plan Employee Stock Option Agreement for Class B</w:t>
            </w:r>
          </w:p>
        </w:tc>
      </w:tr>
      <w:tr>
        <w:trPr>
          <w:trHeight w:val="230"/>
        </w:trPr>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Stock.*</w:t>
            </w:r>
          </w:p>
        </w:tc>
      </w:tr>
      <w:tr>
        <w:trPr>
          <w:trHeight w:val="52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88"/>
              </w:rPr>
              <w:t>10.35</w:t>
            </w:r>
          </w:p>
        </w:tc>
        <w:tc>
          <w:tcPr>
            <w:tcW w:w="4880" w:type="dxa"/>
            <w:vAlign w:val="bottom"/>
          </w:tcPr>
          <w:p>
            <w:pPr>
              <w:ind w:left="3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7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w w:val="93"/>
              </w:rPr>
              <w:t>Incentive Plan Director Stock Option Agreement for Common</w:t>
            </w:r>
          </w:p>
        </w:tc>
      </w:tr>
      <w:tr>
        <w:trPr>
          <w:trHeight w:val="230"/>
        </w:trPr>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Stock.*</w:t>
            </w:r>
          </w:p>
        </w:tc>
      </w:tr>
      <w:tr>
        <w:trPr>
          <w:trHeight w:val="52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88"/>
              </w:rPr>
              <w:t>10.36</w:t>
            </w:r>
          </w:p>
        </w:tc>
        <w:tc>
          <w:tcPr>
            <w:tcW w:w="4880" w:type="dxa"/>
            <w:vAlign w:val="bottom"/>
          </w:tcPr>
          <w:p>
            <w:pPr>
              <w:ind w:left="3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7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w w:val="96"/>
              </w:rPr>
              <w:t>Incentive  Plan  Restricted  Stock  Agreement  for  Class  A</w:t>
            </w:r>
          </w:p>
        </w:tc>
      </w:tr>
      <w:tr>
        <w:trPr>
          <w:trHeight w:val="230"/>
        </w:trPr>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Common Stock.*</w:t>
            </w:r>
          </w:p>
        </w:tc>
      </w:tr>
      <w:tr>
        <w:trPr>
          <w:trHeight w:val="52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88"/>
              </w:rPr>
              <w:t>10.37</w:t>
            </w:r>
          </w:p>
        </w:tc>
        <w:tc>
          <w:tcPr>
            <w:tcW w:w="4880" w:type="dxa"/>
            <w:vAlign w:val="bottom"/>
          </w:tcPr>
          <w:p>
            <w:pPr>
              <w:ind w:left="3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7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w w:val="95"/>
              </w:rPr>
              <w:t>Incentive  Plan  Restricted  Stock  Agreement  for  Common</w:t>
            </w:r>
          </w:p>
        </w:tc>
      </w:tr>
      <w:tr>
        <w:trPr>
          <w:trHeight w:val="230"/>
        </w:trPr>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Stock.*</w:t>
            </w:r>
          </w:p>
        </w:tc>
      </w:tr>
      <w:tr>
        <w:trPr>
          <w:trHeight w:val="52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88"/>
              </w:rPr>
              <w:t>10.38</w:t>
            </w:r>
          </w:p>
        </w:tc>
        <w:tc>
          <w:tcPr>
            <w:tcW w:w="4880" w:type="dxa"/>
            <w:vAlign w:val="bottom"/>
          </w:tcPr>
          <w:p>
            <w:pPr>
              <w:ind w:left="3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30"/>
        </w:trPr>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w w:val="91"/>
              </w:rPr>
              <w:t>Incentive Plan Restricted Stock Agreement for Class B Stock.*</w:t>
            </w:r>
          </w:p>
        </w:tc>
      </w:tr>
      <w:tr>
        <w:trPr>
          <w:trHeight w:val="52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88"/>
              </w:rPr>
              <w:t>10.39</w:t>
            </w:r>
          </w:p>
        </w:tc>
        <w:tc>
          <w:tcPr>
            <w:tcW w:w="4880" w:type="dxa"/>
            <w:vAlign w:val="bottom"/>
          </w:tcPr>
          <w:p>
            <w:pPr>
              <w:ind w:left="320"/>
              <w:spacing w:after="0"/>
              <w:rPr>
                <w:sz w:val="20"/>
                <w:szCs w:val="20"/>
                <w:color w:val="auto"/>
              </w:rPr>
            </w:pPr>
            <w:r>
              <w:rPr>
                <w:rFonts w:ascii="Arial" w:cs="Arial" w:eastAsia="Arial" w:hAnsi="Arial"/>
                <w:sz w:val="18"/>
                <w:szCs w:val="18"/>
                <w:color w:val="auto"/>
                <w:w w:val="92"/>
              </w:rPr>
              <w:t>Letter Agreement, dated as of October 10, 2011, between Oil-</w:t>
            </w:r>
          </w:p>
        </w:tc>
      </w:tr>
      <w:tr>
        <w:trPr>
          <w:trHeight w:val="230"/>
        </w:trPr>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Dri Corporation of America and Steven Jay Adolph.*</w:t>
            </w:r>
          </w:p>
        </w:tc>
      </w:tr>
      <w:tr>
        <w:trPr>
          <w:trHeight w:val="742"/>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88"/>
              </w:rPr>
              <w:t>10.40</w:t>
            </w:r>
          </w:p>
        </w:tc>
        <w:tc>
          <w:tcPr>
            <w:tcW w:w="4880" w:type="dxa"/>
            <w:vAlign w:val="bottom"/>
          </w:tcPr>
          <w:p>
            <w:pPr>
              <w:ind w:left="320"/>
              <w:spacing w:after="0"/>
              <w:rPr>
                <w:sz w:val="20"/>
                <w:szCs w:val="20"/>
                <w:color w:val="auto"/>
              </w:rPr>
            </w:pPr>
            <w:r>
              <w:rPr>
                <w:rFonts w:ascii="Arial" w:cs="Arial" w:eastAsia="Arial" w:hAnsi="Arial"/>
                <w:sz w:val="18"/>
                <w:szCs w:val="18"/>
                <w:color w:val="auto"/>
                <w:w w:val="90"/>
              </w:rPr>
              <w:t>Letter Agreement, dated as of February 10, 2011, between Oil-</w:t>
            </w:r>
          </w:p>
        </w:tc>
      </w:tr>
      <w:tr>
        <w:trPr>
          <w:trHeight w:val="230"/>
        </w:trPr>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Dri Corporation of America and Andrew N. Peterson.*</w:t>
            </w:r>
          </w:p>
        </w:tc>
      </w:tr>
      <w:tr>
        <w:trPr>
          <w:trHeight w:val="567"/>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1"/>
              </w:rPr>
              <w:t>11.1</w:t>
            </w:r>
          </w:p>
        </w:tc>
        <w:tc>
          <w:tcPr>
            <w:tcW w:w="4880" w:type="dxa"/>
            <w:vAlign w:val="bottom"/>
          </w:tcPr>
          <w:p>
            <w:pPr>
              <w:ind w:left="320"/>
              <w:spacing w:after="0"/>
              <w:rPr>
                <w:sz w:val="20"/>
                <w:szCs w:val="20"/>
                <w:color w:val="auto"/>
              </w:rPr>
            </w:pPr>
            <w:r>
              <w:rPr>
                <w:rFonts w:ascii="Arial" w:cs="Arial" w:eastAsia="Arial" w:hAnsi="Arial"/>
                <w:sz w:val="18"/>
                <w:szCs w:val="18"/>
                <w:color w:val="auto"/>
              </w:rPr>
              <w:t>Statement re: Computation of Net Income Per Share.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2245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10.3 to Oil-Dri’s (File No. 001-12622) Quarterly Report on Form 10-Q for the quarter ended January 31, 2008.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Appendix A to Oil-Dri’s (File No. 001-12622) Definitive Proxy Statement on Schedule 14A filed on November 3, 2006.</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10.5 to Oil-Dri’s (File No. 001-12622) Quarterly Report on Form 10-Q for the quarter ended January 31, 2008.</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10.2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10.3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10.4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10.5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10.6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10.7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10.8 to Oil-Dri’s (file No. 001-12622) Current Report on Form 8-K filed on December 11, 2006.</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October 31, 2011.</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August 24, 2011.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5860" w:space="380"/>
            <w:col w:w="5040"/>
          </w:cols>
          <w:pgMar w:left="240" w:top="125" w:right="37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80"/>
          </w:cols>
          <w:pgMar w:left="240" w:top="125" w:right="37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6860" w:type="dxa"/>
            <w:vAlign w:val="bottom"/>
            <w:gridSpan w:val="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560" w:type="dxa"/>
            <w:vAlign w:val="bottom"/>
          </w:tcPr>
          <w:p>
            <w:pPr>
              <w:spacing w:after="0"/>
              <w:rPr>
                <w:sz w:val="17"/>
                <w:szCs w:val="17"/>
                <w:color w:val="auto"/>
              </w:rPr>
            </w:pPr>
          </w:p>
        </w:tc>
      </w:tr>
      <w:tr>
        <w:trPr>
          <w:trHeight w:val="642"/>
        </w:trPr>
        <w:tc>
          <w:tcPr>
            <w:tcW w:w="860" w:type="dxa"/>
            <w:vAlign w:val="bottom"/>
            <w:tcBorders>
              <w:top w:val="single" w:sz="8" w:color="0000FF"/>
            </w:tcBorders>
          </w:tcPr>
          <w:p>
            <w:pPr>
              <w:ind w:left="260"/>
              <w:spacing w:after="0"/>
              <w:rPr>
                <w:sz w:val="20"/>
                <w:szCs w:val="20"/>
                <w:color w:val="auto"/>
              </w:rPr>
            </w:pPr>
            <w:r>
              <w:rPr>
                <w:rFonts w:ascii="Arial" w:cs="Arial" w:eastAsia="Arial" w:hAnsi="Arial"/>
                <w:sz w:val="18"/>
                <w:szCs w:val="18"/>
                <w:color w:val="auto"/>
              </w:rPr>
              <w:t>Exhibit</w:t>
            </w: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70"/>
        </w:trPr>
        <w:tc>
          <w:tcPr>
            <w:tcW w:w="860" w:type="dxa"/>
            <w:vAlign w:val="bottom"/>
          </w:tcPr>
          <w:p>
            <w:pPr>
              <w:ind w:left="400"/>
              <w:spacing w:after="0"/>
              <w:rPr>
                <w:sz w:val="20"/>
                <w:szCs w:val="20"/>
                <w:color w:val="auto"/>
              </w:rPr>
            </w:pPr>
            <w:r>
              <w:rPr>
                <w:rFonts w:ascii="Arial" w:cs="Arial" w:eastAsia="Arial" w:hAnsi="Arial"/>
                <w:sz w:val="18"/>
                <w:szCs w:val="18"/>
                <w:color w:val="auto"/>
              </w:rPr>
              <w:t>No.</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580" w:type="dxa"/>
            <w:vAlign w:val="bottom"/>
            <w:gridSpan w:val="2"/>
          </w:tcPr>
          <w:p>
            <w:pPr>
              <w:ind w:left="226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22"/>
        </w:trPr>
        <w:tc>
          <w:tcPr>
            <w:tcW w:w="860" w:type="dxa"/>
            <w:vAlign w:val="bottom"/>
          </w:tcPr>
          <w:p>
            <w:pPr>
              <w:jc w:val="center"/>
              <w:ind w:left="110"/>
              <w:spacing w:after="0"/>
              <w:rPr>
                <w:sz w:val="20"/>
                <w:szCs w:val="20"/>
                <w:color w:val="auto"/>
              </w:rPr>
            </w:pPr>
            <w:r>
              <w:rPr>
                <w:rFonts w:ascii="Arial" w:cs="Arial" w:eastAsia="Arial" w:hAnsi="Arial"/>
                <w:sz w:val="18"/>
                <w:szCs w:val="18"/>
                <w:color w:val="auto"/>
                <w:w w:val="85"/>
              </w:rPr>
              <w:t>14.1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Code of Ethics</w:t>
            </w:r>
          </w:p>
        </w:tc>
        <w:tc>
          <w:tcPr>
            <w:tcW w:w="4560" w:type="dxa"/>
            <w:vAlign w:val="bottom"/>
          </w:tcPr>
          <w:p>
            <w:pPr>
              <w:ind w:left="20"/>
              <w:spacing w:after="0"/>
              <w:rPr>
                <w:sz w:val="20"/>
                <w:szCs w:val="20"/>
                <w:color w:val="auto"/>
              </w:rPr>
            </w:pPr>
            <w:r>
              <w:rPr>
                <w:rFonts w:ascii="Arial" w:cs="Arial" w:eastAsia="Arial" w:hAnsi="Arial"/>
                <w:sz w:val="18"/>
                <w:szCs w:val="18"/>
                <w:color w:val="auto"/>
                <w:w w:val="99"/>
              </w:rPr>
              <w:t>Available at Oil-Dri’s website at www.oildri.com or in print</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9"/>
              </w:rPr>
              <w:t>upon request to Investor Relations, Oil-Dri Corporation of</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3"/>
              </w:rPr>
              <w:t>America, 410 North Michigan Avenue, Suite 400, Chicago, IL</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60611-4213,  telephone  (312)  321-1515  or  e-mail  to</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info@oildri.com.</w:t>
            </w:r>
          </w:p>
        </w:tc>
      </w:tr>
      <w:tr>
        <w:trPr>
          <w:trHeight w:val="594"/>
        </w:trPr>
        <w:tc>
          <w:tcPr>
            <w:tcW w:w="860" w:type="dxa"/>
            <w:vAlign w:val="bottom"/>
          </w:tcPr>
          <w:p>
            <w:pPr>
              <w:jc w:val="center"/>
              <w:ind w:left="110"/>
              <w:spacing w:after="0"/>
              <w:rPr>
                <w:sz w:val="20"/>
                <w:szCs w:val="20"/>
                <w:color w:val="auto"/>
              </w:rPr>
            </w:pPr>
            <w:r>
              <w:rPr>
                <w:rFonts w:ascii="Arial" w:cs="Arial" w:eastAsia="Arial" w:hAnsi="Arial"/>
                <w:sz w:val="18"/>
                <w:szCs w:val="18"/>
                <w:color w:val="auto"/>
                <w:w w:val="85"/>
              </w:rPr>
              <w:t>21.1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Subsidiaries of Oil-Dri.</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860" w:type="dxa"/>
            <w:vAlign w:val="bottom"/>
          </w:tcPr>
          <w:p>
            <w:pPr>
              <w:jc w:val="center"/>
              <w:ind w:left="110"/>
              <w:spacing w:after="0"/>
              <w:rPr>
                <w:sz w:val="20"/>
                <w:szCs w:val="20"/>
                <w:color w:val="auto"/>
              </w:rPr>
            </w:pPr>
            <w:r>
              <w:rPr>
                <w:rFonts w:ascii="Arial" w:cs="Arial" w:eastAsia="Arial" w:hAnsi="Arial"/>
                <w:sz w:val="18"/>
                <w:szCs w:val="18"/>
                <w:color w:val="auto"/>
                <w:w w:val="85"/>
              </w:rPr>
              <w:t>23.1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Consent of PricewaterhouseCoopers LLP.</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860" w:type="dxa"/>
            <w:vAlign w:val="bottom"/>
          </w:tcPr>
          <w:p>
            <w:pPr>
              <w:jc w:val="center"/>
              <w:ind w:left="110"/>
              <w:spacing w:after="0"/>
              <w:rPr>
                <w:sz w:val="20"/>
                <w:szCs w:val="20"/>
                <w:color w:val="auto"/>
              </w:rPr>
            </w:pPr>
            <w:r>
              <w:rPr>
                <w:rFonts w:ascii="Arial" w:cs="Arial" w:eastAsia="Arial" w:hAnsi="Arial"/>
                <w:sz w:val="18"/>
                <w:szCs w:val="18"/>
                <w:color w:val="auto"/>
                <w:w w:val="85"/>
              </w:rPr>
              <w:t>31.1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Certifications pursuant to Rule 13a – 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860" w:type="dxa"/>
            <w:vAlign w:val="bottom"/>
          </w:tcPr>
          <w:p>
            <w:pPr>
              <w:jc w:val="center"/>
              <w:ind w:left="110"/>
              <w:spacing w:after="0"/>
              <w:rPr>
                <w:sz w:val="20"/>
                <w:szCs w:val="20"/>
                <w:color w:val="auto"/>
              </w:rPr>
            </w:pPr>
            <w:r>
              <w:rPr>
                <w:rFonts w:ascii="Arial" w:cs="Arial" w:eastAsia="Arial" w:hAnsi="Arial"/>
                <w:sz w:val="18"/>
                <w:szCs w:val="18"/>
                <w:color w:val="auto"/>
                <w:w w:val="85"/>
              </w:rPr>
              <w:t>32.1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860" w:type="dxa"/>
            <w:vAlign w:val="bottom"/>
          </w:tcPr>
          <w:p>
            <w:pPr>
              <w:jc w:val="center"/>
              <w:ind w:left="110"/>
              <w:spacing w:after="0"/>
              <w:rPr>
                <w:sz w:val="20"/>
                <w:szCs w:val="20"/>
                <w:color w:val="auto"/>
              </w:rPr>
            </w:pPr>
            <w:r>
              <w:rPr>
                <w:rFonts w:ascii="Arial" w:cs="Arial" w:eastAsia="Arial" w:hAnsi="Arial"/>
                <w:sz w:val="18"/>
                <w:szCs w:val="18"/>
                <w:color w:val="auto"/>
                <w:w w:val="89"/>
              </w:rPr>
              <w:t>95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94"/>
        </w:trPr>
        <w:tc>
          <w:tcPr>
            <w:tcW w:w="860" w:type="dxa"/>
            <w:vAlign w:val="bottom"/>
          </w:tcPr>
          <w:p>
            <w:pPr>
              <w:ind w:left="4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94"/>
        </w:trPr>
        <w:tc>
          <w:tcPr>
            <w:tcW w:w="860" w:type="dxa"/>
            <w:vAlign w:val="bottom"/>
          </w:tcPr>
          <w:p>
            <w:pPr>
              <w:ind w:left="4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94"/>
        </w:trPr>
        <w:tc>
          <w:tcPr>
            <w:tcW w:w="860" w:type="dxa"/>
            <w:vAlign w:val="bottom"/>
          </w:tcPr>
          <w:p>
            <w:pPr>
              <w:ind w:left="4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94"/>
        </w:trPr>
        <w:tc>
          <w:tcPr>
            <w:tcW w:w="860" w:type="dxa"/>
            <w:vAlign w:val="bottom"/>
          </w:tcPr>
          <w:p>
            <w:pPr>
              <w:ind w:left="4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94"/>
        </w:trPr>
        <w:tc>
          <w:tcPr>
            <w:tcW w:w="860" w:type="dxa"/>
            <w:vAlign w:val="bottom"/>
          </w:tcPr>
          <w:p>
            <w:pPr>
              <w:ind w:left="4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94"/>
        </w:trPr>
        <w:tc>
          <w:tcPr>
            <w:tcW w:w="860" w:type="dxa"/>
            <w:vAlign w:val="bottom"/>
          </w:tcPr>
          <w:p>
            <w:pPr>
              <w:ind w:left="4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94"/>
        </w:trPr>
        <w:tc>
          <w:tcPr>
            <w:tcW w:w="860" w:type="dxa"/>
            <w:vAlign w:val="bottom"/>
          </w:tcPr>
          <w:p>
            <w:pPr>
              <w:spacing w:after="0"/>
              <w:rPr>
                <w:sz w:val="24"/>
                <w:szCs w:val="24"/>
                <w:color w:val="auto"/>
              </w:rPr>
            </w:pPr>
          </w:p>
        </w:tc>
        <w:tc>
          <w:tcPr>
            <w:tcW w:w="6000" w:type="dxa"/>
            <w:vAlign w:val="bottom"/>
            <w:gridSpan w:val="5"/>
          </w:tcPr>
          <w:p>
            <w:pPr>
              <w:ind w:left="80"/>
              <w:spacing w:after="0"/>
              <w:rPr>
                <w:sz w:val="20"/>
                <w:szCs w:val="20"/>
                <w:color w:val="auto"/>
              </w:rPr>
            </w:pPr>
            <w:r>
              <w:rPr>
                <w:rFonts w:ascii="Arial" w:cs="Arial" w:eastAsia="Arial" w:hAnsi="Arial"/>
                <w:sz w:val="18"/>
                <w:szCs w:val="18"/>
                <w:color w:val="auto"/>
              </w:rPr>
              <w:t>*  Management contract or compensatory plan or arrangement.</w:t>
            </w:r>
          </w:p>
        </w:tc>
        <w:tc>
          <w:tcPr>
            <w:tcW w:w="4560" w:type="dxa"/>
            <w:vAlign w:val="bottom"/>
          </w:tcPr>
          <w:p>
            <w:pPr>
              <w:spacing w:after="0"/>
              <w:rPr>
                <w:sz w:val="24"/>
                <w:szCs w:val="24"/>
                <w:color w:val="auto"/>
              </w:rPr>
            </w:pPr>
          </w:p>
        </w:tc>
      </w:tr>
      <w:tr>
        <w:trPr>
          <w:trHeight w:val="702"/>
        </w:trPr>
        <w:tc>
          <w:tcPr>
            <w:tcW w:w="860" w:type="dxa"/>
            <w:vAlign w:val="bottom"/>
          </w:tcPr>
          <w:p>
            <w:pPr>
              <w:spacing w:after="0"/>
              <w:rPr>
                <w:sz w:val="24"/>
                <w:szCs w:val="24"/>
                <w:color w:val="auto"/>
              </w:rPr>
            </w:pPr>
          </w:p>
        </w:tc>
        <w:tc>
          <w:tcPr>
            <w:tcW w:w="5880" w:type="dxa"/>
            <w:vAlign w:val="bottom"/>
            <w:gridSpan w:val="4"/>
          </w:tcPr>
          <w:p>
            <w:pPr>
              <w:jc w:val="right"/>
              <w:ind w:right="85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OIL-DRI CORPORATION OF AMERICA</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160"/>
              <w:spacing w:after="0"/>
              <w:rPr>
                <w:sz w:val="20"/>
                <w:szCs w:val="20"/>
                <w:color w:val="auto"/>
              </w:rPr>
            </w:pPr>
            <w:r>
              <w:rPr>
                <w:rFonts w:ascii="Arial" w:cs="Arial" w:eastAsia="Arial" w:hAnsi="Arial"/>
                <w:sz w:val="18"/>
                <w:szCs w:val="18"/>
                <w:color w:val="auto"/>
              </w:rPr>
              <w:t>/s/ Daniel S. Jaffee</w:t>
            </w:r>
          </w:p>
        </w:tc>
      </w:tr>
      <w:tr>
        <w:trPr>
          <w:trHeight w:val="27"/>
        </w:trPr>
        <w:tc>
          <w:tcPr>
            <w:tcW w:w="66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Daniel S. Jaffee</w:t>
            </w:r>
          </w:p>
        </w:tc>
      </w:tr>
      <w:tr>
        <w:trPr>
          <w:trHeight w:val="270"/>
        </w:trPr>
        <w:tc>
          <w:tcPr>
            <w:tcW w:w="660" w:type="dxa"/>
            <w:vAlign w:val="bottom"/>
          </w:tcPr>
          <w:p>
            <w:pPr>
              <w:spacing w:after="0"/>
              <w:rPr>
                <w:sz w:val="23"/>
                <w:szCs w:val="23"/>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11, 2012</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/s/ Richard M. Jaffee</w:t>
            </w:r>
          </w:p>
        </w:tc>
        <w:tc>
          <w:tcPr>
            <w:tcW w:w="1820" w:type="dxa"/>
            <w:vAlign w:val="bottom"/>
          </w:tcPr>
          <w:p>
            <w:pPr>
              <w:ind w:left="580"/>
              <w:spacing w:after="0"/>
              <w:rPr>
                <w:sz w:val="20"/>
                <w:szCs w:val="20"/>
                <w:color w:val="auto"/>
              </w:rPr>
            </w:pPr>
            <w:r>
              <w:rPr>
                <w:rFonts w:ascii="Arial" w:cs="Arial" w:eastAsia="Arial" w:hAnsi="Arial"/>
                <w:sz w:val="18"/>
                <w:szCs w:val="18"/>
                <w:color w:val="auto"/>
                <w:w w:val="87"/>
              </w:rPr>
              <w:t>October 11, 2012</w:t>
            </w:r>
          </w:p>
        </w:tc>
      </w:tr>
      <w:tr>
        <w:trPr>
          <w:trHeight w:val="27"/>
        </w:trPr>
        <w:tc>
          <w:tcPr>
            <w:tcW w:w="550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0"/>
              </w:rPr>
              <w:t>Richard M. Jaffee</w:t>
            </w:r>
          </w:p>
        </w:tc>
        <w:tc>
          <w:tcPr>
            <w:tcW w:w="182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820" w:type="dxa"/>
            <w:vAlign w:val="bottom"/>
          </w:tcPr>
          <w:p>
            <w:pPr>
              <w:spacing w:after="0"/>
              <w:rPr>
                <w:sz w:val="23"/>
                <w:szCs w:val="23"/>
                <w:color w:val="auto"/>
              </w:rPr>
            </w:pPr>
          </w:p>
        </w:tc>
      </w:tr>
      <w:tr>
        <w:trPr>
          <w:trHeight w:val="540"/>
        </w:trPr>
        <w:tc>
          <w:tcPr>
            <w:tcW w:w="5500" w:type="dxa"/>
            <w:vAlign w:val="bottom"/>
          </w:tcPr>
          <w:p>
            <w:pPr>
              <w:ind w:left="180"/>
              <w:spacing w:after="0"/>
              <w:rPr>
                <w:sz w:val="20"/>
                <w:szCs w:val="20"/>
                <w:color w:val="auto"/>
              </w:rPr>
            </w:pPr>
            <w:r>
              <w:rPr>
                <w:rFonts w:ascii="Arial" w:cs="Arial" w:eastAsia="Arial" w:hAnsi="Arial"/>
                <w:sz w:val="18"/>
                <w:szCs w:val="18"/>
                <w:color w:val="auto"/>
              </w:rPr>
              <w:t>/s/ Daniel S. Jaffee</w:t>
            </w:r>
          </w:p>
        </w:tc>
        <w:tc>
          <w:tcPr>
            <w:tcW w:w="1820" w:type="dxa"/>
            <w:vAlign w:val="bottom"/>
          </w:tcPr>
          <w:p>
            <w:pPr>
              <w:ind w:left="580"/>
              <w:spacing w:after="0"/>
              <w:rPr>
                <w:sz w:val="20"/>
                <w:szCs w:val="20"/>
                <w:color w:val="auto"/>
              </w:rPr>
            </w:pPr>
            <w:r>
              <w:rPr>
                <w:rFonts w:ascii="Arial" w:cs="Arial" w:eastAsia="Arial" w:hAnsi="Arial"/>
                <w:sz w:val="18"/>
                <w:szCs w:val="18"/>
                <w:color w:val="auto"/>
                <w:w w:val="87"/>
              </w:rPr>
              <w:t>October 11, 2012</w:t>
            </w:r>
          </w:p>
        </w:tc>
      </w:tr>
      <w:tr>
        <w:trPr>
          <w:trHeight w:val="27"/>
        </w:trPr>
        <w:tc>
          <w:tcPr>
            <w:tcW w:w="550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89"/>
              </w:rPr>
              <w:t>Daniel S. Jaffee</w:t>
            </w:r>
          </w:p>
        </w:tc>
        <w:tc>
          <w:tcPr>
            <w:tcW w:w="182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 Director</w:t>
            </w:r>
          </w:p>
        </w:tc>
        <w:tc>
          <w:tcPr>
            <w:tcW w:w="1820" w:type="dxa"/>
            <w:vAlign w:val="bottom"/>
          </w:tcPr>
          <w:p>
            <w:pPr>
              <w:spacing w:after="0"/>
              <w:rPr>
                <w:sz w:val="23"/>
                <w:szCs w:val="23"/>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820" w:type="dxa"/>
            <w:vAlign w:val="bottom"/>
          </w:tcPr>
          <w:p>
            <w:pPr>
              <w:spacing w:after="0"/>
              <w:rPr>
                <w:sz w:val="23"/>
                <w:szCs w:val="23"/>
                <w:color w:val="auto"/>
              </w:rPr>
            </w:pPr>
          </w:p>
        </w:tc>
      </w:tr>
      <w:tr>
        <w:trPr>
          <w:trHeight w:val="540"/>
        </w:trPr>
        <w:tc>
          <w:tcPr>
            <w:tcW w:w="5500" w:type="dxa"/>
            <w:vAlign w:val="bottom"/>
          </w:tcPr>
          <w:p>
            <w:pPr>
              <w:ind w:left="180"/>
              <w:spacing w:after="0"/>
              <w:rPr>
                <w:sz w:val="20"/>
                <w:szCs w:val="20"/>
                <w:color w:val="auto"/>
              </w:rPr>
            </w:pPr>
            <w:r>
              <w:rPr>
                <w:rFonts w:ascii="Arial" w:cs="Arial" w:eastAsia="Arial" w:hAnsi="Arial"/>
                <w:sz w:val="18"/>
                <w:szCs w:val="18"/>
                <w:color w:val="auto"/>
              </w:rPr>
              <w:t>/s/ Daniel T. Smith</w:t>
            </w:r>
          </w:p>
        </w:tc>
        <w:tc>
          <w:tcPr>
            <w:tcW w:w="1820" w:type="dxa"/>
            <w:vAlign w:val="bottom"/>
          </w:tcPr>
          <w:p>
            <w:pPr>
              <w:ind w:left="580"/>
              <w:spacing w:after="0"/>
              <w:rPr>
                <w:sz w:val="20"/>
                <w:szCs w:val="20"/>
                <w:color w:val="auto"/>
              </w:rPr>
            </w:pPr>
            <w:r>
              <w:rPr>
                <w:rFonts w:ascii="Arial" w:cs="Arial" w:eastAsia="Arial" w:hAnsi="Arial"/>
                <w:sz w:val="18"/>
                <w:szCs w:val="18"/>
                <w:color w:val="auto"/>
                <w:w w:val="87"/>
              </w:rPr>
              <w:t>October 11, 2012</w:t>
            </w:r>
          </w:p>
        </w:tc>
      </w:tr>
      <w:tr>
        <w:trPr>
          <w:trHeight w:val="27"/>
        </w:trPr>
        <w:tc>
          <w:tcPr>
            <w:tcW w:w="550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Daniel T. Smith</w:t>
            </w:r>
          </w:p>
        </w:tc>
        <w:tc>
          <w:tcPr>
            <w:tcW w:w="182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2"/>
              </w:rPr>
              <w:t>Vice President, Chief Financial Officer</w:t>
            </w:r>
          </w:p>
        </w:tc>
        <w:tc>
          <w:tcPr>
            <w:tcW w:w="1820" w:type="dxa"/>
            <w:vAlign w:val="bottom"/>
          </w:tcPr>
          <w:p>
            <w:pPr>
              <w:spacing w:after="0"/>
              <w:rPr>
                <w:sz w:val="23"/>
                <w:szCs w:val="23"/>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820" w:type="dxa"/>
            <w:vAlign w:val="bottom"/>
          </w:tcPr>
          <w:p>
            <w:pPr>
              <w:spacing w:after="0"/>
              <w:rPr>
                <w:sz w:val="23"/>
                <w:szCs w:val="23"/>
                <w:color w:val="auto"/>
              </w:rPr>
            </w:pPr>
          </w:p>
        </w:tc>
      </w:tr>
      <w:tr>
        <w:trPr>
          <w:trHeight w:val="594"/>
        </w:trPr>
        <w:tc>
          <w:tcPr>
            <w:tcW w:w="5500" w:type="dxa"/>
            <w:vAlign w:val="bottom"/>
          </w:tcPr>
          <w:p>
            <w:pPr>
              <w:ind w:left="180"/>
              <w:spacing w:after="0"/>
              <w:rPr>
                <w:sz w:val="20"/>
                <w:szCs w:val="20"/>
                <w:color w:val="auto"/>
              </w:rPr>
            </w:pPr>
            <w:r>
              <w:rPr>
                <w:rFonts w:ascii="Arial" w:cs="Arial" w:eastAsia="Arial" w:hAnsi="Arial"/>
                <w:sz w:val="18"/>
                <w:szCs w:val="18"/>
                <w:color w:val="auto"/>
              </w:rPr>
              <w:t>/s/ Paula J. Krystopolski</w:t>
            </w:r>
          </w:p>
        </w:tc>
        <w:tc>
          <w:tcPr>
            <w:tcW w:w="1820" w:type="dxa"/>
            <w:vAlign w:val="bottom"/>
          </w:tcPr>
          <w:p>
            <w:pPr>
              <w:ind w:left="580"/>
              <w:spacing w:after="0"/>
              <w:rPr>
                <w:sz w:val="20"/>
                <w:szCs w:val="20"/>
                <w:color w:val="auto"/>
              </w:rPr>
            </w:pPr>
            <w:r>
              <w:rPr>
                <w:rFonts w:ascii="Arial" w:cs="Arial" w:eastAsia="Arial" w:hAnsi="Arial"/>
                <w:sz w:val="18"/>
                <w:szCs w:val="18"/>
                <w:color w:val="auto"/>
                <w:w w:val="87"/>
              </w:rPr>
              <w:t>October 11, 2012</w:t>
            </w:r>
          </w:p>
        </w:tc>
      </w:tr>
      <w:tr>
        <w:trPr>
          <w:trHeight w:val="27"/>
        </w:trPr>
        <w:tc>
          <w:tcPr>
            <w:tcW w:w="550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Paula J. Krystopolski</w:t>
            </w:r>
          </w:p>
        </w:tc>
        <w:tc>
          <w:tcPr>
            <w:tcW w:w="182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c>
          <w:tcPr>
            <w:tcW w:w="1820" w:type="dxa"/>
            <w:vAlign w:val="bottom"/>
          </w:tcPr>
          <w:p>
            <w:pPr>
              <w:spacing w:after="0"/>
              <w:rPr>
                <w:sz w:val="23"/>
                <w:szCs w:val="23"/>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(Controller)</w:t>
            </w:r>
          </w:p>
        </w:tc>
        <w:tc>
          <w:tcPr>
            <w:tcW w:w="1820" w:type="dxa"/>
            <w:vAlign w:val="bottom"/>
          </w:tcPr>
          <w:p>
            <w:pPr>
              <w:spacing w:after="0"/>
              <w:rPr>
                <w:sz w:val="23"/>
                <w:szCs w:val="23"/>
                <w:color w:val="auto"/>
              </w:rPr>
            </w:pPr>
          </w:p>
        </w:tc>
      </w:tr>
      <w:tr>
        <w:trPr>
          <w:trHeight w:val="540"/>
        </w:trPr>
        <w:tc>
          <w:tcPr>
            <w:tcW w:w="5500" w:type="dxa"/>
            <w:vAlign w:val="bottom"/>
          </w:tcPr>
          <w:p>
            <w:pPr>
              <w:ind w:left="180"/>
              <w:spacing w:after="0"/>
              <w:rPr>
                <w:sz w:val="20"/>
                <w:szCs w:val="20"/>
                <w:color w:val="auto"/>
              </w:rPr>
            </w:pPr>
            <w:r>
              <w:rPr>
                <w:rFonts w:ascii="Arial" w:cs="Arial" w:eastAsia="Arial" w:hAnsi="Arial"/>
                <w:sz w:val="18"/>
                <w:szCs w:val="18"/>
                <w:color w:val="auto"/>
              </w:rPr>
              <w:t>/s/ J. Steven Cole</w:t>
            </w:r>
          </w:p>
        </w:tc>
        <w:tc>
          <w:tcPr>
            <w:tcW w:w="1820" w:type="dxa"/>
            <w:vAlign w:val="bottom"/>
          </w:tcPr>
          <w:p>
            <w:pPr>
              <w:ind w:left="580"/>
              <w:spacing w:after="0"/>
              <w:rPr>
                <w:sz w:val="20"/>
                <w:szCs w:val="20"/>
                <w:color w:val="auto"/>
              </w:rPr>
            </w:pPr>
            <w:r>
              <w:rPr>
                <w:rFonts w:ascii="Arial" w:cs="Arial" w:eastAsia="Arial" w:hAnsi="Arial"/>
                <w:sz w:val="18"/>
                <w:szCs w:val="18"/>
                <w:color w:val="auto"/>
                <w:w w:val="87"/>
              </w:rPr>
              <w:t>October 11, 2012</w:t>
            </w:r>
          </w:p>
        </w:tc>
      </w:tr>
      <w:tr>
        <w:trPr>
          <w:trHeight w:val="27"/>
        </w:trPr>
        <w:tc>
          <w:tcPr>
            <w:tcW w:w="550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88"/>
              </w:rPr>
              <w:t>J. Steven Cole</w:t>
            </w:r>
          </w:p>
        </w:tc>
        <w:tc>
          <w:tcPr>
            <w:tcW w:w="182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3"/>
                <w:szCs w:val="23"/>
                <w:color w:val="auto"/>
              </w:rPr>
            </w:pPr>
          </w:p>
        </w:tc>
      </w:tr>
      <w:tr>
        <w:trPr>
          <w:trHeight w:val="540"/>
        </w:trPr>
        <w:tc>
          <w:tcPr>
            <w:tcW w:w="5500" w:type="dxa"/>
            <w:vAlign w:val="bottom"/>
          </w:tcPr>
          <w:p>
            <w:pPr>
              <w:ind w:left="180"/>
              <w:spacing w:after="0"/>
              <w:rPr>
                <w:sz w:val="20"/>
                <w:szCs w:val="20"/>
                <w:color w:val="auto"/>
              </w:rPr>
            </w:pPr>
            <w:r>
              <w:rPr>
                <w:rFonts w:ascii="Arial" w:cs="Arial" w:eastAsia="Arial" w:hAnsi="Arial"/>
                <w:sz w:val="18"/>
                <w:szCs w:val="18"/>
                <w:color w:val="auto"/>
              </w:rPr>
              <w:t>/s/ Arnold W. Donald</w:t>
            </w:r>
          </w:p>
        </w:tc>
        <w:tc>
          <w:tcPr>
            <w:tcW w:w="1820" w:type="dxa"/>
            <w:vAlign w:val="bottom"/>
          </w:tcPr>
          <w:p>
            <w:pPr>
              <w:ind w:left="580"/>
              <w:spacing w:after="0"/>
              <w:rPr>
                <w:sz w:val="20"/>
                <w:szCs w:val="20"/>
                <w:color w:val="auto"/>
              </w:rPr>
            </w:pPr>
            <w:r>
              <w:rPr>
                <w:rFonts w:ascii="Arial" w:cs="Arial" w:eastAsia="Arial" w:hAnsi="Arial"/>
                <w:sz w:val="18"/>
                <w:szCs w:val="18"/>
                <w:color w:val="auto"/>
                <w:w w:val="87"/>
              </w:rPr>
              <w:t>October 11, 2012</w:t>
            </w:r>
          </w:p>
        </w:tc>
      </w:tr>
      <w:tr>
        <w:trPr>
          <w:trHeight w:val="27"/>
        </w:trPr>
        <w:tc>
          <w:tcPr>
            <w:tcW w:w="550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3"/>
              </w:rPr>
              <w:t>Arnold W. Donald</w:t>
            </w:r>
          </w:p>
        </w:tc>
        <w:tc>
          <w:tcPr>
            <w:tcW w:w="182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3"/>
                <w:szCs w:val="23"/>
                <w:color w:val="auto"/>
              </w:rPr>
            </w:pPr>
          </w:p>
        </w:tc>
      </w:tr>
      <w:tr>
        <w:trPr>
          <w:trHeight w:val="540"/>
        </w:trPr>
        <w:tc>
          <w:tcPr>
            <w:tcW w:w="5500" w:type="dxa"/>
            <w:vAlign w:val="bottom"/>
          </w:tcPr>
          <w:p>
            <w:pPr>
              <w:ind w:left="180"/>
              <w:spacing w:after="0"/>
              <w:rPr>
                <w:sz w:val="20"/>
                <w:szCs w:val="20"/>
                <w:color w:val="auto"/>
              </w:rPr>
            </w:pPr>
            <w:r>
              <w:rPr>
                <w:rFonts w:ascii="Arial" w:cs="Arial" w:eastAsia="Arial" w:hAnsi="Arial"/>
                <w:sz w:val="18"/>
                <w:szCs w:val="18"/>
                <w:color w:val="auto"/>
              </w:rPr>
              <w:t>/s/ Joseph C. Miller</w:t>
            </w:r>
          </w:p>
        </w:tc>
        <w:tc>
          <w:tcPr>
            <w:tcW w:w="1820" w:type="dxa"/>
            <w:vAlign w:val="bottom"/>
          </w:tcPr>
          <w:p>
            <w:pPr>
              <w:ind w:left="580"/>
              <w:spacing w:after="0"/>
              <w:rPr>
                <w:sz w:val="20"/>
                <w:szCs w:val="20"/>
                <w:color w:val="auto"/>
              </w:rPr>
            </w:pPr>
            <w:r>
              <w:rPr>
                <w:rFonts w:ascii="Arial" w:cs="Arial" w:eastAsia="Arial" w:hAnsi="Arial"/>
                <w:sz w:val="18"/>
                <w:szCs w:val="18"/>
                <w:color w:val="auto"/>
                <w:w w:val="87"/>
              </w:rPr>
              <w:t>October 11, 2012</w:t>
            </w:r>
          </w:p>
        </w:tc>
      </w:tr>
      <w:tr>
        <w:trPr>
          <w:trHeight w:val="27"/>
        </w:trPr>
        <w:tc>
          <w:tcPr>
            <w:tcW w:w="550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Joseph C. Miller</w:t>
            </w:r>
          </w:p>
        </w:tc>
        <w:tc>
          <w:tcPr>
            <w:tcW w:w="1820" w:type="dxa"/>
            <w:vAlign w:val="bottom"/>
          </w:tcPr>
          <w:p>
            <w:pPr>
              <w:spacing w:after="0"/>
              <w:rPr>
                <w:sz w:val="20"/>
                <w:szCs w:val="20"/>
                <w:color w:val="auto"/>
              </w:rPr>
            </w:pPr>
          </w:p>
        </w:tc>
      </w:tr>
      <w:tr>
        <w:trPr>
          <w:trHeight w:val="270"/>
        </w:trPr>
        <w:tc>
          <w:tcPr>
            <w:tcW w:w="5500" w:type="dxa"/>
            <w:vAlign w:val="bottom"/>
          </w:tcPr>
          <w:p>
            <w:pPr>
              <w:jc w:val="center"/>
              <w:spacing w:after="0"/>
              <w:rPr>
                <w:sz w:val="20"/>
                <w:szCs w:val="20"/>
                <w:color w:val="auto"/>
              </w:rPr>
            </w:pPr>
            <w:r>
              <w:rPr>
                <w:rFonts w:ascii="Arial" w:cs="Arial" w:eastAsia="Arial" w:hAnsi="Arial"/>
                <w:sz w:val="18"/>
                <w:szCs w:val="18"/>
                <w:color w:val="auto"/>
                <w:w w:val="92"/>
              </w:rPr>
              <w:t>Vice Chairman of the Board of Directors</w:t>
            </w:r>
          </w:p>
        </w:tc>
        <w:tc>
          <w:tcPr>
            <w:tcW w:w="18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ind w:left="180"/>
              <w:spacing w:after="0"/>
              <w:rPr>
                <w:sz w:val="20"/>
                <w:szCs w:val="20"/>
                <w:color w:val="auto"/>
              </w:rPr>
            </w:pPr>
            <w:r>
              <w:rPr>
                <w:rFonts w:ascii="Arial" w:cs="Arial" w:eastAsia="Arial" w:hAnsi="Arial"/>
                <w:sz w:val="18"/>
                <w:szCs w:val="18"/>
                <w:color w:val="auto"/>
                <w:w w:val="95"/>
              </w:rPr>
              <w:t>/s/ Michael A. Nemeroff</w:t>
            </w:r>
          </w:p>
        </w:tc>
        <w:tc>
          <w:tcPr>
            <w:tcW w:w="3640" w:type="dxa"/>
            <w:vAlign w:val="bottom"/>
          </w:tcPr>
          <w:p>
            <w:pPr>
              <w:spacing w:after="0"/>
              <w:rPr>
                <w:sz w:val="20"/>
                <w:szCs w:val="20"/>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2012</w:t>
            </w:r>
          </w:p>
        </w:tc>
      </w:tr>
      <w:tr>
        <w:trPr>
          <w:trHeight w:val="27"/>
        </w:trPr>
        <w:tc>
          <w:tcPr>
            <w:tcW w:w="19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5240" w:type="dxa"/>
            <w:vAlign w:val="bottom"/>
            <w:gridSpan w:val="2"/>
          </w:tcPr>
          <w:p>
            <w:pPr>
              <w:jc w:val="center"/>
              <w:ind w:right="3490"/>
              <w:spacing w:after="0"/>
              <w:rPr>
                <w:sz w:val="20"/>
                <w:szCs w:val="20"/>
                <w:color w:val="auto"/>
              </w:rPr>
            </w:pPr>
            <w:r>
              <w:rPr>
                <w:rFonts w:ascii="Arial" w:cs="Arial" w:eastAsia="Arial" w:hAnsi="Arial"/>
                <w:sz w:val="18"/>
                <w:szCs w:val="18"/>
                <w:color w:val="auto"/>
                <w:w w:val="94"/>
              </w:rPr>
              <w:t>Michael A. Nemeroff</w:t>
            </w:r>
          </w:p>
        </w:tc>
      </w:tr>
      <w:tr>
        <w:trPr>
          <w:trHeight w:val="270"/>
        </w:trPr>
        <w:tc>
          <w:tcPr>
            <w:tcW w:w="1980" w:type="dxa"/>
            <w:vAlign w:val="bottom"/>
          </w:tcPr>
          <w:p>
            <w:pPr>
              <w:spacing w:after="0"/>
              <w:rPr>
                <w:sz w:val="23"/>
                <w:szCs w:val="23"/>
                <w:color w:val="auto"/>
              </w:rPr>
            </w:pPr>
          </w:p>
        </w:tc>
        <w:tc>
          <w:tcPr>
            <w:tcW w:w="5240" w:type="dxa"/>
            <w:vAlign w:val="bottom"/>
            <w:gridSpan w:val="2"/>
          </w:tcPr>
          <w:p>
            <w:pPr>
              <w:jc w:val="center"/>
              <w:ind w:right="3470"/>
              <w:spacing w:after="0"/>
              <w:rPr>
                <w:sz w:val="20"/>
                <w:szCs w:val="20"/>
                <w:color w:val="auto"/>
              </w:rPr>
            </w:pPr>
            <w:r>
              <w:rPr>
                <w:rFonts w:ascii="Arial" w:cs="Arial" w:eastAsia="Arial" w:hAnsi="Arial"/>
                <w:sz w:val="18"/>
                <w:szCs w:val="18"/>
                <w:color w:val="auto"/>
                <w:w w:val="95"/>
              </w:rPr>
              <w:t>Director</w:t>
            </w:r>
          </w:p>
        </w:tc>
      </w:tr>
      <w:tr>
        <w:trPr>
          <w:trHeight w:val="540"/>
        </w:trPr>
        <w:tc>
          <w:tcPr>
            <w:tcW w:w="1980" w:type="dxa"/>
            <w:vAlign w:val="bottom"/>
          </w:tcPr>
          <w:p>
            <w:pPr>
              <w:ind w:left="180"/>
              <w:spacing w:after="0"/>
              <w:rPr>
                <w:sz w:val="20"/>
                <w:szCs w:val="20"/>
                <w:color w:val="auto"/>
              </w:rPr>
            </w:pPr>
            <w:r>
              <w:rPr>
                <w:rFonts w:ascii="Arial" w:cs="Arial" w:eastAsia="Arial" w:hAnsi="Arial"/>
                <w:sz w:val="18"/>
                <w:szCs w:val="18"/>
                <w:color w:val="auto"/>
              </w:rPr>
              <w:t>/s/ Allan H. Selig</w:t>
            </w:r>
          </w:p>
        </w:tc>
        <w:tc>
          <w:tcPr>
            <w:tcW w:w="3640" w:type="dxa"/>
            <w:vAlign w:val="bottom"/>
          </w:tcPr>
          <w:p>
            <w:pPr>
              <w:spacing w:after="0"/>
              <w:rPr>
                <w:sz w:val="24"/>
                <w:szCs w:val="24"/>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2012</w:t>
            </w:r>
          </w:p>
        </w:tc>
      </w:tr>
      <w:tr>
        <w:trPr>
          <w:trHeight w:val="27"/>
        </w:trPr>
        <w:tc>
          <w:tcPr>
            <w:tcW w:w="19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5240" w:type="dxa"/>
            <w:vAlign w:val="bottom"/>
            <w:gridSpan w:val="2"/>
          </w:tcPr>
          <w:p>
            <w:pPr>
              <w:jc w:val="center"/>
              <w:ind w:right="3490"/>
              <w:spacing w:after="0"/>
              <w:rPr>
                <w:sz w:val="20"/>
                <w:szCs w:val="20"/>
                <w:color w:val="auto"/>
              </w:rPr>
            </w:pPr>
            <w:r>
              <w:rPr>
                <w:rFonts w:ascii="Arial" w:cs="Arial" w:eastAsia="Arial" w:hAnsi="Arial"/>
                <w:sz w:val="18"/>
                <w:szCs w:val="18"/>
                <w:color w:val="auto"/>
                <w:w w:val="94"/>
              </w:rPr>
              <w:t>Allan H. Selig</w:t>
            </w:r>
          </w:p>
        </w:tc>
      </w:tr>
      <w:tr>
        <w:trPr>
          <w:trHeight w:val="270"/>
        </w:trPr>
        <w:tc>
          <w:tcPr>
            <w:tcW w:w="1980" w:type="dxa"/>
            <w:vAlign w:val="bottom"/>
          </w:tcPr>
          <w:p>
            <w:pPr>
              <w:spacing w:after="0"/>
              <w:rPr>
                <w:sz w:val="23"/>
                <w:szCs w:val="23"/>
                <w:color w:val="auto"/>
              </w:rPr>
            </w:pPr>
          </w:p>
        </w:tc>
        <w:tc>
          <w:tcPr>
            <w:tcW w:w="5240" w:type="dxa"/>
            <w:vAlign w:val="bottom"/>
            <w:gridSpan w:val="2"/>
          </w:tcPr>
          <w:p>
            <w:pPr>
              <w:jc w:val="center"/>
              <w:ind w:right="3470"/>
              <w:spacing w:after="0"/>
              <w:rPr>
                <w:sz w:val="20"/>
                <w:szCs w:val="20"/>
                <w:color w:val="auto"/>
              </w:rPr>
            </w:pPr>
            <w:r>
              <w:rPr>
                <w:rFonts w:ascii="Arial" w:cs="Arial" w:eastAsia="Arial" w:hAnsi="Arial"/>
                <w:sz w:val="18"/>
                <w:szCs w:val="18"/>
                <w:color w:val="auto"/>
                <w:w w:val="95"/>
              </w:rPr>
              <w:t>Director</w:t>
            </w:r>
          </w:p>
        </w:tc>
      </w:tr>
      <w:tr>
        <w:trPr>
          <w:trHeight w:val="540"/>
        </w:trPr>
        <w:tc>
          <w:tcPr>
            <w:tcW w:w="1980" w:type="dxa"/>
            <w:vAlign w:val="bottom"/>
          </w:tcPr>
          <w:p>
            <w:pPr>
              <w:ind w:left="180"/>
              <w:spacing w:after="0"/>
              <w:rPr>
                <w:sz w:val="20"/>
                <w:szCs w:val="20"/>
                <w:color w:val="auto"/>
              </w:rPr>
            </w:pPr>
            <w:r>
              <w:rPr>
                <w:rFonts w:ascii="Arial" w:cs="Arial" w:eastAsia="Arial" w:hAnsi="Arial"/>
                <w:sz w:val="18"/>
                <w:szCs w:val="18"/>
                <w:color w:val="auto"/>
              </w:rPr>
              <w:t>/s/ Paul E. Suckow</w:t>
            </w:r>
          </w:p>
        </w:tc>
        <w:tc>
          <w:tcPr>
            <w:tcW w:w="3640" w:type="dxa"/>
            <w:vAlign w:val="bottom"/>
          </w:tcPr>
          <w:p>
            <w:pPr>
              <w:spacing w:after="0"/>
              <w:rPr>
                <w:sz w:val="24"/>
                <w:szCs w:val="24"/>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2012</w:t>
            </w:r>
          </w:p>
        </w:tc>
      </w:tr>
      <w:tr>
        <w:trPr>
          <w:trHeight w:val="27"/>
        </w:trPr>
        <w:tc>
          <w:tcPr>
            <w:tcW w:w="19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5240" w:type="dxa"/>
            <w:vAlign w:val="bottom"/>
            <w:gridSpan w:val="2"/>
          </w:tcPr>
          <w:p>
            <w:pPr>
              <w:jc w:val="center"/>
              <w:ind w:right="3490"/>
              <w:spacing w:after="0"/>
              <w:rPr>
                <w:sz w:val="20"/>
                <w:szCs w:val="20"/>
                <w:color w:val="auto"/>
              </w:rPr>
            </w:pPr>
            <w:r>
              <w:rPr>
                <w:rFonts w:ascii="Arial" w:cs="Arial" w:eastAsia="Arial" w:hAnsi="Arial"/>
                <w:sz w:val="18"/>
                <w:szCs w:val="18"/>
                <w:color w:val="auto"/>
                <w:w w:val="90"/>
              </w:rPr>
              <w:t>Paul E. Suckow</w:t>
            </w:r>
          </w:p>
        </w:tc>
      </w:tr>
      <w:tr>
        <w:trPr>
          <w:trHeight w:val="270"/>
        </w:trPr>
        <w:tc>
          <w:tcPr>
            <w:tcW w:w="1980" w:type="dxa"/>
            <w:vAlign w:val="bottom"/>
          </w:tcPr>
          <w:p>
            <w:pPr>
              <w:spacing w:after="0"/>
              <w:rPr>
                <w:sz w:val="23"/>
                <w:szCs w:val="23"/>
                <w:color w:val="auto"/>
              </w:rPr>
            </w:pPr>
          </w:p>
        </w:tc>
        <w:tc>
          <w:tcPr>
            <w:tcW w:w="5240" w:type="dxa"/>
            <w:vAlign w:val="bottom"/>
            <w:gridSpan w:val="2"/>
          </w:tcPr>
          <w:p>
            <w:pPr>
              <w:jc w:val="center"/>
              <w:ind w:right="3470"/>
              <w:spacing w:after="0"/>
              <w:rPr>
                <w:sz w:val="20"/>
                <w:szCs w:val="20"/>
                <w:color w:val="auto"/>
              </w:rPr>
            </w:pPr>
            <w:r>
              <w:rPr>
                <w:rFonts w:ascii="Arial" w:cs="Arial" w:eastAsia="Arial" w:hAnsi="Arial"/>
                <w:sz w:val="18"/>
                <w:szCs w:val="18"/>
                <w:color w:val="auto"/>
                <w:w w:val="95"/>
              </w:rPr>
              <w:t>Director</w:t>
            </w:r>
          </w:p>
        </w:tc>
      </w:tr>
      <w:tr>
        <w:trPr>
          <w:trHeight w:val="702"/>
        </w:trPr>
        <w:tc>
          <w:tcPr>
            <w:tcW w:w="1980" w:type="dxa"/>
            <w:vAlign w:val="bottom"/>
          </w:tcPr>
          <w:p>
            <w:pPr>
              <w:spacing w:after="0"/>
              <w:rPr>
                <w:sz w:val="24"/>
                <w:szCs w:val="24"/>
                <w:color w:val="auto"/>
              </w:rPr>
            </w:pPr>
          </w:p>
        </w:tc>
        <w:tc>
          <w:tcPr>
            <w:tcW w:w="5240" w:type="dxa"/>
            <w:vAlign w:val="bottom"/>
            <w:gridSpan w:val="2"/>
          </w:tcPr>
          <w:p>
            <w:pPr>
              <w:jc w:val="right"/>
              <w:ind w:right="133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0219"/>
          </w:cols>
          <w:pgMar w:left="240" w:top="125" w:right="1440"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5320" w:type="dxa"/>
            <w:vAlign w:val="bottom"/>
            <w:gridSpan w:val="2"/>
          </w:tcPr>
          <w:p>
            <w:pPr>
              <w:jc w:val="center"/>
              <w:ind w:right="1130"/>
              <w:spacing w:after="0"/>
              <w:rPr>
                <w:sz w:val="20"/>
                <w:szCs w:val="20"/>
                <w:color w:val="auto"/>
              </w:rPr>
            </w:pPr>
            <w:r>
              <w:rPr>
                <w:rFonts w:ascii="Arial" w:cs="Arial" w:eastAsia="Arial" w:hAnsi="Arial"/>
                <w:sz w:val="18"/>
                <w:szCs w:val="18"/>
                <w:b w:val="1"/>
                <w:bCs w:val="1"/>
                <w:color w:val="auto"/>
              </w:rPr>
              <w:t>VALUATION AND QUALIFYING ACCOUNTS</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8"/>
          </w:tcPr>
          <w:p>
            <w:pPr>
              <w:jc w:val="center"/>
              <w:ind w:right="50"/>
              <w:spacing w:after="0"/>
              <w:rPr>
                <w:sz w:val="20"/>
                <w:szCs w:val="20"/>
                <w:color w:val="auto"/>
              </w:rPr>
            </w:pPr>
            <w:r>
              <w:rPr>
                <w:rFonts w:ascii="Arial" w:cs="Arial" w:eastAsia="Arial" w:hAnsi="Arial"/>
                <w:sz w:val="18"/>
                <w:szCs w:val="18"/>
                <w:b w:val="1"/>
                <w:bCs w:val="1"/>
                <w:color w:val="auto"/>
                <w:w w:val="90"/>
              </w:rPr>
              <w:t>Year Ended July 31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6"/>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8"/>
              </w:rPr>
              <w:t>(in thousands</w:t>
            </w:r>
            <w:r>
              <w:rPr>
                <w:rFonts w:ascii="Arial" w:cs="Arial" w:eastAsia="Arial" w:hAnsi="Arial"/>
                <w:sz w:val="18"/>
                <w:szCs w:val="18"/>
                <w:color w:val="auto"/>
                <w:w w:val="88"/>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5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5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607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charged to expense</w:t>
            </w:r>
          </w:p>
        </w:tc>
        <w:tc>
          <w:tcPr>
            <w:tcW w:w="5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Deductions*</w:t>
            </w:r>
          </w:p>
        </w:tc>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Balance, end of year</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Net of recoveries.</w:t>
            </w:r>
          </w:p>
        </w:tc>
        <w:tc>
          <w:tcPr>
            <w:tcW w:w="5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reserve for income taxes:</w:t>
            </w:r>
          </w:p>
        </w:tc>
        <w:tc>
          <w:tcPr>
            <w:tcW w:w="5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5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3,106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Additions (Deductions) charged to expense</w:t>
            </w:r>
          </w:p>
        </w:tc>
        <w:tc>
          <w:tcPr>
            <w:tcW w:w="5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57"/>
        </w:trPr>
        <w:tc>
          <w:tcPr>
            <w:tcW w:w="3660" w:type="dxa"/>
            <w:vAlign w:val="bottom"/>
          </w:tcPr>
          <w:p>
            <w:pPr>
              <w:ind w:left="380"/>
              <w:spacing w:after="0"/>
              <w:rPr>
                <w:sz w:val="20"/>
                <w:szCs w:val="20"/>
                <w:color w:val="auto"/>
              </w:rPr>
            </w:pPr>
            <w:r>
              <w:rPr>
                <w:rFonts w:ascii="Arial" w:cs="Arial" w:eastAsia="Arial" w:hAnsi="Arial"/>
                <w:sz w:val="18"/>
                <w:szCs w:val="18"/>
                <w:color w:val="auto"/>
              </w:rPr>
              <w:t>Balance, end of year</w:t>
            </w:r>
          </w:p>
        </w:tc>
        <w:tc>
          <w:tcPr>
            <w:tcW w:w="5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160" w:type="dxa"/>
            <w:vAlign w:val="bottom"/>
            <w:vMerge w:val="restart"/>
          </w:tcPr>
          <w:p>
            <w:pPr>
              <w:jc w:val="right"/>
              <w:ind w:right="2930"/>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66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4120"/>
              <w:spacing w:after="0"/>
              <w:rPr>
                <w:sz w:val="20"/>
                <w:szCs w:val="20"/>
                <w:color w:val="auto"/>
              </w:rPr>
            </w:pPr>
            <w:r>
              <w:rPr>
                <w:rFonts w:ascii="Arial" w:cs="Arial" w:eastAsia="Arial" w:hAnsi="Arial"/>
                <w:sz w:val="18"/>
                <w:szCs w:val="18"/>
                <w:b w:val="1"/>
                <w:bCs w:val="1"/>
                <w:color w:val="auto"/>
              </w:rPr>
              <w:t>EXHIBITS</w:t>
            </w:r>
          </w:p>
        </w:tc>
      </w:tr>
      <w:tr>
        <w:trPr>
          <w:trHeight w:val="594"/>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Exhibit No.</w:t>
            </w:r>
          </w:p>
        </w:tc>
        <w:tc>
          <w:tcPr>
            <w:tcW w:w="10260" w:type="dxa"/>
            <w:vAlign w:val="bottom"/>
          </w:tcPr>
          <w:p>
            <w:pPr>
              <w:ind w:left="4700"/>
              <w:spacing w:after="0"/>
              <w:rPr>
                <w:sz w:val="20"/>
                <w:szCs w:val="20"/>
                <w:color w:val="auto"/>
              </w:rPr>
            </w:pPr>
            <w:r>
              <w:rPr>
                <w:rFonts w:ascii="Arial" w:cs="Arial" w:eastAsia="Arial" w:hAnsi="Arial"/>
                <w:sz w:val="18"/>
                <w:szCs w:val="18"/>
                <w:color w:val="auto"/>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Third Amendment, dated as of June 21, 2012 to Credit Agreement dated as of January 27, 2006.</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Statement Re: Computation of Net Income Per Share</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Subsidiaries of Oil-Dri</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Consent of PricewaterhouseCoopers LLP</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Certifications by Daniel S. Jaffee, President and Chief Executive Officer and Daniel T. Smith, Vice President and Chief Financial Officer,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required by Rule 13a-14(a)</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Certifications pursuant to Section 1350 of the Sarbanes-Oxley Act of 2002</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Mine Safety Disclosures</w:t>
            </w:r>
          </w:p>
        </w:tc>
      </w:tr>
      <w:tr>
        <w:trPr>
          <w:trHeight w:val="432"/>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Instance Document</w:t>
            </w:r>
          </w:p>
        </w:tc>
      </w:tr>
      <w:tr>
        <w:trPr>
          <w:trHeight w:val="432"/>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r>
      <w:tr>
        <w:trPr>
          <w:trHeight w:val="418"/>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Note:</w:t>
            </w: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Stockholders may receive copies of the above listed exhibits, without fee, by written request to Investor Relations, Oil-Dri Corporation of</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America, 410 North Michigan Avenue, Suite 400, Chicago, Illinois 60611-4213, telephone (312) 321-1515 or e-mail to info@oildri.com.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CREDIT AGREEMENT</w:t>
      </w:r>
    </w:p>
    <w:p>
      <w:pPr>
        <w:spacing w:after="0" w:line="337" w:lineRule="exact"/>
        <w:rPr>
          <w:sz w:val="20"/>
          <w:szCs w:val="20"/>
          <w:color w:val="auto"/>
        </w:rPr>
      </w:pPr>
    </w:p>
    <w:p>
      <w:pPr>
        <w:ind w:firstLine="648"/>
        <w:spacing w:after="0" w:line="223" w:lineRule="exact"/>
        <w:rPr>
          <w:sz w:val="20"/>
          <w:szCs w:val="20"/>
          <w:color w:val="auto"/>
        </w:rPr>
      </w:pPr>
      <w:r>
        <w:rPr>
          <w:rFonts w:ascii="Arial" w:cs="Arial" w:eastAsia="Arial" w:hAnsi="Arial"/>
          <w:sz w:val="18"/>
          <w:szCs w:val="18"/>
          <w:color w:val="auto"/>
        </w:rPr>
        <w:t xml:space="preserve">This Third Amendment to Credit Agreement (the </w:t>
      </w:r>
      <w:r>
        <w:rPr>
          <w:rFonts w:ascii="Arial" w:cs="Arial" w:eastAsia="Arial" w:hAnsi="Arial"/>
          <w:sz w:val="18"/>
          <w:szCs w:val="18"/>
          <w:i w:val="1"/>
          <w:iCs w:val="1"/>
          <w:color w:val="auto"/>
        </w:rPr>
        <w:t>“Third Amendment”</w:t>
      </w:r>
      <w:r>
        <w:rPr>
          <w:rFonts w:ascii="Arial" w:cs="Arial" w:eastAsia="Arial" w:hAnsi="Arial"/>
          <w:sz w:val="18"/>
          <w:szCs w:val="18"/>
          <w:color w:val="auto"/>
        </w:rPr>
        <w:t>) dated as of June 21, 2012, between Oil</w:t>
      </w:r>
      <w:r>
        <w:rPr>
          <w:rFonts w:ascii="MS PGothic" w:cs="MS PGothic" w:eastAsia="MS PGothic" w:hAnsi="MS PGothic"/>
          <w:sz w:val="18"/>
          <w:szCs w:val="18"/>
          <w:color w:val="auto"/>
        </w:rPr>
        <w:t>‑</w:t>
      </w:r>
      <w:r>
        <w:rPr>
          <w:rFonts w:ascii="Arial" w:cs="Arial" w:eastAsia="Arial" w:hAnsi="Arial"/>
          <w:sz w:val="18"/>
          <w:szCs w:val="18"/>
          <w:color w:val="auto"/>
        </w:rPr>
        <w:t xml:space="preserve">Dri Corporation of America (the </w:t>
      </w:r>
      <w:r>
        <w:rPr>
          <w:rFonts w:ascii="Arial" w:cs="Arial" w:eastAsia="Arial" w:hAnsi="Arial"/>
          <w:sz w:val="18"/>
          <w:szCs w:val="18"/>
          <w:i w:val="1"/>
          <w:iCs w:val="1"/>
          <w:color w:val="auto"/>
        </w:rPr>
        <w:t>“Company”</w:t>
      </w:r>
      <w:r>
        <w:rPr>
          <w:rFonts w:ascii="Arial" w:cs="Arial" w:eastAsia="Arial" w:hAnsi="Arial"/>
          <w:sz w:val="18"/>
          <w:szCs w:val="18"/>
          <w:color w:val="auto"/>
        </w:rPr>
        <w:t>) and BMO Harris Bank N.A. (the</w:t>
      </w:r>
      <w:r>
        <w:rPr>
          <w:rFonts w:ascii="Arial" w:cs="Arial" w:eastAsia="Arial" w:hAnsi="Arial"/>
          <w:sz w:val="18"/>
          <w:szCs w:val="18"/>
          <w:i w:val="1"/>
          <w:iCs w:val="1"/>
          <w:color w:val="auto"/>
        </w:rPr>
        <w:t xml:space="preserve"> “Bank”</w:t>
      </w:r>
      <w:r>
        <w:rPr>
          <w:rFonts w:ascii="Arial" w:cs="Arial" w:eastAsia="Arial" w:hAnsi="Arial"/>
          <w:sz w:val="18"/>
          <w:szCs w:val="18"/>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256" w:lineRule="exact"/>
        <w:rPr>
          <w:sz w:val="20"/>
          <w:szCs w:val="20"/>
          <w:color w:val="auto"/>
        </w:rPr>
      </w:pPr>
    </w:p>
    <w:p>
      <w:pPr>
        <w:jc w:val="both"/>
        <w:ind w:firstLine="656"/>
        <w:spacing w:after="0" w:line="264" w:lineRule="auto"/>
        <w:tabs>
          <w:tab w:leader="none" w:pos="10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Company, the Domestic Subsidiaries of the Company, and the Bank are parties to a Credit Agreement dated as of January 27, 2006 (as amended and restated from time to time, the </w:t>
      </w:r>
      <w:r>
        <w:rPr>
          <w:rFonts w:ascii="Arial" w:cs="Arial" w:eastAsia="Arial" w:hAnsi="Arial"/>
          <w:sz w:val="18"/>
          <w:szCs w:val="18"/>
          <w:i w:val="1"/>
          <w:iCs w:val="1"/>
          <w:color w:val="auto"/>
        </w:rPr>
        <w:t>“Credit Agreement”</w:t>
      </w:r>
      <w:r>
        <w:rPr>
          <w:rFonts w:ascii="Arial" w:cs="Arial" w:eastAsia="Arial" w:hAnsi="Arial"/>
          <w:sz w:val="18"/>
          <w:szCs w:val="18"/>
          <w:color w:val="auto"/>
        </w:rPr>
        <w:t>). All capitalized terms used herein without definition shall have the same meanings herein as such terms are defined in the Credit Agreement.</w:t>
      </w:r>
    </w:p>
    <w:p>
      <w:pPr>
        <w:spacing w:after="0" w:line="208" w:lineRule="exact"/>
        <w:rPr>
          <w:rFonts w:ascii="Arial" w:cs="Arial" w:eastAsia="Arial" w:hAnsi="Arial"/>
          <w:sz w:val="18"/>
          <w:szCs w:val="18"/>
          <w:color w:val="auto"/>
        </w:rPr>
      </w:pPr>
    </w:p>
    <w:p>
      <w:pPr>
        <w:ind w:left="1000" w:hanging="344"/>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the Bank have agreed to amend the Credit Agreement under the terms and conditions set forth in this Third Amendment.</w:t>
      </w:r>
    </w:p>
    <w:p>
      <w:pPr>
        <w:spacing w:after="0" w:line="316"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AMENDMENTS.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Upon satisfaction of the conditions precedent contained in Section 3 below, the Credit Agreement shall be and hereby is amended as follows:</w:t>
      </w:r>
    </w:p>
    <w:p>
      <w:pPr>
        <w:spacing w:after="0" w:line="252"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1.1. The first sentence of Section 1.3(a) of the Credit Agreement (Letters of Credit; General Terms) shall be amended and restated in its entirety to read as follows:</w:t>
      </w:r>
    </w:p>
    <w:p>
      <w:pPr>
        <w:spacing w:after="0" w:line="197"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 xml:space="preserve">Subject to the terms and conditions hereof, the Revolving Credit Commitment may be availed of by the Company in the form of standby letters of credit issued by the Bank for the account of the Company (individually a </w:t>
      </w:r>
      <w:r>
        <w:rPr>
          <w:rFonts w:ascii="Arial" w:cs="Arial" w:eastAsia="Arial" w:hAnsi="Arial"/>
          <w:sz w:val="18"/>
          <w:szCs w:val="18"/>
          <w:i w:val="1"/>
          <w:iCs w:val="1"/>
          <w:color w:val="auto"/>
        </w:rPr>
        <w:t>“Letter of Credit”</w:t>
      </w:r>
      <w:r>
        <w:rPr>
          <w:rFonts w:ascii="Arial" w:cs="Arial" w:eastAsia="Arial" w:hAnsi="Arial"/>
          <w:sz w:val="18"/>
          <w:szCs w:val="18"/>
          <w:color w:val="auto"/>
        </w:rPr>
        <w:t xml:space="preserve"> and collectively the </w:t>
      </w:r>
      <w:r>
        <w:rPr>
          <w:rFonts w:ascii="Arial" w:cs="Arial" w:eastAsia="Arial" w:hAnsi="Arial"/>
          <w:sz w:val="18"/>
          <w:szCs w:val="18"/>
          <w:i w:val="1"/>
          <w:iCs w:val="1"/>
          <w:color w:val="auto"/>
        </w:rPr>
        <w:t>“Letters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w:t>
      </w:r>
      <w:r>
        <w:rPr>
          <w:rFonts w:ascii="Arial" w:cs="Arial" w:eastAsia="Arial" w:hAnsi="Arial"/>
          <w:sz w:val="18"/>
          <w:szCs w:val="18"/>
          <w:color w:val="auto"/>
        </w:rPr>
        <w:t>),</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the aggregate amount of Letters of Credit (including the Present Letters of Credit) issued and outstanding 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at any one time exceed the U.S. Dollar Equivalent of $5,000,000.</w:t>
      </w:r>
    </w:p>
    <w:p>
      <w:pPr>
        <w:spacing w:after="0" w:line="214"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1.2. Section 1.3(c) of the Credit Agreement (Letters of Credit; General Characteristics) shall be amended and restated in its entirety to read as follows:</w:t>
      </w:r>
    </w:p>
    <w:p>
      <w:pPr>
        <w:spacing w:after="0" w:line="197" w:lineRule="exact"/>
        <w:rPr>
          <w:sz w:val="20"/>
          <w:szCs w:val="20"/>
          <w:color w:val="auto"/>
        </w:rPr>
      </w:pPr>
    </w:p>
    <w:p>
      <w:pPr>
        <w:jc w:val="both"/>
        <w:ind w:left="1300" w:firstLine="653"/>
        <w:spacing w:after="0" w:line="264" w:lineRule="auto"/>
        <w:tabs>
          <w:tab w:leader="none" w:pos="239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General Characteristics. </w:t>
      </w:r>
      <w:r>
        <w:rPr>
          <w:rFonts w:ascii="Arial" w:cs="Arial" w:eastAsia="Arial" w:hAnsi="Arial"/>
          <w:sz w:val="18"/>
          <w:szCs w:val="18"/>
          <w:color w:val="auto"/>
        </w:rPr>
        <w:t>Each Letter of Credit issued hereunder shall be payable in U.S. Dollars or an Available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conform to the general requirements of the Bank for the issuance of a standby letter of credit as to form and substance, and be a letter of credit which the Bank may lawfully issue.</w:t>
      </w:r>
    </w:p>
    <w:p>
      <w:pPr>
        <w:spacing w:after="0" w:line="208"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1.3. Section 3 of the Credit Agreement (Fees, Prepayments, Portion, Terminations, Extensions, Applications and Capital Adequacy) shall be amended by inserting a new Section 3.3A immediately after Section 3.3 that shall read as follows:</w:t>
      </w:r>
    </w:p>
    <w:p>
      <w:pPr>
        <w:spacing w:after="0" w:line="197" w:lineRule="exact"/>
        <w:rPr>
          <w:sz w:val="20"/>
          <w:szCs w:val="20"/>
          <w:color w:val="auto"/>
        </w:rPr>
      </w:pPr>
    </w:p>
    <w:p>
      <w:pPr>
        <w:jc w:val="both"/>
        <w:ind w:left="1300" w:firstLine="648"/>
        <w:spacing w:after="0" w:line="257" w:lineRule="auto"/>
        <w:rPr>
          <w:sz w:val="20"/>
          <w:szCs w:val="20"/>
          <w:color w:val="auto"/>
        </w:rPr>
      </w:pPr>
      <w:r>
        <w:rPr>
          <w:rFonts w:ascii="Arial" w:cs="Arial" w:eastAsia="Arial" w:hAnsi="Arial"/>
          <w:sz w:val="18"/>
          <w:szCs w:val="18"/>
          <w:i w:val="1"/>
          <w:iCs w:val="1"/>
          <w:color w:val="auto"/>
        </w:rPr>
        <w:t xml:space="preserve">Section 3.3A. Mandatory Prepayment-Foreign Currency. </w:t>
      </w:r>
      <w:r>
        <w:rPr>
          <w:rFonts w:ascii="Arial" w:cs="Arial" w:eastAsia="Arial" w:hAnsi="Arial"/>
          <w:sz w:val="18"/>
          <w:szCs w:val="18"/>
          <w:color w:val="auto"/>
        </w:rPr>
        <w:t>If at any time the sum of the Loans and the U.S. Dollar Equivalent of</w:t>
      </w:r>
      <w:r>
        <w:rPr>
          <w:rFonts w:ascii="Arial" w:cs="Arial" w:eastAsia="Arial" w:hAnsi="Arial"/>
          <w:sz w:val="18"/>
          <w:szCs w:val="18"/>
          <w:i w:val="1"/>
          <w:iCs w:val="1"/>
          <w:color w:val="auto"/>
        </w:rPr>
        <w:t xml:space="preserve"> </w:t>
      </w:r>
      <w:r>
        <w:rPr>
          <w:rFonts w:ascii="Arial" w:cs="Arial" w:eastAsia="Arial" w:hAnsi="Arial"/>
          <w:sz w:val="18"/>
          <w:szCs w:val="18"/>
          <w:color w:val="auto"/>
        </w:rPr>
        <w:t>all Letters of Credit then outstanding shall be in excess of the Revolving Credit Commitment, the Company shall immediately upon demand pay over the amount of the excess to the Bank as and for a mandatory prepayment of the Obligations, with each such prepayment first to be applied to the Loans until paid in full with any remaining balance to be held by the Bank as collateral security for the Obligations owing with respect to the Letters of Credit.</w:t>
      </w:r>
    </w:p>
    <w:p>
      <w:pPr>
        <w:spacing w:after="0" w:line="21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1.4. Section 5 of the Credit Agreement (Definitions) shall be amended by inserting in appropriate alphabetical order definitions of “Available Foreign Currency,”, “Revaluation Date,” and “U.S. Dollar Equivalent” that shall read as follows:</w:t>
      </w:r>
    </w:p>
    <w:p>
      <w:pPr>
        <w:sectPr>
          <w:pgSz w:w="11900" w:h="16838" w:orient="portrait"/>
          <w:cols w:equalWidth="0" w:num="1">
            <w:col w:w="11420"/>
          </w:cols>
          <w:pgMar w:left="240" w:top="580" w:right="239" w:bottom="1440" w:gutter="0" w:footer="0" w:header="0"/>
        </w:sectPr>
      </w:pPr>
    </w:p>
    <w:bookmarkStart w:id="77" w:name="page78"/>
    <w:bookmarkEnd w:id="77"/>
    <w:p>
      <w:pPr>
        <w:jc w:val="both"/>
        <w:ind w:left="1300"/>
        <w:spacing w:after="0" w:line="277" w:lineRule="auto"/>
        <w:rPr>
          <w:sz w:val="20"/>
          <w:szCs w:val="20"/>
          <w:color w:val="auto"/>
        </w:rPr>
      </w:pPr>
      <w:r>
        <w:rPr>
          <w:rFonts w:ascii="Arial" w:cs="Arial" w:eastAsia="Arial" w:hAnsi="Arial"/>
          <w:sz w:val="18"/>
          <w:szCs w:val="18"/>
          <w:i w:val="1"/>
          <w:iCs w:val="1"/>
          <w:color w:val="0000FF"/>
        </w:rPr>
        <w:t>“</w:t>
      </w:r>
      <w:r>
        <w:rPr>
          <w:rFonts w:ascii="Arial" w:cs="Arial" w:eastAsia="Arial" w:hAnsi="Arial"/>
          <w:sz w:val="18"/>
          <w:szCs w:val="18"/>
          <w:i w:val="1"/>
          <w:iCs w:val="1"/>
          <w:color w:val="000000"/>
        </w:rPr>
        <w:t>Available Foreign Currency”</w:t>
      </w:r>
      <w:r>
        <w:rPr>
          <w:rFonts w:ascii="Arial" w:cs="Arial" w:eastAsia="Arial" w:hAnsi="Arial"/>
          <w:sz w:val="18"/>
          <w:szCs w:val="18"/>
          <w:i w:val="1"/>
          <w:iCs w:val="1"/>
          <w:color w:val="0000FF"/>
        </w:rPr>
        <w:t xml:space="preserve"> </w:t>
      </w:r>
      <w:r>
        <w:rPr>
          <w:rFonts w:ascii="Arial" w:cs="Arial" w:eastAsia="Arial" w:hAnsi="Arial"/>
          <w:sz w:val="18"/>
          <w:szCs w:val="18"/>
          <w:color w:val="000000"/>
        </w:rPr>
        <w:t>means any currency that is freely convertible to U.S. Dollars and is readily available to, and approved by, the</w:t>
      </w:r>
      <w:r>
        <w:rPr>
          <w:rFonts w:ascii="Arial" w:cs="Arial" w:eastAsia="Arial" w:hAnsi="Arial"/>
          <w:sz w:val="18"/>
          <w:szCs w:val="18"/>
          <w:i w:val="1"/>
          <w:iCs w:val="1"/>
          <w:color w:val="0000FF"/>
        </w:rPr>
        <w:t xml:space="preserve"> </w:t>
      </w:r>
      <w:r>
        <w:rPr>
          <w:rFonts w:ascii="Arial" w:cs="Arial" w:eastAsia="Arial" w:hAnsi="Arial"/>
          <w:sz w:val="18"/>
          <w:szCs w:val="18"/>
          <w:color w:val="000000"/>
        </w:rPr>
        <w:t>Bank.</w:t>
      </w:r>
    </w:p>
    <w:p>
      <w:pPr>
        <w:spacing w:after="0" w:line="197" w:lineRule="exact"/>
        <w:rPr>
          <w:sz w:val="20"/>
          <w:szCs w:val="20"/>
          <w:color w:val="auto"/>
        </w:rPr>
      </w:pPr>
    </w:p>
    <w:p>
      <w:pPr>
        <w:jc w:val="both"/>
        <w:ind w:left="1300" w:right="20"/>
        <w:spacing w:after="0" w:line="264" w:lineRule="auto"/>
        <w:rPr>
          <w:sz w:val="20"/>
          <w:szCs w:val="20"/>
          <w:color w:val="auto"/>
        </w:rPr>
      </w:pPr>
      <w:r>
        <w:rPr>
          <w:rFonts w:ascii="Arial" w:cs="Arial" w:eastAsia="Arial" w:hAnsi="Arial"/>
          <w:sz w:val="18"/>
          <w:szCs w:val="18"/>
          <w:i w:val="1"/>
          <w:iCs w:val="1"/>
          <w:color w:val="auto"/>
        </w:rPr>
        <w:t xml:space="preserve">“Revaluation Date” </w:t>
      </w:r>
      <w:r>
        <w:rPr>
          <w:rFonts w:ascii="Arial" w:cs="Arial" w:eastAsia="Arial" w:hAnsi="Arial"/>
          <w:sz w:val="18"/>
          <w:szCs w:val="18"/>
          <w:color w:val="auto"/>
        </w:rPr>
        <w:t>means, with respect to any Letter of Credit denominated in an Available Foreign Currency, (a) the date of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(b) the date of each amendment thereto having the effect of increasing the amount thereof, (c) the last day of each calendar month, and (d) each additional date as the Bank shall specify in a written notice to the Borrower.</w:t>
      </w:r>
    </w:p>
    <w:p>
      <w:pPr>
        <w:spacing w:after="0" w:line="208" w:lineRule="exact"/>
        <w:rPr>
          <w:sz w:val="20"/>
          <w:szCs w:val="20"/>
          <w:color w:val="auto"/>
        </w:rPr>
      </w:pPr>
    </w:p>
    <w:p>
      <w:pPr>
        <w:jc w:val="both"/>
        <w:ind w:left="1300" w:firstLine="216"/>
        <w:spacing w:after="0" w:line="257" w:lineRule="auto"/>
        <w:rPr>
          <w:sz w:val="20"/>
          <w:szCs w:val="20"/>
          <w:color w:val="auto"/>
        </w:rPr>
      </w:pPr>
      <w:r>
        <w:rPr>
          <w:rFonts w:ascii="Arial" w:cs="Arial" w:eastAsia="Arial" w:hAnsi="Arial"/>
          <w:sz w:val="18"/>
          <w:szCs w:val="18"/>
          <w:i w:val="1"/>
          <w:iCs w:val="1"/>
          <w:color w:val="auto"/>
        </w:rPr>
        <w:t xml:space="preserve">“U.S. Dollar Equivalent” </w:t>
      </w:r>
      <w:r>
        <w:rPr>
          <w:rFonts w:ascii="Arial" w:cs="Arial" w:eastAsia="Arial" w:hAnsi="Arial"/>
          <w:sz w:val="18"/>
          <w:szCs w:val="18"/>
          <w:color w:val="auto"/>
        </w:rPr>
        <w:t>means (a) the amount of any Letter of Credit denominated in U.S. Dollars, and (b) in relation to any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denominated in an Available Foreign Currency, the amount of U.S. Dollars which would be realized by converting the relevant Available Foreign Currency into U.S. Dollars in the spot market at the exchange rate quoted by the Bank, at approximately 11:00 a.m. (London time) on any Revaluation Date, to major banks in the interbank foreign exchange market for the purchase of U.S. Dollars for such Available Foreign Currency.SS</w:t>
      </w:r>
    </w:p>
    <w:p>
      <w:pPr>
        <w:spacing w:after="0" w:line="256"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REPRESENTATIONS.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induce the Bank to execute and deliver this Third Amendment, the Company hereby represents and warrants to the Bank that, after giving effect to the amendments set forth in Section 1 above, (a) each of the representations and warranties set forth in Section 5 of the Credit Agreement is true and correct on and as of the date of this Third Amendment as if made on and as of the date hereof and as if each reference therein to the Credit Agreement referred to the Credit Agreement as amended hereby and (b) no Default or Event of Default exists under the Credit Agreement or shall result after giving effect to this Third Amendment.</w:t>
      </w:r>
    </w:p>
    <w:p>
      <w:pPr>
        <w:spacing w:after="0" w:line="256"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CONDITIONS PRECEDENT.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Third Amendment shall become effective upon satisfaction of the following conditions precedent:</w:t>
      </w:r>
    </w:p>
    <w:p>
      <w:pPr>
        <w:spacing w:after="0" w:line="25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Company and the Bank shall have executed and delivered this Third Amendment.</w:t>
      </w:r>
    </w:p>
    <w:p>
      <w:pPr>
        <w:spacing w:after="0" w:line="25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Each Guarantor shall have executed and delivered its consent to this Third Amendment in the space provided for that purpose below.</w:t>
      </w:r>
    </w:p>
    <w:p>
      <w:pPr>
        <w:spacing w:after="0" w:line="25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Legal matters incident to the execution and delivery of this Third Amendment shall be satisfactory to the Bank and its counsel.</w:t>
      </w:r>
    </w:p>
    <w:p>
      <w:pPr>
        <w:spacing w:after="0" w:line="293"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MISCELLANEOUS.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4.1. Except as specifically amended herein, the Credit Agreement shall continue in full force and effect in accordance with its original terms. Reference to this specific Third Amendment need not be made in the Credit Agreement, the Note,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4.2. The Company agrees to pay on demand all costs and expenses of or incurred by the Bank in connection with the negotiation, preparation, execution and delivery of this Third Amendment.</w:t>
      </w:r>
    </w:p>
    <w:p>
      <w:pPr>
        <w:spacing w:after="0" w:line="197"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4.3. This Third Amendment may be executed in any number of counterparts, and by the different parties on different counterpart signature pages, all of which taken together shall constitute one and the same agreement. Any of the parties hereto may execute this Third Amendment by signing any such counterpart and each of such counterparts shall for all purposes be deemed to be an original. Delivery of executed counterparts of this Third Amendment by facsimile transmission or by e</w:t>
      </w:r>
      <w:r>
        <w:rPr>
          <w:rFonts w:ascii="MS PGothic" w:cs="MS PGothic" w:eastAsia="MS PGothic" w:hAnsi="MS PGothic"/>
          <w:sz w:val="17"/>
          <w:szCs w:val="17"/>
          <w:color w:val="auto"/>
        </w:rPr>
        <w:t>‑</w:t>
      </w:r>
      <w:r>
        <w:rPr>
          <w:rFonts w:ascii="Arial" w:cs="Arial" w:eastAsia="Arial" w:hAnsi="Arial"/>
          <w:sz w:val="17"/>
          <w:szCs w:val="17"/>
          <w:color w:val="auto"/>
        </w:rPr>
        <w:t>mail transmission of an Adobe portable document format file (also known as a “PDF” file) shall be effective as an original. This Third Amendment shall be governed by, and construed in accordance with, the internal laws of the State of Illinois.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TO FOLLOW]</w:t>
      </w:r>
    </w:p>
    <w:p>
      <w:pPr>
        <w:sectPr>
          <w:pgSz w:w="11900" w:h="16838" w:orient="portrait"/>
          <w:cols w:equalWidth="0" w:num="1">
            <w:col w:w="11420"/>
          </w:cols>
          <w:pgMar w:left="240" w:top="82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This Third Amendment to Credit Agreement is dated as of the date first above written.</w:t>
      </w:r>
    </w:p>
    <w:p>
      <w:pPr>
        <w:spacing w:after="0" w:line="293" w:lineRule="exact"/>
        <w:rPr>
          <w:sz w:val="20"/>
          <w:szCs w:val="20"/>
          <w:color w:val="auto"/>
        </w:rPr>
      </w:pPr>
    </w:p>
    <w:p>
      <w:pPr>
        <w:jc w:val="right"/>
        <w:ind w:right="2219"/>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Smith</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Daniel Smith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 CFO</w:t>
      </w:r>
    </w:p>
    <w:p>
      <w:pPr>
        <w:spacing w:after="0" w:line="27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BMO HARRIS BANK N.A.</w:t>
      </w: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M. Marks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S. M. Marks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-19050</wp:posOffset>
            </wp:positionV>
            <wp:extent cx="319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9405" cy="8890"/>
                    </a:xfrm>
                    <a:prstGeom prst="rect">
                      <a:avLst/>
                    </a:prstGeom>
                    <a:noFill/>
                  </pic:spPr>
                </pic:pic>
              </a:graphicData>
            </a:graphic>
          </wp:anchor>
        </w:drawing>
      </w:r>
    </w:p>
    <w:p>
      <w:pPr>
        <w:sectPr>
          <w:pgSz w:w="11900" w:h="16838" w:orient="portrait"/>
          <w:cols w:equalWidth="0" w:num="1">
            <w:col w:w="9559"/>
          </w:cols>
          <w:pgMar w:left="900" w:top="827" w:right="1440"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GUARANTORS' ACKNOWLEDGMENT, CONSENT, AND REAFFIRMATION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of the undersigned has heretofore guaranteed the due and punctual payment of all present and future Obligations pursuant to Section 9 of the Credit Agreement and hereby consents to the amendment to the Credit Agreement as set forth above and confirms that all of the obligations of the undersigned thereunder remain in full force and effect. Each of the undersigned further agrees that the consent of the undersigned to any further amendments to the Credit Agreement shall not be required as a result of this consent having been obtained. Each of the undersigned acknowledges that the Bank is relying on the assurances provided for herein and entering into this Third Amendment and maintaining credit outstanding to the Borrower under the Credit Agreement as so amended.</w:t>
      </w:r>
    </w:p>
    <w:p>
      <w:pPr>
        <w:spacing w:after="0" w:line="261" w:lineRule="exact"/>
        <w:rPr>
          <w:sz w:val="20"/>
          <w:szCs w:val="20"/>
          <w:color w:val="auto"/>
        </w:rPr>
      </w:pPr>
    </w:p>
    <w:p>
      <w:pPr>
        <w:ind w:left="20"/>
        <w:spacing w:after="0"/>
        <w:tabs>
          <w:tab w:leader="none" w:pos="4440" w:val="left"/>
        </w:tabs>
        <w:rPr>
          <w:sz w:val="20"/>
          <w:szCs w:val="20"/>
          <w:color w:val="auto"/>
        </w:rPr>
      </w:pPr>
      <w:r>
        <w:rPr>
          <w:rFonts w:ascii="Arial" w:cs="Arial" w:eastAsia="Arial" w:hAnsi="Arial"/>
          <w:sz w:val="18"/>
          <w:szCs w:val="18"/>
          <w:color w:val="auto"/>
        </w:rPr>
        <w:t>OIL-DRI CORPORATION OF GEORGIA</w:t>
      </w:r>
      <w:r>
        <w:rPr>
          <w:sz w:val="20"/>
          <w:szCs w:val="20"/>
          <w:color w:val="auto"/>
        </w:rPr>
        <w:tab/>
      </w:r>
      <w:r>
        <w:rPr>
          <w:rFonts w:ascii="Arial" w:cs="Arial" w:eastAsia="Arial" w:hAnsi="Arial"/>
          <w:sz w:val="17"/>
          <w:szCs w:val="17"/>
          <w:color w:val="auto"/>
        </w:rPr>
        <w:t>OIL-DRI PRODUCTION COMPANY</w:t>
      </w:r>
    </w:p>
    <w:p>
      <w:pPr>
        <w:sectPr>
          <w:pgSz w:w="11900" w:h="16838" w:orient="portrait"/>
          <w:cols w:equalWidth="0" w:num="1">
            <w:col w:w="11420"/>
          </w:cols>
          <w:pgMar w:left="240" w:top="1121"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Smith</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Daniel Smith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MOUNDS PRODUCTION COMPANY, LLC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 Mounds Management, Inc.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Smith</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Daniel Smith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BLUE MOUNTAIN PRODUCTION COMPANY</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Smith</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Daniel Smith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Daniel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MOUNDS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Smith</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Daniel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OIL-DRI CORPORATION OF NEVADA</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Smith</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Daniel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w:t>
      </w:r>
    </w:p>
    <w:p>
      <w:pPr>
        <w:spacing w:after="0" w:line="200" w:lineRule="exact"/>
        <w:rPr>
          <w:sz w:val="20"/>
          <w:szCs w:val="20"/>
          <w:color w:val="auto"/>
        </w:rPr>
      </w:pPr>
    </w:p>
    <w:p>
      <w:pPr>
        <w:sectPr>
          <w:pgSz w:w="11900" w:h="16838" w:orient="portrait"/>
          <w:cols w:equalWidth="0" w:num="2">
            <w:col w:w="3740" w:space="720"/>
            <w:col w:w="6960"/>
          </w:cols>
          <w:pgMar w:left="240" w:top="1121" w:right="239" w:bottom="1440" w:gutter="0" w:footer="0" w:header="0"/>
          <w:type w:val="continuous"/>
        </w:sectPr>
      </w:pPr>
    </w:p>
    <w:p>
      <w:pPr>
        <w:spacing w:after="0" w:line="29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TAFT PRODUCTION COMPANY</w:t>
      </w:r>
    </w:p>
    <w:p>
      <w:pPr>
        <w:spacing w:after="0" w:line="200" w:lineRule="exact"/>
        <w:rPr>
          <w:sz w:val="20"/>
          <w:szCs w:val="20"/>
          <w:color w:val="auto"/>
        </w:rPr>
      </w:pPr>
    </w:p>
    <w:p>
      <w:pPr>
        <w:spacing w:after="0" w:line="38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Smith</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Daniel Smith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w:t>
      </w:r>
    </w:p>
    <w:p>
      <w:pPr>
        <w:sectPr>
          <w:pgSz w:w="11900" w:h="16838" w:orient="portrait"/>
          <w:cols w:equalWidth="0" w:num="1">
            <w:col w:w="11420"/>
          </w:cols>
          <w:pgMar w:left="240" w:top="1121" w:right="2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EXHIBIT 11.1:</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OIL-DRI CORPORATION OF AMERICA</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Computation of Net Income Per Share</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July 31,</w:t>
            </w:r>
          </w:p>
        </w:tc>
        <w:tc>
          <w:tcPr>
            <w:tcW w:w="6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2010</w:t>
            </w: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6,098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9,051</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9,458</w:t>
            </w:r>
          </w:p>
        </w:tc>
      </w:tr>
      <w:tr>
        <w:trPr>
          <w:trHeight w:val="243"/>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 to nonvested stock</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6,006</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8,928</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9,428</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7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Shares Calculation</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57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5,063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5,083</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5,203</w:t>
            </w:r>
          </w:p>
        </w:tc>
      </w:tr>
      <w:tr>
        <w:trPr>
          <w:trHeight w:val="243"/>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1,934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1,908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1,891</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97"/>
        </w:trPr>
        <w:tc>
          <w:tcPr>
            <w:tcW w:w="20" w:type="dxa"/>
            <w:vAlign w:val="bottom"/>
            <w:tcBorders>
              <w:bottom w:val="single" w:sz="8" w:color="CCEEFF"/>
            </w:tcBorders>
          </w:tcPr>
          <w:p>
            <w:pPr>
              <w:spacing w:after="0"/>
              <w:rPr>
                <w:sz w:val="24"/>
                <w:szCs w:val="24"/>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7,062</w:t>
            </w:r>
          </w:p>
        </w:tc>
        <w:tc>
          <w:tcPr>
            <w:tcW w:w="1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7,103</w:t>
            </w:r>
          </w:p>
        </w:tc>
        <w:tc>
          <w:tcPr>
            <w:tcW w:w="1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7,275</w:t>
            </w:r>
          </w:p>
        </w:tc>
      </w:tr>
      <w:tr>
        <w:trPr>
          <w:trHeight w:val="257"/>
        </w:trPr>
        <w:tc>
          <w:tcPr>
            <w:tcW w:w="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304"/>
        </w:trPr>
        <w:tc>
          <w:tcPr>
            <w:tcW w:w="20" w:type="dxa"/>
            <w:vAlign w:val="bottom"/>
            <w:tcBorders>
              <w:bottom w:val="single" w:sz="8" w:color="CCEEFF"/>
            </w:tcBorders>
          </w:tcPr>
          <w:p>
            <w:pPr>
              <w:spacing w:after="0"/>
              <w:rPr>
                <w:sz w:val="24"/>
                <w:szCs w:val="24"/>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Common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0.92</w:t>
            </w: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Class B Common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Net Income Per Share: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0.85</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40"/>
          </w:cols>
          <w:pgMar w:left="240" w:top="580" w:right="91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SUBSIDIARIES OF OIL-DRI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State or Country</w:t>
            </w:r>
          </w:p>
        </w:tc>
      </w:tr>
      <w:tr>
        <w:trPr>
          <w:trHeight w:val="234"/>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of Organization</w:t>
            </w:r>
          </w:p>
        </w:tc>
      </w:tr>
      <w:tr>
        <w:trPr>
          <w:trHeight w:val="27"/>
        </w:trPr>
        <w:tc>
          <w:tcPr>
            <w:tcW w:w="3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Blue Mountain Production Company</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Mississippi</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Canada ULC</w:t>
            </w:r>
          </w:p>
        </w:tc>
        <w:tc>
          <w:tcPr>
            <w:tcW w:w="370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Mounds Management, Inc.</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Mounds Production Company, LLC</w:t>
            </w:r>
          </w:p>
        </w:tc>
        <w:tc>
          <w:tcPr>
            <w:tcW w:w="3700" w:type="dxa"/>
            <w:vAlign w:val="bottom"/>
          </w:tcPr>
          <w:p>
            <w:pPr>
              <w:ind w:left="40"/>
              <w:spacing w:after="0"/>
              <w:rPr>
                <w:sz w:val="20"/>
                <w:szCs w:val="20"/>
                <w:color w:val="auto"/>
              </w:rPr>
            </w:pPr>
            <w:r>
              <w:rPr>
                <w:rFonts w:ascii="Arial" w:cs="Arial" w:eastAsia="Arial" w:hAnsi="Arial"/>
                <w:sz w:val="18"/>
                <w:szCs w:val="18"/>
                <w:color w:val="auto"/>
              </w:rPr>
              <w:t>Illinois</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ODC Acquisition Corp.</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Corporation of Georgia</w:t>
            </w:r>
          </w:p>
        </w:tc>
        <w:tc>
          <w:tcPr>
            <w:tcW w:w="3700" w:type="dxa"/>
            <w:vAlign w:val="bottom"/>
          </w:tcPr>
          <w:p>
            <w:pPr>
              <w:ind w:left="40"/>
              <w:spacing w:after="0"/>
              <w:rPr>
                <w:sz w:val="20"/>
                <w:szCs w:val="20"/>
                <w:color w:val="auto"/>
              </w:rPr>
            </w:pPr>
            <w:r>
              <w:rPr>
                <w:rFonts w:ascii="Arial" w:cs="Arial" w:eastAsia="Arial" w:hAnsi="Arial"/>
                <w:sz w:val="18"/>
                <w:szCs w:val="18"/>
                <w:color w:val="auto"/>
              </w:rPr>
              <w:t>Georgia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Corporation of Nevada</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Nevada</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Production Company</w:t>
            </w:r>
          </w:p>
        </w:tc>
        <w:tc>
          <w:tcPr>
            <w:tcW w:w="3700" w:type="dxa"/>
            <w:vAlign w:val="bottom"/>
          </w:tcPr>
          <w:p>
            <w:pPr>
              <w:ind w:left="40"/>
              <w:spacing w:after="0"/>
              <w:rPr>
                <w:sz w:val="20"/>
                <w:szCs w:val="20"/>
                <w:color w:val="auto"/>
              </w:rPr>
            </w:pPr>
            <w:r>
              <w:rPr>
                <w:rFonts w:ascii="Arial" w:cs="Arial" w:eastAsia="Arial" w:hAnsi="Arial"/>
                <w:sz w:val="18"/>
                <w:szCs w:val="18"/>
                <w:color w:val="auto"/>
              </w:rPr>
              <w:t>Mississippi</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SARL</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(U.K.) Limited</w:t>
            </w:r>
          </w:p>
        </w:tc>
        <w:tc>
          <w:tcPr>
            <w:tcW w:w="370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Taft Production Company</w:t>
            </w:r>
          </w:p>
        </w:tc>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Delaware</w:t>
            </w:r>
          </w:p>
        </w:tc>
      </w:tr>
      <w:tr>
        <w:trPr>
          <w:trHeight w:val="27"/>
        </w:trPr>
        <w:tc>
          <w:tcPr>
            <w:tcW w:w="3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580"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333-87008, No. 333-87010 and No. 333-139550) of Oil-Dri Corporation of America of our report dated October 11, 2012 relating to the financial statements, financial statement schedule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11, 2012</w:t>
      </w:r>
    </w:p>
    <w:p>
      <w:pPr>
        <w:sectPr>
          <w:pgSz w:w="11900" w:h="16838" w:orient="portrait"/>
          <w:cols w:equalWidth="0" w:num="1">
            <w:col w:w="11420"/>
          </w:cols>
          <w:pgMar w:left="240" w:top="580"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S. Jaffee, certify that:</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20"/>
              <w:spacing w:after="0"/>
              <w:rPr>
                <w:sz w:val="20"/>
                <w:szCs w:val="20"/>
                <w:color w:val="auto"/>
              </w:rPr>
            </w:pPr>
            <w:r>
              <w:rPr>
                <w:rFonts w:ascii="Arial" w:cs="Arial" w:eastAsia="Arial" w:hAnsi="Arial"/>
                <w:sz w:val="18"/>
                <w:szCs w:val="18"/>
                <w:color w:val="auto"/>
              </w:rPr>
              <w:t>October 11, 2012</w:t>
            </w:r>
          </w:p>
        </w:tc>
      </w:tr>
      <w:tr>
        <w:trPr>
          <w:trHeight w:val="27"/>
        </w:trPr>
        <w:tc>
          <w:tcPr>
            <w:tcW w:w="9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318"/>
        </w:trPr>
        <w:tc>
          <w:tcPr>
            <w:tcW w:w="92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297"/>
        </w:trPr>
        <w:tc>
          <w:tcPr>
            <w:tcW w:w="92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5"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EXHIBIT 31.1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T. Smith, certify that:</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401"/>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401"/>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401"/>
        <w:spacing w:after="0" w:line="308"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01"/>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20"/>
              <w:spacing w:after="0"/>
              <w:rPr>
                <w:sz w:val="20"/>
                <w:szCs w:val="20"/>
                <w:color w:val="auto"/>
              </w:rPr>
            </w:pPr>
            <w:r>
              <w:rPr>
                <w:rFonts w:ascii="Arial" w:cs="Arial" w:eastAsia="Arial" w:hAnsi="Arial"/>
                <w:sz w:val="18"/>
                <w:szCs w:val="18"/>
                <w:color w:val="auto"/>
              </w:rPr>
              <w:t>October 11, 2012</w:t>
            </w:r>
          </w:p>
        </w:tc>
      </w:tr>
      <w:tr>
        <w:trPr>
          <w:trHeight w:val="27"/>
        </w:trPr>
        <w:tc>
          <w:tcPr>
            <w:tcW w:w="9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Daniel T. Smith</w:t>
            </w:r>
          </w:p>
        </w:tc>
      </w:tr>
      <w:tr>
        <w:trPr>
          <w:trHeight w:val="27"/>
        </w:trPr>
        <w:tc>
          <w:tcPr>
            <w:tcW w:w="9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318"/>
        </w:trPr>
        <w:tc>
          <w:tcPr>
            <w:tcW w:w="94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Daniel T. Smith</w:t>
            </w:r>
          </w:p>
        </w:tc>
      </w:tr>
      <w:tr>
        <w:trPr>
          <w:trHeight w:val="297"/>
        </w:trPr>
        <w:tc>
          <w:tcPr>
            <w:tcW w:w="94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Vice President, Chief Financial Officer</w:t>
            </w:r>
          </w:p>
        </w:tc>
      </w:tr>
    </w:tbl>
    <w:p>
      <w:pPr>
        <w:sectPr>
          <w:pgSz w:w="11900" w:h="16838" w:orient="portrait"/>
          <w:cols w:equalWidth="0" w:num="1">
            <w:col w:w="11420"/>
          </w:cols>
          <w:pgMar w:left="240" w:top="801"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October 11, 2012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October 11, 2012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Financial Officer</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420"/>
          </w:cols>
          <w:pgMar w:left="240" w:top="101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2012.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ind w:left="100"/>
              <w:spacing w:after="0"/>
              <w:rPr>
                <w:sz w:val="20"/>
                <w:szCs w:val="20"/>
                <w:color w:val="auto"/>
              </w:rPr>
            </w:pPr>
            <w:r>
              <w:rPr>
                <w:rFonts w:ascii="Arial" w:cs="Arial" w:eastAsia="Arial" w:hAnsi="Arial"/>
                <w:sz w:val="18"/>
                <w:szCs w:val="18"/>
                <w:color w:val="auto"/>
                <w:w w:val="9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ind w:left="120"/>
              <w:spacing w:after="0"/>
              <w:rPr>
                <w:sz w:val="20"/>
                <w:szCs w:val="20"/>
                <w:color w:val="auto"/>
              </w:rPr>
            </w:pPr>
            <w:r>
              <w:rPr>
                <w:rFonts w:ascii="Arial" w:cs="Arial" w:eastAsia="Arial" w:hAnsi="Arial"/>
                <w:sz w:val="18"/>
                <w:szCs w:val="18"/>
                <w:color w:val="auto"/>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ind w:left="180"/>
              <w:spacing w:after="0"/>
              <w:rPr>
                <w:sz w:val="20"/>
                <w:szCs w:val="20"/>
                <w:color w:val="auto"/>
              </w:rPr>
            </w:pPr>
            <w:r>
              <w:rPr>
                <w:rFonts w:ascii="Arial" w:cs="Arial" w:eastAsia="Arial" w:hAnsi="Arial"/>
                <w:sz w:val="18"/>
                <w:szCs w:val="18"/>
                <w:color w:val="auto"/>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ind w:left="20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10,037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4</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2,809</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925</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534</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5,210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twelve months ended July 31, 2012.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upperLetter"/>
      <w:start w:val="1"/>
    </w:lvl>
  </w:abstractNum>
  <w:abstractNum w:abstractNumId="11">
    <w:nsid w:val="3352255A"/>
    <w:multiLevelType w:val="hybridMultilevel"/>
    <w:lvl w:ilvl="0">
      <w:lvlJc w:val="left"/>
      <w:lvlText w:val="(%1)"/>
      <w:numFmt w:val="lowerLetter"/>
      <w:start w:val="3"/>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2020-01-29T16:37:26Z</dcterms:created>
  <dcterms:modified xsi:type="dcterms:W3CDTF">2020-01-29T16:37:26Z</dcterms:modified>
</cp:coreProperties>
</file>