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220345</wp:posOffset>
            </wp:positionH>
            <wp:positionV relativeFrom="page">
              <wp:posOffset>614680</wp:posOffset>
            </wp:positionV>
            <wp:extent cx="71145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4540" cy="6985"/>
                    </a:xfrm>
                    <a:prstGeom prst="rect">
                      <a:avLst/>
                    </a:prstGeom>
                    <a:noFill/>
                  </pic:spPr>
                </pic:pic>
              </a:graphicData>
            </a:graphic>
          </wp:anchor>
        </w:drawing>
        <w:drawing>
          <wp:anchor simplePos="0" relativeHeight="251657728" behindDoc="1" locked="0" layoutInCell="0" allowOverlap="1">
            <wp:simplePos x="0" y="0"/>
            <wp:positionH relativeFrom="page">
              <wp:posOffset>220345</wp:posOffset>
            </wp:positionH>
            <wp:positionV relativeFrom="page">
              <wp:posOffset>587375</wp:posOffset>
            </wp:positionV>
            <wp:extent cx="711454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4540" cy="698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8-K</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ectPr>
          <w:pgSz w:w="11900" w:h="16838" w:orient="portrait"/>
          <w:cols w:equalWidth="0" w:num="1">
            <w:col w:w="11280"/>
          </w:cols>
          <w:pgMar w:left="300" w:top="1110" w:right="319" w:bottom="1440" w:gutter="0" w:footer="0" w:header="0"/>
        </w:sectPr>
      </w:pPr>
    </w:p>
    <w:p>
      <w:pPr>
        <w:spacing w:after="0" w:line="2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March 17, 2025</w:t>
      </w:r>
    </w:p>
    <w:p>
      <w:pPr>
        <w:spacing w:after="0" w:line="92" w:lineRule="exact"/>
        <w:rPr>
          <w:sz w:val="24"/>
          <w:szCs w:val="24"/>
          <w:color w:val="auto"/>
        </w:rPr>
      </w:pPr>
    </w:p>
    <w:p>
      <w:pPr>
        <w:sectPr>
          <w:pgSz w:w="11900" w:h="16838" w:orient="portrait"/>
          <w:cols w:equalWidth="0" w:num="2">
            <w:col w:w="9600" w:space="720"/>
            <w:col w:w="960"/>
          </w:cols>
          <w:pgMar w:left="300" w:top="1110"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OIL-DRI CORPORATION OF AMERICA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the registrant as specified in its charter)</w:t>
      </w:r>
    </w:p>
    <w:p>
      <w:pPr>
        <w:sectPr>
          <w:pgSz w:w="11900" w:h="16838" w:orient="portrait"/>
          <w:cols w:equalWidth="0" w:num="1">
            <w:col w:w="11280"/>
          </w:cols>
          <w:pgMar w:left="300" w:top="1110" w:right="319" w:bottom="1440" w:gutter="0" w:footer="0" w:header="0"/>
          <w:type w:val="continuous"/>
        </w:sectPr>
      </w:pPr>
    </w:p>
    <w:p>
      <w:pPr>
        <w:spacing w:after="0" w:line="21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5"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001-12622</w:t>
      </w:r>
    </w:p>
    <w:p>
      <w:pPr>
        <w:spacing w:after="0" w:line="25"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36-2048898</w:t>
      </w:r>
    </w:p>
    <w:p>
      <w:pPr>
        <w:spacing w:after="0" w:line="25"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01" w:lineRule="exact"/>
        <w:rPr>
          <w:sz w:val="24"/>
          <w:szCs w:val="24"/>
          <w:color w:val="auto"/>
        </w:rPr>
      </w:pPr>
    </w:p>
    <w:p>
      <w:pPr>
        <w:sectPr>
          <w:pgSz w:w="11900" w:h="16838" w:orient="portrait"/>
          <w:cols w:equalWidth="0" w:num="3">
            <w:col w:w="4300" w:space="720"/>
            <w:col w:w="2740" w:space="720"/>
            <w:col w:w="2800"/>
          </w:cols>
          <w:pgMar w:left="300" w:top="1110" w:right="31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4"/>
          <w:szCs w:val="14"/>
          <w:color w:val="auto"/>
        </w:rPr>
        <w:t>410 North Michigan Avenue, Suite 400</w:t>
      </w:r>
    </w:p>
    <w:p>
      <w:pPr>
        <w:spacing w:after="0" w:line="2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4"/>
          <w:szCs w:val="14"/>
          <w:color w:val="auto"/>
        </w:rPr>
        <w:t>Chicago, Illinois</w:t>
      </w:r>
    </w:p>
    <w:p>
      <w:pPr>
        <w:spacing w:after="0" w:line="19"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60611-4213</w:t>
      </w:r>
    </w:p>
    <w:p>
      <w:pPr>
        <w:spacing w:after="0" w:line="2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(Zip Code)</w:t>
      </w:r>
    </w:p>
    <w:p>
      <w:pPr>
        <w:spacing w:after="0" w:line="281" w:lineRule="exact"/>
        <w:rPr>
          <w:sz w:val="24"/>
          <w:szCs w:val="24"/>
          <w:color w:val="auto"/>
        </w:rPr>
      </w:pPr>
    </w:p>
    <w:p>
      <w:pPr>
        <w:sectPr>
          <w:pgSz w:w="11900" w:h="16838" w:orient="portrait"/>
          <w:cols w:equalWidth="0" w:num="2">
            <w:col w:w="8440" w:space="720"/>
            <w:col w:w="2120"/>
          </w:cols>
          <w:pgMar w:left="300" w:top="1110" w:right="31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4"/>
          <w:szCs w:val="14"/>
          <w:color w:val="auto"/>
        </w:rPr>
        <w:t>The registrant's telephone number, including area code: (312) 321-1515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365125</wp:posOffset>
            </wp:positionV>
            <wp:extent cx="714819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101" w:lineRule="exact"/>
        <w:rPr>
          <w:sz w:val="24"/>
          <w:szCs w:val="24"/>
          <w:color w:val="auto"/>
        </w:rPr>
      </w:pPr>
    </w:p>
    <w:p>
      <w:pPr>
        <w:ind w:left="640" w:hanging="419"/>
        <w:spacing w:after="0"/>
        <w:tabs>
          <w:tab w:leader="none" w:pos="6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04" w:lineRule="exact"/>
        <w:rPr>
          <w:rFonts w:ascii="MS PGothic" w:cs="MS PGothic" w:eastAsia="MS PGothic" w:hAnsi="MS PGothic"/>
          <w:sz w:val="14"/>
          <w:szCs w:val="14"/>
          <w:color w:val="auto"/>
        </w:rPr>
      </w:pPr>
    </w:p>
    <w:p>
      <w:pPr>
        <w:ind w:left="640" w:hanging="419"/>
        <w:spacing w:after="0"/>
        <w:tabs>
          <w:tab w:leader="none" w:pos="6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89" w:lineRule="exact"/>
        <w:rPr>
          <w:rFonts w:ascii="MS PGothic" w:cs="MS PGothic" w:eastAsia="MS PGothic" w:hAnsi="MS PGothic"/>
          <w:sz w:val="14"/>
          <w:szCs w:val="14"/>
          <w:color w:val="auto"/>
        </w:rPr>
      </w:pPr>
    </w:p>
    <w:p>
      <w:pPr>
        <w:ind w:left="640" w:hanging="419"/>
        <w:spacing w:after="0"/>
        <w:tabs>
          <w:tab w:leader="none" w:pos="6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04" w:lineRule="exact"/>
        <w:rPr>
          <w:rFonts w:ascii="MS PGothic" w:cs="MS PGothic" w:eastAsia="MS PGothic" w:hAnsi="MS PGothic"/>
          <w:sz w:val="14"/>
          <w:szCs w:val="14"/>
          <w:color w:val="auto"/>
        </w:rPr>
      </w:pPr>
    </w:p>
    <w:p>
      <w:pPr>
        <w:ind w:left="640" w:hanging="419"/>
        <w:spacing w:after="0"/>
        <w:tabs>
          <w:tab w:leader="none" w:pos="6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ectPr>
          <w:pgSz w:w="11900" w:h="16838" w:orient="portrait"/>
          <w:cols w:equalWidth="0" w:num="1">
            <w:col w:w="11280"/>
          </w:cols>
          <w:pgMar w:left="300" w:top="1110" w:right="319" w:bottom="1440" w:gutter="0" w:footer="0" w:header="0"/>
          <w:type w:val="continuous"/>
        </w:sectPr>
      </w:pPr>
    </w:p>
    <w:p>
      <w:pPr>
        <w:spacing w:after="0" w:line="115"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4"/>
          <w:szCs w:val="14"/>
          <w:color w:val="auto"/>
        </w:rPr>
        <w:t>Title of each class</w:t>
      </w:r>
    </w:p>
    <w:p>
      <w:pPr>
        <w:spacing w:after="0" w:line="23"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4"/>
          <w:szCs w:val="14"/>
          <w:color w:val="auto"/>
        </w:rPr>
        <w:t>Common Stock, par value $0.10 per share</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Trading Symbol(s)</w:t>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ODC</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Name of each exchange on which registered</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New York Stock Exchange</w:t>
      </w:r>
    </w:p>
    <w:p>
      <w:pPr>
        <w:spacing w:after="0" w:line="200" w:lineRule="exact"/>
        <w:rPr>
          <w:sz w:val="24"/>
          <w:szCs w:val="24"/>
          <w:color w:val="auto"/>
        </w:rPr>
      </w:pPr>
    </w:p>
    <w:p>
      <w:pPr>
        <w:sectPr>
          <w:pgSz w:w="11900" w:h="16838" w:orient="portrait"/>
          <w:cols w:equalWidth="0" w:num="3">
            <w:col w:w="3800" w:space="720"/>
            <w:col w:w="1180" w:space="720"/>
            <w:col w:w="4860"/>
          </w:cols>
          <w:pgMar w:left="300" w:top="1110" w:right="319" w:bottom="1440" w:gutter="0" w:footer="0" w:header="0"/>
          <w:type w:val="continuous"/>
        </w:sectPr>
      </w:pPr>
    </w:p>
    <w:p>
      <w:pPr>
        <w:spacing w:after="0" w:line="60"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31"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553085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74295</wp:posOffset>
            </wp:positionV>
            <wp:extent cx="711454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4540" cy="698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46990</wp:posOffset>
            </wp:positionV>
            <wp:extent cx="711454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4540" cy="6985"/>
                    </a:xfrm>
                    <a:prstGeom prst="rect">
                      <a:avLst/>
                    </a:prstGeom>
                    <a:noFill/>
                  </pic:spPr>
                </pic:pic>
              </a:graphicData>
            </a:graphic>
          </wp:anchor>
        </w:drawing>
      </w:r>
    </w:p>
    <w:p>
      <w:pPr>
        <w:sectPr>
          <w:pgSz w:w="11900" w:h="16838" w:orient="portrait"/>
          <w:cols w:equalWidth="0" w:num="1">
            <w:col w:w="11280"/>
          </w:cols>
          <w:pgMar w:left="300" w:top="1110" w:right="319" w:bottom="1440" w:gutter="0" w:footer="0" w:header="0"/>
          <w:type w:val="continuous"/>
        </w:sectPr>
      </w:pPr>
    </w:p>
    <w:bookmarkStart w:id="1" w:name="page2"/>
    <w:bookmarkEnd w:id="1"/>
    <w:p>
      <w:pPr>
        <w:ind w:left="220"/>
        <w:spacing w:after="0"/>
        <w:tabs>
          <w:tab w:leader="none" w:pos="1260" w:val="left"/>
        </w:tabs>
        <w:rPr>
          <w:sz w:val="20"/>
          <w:szCs w:val="20"/>
          <w:color w:val="auto"/>
        </w:rPr>
      </w:pPr>
      <w:r>
        <w:rPr>
          <w:rFonts w:ascii="Times New Roman" w:cs="Times New Roman" w:eastAsia="Times New Roman" w:hAnsi="Times New Roman"/>
          <w:sz w:val="14"/>
          <w:szCs w:val="14"/>
          <w:b w:val="1"/>
          <w:bCs w:val="1"/>
          <w:u w:val="single" w:color="auto"/>
          <w:color w:val="auto"/>
        </w:rPr>
        <w:t>Item 5.02</w:t>
      </w:r>
      <w:r>
        <w:rPr>
          <w:sz w:val="20"/>
          <w:szCs w:val="20"/>
          <w:color w:val="auto"/>
        </w:rPr>
        <w:tab/>
      </w:r>
      <w:r>
        <w:rPr>
          <w:rFonts w:ascii="Times New Roman" w:cs="Times New Roman" w:eastAsia="Times New Roman" w:hAnsi="Times New Roman"/>
          <w:sz w:val="14"/>
          <w:szCs w:val="14"/>
          <w:b w:val="1"/>
          <w:bCs w:val="1"/>
          <w:color w:val="auto"/>
        </w:rPr>
        <w:t>Departure of Directors or Certain Officers; Election of Directors; Appointment of Certain Officers; Compensatory Arrangements of Certain Officers.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w:t>
      </w:r>
    </w:p>
    <w:p>
      <w:pPr>
        <w:spacing w:after="0" w:line="20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4"/>
          <w:szCs w:val="14"/>
          <w:color w:val="auto"/>
        </w:rPr>
        <w:t>On March 17, 2025, Oil-Dri Corporation of America (the “Company”) announced the appointment of Jonathan Blake as Vice President, Corporate Controller and principal accounting officer of the Company, effective March 17, 2025. Upon Mr. Blake’s appointment as principal accounting officer, Susan Kreh, the Company’s Chief Financial Officer and Chief Information Officer, will no longer continue as principal accounting officer. Ms. Kreh will continue her duties as the Company’s Chief Financial Officer and Chief Information Officer, and will remain the principal financial officer of the Company.</w:t>
      </w:r>
    </w:p>
    <w:p>
      <w:pPr>
        <w:spacing w:after="0" w:line="170"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4"/>
          <w:szCs w:val="14"/>
          <w:color w:val="auto"/>
        </w:rPr>
        <w:t>Mr. Blake, age 48, most recently served as Global Corporate Controller at Videojet Technologies Inc., a position he has held since July 2018. Prior to that, Mr. Blake served as Global Corporate Controller &amp; North America Finance Director at Optimas OE Solution Holdings from May 2015 through June 2018, in various accounting and internal controls positions at Kraft Foods from June 2009 through May 2015, as a Senior Manager at Deloitte &amp; Touche LLP from August 1998 through June 2005 and again from July 2007 through June 2009 and as a Senior Manager of Global Offering and IRFS Services from June 2005 through June 2007. Mr. Blake holds a Bachelor of Business Administration degree in accounting from the College of William and Mary.</w:t>
      </w:r>
    </w:p>
    <w:p>
      <w:pPr>
        <w:spacing w:after="0" w:line="15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4"/>
          <w:szCs w:val="14"/>
          <w:color w:val="auto"/>
        </w:rPr>
        <w:t>Mr. Blake will (i) receive an annual salary of $315,000, (ii) be eligible to participate in the Company’s bonus program, with a target bonus opportunity of 30% of his annual salary, dependent on the attainment of performance goals, and (iii) be entitled to participate in benefit plans generally made available to executive officers and employees of the Company. Additionally, in connection with his appointment, the Company will award Mr. Blake a grant of 1,000 shares of restricted stock of the Company on March 19, 2025, all of which will cliff vest on March 19, 2028. Such restricted stock was issued under the Company’s long-term incentive plan and is subject to the terms and conditions of such plan.</w:t>
      </w:r>
    </w:p>
    <w:p>
      <w:pPr>
        <w:spacing w:after="0" w:line="15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The selection of Mr. Blake to serve as Vice President, Corporate Controller and principal accounting officer was not pursuant to any arrangement or understanding between him and any other person. Mr. Blake has no family relationship with any director or executive officer of the Company, and he has no direct or indirect material interest in any transaction required to be disclosed pursuant to Item 404(a) of Regulation S-K of the Securities Exchange Act of 1934, as amended.</w:t>
      </w:r>
    </w:p>
    <w:p>
      <w:pPr>
        <w:spacing w:after="0" w:line="256" w:lineRule="exact"/>
        <w:rPr>
          <w:sz w:val="20"/>
          <w:szCs w:val="20"/>
          <w:color w:val="auto"/>
        </w:rPr>
      </w:pPr>
    </w:p>
    <w:p>
      <w:pPr>
        <w:ind w:left="220"/>
        <w:spacing w:after="0"/>
        <w:tabs>
          <w:tab w:leader="none" w:pos="1260" w:val="left"/>
        </w:tabs>
        <w:rPr>
          <w:sz w:val="20"/>
          <w:szCs w:val="20"/>
          <w:color w:val="auto"/>
        </w:rPr>
      </w:pPr>
      <w:r>
        <w:rPr>
          <w:rFonts w:ascii="Times New Roman" w:cs="Times New Roman" w:eastAsia="Times New Roman" w:hAnsi="Times New Roman"/>
          <w:sz w:val="14"/>
          <w:szCs w:val="14"/>
          <w:b w:val="1"/>
          <w:bCs w:val="1"/>
          <w:u w:val="single" w:color="auto"/>
          <w:color w:val="auto"/>
        </w:rPr>
        <w:t>Item 8.01</w:t>
      </w:r>
      <w:r>
        <w:rPr>
          <w:sz w:val="20"/>
          <w:szCs w:val="20"/>
          <w:color w:val="auto"/>
        </w:rPr>
        <w:tab/>
      </w:r>
      <w:r>
        <w:rPr>
          <w:rFonts w:ascii="Times New Roman" w:cs="Times New Roman" w:eastAsia="Times New Roman" w:hAnsi="Times New Roman"/>
          <w:sz w:val="14"/>
          <w:szCs w:val="14"/>
          <w:b w:val="1"/>
          <w:bCs w:val="1"/>
          <w:color w:val="auto"/>
        </w:rPr>
        <w:t>Other Events.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issued a press release on March 17, 2025 announcing the appointment of Mr. Blake described in Item 5.02 above, which is furnished as Exhibit 99.1 to this report.</w:t>
      </w:r>
    </w:p>
    <w:p>
      <w:pPr>
        <w:spacing w:after="0" w:line="18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The information in this Item 8.01, including Exhibit 99.1 hereto, shall not be deemed “filed” for purposes of Section 18 of the Securities Exchange Act of 1934, as amended (the “Exchange Act”), or otherwise subject to the liabilities of that section. This information shall not be deemed to be incorporated by reference in any filing under the Securities Act of 1933, as amended, or the Exchange Act, except as shall be expressly set forth by specific reference to such disclosure in this Form 8-K in such a filing.</w:t>
      </w:r>
    </w:p>
    <w:p>
      <w:pPr>
        <w:spacing w:after="0" w:line="288" w:lineRule="exact"/>
        <w:rPr>
          <w:sz w:val="20"/>
          <w:szCs w:val="20"/>
          <w:color w:val="auto"/>
        </w:rPr>
      </w:pPr>
    </w:p>
    <w:p>
      <w:pPr>
        <w:ind w:left="180"/>
        <w:spacing w:after="0"/>
        <w:tabs>
          <w:tab w:leader="none" w:pos="900" w:val="left"/>
        </w:tabs>
        <w:rPr>
          <w:sz w:val="20"/>
          <w:szCs w:val="20"/>
          <w:color w:val="auto"/>
        </w:rPr>
      </w:pPr>
      <w:r>
        <w:rPr>
          <w:rFonts w:ascii="Times New Roman" w:cs="Times New Roman" w:eastAsia="Times New Roman" w:hAnsi="Times New Roman"/>
          <w:sz w:val="14"/>
          <w:szCs w:val="14"/>
          <w:b w:val="1"/>
          <w:bCs w:val="1"/>
          <w:u w:val="single" w:color="auto"/>
          <w:color w:val="auto"/>
        </w:rPr>
        <w:t>Item 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 Exhibits</w:t>
            </w:r>
          </w:p>
        </w:tc>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w:t>
            </w:r>
          </w:p>
        </w:tc>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640" w:type="dxa"/>
            <w:vAlign w:val="bottom"/>
            <w:gridSpan w:val="2"/>
            <w:vMerge w:val="restart"/>
          </w:tcPr>
          <w:p>
            <w:pPr>
              <w:ind w:left="1120"/>
              <w:spacing w:after="0"/>
              <w:rPr>
                <w:sz w:val="20"/>
                <w:szCs w:val="20"/>
                <w:color w:val="auto"/>
              </w:rPr>
            </w:pPr>
            <w:r>
              <w:rPr>
                <w:rFonts w:ascii="Times New Roman" w:cs="Times New Roman" w:eastAsia="Times New Roman" w:hAnsi="Times New Roman"/>
                <w:sz w:val="14"/>
                <w:szCs w:val="14"/>
                <w:color w:val="auto"/>
              </w:rPr>
              <w:t>Description of Exhibits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Number</w:t>
            </w:r>
          </w:p>
        </w:tc>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2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99.1</w:t>
            </w:r>
          </w:p>
        </w:tc>
        <w:tc>
          <w:tcPr>
            <w:tcW w:w="3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40" w:type="dxa"/>
            <w:vAlign w:val="bottom"/>
            <w:tcBorders>
              <w:top w:val="single" w:sz="8" w:color="auto"/>
              <w:bottom w:val="single" w:sz="8" w:color="0000FF"/>
            </w:tcBorders>
          </w:tcPr>
          <w:p>
            <w:pPr>
              <w:spacing w:after="0" w:line="143" w:lineRule="exact"/>
              <w:rPr>
                <w:sz w:val="20"/>
                <w:szCs w:val="20"/>
                <w:color w:val="auto"/>
              </w:rPr>
            </w:pPr>
            <w:r>
              <w:rPr>
                <w:rFonts w:ascii="Times New Roman" w:cs="Times New Roman" w:eastAsia="Times New Roman" w:hAnsi="Times New Roman"/>
                <w:sz w:val="14"/>
                <w:szCs w:val="14"/>
                <w:color w:val="0000FF"/>
              </w:rPr>
              <w:t>Press Release of the Company dated March 17, 2025.</w:t>
            </w:r>
          </w:p>
        </w:tc>
        <w:tc>
          <w:tcPr>
            <w:tcW w:w="6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Cover Page Interactive Data File (the cover page XBRL tags are embedded within the iXBRL document).</w:t>
            </w:r>
          </w:p>
        </w:tc>
        <w:tc>
          <w:tcPr>
            <w:tcW w:w="0" w:type="dxa"/>
            <w:vAlign w:val="bottom"/>
          </w:tcPr>
          <w:p>
            <w:pPr>
              <w:spacing w:after="0"/>
              <w:rPr>
                <w:sz w:val="1"/>
                <w:szCs w:val="1"/>
                <w:color w:val="auto"/>
              </w:rPr>
            </w:pPr>
          </w:p>
        </w:tc>
      </w:tr>
      <w:tr>
        <w:trPr>
          <w:trHeight w:val="946"/>
        </w:trPr>
        <w:tc>
          <w:tcPr>
            <w:tcW w:w="20" w:type="dxa"/>
            <w:vAlign w:val="bottom"/>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6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34" w:right="319" w:bottom="1440" w:gutter="0" w:footer="0" w:header="0"/>
        </w:sectPr>
      </w:pPr>
    </w:p>
    <w:bookmarkStart w:id="2" w:name="page3"/>
    <w:bookmarkEnd w:id="2"/>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27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4"/>
          <w:szCs w:val="14"/>
          <w:color w:val="auto"/>
        </w:rPr>
        <w:t>OIL-DRI CORPORATION OF AMERICA</w:t>
      </w:r>
    </w:p>
    <w:p>
      <w:pPr>
        <w:spacing w:after="0" w:line="200" w:lineRule="exact"/>
        <w:rPr>
          <w:sz w:val="20"/>
          <w:szCs w:val="20"/>
          <w:color w:val="auto"/>
        </w:rPr>
      </w:pPr>
    </w:p>
    <w:tbl>
      <w:tblPr>
        <w:tblLayout w:type="fixed"/>
        <w:tblInd w:w="5420" w:type="dxa"/>
        <w:tblCellMar>
          <w:top w:w="0" w:type="dxa"/>
          <w:left w:w="0" w:type="dxa"/>
          <w:bottom w:w="0" w:type="dxa"/>
          <w:right w:w="0" w:type="dxa"/>
        </w:tblCellMar>
      </w:tblPr>
      <w:tr>
        <w:trPr>
          <w:trHeight w:val="184"/>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Anthony W. Parker</w:t>
            </w:r>
          </w:p>
        </w:tc>
      </w:tr>
      <w:tr>
        <w:trPr>
          <w:trHeight w:val="167"/>
        </w:trPr>
        <w:tc>
          <w:tcPr>
            <w:tcW w:w="700" w:type="dxa"/>
            <w:vAlign w:val="bottom"/>
          </w:tcPr>
          <w:p>
            <w:pPr>
              <w:spacing w:after="0"/>
              <w:rPr>
                <w:sz w:val="14"/>
                <w:szCs w:val="14"/>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Anthony W. Parker</w:t>
            </w:r>
          </w:p>
        </w:tc>
      </w:tr>
      <w:tr>
        <w:trPr>
          <w:trHeight w:val="184"/>
        </w:trPr>
        <w:tc>
          <w:tcPr>
            <w:tcW w:w="700" w:type="dxa"/>
            <w:vAlign w:val="bottom"/>
          </w:tcPr>
          <w:p>
            <w:pPr>
              <w:spacing w:after="0"/>
              <w:rPr>
                <w:sz w:val="16"/>
                <w:szCs w:val="16"/>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Vice President, General Counsel &amp; Secretary</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17, 2025</w:t>
      </w:r>
    </w:p>
    <w:p>
      <w:pPr>
        <w:sectPr>
          <w:pgSz w:w="11900" w:h="16838" w:orient="portrait"/>
          <w:cols w:equalWidth="0" w:num="1">
            <w:col w:w="10880"/>
          </w:cols>
          <w:pgMar w:left="300" w:top="728" w:right="7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2025-03-17T15:30:14Z</dcterms:created>
  <dcterms:modified xsi:type="dcterms:W3CDTF">2025-03-17T15:30:14Z</dcterms:modified>
</cp:coreProperties>
</file>