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220345</wp:posOffset>
            </wp:positionH>
            <wp:positionV relativeFrom="page">
              <wp:posOffset>614045</wp:posOffset>
            </wp:positionV>
            <wp:extent cx="71145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4540" cy="6985"/>
                    </a:xfrm>
                    <a:prstGeom prst="rect">
                      <a:avLst/>
                    </a:prstGeom>
                    <a:noFill/>
                  </pic:spPr>
                </pic:pic>
              </a:graphicData>
            </a:graphic>
          </wp:anchor>
        </w:drawing>
        <w:drawing>
          <wp:anchor simplePos="0" relativeHeight="251657728" behindDoc="1" locked="0" layoutInCell="0" allowOverlap="1">
            <wp:simplePos x="0" y="0"/>
            <wp:positionH relativeFrom="page">
              <wp:posOffset>220345</wp:posOffset>
            </wp:positionH>
            <wp:positionV relativeFrom="page">
              <wp:posOffset>586740</wp:posOffset>
            </wp:positionV>
            <wp:extent cx="71145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4540" cy="698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ectPr>
          <w:pgSz w:w="11900" w:h="16838" w:orient="portrait"/>
          <w:cols w:equalWidth="0" w:num="1">
            <w:col w:w="11280"/>
          </w:cols>
          <w:pgMar w:left="300" w:top="1109" w:right="319" w:bottom="1440" w:gutter="0" w:footer="0" w:header="0"/>
        </w:sectPr>
      </w:pP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September 30, 2024</w:t>
      </w:r>
    </w:p>
    <w:p>
      <w:pPr>
        <w:spacing w:after="0" w:line="102" w:lineRule="exact"/>
        <w:rPr>
          <w:sz w:val="24"/>
          <w:szCs w:val="24"/>
          <w:color w:val="auto"/>
        </w:rPr>
      </w:pPr>
    </w:p>
    <w:p>
      <w:pPr>
        <w:sectPr>
          <w:pgSz w:w="11900" w:h="16838" w:orient="portrait"/>
          <w:cols w:equalWidth="0" w:num="2">
            <w:col w:w="9380" w:space="720"/>
            <w:col w:w="1180"/>
          </w:cols>
          <w:pgMar w:left="300" w:top="1109"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the registrant as specified in its charter)</w:t>
      </w:r>
    </w:p>
    <w:p>
      <w:pPr>
        <w:sectPr>
          <w:pgSz w:w="11900" w:h="16838" w:orient="portrait"/>
          <w:cols w:equalWidth="0" w:num="1">
            <w:col w:w="11280"/>
          </w:cols>
          <w:pgMar w:left="300" w:top="1109" w:right="319" w:bottom="1440" w:gutter="0" w:footer="0" w:header="0"/>
          <w:type w:val="continuous"/>
        </w:sectPr>
      </w:pPr>
    </w:p>
    <w:p>
      <w:pPr>
        <w:spacing w:after="0" w:line="21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001-12622</w:t>
      </w:r>
    </w:p>
    <w:p>
      <w:pPr>
        <w:spacing w:after="0" w:line="25"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36-2048898</w:t>
      </w:r>
    </w:p>
    <w:p>
      <w:pPr>
        <w:spacing w:after="0" w:line="25"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00" w:lineRule="exact"/>
        <w:rPr>
          <w:sz w:val="24"/>
          <w:szCs w:val="24"/>
          <w:color w:val="auto"/>
        </w:rPr>
      </w:pPr>
    </w:p>
    <w:p>
      <w:pPr>
        <w:sectPr>
          <w:pgSz w:w="11900" w:h="16838" w:orient="portrait"/>
          <w:cols w:equalWidth="0" w:num="3">
            <w:col w:w="4300" w:space="720"/>
            <w:col w:w="2740" w:space="720"/>
            <w:col w:w="2800"/>
          </w:cols>
          <w:pgMar w:left="300" w:top="1109" w:right="31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4"/>
          <w:szCs w:val="14"/>
          <w:color w:val="auto"/>
        </w:rPr>
        <w:t>410 North Michigan Avenue, Suite 400</w:t>
      </w:r>
    </w:p>
    <w:p>
      <w:pPr>
        <w:spacing w:after="0" w:line="2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4"/>
          <w:szCs w:val="14"/>
          <w:color w:val="auto"/>
        </w:rPr>
        <w:t>Chicago, Illinois</w:t>
      </w:r>
    </w:p>
    <w:p>
      <w:pPr>
        <w:spacing w:after="0" w:line="1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60611-4213</w:t>
      </w:r>
    </w:p>
    <w:p>
      <w:pPr>
        <w:spacing w:after="0" w:line="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(Zip Code)</w:t>
      </w:r>
    </w:p>
    <w:p>
      <w:pPr>
        <w:spacing w:after="0" w:line="280" w:lineRule="exact"/>
        <w:rPr>
          <w:sz w:val="24"/>
          <w:szCs w:val="24"/>
          <w:color w:val="auto"/>
        </w:rPr>
      </w:pPr>
    </w:p>
    <w:p>
      <w:pPr>
        <w:sectPr>
          <w:pgSz w:w="11900" w:h="16838" w:orient="portrait"/>
          <w:cols w:equalWidth="0" w:num="2">
            <w:col w:w="8440" w:space="720"/>
            <w:col w:w="2120"/>
          </w:cols>
          <w:pgMar w:left="300" w:top="1109" w:right="31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4"/>
          <w:szCs w:val="14"/>
          <w:color w:val="auto"/>
        </w:rPr>
        <w:t>The registrant's telephone number, including area code: (312)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1481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00" w:lineRule="exact"/>
        <w:rPr>
          <w:sz w:val="24"/>
          <w:szCs w:val="24"/>
          <w:color w:val="auto"/>
        </w:rPr>
      </w:pPr>
    </w:p>
    <w:p>
      <w:pPr>
        <w:ind w:left="640" w:hanging="420"/>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4" w:lineRule="exact"/>
        <w:rPr>
          <w:rFonts w:ascii="MS PGothic" w:cs="MS PGothic" w:eastAsia="MS PGothic" w:hAnsi="MS PGothic"/>
          <w:sz w:val="14"/>
          <w:szCs w:val="14"/>
          <w:color w:val="auto"/>
        </w:rPr>
      </w:pPr>
    </w:p>
    <w:p>
      <w:pPr>
        <w:ind w:left="640" w:hanging="420"/>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8" w:lineRule="exact"/>
        <w:rPr>
          <w:rFonts w:ascii="MS PGothic" w:cs="MS PGothic" w:eastAsia="MS PGothic" w:hAnsi="MS PGothic"/>
          <w:sz w:val="14"/>
          <w:szCs w:val="14"/>
          <w:color w:val="auto"/>
        </w:rPr>
      </w:pPr>
    </w:p>
    <w:p>
      <w:pPr>
        <w:ind w:left="640" w:hanging="420"/>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4" w:lineRule="exact"/>
        <w:rPr>
          <w:rFonts w:ascii="MS PGothic" w:cs="MS PGothic" w:eastAsia="MS PGothic" w:hAnsi="MS PGothic"/>
          <w:sz w:val="14"/>
          <w:szCs w:val="14"/>
          <w:color w:val="auto"/>
        </w:rPr>
      </w:pPr>
    </w:p>
    <w:p>
      <w:pPr>
        <w:ind w:left="640" w:hanging="420"/>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80"/>
          </w:cols>
          <w:pgMar w:left="300" w:top="1109" w:right="319" w:bottom="1440" w:gutter="0" w:footer="0" w:header="0"/>
          <w:type w:val="continuous"/>
        </w:sectPr>
      </w:pPr>
    </w:p>
    <w:p>
      <w:pPr>
        <w:spacing w:after="0" w:line="11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3"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4"/>
          <w:szCs w:val="14"/>
          <w:color w:val="auto"/>
        </w:rPr>
        <w:t>Common Stock, par value $0.10 per share</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Trading Symbol(s)</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ODC</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200" w:lineRule="exact"/>
        <w:rPr>
          <w:sz w:val="24"/>
          <w:szCs w:val="24"/>
          <w:color w:val="auto"/>
        </w:rPr>
      </w:pPr>
    </w:p>
    <w:p>
      <w:pPr>
        <w:sectPr>
          <w:pgSz w:w="11900" w:h="16838" w:orient="portrait"/>
          <w:cols w:equalWidth="0" w:num="3">
            <w:col w:w="3800" w:space="720"/>
            <w:col w:w="1180" w:space="720"/>
            <w:col w:w="4860"/>
          </w:cols>
          <w:pgMar w:left="300" w:top="1109" w:right="319" w:bottom="1440" w:gutter="0" w:footer="0" w:header="0"/>
          <w:type w:val="continuous"/>
        </w:sectPr>
      </w:pPr>
    </w:p>
    <w:p>
      <w:pPr>
        <w:spacing w:after="0" w:line="59"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553085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74295</wp:posOffset>
            </wp:positionV>
            <wp:extent cx="71145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4540" cy="69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47625</wp:posOffset>
            </wp:positionV>
            <wp:extent cx="71145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type w:val="continuous"/>
        </w:sectPr>
      </w:pPr>
    </w:p>
    <w:bookmarkStart w:id="1" w:name="page2"/>
    <w:bookmarkEnd w:id="1"/>
    <w:p>
      <w:pPr>
        <w:ind w:left="220"/>
        <w:spacing w:after="0"/>
        <w:tabs>
          <w:tab w:leader="none" w:pos="1240" w:val="left"/>
        </w:tabs>
        <w:rPr>
          <w:sz w:val="20"/>
          <w:szCs w:val="20"/>
          <w:color w:val="auto"/>
        </w:rPr>
      </w:pPr>
      <w:r>
        <w:rPr>
          <w:rFonts w:ascii="Times New Roman" w:cs="Times New Roman" w:eastAsia="Times New Roman" w:hAnsi="Times New Roman"/>
          <w:sz w:val="14"/>
          <w:szCs w:val="14"/>
          <w:b w:val="1"/>
          <w:bCs w:val="1"/>
          <w:u w:val="single" w:color="auto"/>
          <w:color w:val="auto"/>
        </w:rPr>
        <w:t>Item 1.01</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Amendment No. 8 to the BMO Credit Agreement</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September 30, 2024, the Company entered into the Eighth Amendment to Credit Agreement (the “Eighth Amendment”), which amends that certain Credit Agreement, dated as of January 27, 2006, as amended (the “Credit Agreement”), among BMO Bank N.A. (formerly known as BMO Harris Bank N.A.) (“BMO”), the Company and certain domestic subsidiaries of the Company. The Eighth Amendment amends the Credit Agreement to, among other things:</w:t>
      </w:r>
    </w:p>
    <w:p>
      <w:pPr>
        <w:spacing w:after="0" w:line="157" w:lineRule="exact"/>
        <w:rPr>
          <w:sz w:val="20"/>
          <w:szCs w:val="20"/>
          <w:color w:val="auto"/>
        </w:rPr>
      </w:pPr>
    </w:p>
    <w:p>
      <w:pPr>
        <w:ind w:left="520" w:hanging="261"/>
        <w:spacing w:after="0" w:line="271"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amount the Company may borrow from BMO from time to time pursuant to its revolving line of credit from up to forty-five million dollars ($45,000,000) to up to seventy-five million dollars ($75,000,000) and to increase the aggregate maximum amount of letters of credit from up to ten million dollars ($10,000,000) to up to twenty million dollars ($20,000,000);</w:t>
      </w:r>
    </w:p>
    <w:p>
      <w:pPr>
        <w:spacing w:after="0" w:line="145" w:lineRule="exact"/>
        <w:rPr>
          <w:rFonts w:ascii="Times New Roman" w:cs="Times New Roman" w:eastAsia="Times New Roman" w:hAnsi="Times New Roman"/>
          <w:sz w:val="14"/>
          <w:szCs w:val="14"/>
          <w:color w:val="auto"/>
        </w:rPr>
      </w:pPr>
    </w:p>
    <w:p>
      <w:pPr>
        <w:ind w:left="520" w:hanging="261"/>
        <w:spacing w:after="0" w:line="271"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an accordion provision to allow the Company to increase the revolving line of credit by up to an additional fifty million dollars ($50,000,000), subject to the terms and conditions set forth in the Eighth Amendment;</w:t>
      </w:r>
    </w:p>
    <w:p>
      <w:pPr>
        <w:spacing w:after="0" w:line="14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the termination date to September 30, 2029; and</w:t>
      </w:r>
    </w:p>
    <w:p>
      <w:pPr>
        <w:spacing w:after="0" w:line="188" w:lineRule="exact"/>
        <w:rPr>
          <w:rFonts w:ascii="Times New Roman" w:cs="Times New Roman" w:eastAsia="Times New Roman" w:hAnsi="Times New Roman"/>
          <w:sz w:val="14"/>
          <w:szCs w:val="14"/>
          <w:color w:val="auto"/>
        </w:rPr>
      </w:pPr>
    </w:p>
    <w:p>
      <w:pPr>
        <w:ind w:left="520" w:hanging="261"/>
        <w:spacing w:after="0" w:line="271"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certain restrictive covenant thresholds, including but not limited to, an increase to the permitted acquisitions threshold in the restricted covenants from a cumulative total of forty-five million dollars ($45,000,000) to one hundred million dollars ($100,000,000).</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foregoing description of the Eighth Amendment do not purport to be complete and is qualified in its entirety by reference to the full text of the Eighth Amendment, a copy of which is attached hereto as Exhibit 10.1, and is incorporated herein by reference.</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Eighth Amendment has been provided solely to inform investors of their terms. The representations, warranties and covenants contained in the Eighth Amendment were made only for the purposes of such agreement and as of specific dates and were made solely for the benefit of the parties to the Eighth Amendment and may be intended not as statements of fact, but rather as a way of allocating risk to one of the parties if those statements prove to be inaccurate. In addition, such representations, warranties and covenants may have been qualified by disclosures not reflected in the text of the Eighth Amendment and may apply standards of materiality in a way that is different from what may be viewed as material by stockholders of, or other investors in, the Company. The Company’s stockholders and other investors are not third-party beneficiaries under the Eighth Amendment and should not rely on the representations, warranties and covenants or any descriptions thereof as characterizations of the actual state of facts or conditions of the Company or BMO or any of their subsidiaries or affiliates.</w:t>
      </w:r>
    </w:p>
    <w:p>
      <w:pPr>
        <w:spacing w:after="0" w:line="228"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4"/>
          <w:szCs w:val="14"/>
          <w:b w:val="1"/>
          <w:bCs w:val="1"/>
          <w:u w:val="single" w:color="auto"/>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ectPr>
          <w:pgSz w:w="11900" w:h="16838" w:orient="portrait"/>
          <w:cols w:equalWidth="0" w:num="1">
            <w:col w:w="11280"/>
          </w:cols>
          <w:pgMar w:left="300" w:top="833" w:right="319" w:bottom="1440" w:gutter="0" w:footer="0" w:header="0"/>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w:t>
      </w:r>
    </w:p>
    <w:p>
      <w:pPr>
        <w:ind w:left="20"/>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874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7400" cy="6985"/>
                    </a:xfrm>
                    <a:prstGeom prst="rect">
                      <a:avLst/>
                    </a:prstGeom>
                    <a:noFill/>
                  </pic:spPr>
                </pic:pic>
              </a:graphicData>
            </a:graphic>
          </wp:anchor>
        </w:drawing>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6145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45530" cy="6985"/>
                    </a:xfrm>
                    <a:prstGeom prst="rect">
                      <a:avLst/>
                    </a:prstGeom>
                    <a:noFill/>
                  </pic:spPr>
                </pic:pic>
              </a:graphicData>
            </a:graphic>
          </wp:anchor>
        </w:drawing>
      </w:r>
    </w:p>
    <w:p>
      <w:pPr>
        <w:spacing w:after="0" w:line="190"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4"/>
          <w:szCs w:val="14"/>
          <w:u w:val="single" w:color="auto"/>
          <w:color w:val="0000FF"/>
        </w:rPr>
        <w:t>Eighth Amendment to Credit Agreement, dated September 30, 2024, by and between Oil-Dri Corporation of America and BMO Bank N.A. (formerly known as BMO Harris Bank N.A.).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 Page Interactive Data File (the cover page XBRL tags are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863600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880" w:space="720"/>
            <w:col w:w="9680"/>
          </w:cols>
          <w:pgMar w:left="300" w:top="833" w:right="319" w:bottom="1440" w:gutter="0" w:footer="0" w:header="0"/>
          <w:type w:val="continuous"/>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2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color w:val="auto"/>
        </w:rPr>
        <w:t>OIL-DRI CORPORATION OF AMERICA</w:t>
      </w:r>
    </w:p>
    <w:p>
      <w:pPr>
        <w:spacing w:after="0" w:line="199" w:lineRule="exact"/>
        <w:rPr>
          <w:sz w:val="20"/>
          <w:szCs w:val="20"/>
          <w:color w:val="auto"/>
        </w:rPr>
      </w:pPr>
    </w:p>
    <w:tbl>
      <w:tblPr>
        <w:tblLayout w:type="fixed"/>
        <w:tblInd w:w="542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Laura G. Scheland</w:t>
            </w:r>
          </w:p>
        </w:tc>
      </w:tr>
      <w:tr>
        <w:trPr>
          <w:trHeight w:val="167"/>
        </w:trPr>
        <w:tc>
          <w:tcPr>
            <w:tcW w:w="7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Laura G. Scheland</w:t>
            </w:r>
          </w:p>
        </w:tc>
      </w:tr>
      <w:tr>
        <w:trPr>
          <w:trHeight w:val="184"/>
        </w:trPr>
        <w:tc>
          <w:tcPr>
            <w:tcW w:w="7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Chief Legal Officer</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1, 2024</w:t>
      </w:r>
    </w:p>
    <w:p>
      <w:pPr>
        <w:sectPr>
          <w:pgSz w:w="11900" w:h="16838" w:orient="portrait"/>
          <w:cols w:equalWidth="0" w:num="1">
            <w:col w:w="10860"/>
          </w:cols>
          <w:pgMar w:left="300" w:top="727" w:right="7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5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9731375</wp:posOffset>
            </wp:positionV>
            <wp:extent cx="710565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9731375</wp:posOffset>
            </wp:positionV>
            <wp:extent cx="710565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1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1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19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1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9731375</wp:posOffset>
            </wp:positionV>
            <wp:extent cx="710565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19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1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2024-10-01T15:59:35Z</dcterms:created>
  <dcterms:modified xsi:type="dcterms:W3CDTF">2024-10-01T15:59:35Z</dcterms:modified>
</cp:coreProperties>
</file>