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13G is filed:</w:t>
      </w:r>
    </w:p>
    <w:p>
      <w:pPr>
        <w:spacing w:after="0" w:line="200" w:lineRule="exact"/>
        <w:rPr>
          <w:sz w:val="24"/>
          <w:szCs w:val="24"/>
          <w:color w:val="auto"/>
        </w:rPr>
      </w:pPr>
    </w:p>
    <w:p>
      <w:pPr>
        <w:spacing w:after="0" w:line="276" w:lineRule="exact"/>
        <w:rPr>
          <w:sz w:val="24"/>
          <w:szCs w:val="24"/>
          <w:color w:val="auto"/>
        </w:rPr>
      </w:pPr>
    </w:p>
    <w:p>
      <w:pPr>
        <w:ind w:left="660" w:right="9200" w:hanging="4"/>
        <w:spacing w:after="0" w:line="276" w:lineRule="auto"/>
        <w:tabs>
          <w:tab w:leader="none" w:pos="786"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780" w:hanging="124"/>
        <w:spacing w:after="0"/>
        <w:tabs>
          <w:tab w:leader="none" w:pos="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706" w:right="239" w:bottom="1440" w:gutter="0" w:footer="0" w:header="0"/>
        </w:sectPr>
      </w:pPr>
    </w:p>
    <w:bookmarkStart w:id="1" w:name="page2"/>
    <w:bookmarkEnd w:id="1"/>
    <w:p>
      <w:pPr>
        <w:ind w:left="100"/>
        <w:spacing w:after="0"/>
        <w:rPr>
          <w:sz w:val="20"/>
          <w:szCs w:val="20"/>
          <w:color w:val="auto"/>
        </w:rPr>
      </w:pPr>
      <w:r>
        <w:rPr>
          <w:rFonts w:ascii="Arial" w:cs="Arial" w:eastAsia="Arial" w:hAnsi="Arial"/>
          <w:sz w:val="22"/>
          <w:szCs w:val="22"/>
          <w:color w:val="auto"/>
        </w:rPr>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left="660" w:right="3340" w:hanging="555"/>
        <w:spacing w:after="0" w:line="422" w:lineRule="auto"/>
        <w:tabs>
          <w:tab w:leader="none" w:pos="411"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 I.R.S. Identification Nos. of Above Persons (entities only): Harvey Partners, LLC 20-3760303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2</w:t>
      </w:r>
      <w:r>
        <w:rPr>
          <w:rFonts w:ascii="Arial" w:cs="Arial" w:eastAsia="Arial" w:hAnsi="Arial"/>
          <w:sz w:val="20"/>
          <w:szCs w:val="20"/>
          <w:color w:val="auto"/>
        </w:rPr>
        <w:t xml:space="preserve">) </w:t>
      </w:r>
      <w:r>
        <w:rPr>
          <w:rFonts w:ascii="Arial" w:cs="Arial" w:eastAsia="Arial" w:hAnsi="Arial"/>
          <w:sz w:val="21"/>
          <w:szCs w:val="21"/>
          <w:color w:val="auto"/>
        </w:rPr>
        <w:t>Check the Appropriate Box if a Member of a Group (See Instructions)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(a)___</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Borders>
              <w:top w:val="single" w:sz="8" w:color="auto"/>
              <w:bottom w:val="single" w:sz="8" w:color="auto"/>
            </w:tcBorders>
            <w:vMerge w:val="restart"/>
          </w:tcPr>
          <w:p>
            <w:pPr>
              <w:ind w:left="300"/>
              <w:spacing w:after="0"/>
              <w:rPr>
                <w:sz w:val="20"/>
                <w:szCs w:val="20"/>
                <w:color w:val="auto"/>
              </w:rPr>
            </w:pPr>
            <w:r>
              <w:rPr>
                <w:rFonts w:ascii="Arial" w:cs="Arial" w:eastAsia="Arial" w:hAnsi="Arial"/>
                <w:sz w:val="22"/>
                <w:szCs w:val="22"/>
                <w:color w:val="auto"/>
                <w:w w:val="95"/>
              </w:rPr>
              <w:t>Number of Shares Beneficially Owned by Each</w:t>
            </w:r>
          </w:p>
        </w:tc>
        <w:tc>
          <w:tcPr>
            <w:tcW w:w="7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22"/>
                <w:szCs w:val="22"/>
                <w:color w:val="auto"/>
              </w:rPr>
              <w:t>(5)</w:t>
            </w:r>
          </w:p>
        </w:tc>
        <w:tc>
          <w:tcPr>
            <w:tcW w:w="34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22"/>
                <w:szCs w:val="22"/>
                <w:color w:val="auto"/>
              </w:rPr>
              <w:t>Sole Voting Power:</w:t>
            </w:r>
          </w:p>
        </w:tc>
        <w:tc>
          <w:tcPr>
            <w:tcW w:w="2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305,807*</w:t>
            </w:r>
          </w:p>
        </w:tc>
        <w:tc>
          <w:tcPr>
            <w:tcW w:w="0" w:type="dxa"/>
            <w:vAlign w:val="bottom"/>
          </w:tcPr>
          <w:p>
            <w:pPr>
              <w:spacing w:after="0"/>
              <w:rPr>
                <w:sz w:val="1"/>
                <w:szCs w:val="1"/>
                <w:color w:val="auto"/>
              </w:rPr>
            </w:pPr>
          </w:p>
        </w:tc>
      </w:tr>
      <w:tr>
        <w:trPr>
          <w:trHeight w:val="215"/>
        </w:trPr>
        <w:tc>
          <w:tcPr>
            <w:tcW w:w="4700" w:type="dxa"/>
            <w:vAlign w:val="bottom"/>
            <w:vMerge w:val="continue"/>
          </w:tcPr>
          <w:p>
            <w:pPr>
              <w:spacing w:after="0"/>
              <w:rPr>
                <w:sz w:val="18"/>
                <w:szCs w:val="18"/>
                <w:color w:val="auto"/>
              </w:rPr>
            </w:pPr>
          </w:p>
        </w:tc>
        <w:tc>
          <w:tcPr>
            <w:tcW w:w="700" w:type="dxa"/>
            <w:vAlign w:val="bottom"/>
          </w:tcPr>
          <w:p>
            <w:pPr>
              <w:jc w:val="right"/>
              <w:ind w:right="192"/>
              <w:spacing w:after="0" w:line="216" w:lineRule="exact"/>
              <w:rPr>
                <w:sz w:val="20"/>
                <w:szCs w:val="20"/>
                <w:color w:val="auto"/>
              </w:rPr>
            </w:pPr>
            <w:r>
              <w:rPr>
                <w:rFonts w:ascii="Arial" w:cs="Arial" w:eastAsia="Arial" w:hAnsi="Arial"/>
                <w:sz w:val="22"/>
                <w:szCs w:val="22"/>
                <w:color w:val="auto"/>
              </w:rPr>
              <w:t>(6)</w:t>
            </w:r>
          </w:p>
        </w:tc>
        <w:tc>
          <w:tcPr>
            <w:tcW w:w="3400" w:type="dxa"/>
            <w:vAlign w:val="bottom"/>
          </w:tcPr>
          <w:p>
            <w:pPr>
              <w:ind w:left="300"/>
              <w:spacing w:after="0" w:line="216" w:lineRule="exact"/>
              <w:rPr>
                <w:sz w:val="20"/>
                <w:szCs w:val="20"/>
                <w:color w:val="auto"/>
              </w:rPr>
            </w:pPr>
            <w:r>
              <w:rPr>
                <w:rFonts w:ascii="Arial" w:cs="Arial" w:eastAsia="Arial" w:hAnsi="Arial"/>
                <w:sz w:val="22"/>
                <w:szCs w:val="22"/>
                <w:color w:val="auto"/>
              </w:rPr>
              <w:t>Shared Voting Power:</w:t>
            </w:r>
          </w:p>
        </w:tc>
        <w:tc>
          <w:tcPr>
            <w:tcW w:w="2620" w:type="dxa"/>
            <w:vAlign w:val="bottom"/>
          </w:tcPr>
          <w:p>
            <w:pPr>
              <w:jc w:val="right"/>
              <w:ind w:right="36"/>
              <w:spacing w:after="0" w:line="215"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1"/>
        </w:trPr>
        <w:tc>
          <w:tcPr>
            <w:tcW w:w="4700" w:type="dxa"/>
            <w:vAlign w:val="bottom"/>
            <w:vMerge w:val="restart"/>
          </w:tcPr>
          <w:p>
            <w:pPr>
              <w:ind w:left="1360"/>
              <w:spacing w:after="0"/>
              <w:rPr>
                <w:sz w:val="20"/>
                <w:szCs w:val="20"/>
                <w:color w:val="auto"/>
              </w:rPr>
            </w:pPr>
            <w:r>
              <w:rPr>
                <w:rFonts w:ascii="Arial" w:cs="Arial" w:eastAsia="Arial" w:hAnsi="Arial"/>
                <w:sz w:val="22"/>
                <w:szCs w:val="22"/>
                <w:color w:val="auto"/>
              </w:rPr>
              <w:t>Reporting Person With</w:t>
            </w:r>
          </w:p>
        </w:tc>
        <w:tc>
          <w:tcPr>
            <w:tcW w:w="7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700" w:type="dxa"/>
            <w:vAlign w:val="bottom"/>
            <w:tcBorders>
              <w:bottom w:val="single" w:sz="8" w:color="auto"/>
            </w:tcBorders>
          </w:tcPr>
          <w:p>
            <w:pPr>
              <w:jc w:val="right"/>
              <w:ind w:right="192"/>
              <w:spacing w:after="0" w:line="237" w:lineRule="exact"/>
              <w:rPr>
                <w:sz w:val="20"/>
                <w:szCs w:val="20"/>
                <w:color w:val="auto"/>
              </w:rPr>
            </w:pPr>
            <w:r>
              <w:rPr>
                <w:rFonts w:ascii="Arial" w:cs="Arial" w:eastAsia="Arial" w:hAnsi="Arial"/>
                <w:sz w:val="22"/>
                <w:szCs w:val="22"/>
                <w:color w:val="auto"/>
              </w:rPr>
              <w:t>(7)</w:t>
            </w:r>
          </w:p>
        </w:tc>
        <w:tc>
          <w:tcPr>
            <w:tcW w:w="3400" w:type="dxa"/>
            <w:vAlign w:val="bottom"/>
            <w:tcBorders>
              <w:bottom w:val="single" w:sz="8" w:color="auto"/>
            </w:tcBorders>
          </w:tcPr>
          <w:p>
            <w:pPr>
              <w:ind w:left="300"/>
              <w:spacing w:after="0" w:line="237" w:lineRule="exact"/>
              <w:rPr>
                <w:sz w:val="20"/>
                <w:szCs w:val="20"/>
                <w:color w:val="auto"/>
              </w:rPr>
            </w:pPr>
            <w:r>
              <w:rPr>
                <w:rFonts w:ascii="Arial" w:cs="Arial" w:eastAsia="Arial" w:hAnsi="Arial"/>
                <w:sz w:val="22"/>
                <w:szCs w:val="22"/>
                <w:color w:val="auto"/>
              </w:rPr>
              <w:t>Sole Dispositive Power:</w:t>
            </w:r>
          </w:p>
        </w:tc>
        <w:tc>
          <w:tcPr>
            <w:tcW w:w="26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305,807*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2"/>
              <w:spacing w:after="0" w:line="237" w:lineRule="exact"/>
              <w:rPr>
                <w:sz w:val="20"/>
                <w:szCs w:val="20"/>
                <w:color w:val="auto"/>
              </w:rPr>
            </w:pPr>
            <w:r>
              <w:rPr>
                <w:rFonts w:ascii="Arial" w:cs="Arial" w:eastAsia="Arial" w:hAnsi="Arial"/>
                <w:sz w:val="22"/>
                <w:szCs w:val="22"/>
                <w:color w:val="auto"/>
              </w:rPr>
              <w:t>(8)</w:t>
            </w:r>
          </w:p>
        </w:tc>
        <w:tc>
          <w:tcPr>
            <w:tcW w:w="3400" w:type="dxa"/>
            <w:vAlign w:val="bottom"/>
            <w:tcBorders>
              <w:bottom w:val="single" w:sz="8" w:color="auto"/>
            </w:tcBorders>
          </w:tcPr>
          <w:p>
            <w:pPr>
              <w:ind w:left="300"/>
              <w:spacing w:after="0" w:line="237" w:lineRule="exact"/>
              <w:rPr>
                <w:sz w:val="20"/>
                <w:szCs w:val="20"/>
                <w:color w:val="auto"/>
              </w:rPr>
            </w:pPr>
            <w:r>
              <w:rPr>
                <w:rFonts w:ascii="Arial" w:cs="Arial" w:eastAsia="Arial" w:hAnsi="Arial"/>
                <w:sz w:val="22"/>
                <w:szCs w:val="22"/>
                <w:color w:val="auto"/>
              </w:rPr>
              <w:t>Shared Dispositive Power:</w:t>
            </w:r>
          </w:p>
        </w:tc>
        <w:tc>
          <w:tcPr>
            <w:tcW w:w="2620" w:type="dxa"/>
            <w:vAlign w:val="bottom"/>
            <w:tcBorders>
              <w:bottom w:val="single" w:sz="8" w:color="auto"/>
            </w:tcBorders>
          </w:tcPr>
          <w:p>
            <w:pPr>
              <w:jc w:val="right"/>
              <w:ind w:right="36"/>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68"/>
        </w:trPr>
        <w:tc>
          <w:tcPr>
            <w:tcW w:w="8800" w:type="dxa"/>
            <w:vAlign w:val="bottom"/>
            <w:gridSpan w:val="3"/>
          </w:tcPr>
          <w:p>
            <w:pPr>
              <w:ind w:left="20"/>
              <w:spacing w:after="0"/>
              <w:rPr>
                <w:sz w:val="20"/>
                <w:szCs w:val="20"/>
                <w:color w:val="auto"/>
              </w:rPr>
            </w:pPr>
            <w:r>
              <w:rPr>
                <w:rFonts w:ascii="Arial" w:cs="Arial" w:eastAsia="Arial" w:hAnsi="Arial"/>
                <w:sz w:val="22"/>
                <w:szCs w:val="22"/>
                <w:color w:val="auto"/>
              </w:rPr>
              <w:t>(9) Aggregate Amount Beneficially Owned by Each Reporting Person:</w:t>
            </w:r>
          </w:p>
        </w:tc>
        <w:tc>
          <w:tcPr>
            <w:tcW w:w="2620" w:type="dxa"/>
            <w:vAlign w:val="bottom"/>
            <w:vMerge w:val="restart"/>
          </w:tcPr>
          <w:p>
            <w:pPr>
              <w:jc w:val="right"/>
              <w:spacing w:after="0"/>
              <w:rPr>
                <w:sz w:val="20"/>
                <w:szCs w:val="20"/>
                <w:color w:val="auto"/>
              </w:rPr>
            </w:pPr>
            <w:r>
              <w:rPr>
                <w:rFonts w:ascii="Arial" w:cs="Arial" w:eastAsia="Arial" w:hAnsi="Arial"/>
                <w:sz w:val="22"/>
                <w:szCs w:val="22"/>
                <w:color w:val="auto"/>
              </w:rPr>
              <w:t>305,807*</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8800" w:type="dxa"/>
            <w:vAlign w:val="bottom"/>
            <w:gridSpan w:val="3"/>
          </w:tcPr>
          <w:p>
            <w:pPr>
              <w:spacing w:after="0"/>
              <w:rPr>
                <w:sz w:val="20"/>
                <w:szCs w:val="20"/>
                <w:color w:val="auto"/>
              </w:rPr>
            </w:pPr>
            <w:r>
              <w:rPr>
                <w:rFonts w:ascii="Arial" w:cs="Arial" w:eastAsia="Arial" w:hAnsi="Arial"/>
                <w:sz w:val="22"/>
                <w:szCs w:val="22"/>
                <w:color w:val="auto"/>
                <w:w w:val="98"/>
              </w:rPr>
              <w:t>(10) Check if the Aggregate Amount in Row (9) Excludes Certain Shares (See Instructions):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4700" w:type="dxa"/>
            <w:vAlign w:val="bottom"/>
          </w:tcPr>
          <w:p>
            <w:pPr>
              <w:spacing w:after="0"/>
              <w:rPr>
                <w:sz w:val="20"/>
                <w:szCs w:val="20"/>
                <w:color w:val="auto"/>
              </w:rPr>
            </w:pPr>
            <w:r>
              <w:rPr>
                <w:rFonts w:ascii="Arial" w:cs="Arial" w:eastAsia="Arial" w:hAnsi="Arial"/>
                <w:sz w:val="20"/>
                <w:szCs w:val="20"/>
                <w:color w:val="auto"/>
                <w:w w:val="91"/>
              </w:rPr>
              <w:t>(11) Percent of Class Represented by Amount in Row (9):</w:t>
            </w:r>
          </w:p>
        </w:tc>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104"/>
        </w:trPr>
        <w:tc>
          <w:tcPr>
            <w:tcW w:w="47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4700" w:type="dxa"/>
            <w:vAlign w:val="bottom"/>
          </w:tcPr>
          <w:p>
            <w:pPr>
              <w:spacing w:after="0"/>
              <w:rPr>
                <w:sz w:val="20"/>
                <w:szCs w:val="20"/>
                <w:color w:val="auto"/>
              </w:rPr>
            </w:pPr>
            <w:r>
              <w:rPr>
                <w:rFonts w:ascii="Arial" w:cs="Arial" w:eastAsia="Arial" w:hAnsi="Arial"/>
                <w:sz w:val="22"/>
                <w:szCs w:val="22"/>
                <w:color w:val="auto"/>
                <w:w w:val="97"/>
              </w:rPr>
              <w:t>(12) Type of Reporting Person (See Instructions):</w:t>
            </w:r>
          </w:p>
        </w:tc>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20" w:type="dxa"/>
            <w:vAlign w:val="bottom"/>
          </w:tcPr>
          <w:p>
            <w:pPr>
              <w:jc w:val="right"/>
              <w:ind w:right="1496"/>
              <w:spacing w:after="0"/>
              <w:rPr>
                <w:sz w:val="20"/>
                <w:szCs w:val="20"/>
                <w:color w:val="auto"/>
              </w:rPr>
            </w:pPr>
            <w:r>
              <w:rPr>
                <w:rFonts w:ascii="Arial" w:cs="Arial" w:eastAsia="Arial" w:hAnsi="Arial"/>
                <w:sz w:val="22"/>
                <w:szCs w:val="22"/>
                <w:color w:val="auto"/>
              </w:rPr>
              <w:t>IA</w:t>
            </w:r>
          </w:p>
        </w:tc>
        <w:tc>
          <w:tcPr>
            <w:tcW w:w="0" w:type="dxa"/>
            <w:vAlign w:val="bottom"/>
          </w:tcPr>
          <w:p>
            <w:pPr>
              <w:spacing w:after="0"/>
              <w:rPr>
                <w:sz w:val="1"/>
                <w:szCs w:val="1"/>
                <w:color w:val="auto"/>
              </w:rPr>
            </w:pPr>
          </w:p>
        </w:tc>
      </w:tr>
      <w:tr>
        <w:trPr>
          <w:trHeight w:val="98"/>
        </w:trPr>
        <w:tc>
          <w:tcPr>
            <w:tcW w:w="4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160" w:firstLine="8"/>
        <w:spacing w:after="0" w:line="273" w:lineRule="auto"/>
        <w:tabs>
          <w:tab w:leader="none" w:pos="170" w:val="left"/>
        </w:tabs>
        <w:numPr>
          <w:ilvl w:val="0"/>
          <w:numId w:val="4"/>
        </w:numPr>
        <w:rPr>
          <w:rFonts w:ascii="Arial" w:cs="Arial" w:eastAsia="Arial" w:hAnsi="Arial"/>
          <w:sz w:val="19"/>
          <w:szCs w:val="19"/>
          <w:color w:val="auto"/>
        </w:rPr>
      </w:pPr>
      <w:r>
        <w:rPr>
          <w:rFonts w:ascii="Arial" w:cs="Arial" w:eastAsia="Arial" w:hAnsi="Arial"/>
          <w:sz w:val="19"/>
          <w:szCs w:val="19"/>
          <w:color w:val="auto"/>
        </w:rPr>
        <w:t>Based on the information set forth in the Quarterly Report on Form 10-Q of Oil-Dri Corporation of America (the “Company”) filed with the Securities and Exchange Commission on December 5, 2014, there were 5,014,942 shares of the Company’s common stock, par value $0.10 (the “Common Stock”), outstanding as of October 31, 2014. As of December 31, 2014, Harvey SMidCap Fund, LP, a Delaware limited partnership (“SMidCap Fund”), held 78,284 shares of Common Stock and Harvey Master Fund, L.P., a Cayman Islands exempted limited partnership (“Master Fund”), held 227,523 shares of Common Stock. Harvey Partners, LLC, a Delaware limited liability company (“Harvey Partners”), is the investment manager of SMidCap Fund and Master Fund, and as such, possesses the sole power to vote and the sole power to direct the disposition of all securities of the Company held by SMidCap Fund and Master Fund.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305,807 shares of Common Stock, or 6.1% of the Common Stock deemed issued and outstanding as of December 31, 2014.</w:t>
      </w:r>
    </w:p>
    <w:p>
      <w:pPr>
        <w:sectPr>
          <w:pgSz w:w="11900" w:h="16838" w:orient="portrait"/>
          <w:cols w:equalWidth="0" w:num="1">
            <w:col w:w="11420"/>
          </w:cols>
          <w:pgMar w:left="240" w:top="942"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 xml:space="preserve">Item 1(a). Name Of Issuer: </w:t>
      </w:r>
      <w:r>
        <w:rPr>
          <w:rFonts w:ascii="Arial" w:cs="Arial" w:eastAsia="Arial" w:hAnsi="Arial"/>
          <w:sz w:val="22"/>
          <w:szCs w:val="22"/>
          <w:color w:val="auto"/>
        </w:rPr>
        <w:t>Oil-Dri Corporation of America</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410 North Michigan Avenue, Suite 400</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Chicago, Illinois 60611</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Item 2(a). Name of Person Filing:</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Harvey Partners, LLC</w:t>
      </w:r>
    </w:p>
    <w:p>
      <w:pPr>
        <w:spacing w:after="0" w:line="30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551 Fifth Avenue, 36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p>
      <w:pPr>
        <w:ind w:left="760"/>
        <w:spacing w:after="0"/>
        <w:rPr>
          <w:sz w:val="20"/>
          <w:szCs w:val="20"/>
          <w:color w:val="auto"/>
        </w:rPr>
      </w:pPr>
      <w:r>
        <w:rPr>
          <w:rFonts w:ascii="Arial" w:cs="Arial" w:eastAsia="Arial" w:hAnsi="Arial"/>
          <w:sz w:val="22"/>
          <w:szCs w:val="22"/>
          <w:color w:val="auto"/>
        </w:rPr>
        <w:t>New York, NY 10176</w:t>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Item 2(c). Citizenship:</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Harvey Partners, LLC, a Delaware limited liability company.</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2(d). Title of Class of Securities: </w:t>
      </w:r>
      <w:r>
        <w:rPr>
          <w:rFonts w:ascii="Arial" w:cs="Arial" w:eastAsia="Arial" w:hAnsi="Arial"/>
          <w:sz w:val="22"/>
          <w:szCs w:val="22"/>
          <w:color w:val="auto"/>
        </w:rPr>
        <w:t>Common Stock, par value $0.10</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2(e). CUSIP No.: </w:t>
      </w:r>
      <w:r>
        <w:rPr>
          <w:rFonts w:ascii="Arial" w:cs="Arial" w:eastAsia="Arial" w:hAnsi="Arial"/>
          <w:sz w:val="22"/>
          <w:szCs w:val="22"/>
          <w:color w:val="auto"/>
        </w:rPr>
        <w:t>677864100</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§§240.13d-1(b) or 240.13d-2(b) or (c), check whether the Person Filing is 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160"/>
          </w:cols>
          <w:pgMar w:left="240" w:top="693"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6600" w:type="dxa"/>
            <w:vAlign w:val="bottom"/>
          </w:tcPr>
          <w:p>
            <w:pPr>
              <w:spacing w:after="0"/>
              <w:rPr>
                <w:sz w:val="20"/>
                <w:szCs w:val="20"/>
                <w:color w:val="auto"/>
              </w:rPr>
            </w:pPr>
            <w:r>
              <w:rPr>
                <w:rFonts w:ascii="Arial" w:cs="Arial" w:eastAsia="Arial" w:hAnsi="Arial"/>
                <w:sz w:val="22"/>
                <w:szCs w:val="22"/>
                <w:b w:val="1"/>
                <w:bCs w:val="1"/>
                <w:color w:val="auto"/>
              </w:rPr>
              <w:t>Item 4. Ownership</w:t>
            </w:r>
          </w:p>
        </w:tc>
        <w:tc>
          <w:tcPr>
            <w:tcW w:w="1240" w:type="dxa"/>
            <w:vAlign w:val="bottom"/>
          </w:tcPr>
          <w:p>
            <w:pPr>
              <w:spacing w:after="0"/>
              <w:rPr>
                <w:sz w:val="24"/>
                <w:szCs w:val="24"/>
                <w:color w:val="auto"/>
              </w:rPr>
            </w:pPr>
          </w:p>
        </w:tc>
      </w:tr>
      <w:tr>
        <w:trPr>
          <w:trHeight w:val="459"/>
        </w:trPr>
        <w:tc>
          <w:tcPr>
            <w:tcW w:w="6600" w:type="dxa"/>
            <w:vAlign w:val="bottom"/>
          </w:tcPr>
          <w:p>
            <w:pPr>
              <w:ind w:left="660"/>
              <w:spacing w:after="0"/>
              <w:rPr>
                <w:sz w:val="20"/>
                <w:szCs w:val="20"/>
                <w:color w:val="auto"/>
              </w:rPr>
            </w:pPr>
            <w:r>
              <w:rPr>
                <w:rFonts w:ascii="Arial" w:cs="Arial" w:eastAsia="Arial" w:hAnsi="Arial"/>
                <w:sz w:val="22"/>
                <w:szCs w:val="22"/>
                <w:color w:val="auto"/>
              </w:rPr>
              <w:t>(a) Amount Beneficially Owned</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305,807*</w:t>
            </w:r>
          </w:p>
        </w:tc>
      </w:tr>
      <w:tr>
        <w:trPr>
          <w:trHeight w:val="486"/>
        </w:trPr>
        <w:tc>
          <w:tcPr>
            <w:tcW w:w="6600" w:type="dxa"/>
            <w:vAlign w:val="bottom"/>
          </w:tcPr>
          <w:p>
            <w:pPr>
              <w:ind w:left="660"/>
              <w:spacing w:after="0"/>
              <w:rPr>
                <w:sz w:val="20"/>
                <w:szCs w:val="20"/>
                <w:color w:val="auto"/>
              </w:rPr>
            </w:pPr>
            <w:r>
              <w:rPr>
                <w:rFonts w:ascii="Arial" w:cs="Arial" w:eastAsia="Arial" w:hAnsi="Arial"/>
                <w:sz w:val="22"/>
                <w:szCs w:val="22"/>
                <w:color w:val="auto"/>
              </w:rPr>
              <w:t>(b) Percent of Class:</w:t>
            </w:r>
          </w:p>
        </w:tc>
        <w:tc>
          <w:tcPr>
            <w:tcW w:w="1240" w:type="dxa"/>
            <w:vAlign w:val="bottom"/>
          </w:tcPr>
          <w:p>
            <w:pPr>
              <w:ind w:left="420"/>
              <w:spacing w:after="0"/>
              <w:rPr>
                <w:sz w:val="20"/>
                <w:szCs w:val="20"/>
                <w:color w:val="auto"/>
              </w:rPr>
            </w:pPr>
            <w:r>
              <w:rPr>
                <w:rFonts w:ascii="Arial" w:cs="Arial" w:eastAsia="Arial" w:hAnsi="Arial"/>
                <w:sz w:val="22"/>
                <w:szCs w:val="22"/>
                <w:color w:val="auto"/>
              </w:rPr>
              <w:t>6.1%*</w:t>
            </w:r>
          </w:p>
        </w:tc>
      </w:tr>
      <w:tr>
        <w:trPr>
          <w:trHeight w:val="486"/>
        </w:trPr>
        <w:tc>
          <w:tcPr>
            <w:tcW w:w="6600" w:type="dxa"/>
            <w:vAlign w:val="bottom"/>
          </w:tcPr>
          <w:p>
            <w:pPr>
              <w:ind w:left="660"/>
              <w:spacing w:after="0"/>
              <w:rPr>
                <w:sz w:val="20"/>
                <w:szCs w:val="20"/>
                <w:color w:val="auto"/>
              </w:rPr>
            </w:pPr>
            <w:r>
              <w:rPr>
                <w:rFonts w:ascii="Arial" w:cs="Arial" w:eastAsia="Arial" w:hAnsi="Arial"/>
                <w:sz w:val="22"/>
                <w:szCs w:val="22"/>
                <w:color w:val="auto"/>
              </w:rPr>
              <w:t>(c) Number of Shares as to which the person has:</w:t>
            </w:r>
          </w:p>
        </w:tc>
        <w:tc>
          <w:tcPr>
            <w:tcW w:w="1240" w:type="dxa"/>
            <w:vAlign w:val="bottom"/>
          </w:tcPr>
          <w:p>
            <w:pPr>
              <w:spacing w:after="0"/>
              <w:rPr>
                <w:sz w:val="24"/>
                <w:szCs w:val="24"/>
                <w:color w:val="auto"/>
              </w:rPr>
            </w:pPr>
          </w:p>
        </w:tc>
      </w:tr>
      <w:tr>
        <w:trPr>
          <w:trHeight w:val="486"/>
        </w:trPr>
        <w:tc>
          <w:tcPr>
            <w:tcW w:w="6600" w:type="dxa"/>
            <w:vAlign w:val="bottom"/>
          </w:tcPr>
          <w:p>
            <w:pPr>
              <w:ind w:left="1300"/>
              <w:spacing w:after="0"/>
              <w:rPr>
                <w:sz w:val="20"/>
                <w:szCs w:val="20"/>
                <w:color w:val="auto"/>
              </w:rPr>
            </w:pPr>
            <w:r>
              <w:rPr>
                <w:rFonts w:ascii="Arial" w:cs="Arial" w:eastAsia="Arial" w:hAnsi="Arial"/>
                <w:sz w:val="22"/>
                <w:szCs w:val="22"/>
                <w:color w:val="auto"/>
              </w:rPr>
              <w:t>(i) sole power to vote or to direct the vote</w:t>
            </w: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305,807*</w:t>
            </w:r>
          </w:p>
        </w:tc>
      </w:tr>
      <w:tr>
        <w:trPr>
          <w:trHeight w:val="486"/>
        </w:trPr>
        <w:tc>
          <w:tcPr>
            <w:tcW w:w="6600" w:type="dxa"/>
            <w:vAlign w:val="bottom"/>
          </w:tcPr>
          <w:p>
            <w:pPr>
              <w:ind w:left="1300"/>
              <w:spacing w:after="0"/>
              <w:rPr>
                <w:sz w:val="20"/>
                <w:szCs w:val="20"/>
                <w:color w:val="auto"/>
              </w:rPr>
            </w:pPr>
            <w:r>
              <w:rPr>
                <w:rFonts w:ascii="Arial" w:cs="Arial" w:eastAsia="Arial" w:hAnsi="Arial"/>
                <w:sz w:val="22"/>
                <w:szCs w:val="22"/>
                <w:color w:val="auto"/>
              </w:rPr>
              <w:t>(ii) shared power to vote or to direct the vote</w:t>
            </w:r>
          </w:p>
        </w:tc>
        <w:tc>
          <w:tcPr>
            <w:tcW w:w="1240" w:type="dxa"/>
            <w:vAlign w:val="bottom"/>
          </w:tcPr>
          <w:p>
            <w:pPr>
              <w:jc w:val="right"/>
              <w:ind w:right="132"/>
              <w:spacing w:after="0"/>
              <w:rPr>
                <w:sz w:val="20"/>
                <w:szCs w:val="20"/>
                <w:color w:val="auto"/>
              </w:rPr>
            </w:pPr>
            <w:r>
              <w:rPr>
                <w:rFonts w:ascii="Arial" w:cs="Arial" w:eastAsia="Arial" w:hAnsi="Arial"/>
                <w:sz w:val="22"/>
                <w:szCs w:val="22"/>
                <w:color w:val="auto"/>
              </w:rPr>
              <w:t>0</w:t>
            </w:r>
          </w:p>
        </w:tc>
      </w:tr>
      <w:tr>
        <w:trPr>
          <w:trHeight w:val="486"/>
        </w:trPr>
        <w:tc>
          <w:tcPr>
            <w:tcW w:w="6600" w:type="dxa"/>
            <w:vAlign w:val="bottom"/>
          </w:tcPr>
          <w:p>
            <w:pPr>
              <w:ind w:left="1300"/>
              <w:spacing w:after="0"/>
              <w:rPr>
                <w:sz w:val="20"/>
                <w:szCs w:val="20"/>
                <w:color w:val="auto"/>
              </w:rPr>
            </w:pPr>
            <w:r>
              <w:rPr>
                <w:rFonts w:ascii="Arial" w:cs="Arial" w:eastAsia="Arial" w:hAnsi="Arial"/>
                <w:sz w:val="22"/>
                <w:szCs w:val="22"/>
                <w:color w:val="auto"/>
                <w:w w:val="99"/>
              </w:rPr>
              <w:t>(iii) sole power to dispose or to direct the disposition of</w:t>
            </w:r>
          </w:p>
        </w:tc>
        <w:tc>
          <w:tcPr>
            <w:tcW w:w="1240" w:type="dxa"/>
            <w:vAlign w:val="bottom"/>
          </w:tcPr>
          <w:p>
            <w:pPr>
              <w:ind w:left="420"/>
              <w:spacing w:after="0"/>
              <w:rPr>
                <w:sz w:val="20"/>
                <w:szCs w:val="20"/>
                <w:color w:val="auto"/>
              </w:rPr>
            </w:pPr>
            <w:r>
              <w:rPr>
                <w:rFonts w:ascii="Arial" w:cs="Arial" w:eastAsia="Arial" w:hAnsi="Arial"/>
                <w:sz w:val="22"/>
                <w:szCs w:val="22"/>
                <w:color w:val="auto"/>
                <w:w w:val="90"/>
              </w:rPr>
              <w:t>305,807*</w:t>
            </w:r>
          </w:p>
        </w:tc>
      </w:tr>
      <w:tr>
        <w:trPr>
          <w:trHeight w:val="473"/>
        </w:trPr>
        <w:tc>
          <w:tcPr>
            <w:tcW w:w="6600" w:type="dxa"/>
            <w:vAlign w:val="bottom"/>
          </w:tcPr>
          <w:p>
            <w:pPr>
              <w:ind w:left="1300"/>
              <w:spacing w:after="0"/>
              <w:rPr>
                <w:sz w:val="20"/>
                <w:szCs w:val="20"/>
                <w:color w:val="auto"/>
              </w:rPr>
            </w:pPr>
            <w:r>
              <w:rPr>
                <w:rFonts w:ascii="Arial" w:cs="Arial" w:eastAsia="Arial" w:hAnsi="Arial"/>
                <w:sz w:val="22"/>
                <w:szCs w:val="22"/>
                <w:color w:val="auto"/>
                <w:w w:val="94"/>
              </w:rPr>
              <w:t>(iv) shared power to dispose or to direct the disposition of</w:t>
            </w:r>
          </w:p>
        </w:tc>
        <w:tc>
          <w:tcPr>
            <w:tcW w:w="1240" w:type="dxa"/>
            <w:vAlign w:val="bottom"/>
          </w:tcPr>
          <w:p>
            <w:pPr>
              <w:jc w:val="right"/>
              <w:ind w:right="72"/>
              <w:spacing w:after="0"/>
              <w:rPr>
                <w:sz w:val="20"/>
                <w:szCs w:val="20"/>
                <w:color w:val="auto"/>
              </w:rPr>
            </w:pPr>
            <w:r>
              <w:rPr>
                <w:rFonts w:ascii="Arial" w:cs="Arial" w:eastAsia="Arial" w:hAnsi="Arial"/>
                <w:sz w:val="22"/>
                <w:szCs w:val="22"/>
                <w:color w:val="auto"/>
              </w:rPr>
              <w:t>0</w:t>
            </w:r>
          </w:p>
        </w:tc>
      </w:tr>
    </w:tbl>
    <w:p>
      <w:pPr>
        <w:spacing w:after="0" w:line="230" w:lineRule="auto"/>
        <w:rPr>
          <w:sz w:val="20"/>
          <w:szCs w:val="20"/>
          <w:color w:val="auto"/>
        </w:rPr>
      </w:pPr>
      <w:r>
        <w:rPr>
          <w:rFonts w:ascii="Arial" w:cs="Arial" w:eastAsia="Arial" w:hAnsi="Arial"/>
          <w:sz w:val="22"/>
          <w:szCs w:val="22"/>
          <w:color w:val="auto"/>
        </w:rPr>
        <w:t>______________________________________________________________________________</w:t>
      </w:r>
    </w:p>
    <w:p>
      <w:pPr>
        <w:spacing w:after="0" w:line="1" w:lineRule="exact"/>
        <w:rPr>
          <w:sz w:val="20"/>
          <w:szCs w:val="20"/>
          <w:color w:val="auto"/>
        </w:rPr>
      </w:pPr>
    </w:p>
    <w:p>
      <w:pPr>
        <w:jc w:val="both"/>
        <w:ind w:right="160" w:firstLine="8"/>
        <w:spacing w:after="0" w:line="271" w:lineRule="auto"/>
        <w:tabs>
          <w:tab w:leader="none" w:pos="170" w:val="left"/>
        </w:tabs>
        <w:numPr>
          <w:ilvl w:val="0"/>
          <w:numId w:val="5"/>
        </w:numPr>
        <w:rPr>
          <w:rFonts w:ascii="Arial" w:cs="Arial" w:eastAsia="Arial" w:hAnsi="Arial"/>
          <w:sz w:val="19"/>
          <w:szCs w:val="19"/>
          <w:color w:val="auto"/>
        </w:rPr>
      </w:pPr>
      <w:r>
        <w:rPr>
          <w:rFonts w:ascii="Arial" w:cs="Arial" w:eastAsia="Arial" w:hAnsi="Arial"/>
          <w:sz w:val="19"/>
          <w:szCs w:val="19"/>
          <w:color w:val="auto"/>
        </w:rPr>
        <w:t>Based on the information set forth in the Quarterly Report on Form 10-Q of Oil-Dri Corporation of America (the “Company”) filed with the Securities and Exchange Commission on December 5, 2014, there were 5,014,942 shares of the Company’s common stock, par value $0.10 (the “Common Stock”), outstanding as of October 31, 2014. As of December 31, 2014, Harvey SMidCap Fund, LP, a Delaware limited partnership (“SMidCap Fund”), held 78,284 shares of Common Stock and Harvey Master Fund, L.P., a Cayman Islands exempted limited partnership (“Master Fund”), held 227,523 shares of Common Stock. Harvey Partners, LLC, a Delaware limited liability company (“Harvey Partners”), is the investment manager of SMidCap Fund and Master Fund, and as such, possesses the sole power to vote and the sole power to direct the disposition of all securities of the Company held by SMidCap Fund and Master Fund.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305,807 shares of Common Stock, or 6.1% of the Common Stock deemed issued and outstanding as of December 31, 2014.</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owner of more than five percent of the class of securities, check the following: [_]</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900" w:hanging="89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463"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70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u w:val="single" w:color="auto"/>
          <w:color w:val="auto"/>
        </w:rPr>
        <w:t>SIGNATURE</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February 13, 2015</w:t>
      </w: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HARVEY PARTNERS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Jeffrey C.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-17780</wp:posOffset>
            </wp:positionV>
            <wp:extent cx="1663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ind w:left="3240"/>
        <w:spacing w:after="0" w:line="238" w:lineRule="auto"/>
        <w:rPr>
          <w:sz w:val="20"/>
          <w:szCs w:val="20"/>
          <w:color w:val="auto"/>
        </w:rPr>
      </w:pPr>
      <w:r>
        <w:rPr>
          <w:rFonts w:ascii="Arial" w:cs="Arial" w:eastAsia="Arial" w:hAnsi="Arial"/>
          <w:sz w:val="22"/>
          <w:szCs w:val="22"/>
          <w:color w:val="auto"/>
        </w:rPr>
        <w:t>Name: Jeffrey C. Moskowitz</w:t>
      </w:r>
    </w:p>
    <w:p>
      <w:pPr>
        <w:ind w:left="324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Federal criminal violations (See 18 U.S.C. 1001)</w:t>
      </w: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2020-01-22T14:39:32Z</dcterms:created>
  <dcterms:modified xsi:type="dcterms:W3CDTF">2020-01-22T14:39:32Z</dcterms:modified>
</cp:coreProperties>
</file>