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4"/>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7"/>
              </w:rPr>
              <w:t>UNITED STATES</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540" w:type="dxa"/>
            <w:vAlign w:val="bottom"/>
            <w:gridSpan w:val="11"/>
          </w:tcPr>
          <w:p>
            <w:pPr>
              <w:jc w:val="center"/>
              <w:ind w:right="2500"/>
              <w:spacing w:after="0"/>
              <w:rPr>
                <w:sz w:val="20"/>
                <w:szCs w:val="20"/>
                <w:color w:val="auto"/>
              </w:rPr>
            </w:pPr>
            <w:r>
              <w:rPr>
                <w:rFonts w:ascii="Times New Roman" w:cs="Times New Roman" w:eastAsia="Times New Roman" w:hAnsi="Times New Roman"/>
                <w:sz w:val="18"/>
                <w:szCs w:val="18"/>
                <w:color w:val="auto"/>
                <w:w w:val="99"/>
              </w:rPr>
              <w:t>SECURITIES AND EXCHANGE COMMISSION</w:t>
            </w:r>
          </w:p>
        </w:tc>
        <w:tc>
          <w:tcPr>
            <w:tcW w:w="0" w:type="dxa"/>
            <w:vAlign w:val="bottom"/>
          </w:tcPr>
          <w:p>
            <w:pPr>
              <w:spacing w:after="0"/>
              <w:rPr>
                <w:sz w:val="1"/>
                <w:szCs w:val="1"/>
                <w:color w:val="auto"/>
              </w:rPr>
            </w:pPr>
          </w:p>
        </w:tc>
      </w:tr>
      <w:tr>
        <w:trPr>
          <w:trHeight w:val="459"/>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9"/>
              </w:rPr>
              <w:t>Washington, D.C. 20549</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2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color w:val="auto"/>
              </w:rPr>
              <w:t>(Mark One)</w:t>
            </w:r>
          </w:p>
        </w:tc>
        <w:tc>
          <w:tcPr>
            <w:tcW w:w="2460" w:type="dxa"/>
            <w:vAlign w:val="bottom"/>
            <w:gridSpan w:val="2"/>
          </w:tcPr>
          <w:p>
            <w:pPr>
              <w:jc w:val="center"/>
              <w:ind w:left="290"/>
              <w:spacing w:after="0"/>
              <w:rPr>
                <w:sz w:val="20"/>
                <w:szCs w:val="20"/>
                <w:color w:val="auto"/>
              </w:rPr>
            </w:pPr>
            <w:r>
              <w:rPr>
                <w:rFonts w:ascii="Times New Roman" w:cs="Times New Roman" w:eastAsia="Times New Roman" w:hAnsi="Times New Roman"/>
                <w:sz w:val="18"/>
                <w:szCs w:val="18"/>
                <w:color w:val="auto"/>
                <w:w w:val="99"/>
              </w:rPr>
              <w:t>FORM 10-Q</w:t>
            </w: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200" w:type="dxa"/>
            <w:vAlign w:val="bottom"/>
            <w:gridSpan w:val="9"/>
            <w:vMerge w:val="continue"/>
          </w:tcPr>
          <w:p>
            <w:pPr>
              <w:spacing w:after="0"/>
              <w:rPr>
                <w:sz w:val="18"/>
                <w:szCs w:val="18"/>
                <w:color w:val="auto"/>
              </w:rPr>
            </w:pPr>
          </w:p>
        </w:tc>
        <w:tc>
          <w:tcPr>
            <w:tcW w:w="1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9"/>
        </w:trPr>
        <w:tc>
          <w:tcPr>
            <w:tcW w:w="38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320" w:type="dxa"/>
            <w:vAlign w:val="bottom"/>
            <w:gridSpan w:val="14"/>
          </w:tcPr>
          <w:p>
            <w:pPr>
              <w:jc w:val="center"/>
              <w:ind w:right="680"/>
              <w:spacing w:after="0"/>
              <w:rPr>
                <w:sz w:val="20"/>
                <w:szCs w:val="20"/>
                <w:color w:val="auto"/>
              </w:rPr>
            </w:pPr>
            <w:r>
              <w:rPr>
                <w:rFonts w:ascii="Times New Roman" w:cs="Times New Roman" w:eastAsia="Times New Roman" w:hAnsi="Times New Roman"/>
                <w:sz w:val="18"/>
                <w:szCs w:val="18"/>
                <w:color w:val="auto"/>
              </w:rPr>
              <w:t>Quarterly Report Pursuant to Section 13 or 15(d) of the Securities Exchange Act of 1934</w:t>
            </w:r>
          </w:p>
        </w:tc>
        <w:tc>
          <w:tcPr>
            <w:tcW w:w="0" w:type="dxa"/>
            <w:vAlign w:val="bottom"/>
          </w:tcPr>
          <w:p>
            <w:pPr>
              <w:spacing w:after="0"/>
              <w:rPr>
                <w:sz w:val="1"/>
                <w:szCs w:val="1"/>
                <w:color w:val="auto"/>
              </w:rPr>
            </w:pPr>
          </w:p>
        </w:tc>
      </w:tr>
      <w:tr>
        <w:trPr>
          <w:trHeight w:val="180"/>
        </w:trPr>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540" w:type="dxa"/>
            <w:vAlign w:val="bottom"/>
            <w:gridSpan w:val="11"/>
          </w:tcPr>
          <w:p>
            <w:pPr>
              <w:jc w:val="center"/>
              <w:ind w:right="2460"/>
              <w:spacing w:after="0" w:line="181" w:lineRule="exact"/>
              <w:rPr>
                <w:sz w:val="20"/>
                <w:szCs w:val="20"/>
                <w:color w:val="auto"/>
              </w:rPr>
            </w:pPr>
            <w:r>
              <w:rPr>
                <w:rFonts w:ascii="Times New Roman" w:cs="Times New Roman" w:eastAsia="Times New Roman" w:hAnsi="Times New Roman"/>
                <w:sz w:val="18"/>
                <w:szCs w:val="18"/>
                <w:color w:val="auto"/>
                <w:w w:val="99"/>
              </w:rPr>
              <w:t>For the Quarterly Period Ended April 30, 2025</w:t>
            </w:r>
          </w:p>
        </w:tc>
        <w:tc>
          <w:tcPr>
            <w:tcW w:w="0" w:type="dxa"/>
            <w:vAlign w:val="bottom"/>
          </w:tcPr>
          <w:p>
            <w:pPr>
              <w:spacing w:after="0"/>
              <w:rPr>
                <w:sz w:val="1"/>
                <w:szCs w:val="1"/>
                <w:color w:val="auto"/>
              </w:rPr>
            </w:pPr>
          </w:p>
        </w:tc>
      </w:tr>
      <w:tr>
        <w:trPr>
          <w:trHeight w:val="234"/>
        </w:trPr>
        <w:tc>
          <w:tcPr>
            <w:tcW w:w="380" w:type="dxa"/>
            <w:vAlign w:val="bottom"/>
            <w:vMerge w:val="restart"/>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2"/>
          </w:tcPr>
          <w:p>
            <w:pPr>
              <w:jc w:val="center"/>
              <w:ind w:left="330"/>
              <w:spacing w:after="0"/>
              <w:rPr>
                <w:sz w:val="20"/>
                <w:szCs w:val="20"/>
                <w:color w:val="auto"/>
              </w:rPr>
            </w:pPr>
            <w:r>
              <w:rPr>
                <w:rFonts w:ascii="Times New Roman" w:cs="Times New Roman" w:eastAsia="Times New Roman" w:hAnsi="Times New Roman"/>
                <w:sz w:val="18"/>
                <w:szCs w:val="18"/>
                <w:color w:val="auto"/>
              </w:rPr>
              <w:t>or</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3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320" w:type="dxa"/>
            <w:vAlign w:val="bottom"/>
            <w:gridSpan w:val="14"/>
          </w:tcPr>
          <w:p>
            <w:pPr>
              <w:jc w:val="center"/>
              <w:ind w:right="680"/>
              <w:spacing w:after="0"/>
              <w:rPr>
                <w:sz w:val="20"/>
                <w:szCs w:val="20"/>
                <w:color w:val="auto"/>
              </w:rPr>
            </w:pPr>
            <w:r>
              <w:rPr>
                <w:rFonts w:ascii="Times New Roman" w:cs="Times New Roman" w:eastAsia="Times New Roman" w:hAnsi="Times New Roman"/>
                <w:sz w:val="18"/>
                <w:szCs w:val="18"/>
                <w:color w:val="auto"/>
                <w:w w:val="99"/>
              </w:rPr>
              <w:t>Transition Report Pursuant to Section 13 or 15(d) of the Securities Exchange Act of 1934</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380" w:type="dxa"/>
            <w:vAlign w:val="bottom"/>
            <w:gridSpan w:val="12"/>
          </w:tcPr>
          <w:p>
            <w:pPr>
              <w:jc w:val="center"/>
              <w:ind w:right="1620"/>
              <w:spacing w:after="0"/>
              <w:rPr>
                <w:sz w:val="20"/>
                <w:szCs w:val="20"/>
                <w:color w:val="auto"/>
              </w:rPr>
            </w:pPr>
            <w:r>
              <w:rPr>
                <w:rFonts w:ascii="Times New Roman" w:cs="Times New Roman" w:eastAsia="Times New Roman" w:hAnsi="Times New Roman"/>
                <w:sz w:val="18"/>
                <w:szCs w:val="18"/>
                <w:color w:val="auto"/>
                <w:w w:val="99"/>
              </w:rPr>
              <w:t>For the transition period from _____________ to ______________</w:t>
            </w:r>
          </w:p>
        </w:tc>
        <w:tc>
          <w:tcPr>
            <w:tcW w:w="0" w:type="dxa"/>
            <w:vAlign w:val="bottom"/>
          </w:tcPr>
          <w:p>
            <w:pPr>
              <w:spacing w:after="0"/>
              <w:rPr>
                <w:sz w:val="1"/>
                <w:szCs w:val="1"/>
                <w:color w:val="auto"/>
              </w:rPr>
            </w:pPr>
          </w:p>
        </w:tc>
      </w:tr>
      <w:tr>
        <w:trPr>
          <w:trHeight w:val="513"/>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940" w:type="dxa"/>
            <w:vAlign w:val="bottom"/>
            <w:gridSpan w:val="9"/>
          </w:tcPr>
          <w:p>
            <w:pPr>
              <w:jc w:val="center"/>
              <w:ind w:right="3080"/>
              <w:spacing w:after="0"/>
              <w:rPr>
                <w:sz w:val="20"/>
                <w:szCs w:val="20"/>
                <w:color w:val="auto"/>
              </w:rPr>
            </w:pPr>
            <w:r>
              <w:rPr>
                <w:rFonts w:ascii="Times New Roman" w:cs="Times New Roman" w:eastAsia="Times New Roman" w:hAnsi="Times New Roman"/>
                <w:sz w:val="18"/>
                <w:szCs w:val="18"/>
                <w:color w:val="auto"/>
                <w:w w:val="99"/>
              </w:rPr>
              <w:t>Commission File Number: 001-12622</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20" w:type="dxa"/>
            <w:vAlign w:val="bottom"/>
            <w:tcBorders>
              <w:right w:val="single" w:sz="8" w:color="auto"/>
            </w:tcBorders>
            <w:gridSpan w:val="2"/>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80" w:type="dxa"/>
            <w:vAlign w:val="bottom"/>
            <w:gridSpan w:val="10"/>
          </w:tcPr>
          <w:p>
            <w:pPr>
              <w:jc w:val="center"/>
              <w:ind w:right="2960"/>
              <w:spacing w:after="0"/>
              <w:rPr>
                <w:sz w:val="20"/>
                <w:szCs w:val="20"/>
                <w:color w:val="auto"/>
              </w:rPr>
            </w:pPr>
            <w:r>
              <w:rPr>
                <w:rFonts w:ascii="Times New Roman" w:cs="Times New Roman" w:eastAsia="Times New Roman" w:hAnsi="Times New Roman"/>
                <w:sz w:val="18"/>
                <w:szCs w:val="18"/>
                <w:color w:val="auto"/>
                <w:w w:val="99"/>
              </w:rPr>
              <w:t>OIL-DRI CORPORATION OF AMERICA</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940" w:type="dxa"/>
            <w:vAlign w:val="bottom"/>
            <w:tcBorders>
              <w:right w:val="single" w:sz="8" w:color="auto"/>
            </w:tcBorders>
            <w:gridSpan w:val="4"/>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540" w:type="dxa"/>
            <w:vAlign w:val="bottom"/>
            <w:gridSpan w:val="11"/>
          </w:tcPr>
          <w:p>
            <w:pPr>
              <w:jc w:val="center"/>
              <w:ind w:right="2480"/>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Delaware</w:t>
            </w:r>
          </w:p>
        </w:tc>
        <w:tc>
          <w:tcPr>
            <w:tcW w:w="1680" w:type="dxa"/>
            <w:vAlign w:val="bottom"/>
            <w:gridSpan w:val="4"/>
          </w:tcPr>
          <w:p>
            <w:pPr>
              <w:spacing w:after="0"/>
              <w:rPr>
                <w:sz w:val="18"/>
                <w:szCs w:val="18"/>
                <w:color w:val="auto"/>
              </w:rPr>
            </w:pPr>
          </w:p>
        </w:tc>
        <w:tc>
          <w:tcPr>
            <w:tcW w:w="1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gridSpan w:val="4"/>
          </w:tcPr>
          <w:p>
            <w:pPr>
              <w:spacing w:after="0"/>
              <w:rPr>
                <w:sz w:val="18"/>
                <w:szCs w:val="18"/>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36-2048898</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820" w:type="dxa"/>
            <w:vAlign w:val="bottom"/>
            <w:gridSpan w:val="8"/>
          </w:tcPr>
          <w:p>
            <w:pPr>
              <w:ind w:left="180"/>
              <w:spacing w:after="0"/>
              <w:rPr>
                <w:sz w:val="20"/>
                <w:szCs w:val="20"/>
                <w:color w:val="auto"/>
              </w:rPr>
            </w:pPr>
            <w:r>
              <w:rPr>
                <w:rFonts w:ascii="Times New Roman" w:cs="Times New Roman" w:eastAsia="Times New Roman" w:hAnsi="Times New Roman"/>
                <w:sz w:val="18"/>
                <w:szCs w:val="18"/>
                <w:color w:val="auto"/>
              </w:rPr>
              <w:t>(State or other jurisdiction of incorporation or</w:t>
            </w:r>
          </w:p>
        </w:tc>
        <w:tc>
          <w:tcPr>
            <w:tcW w:w="1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640" w:type="dxa"/>
            <w:vAlign w:val="bottom"/>
            <w:gridSpan w:val="6"/>
          </w:tcPr>
          <w:p>
            <w:pPr>
              <w:jc w:val="center"/>
              <w:ind w:right="1330"/>
              <w:spacing w:after="0"/>
              <w:rPr>
                <w:sz w:val="20"/>
                <w:szCs w:val="20"/>
                <w:color w:val="auto"/>
              </w:rPr>
            </w:pPr>
            <w:r>
              <w:rPr>
                <w:rFonts w:ascii="Times New Roman" w:cs="Times New Roman" w:eastAsia="Times New Roman" w:hAnsi="Times New Roman"/>
                <w:sz w:val="18"/>
                <w:szCs w:val="18"/>
                <w:color w:val="auto"/>
                <w:w w:val="97"/>
              </w:rPr>
              <w:t>organization)</w:t>
            </w:r>
          </w:p>
        </w:tc>
        <w:tc>
          <w:tcPr>
            <w:tcW w:w="1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80" w:type="dxa"/>
            <w:vAlign w:val="bottom"/>
            <w:gridSpan w:val="7"/>
          </w:tcPr>
          <w:p>
            <w:pPr>
              <w:jc w:val="center"/>
              <w:ind w:right="450"/>
              <w:spacing w:after="0"/>
              <w:rPr>
                <w:sz w:val="20"/>
                <w:szCs w:val="20"/>
                <w:color w:val="auto"/>
              </w:rPr>
            </w:pPr>
            <w:r>
              <w:rPr>
                <w:rFonts w:ascii="Times New Roman" w:cs="Times New Roman" w:eastAsia="Times New Roman" w:hAnsi="Times New Roman"/>
                <w:sz w:val="18"/>
                <w:szCs w:val="18"/>
                <w:color w:val="auto"/>
                <w:w w:val="98"/>
              </w:rPr>
              <w:t>410 North Michigan Avenue, Suite 400</w:t>
            </w:r>
          </w:p>
        </w:tc>
        <w:tc>
          <w:tcPr>
            <w:tcW w:w="1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gridSpan w:val="4"/>
          </w:tcPr>
          <w:p>
            <w:pPr>
              <w:jc w:val="center"/>
              <w:ind w:right="750"/>
              <w:spacing w:after="0"/>
              <w:rPr>
                <w:sz w:val="20"/>
                <w:szCs w:val="20"/>
                <w:color w:val="auto"/>
              </w:rPr>
            </w:pPr>
            <w:r>
              <w:rPr>
                <w:rFonts w:ascii="Times New Roman" w:cs="Times New Roman" w:eastAsia="Times New Roman" w:hAnsi="Times New Roman"/>
                <w:sz w:val="18"/>
                <w:szCs w:val="18"/>
                <w:color w:val="auto"/>
                <w:w w:val="99"/>
              </w:rPr>
              <w:t>Chicago, Illinois</w:t>
            </w:r>
          </w:p>
        </w:tc>
        <w:tc>
          <w:tcPr>
            <w:tcW w:w="600" w:type="dxa"/>
            <w:vAlign w:val="bottom"/>
            <w:gridSpan w:val="2"/>
          </w:tcPr>
          <w:p>
            <w:pPr>
              <w:spacing w:after="0"/>
              <w:rPr>
                <w:sz w:val="18"/>
                <w:szCs w:val="18"/>
                <w:color w:val="auto"/>
              </w:rPr>
            </w:pPr>
          </w:p>
        </w:tc>
        <w:tc>
          <w:tcPr>
            <w:tcW w:w="1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20" w:type="dxa"/>
            <w:vAlign w:val="bottom"/>
            <w:gridSpan w:val="6"/>
          </w:tcPr>
          <w:p>
            <w:pPr>
              <w:jc w:val="center"/>
              <w:ind w:left="1610"/>
              <w:spacing w:after="0"/>
              <w:rPr>
                <w:sz w:val="20"/>
                <w:szCs w:val="20"/>
                <w:color w:val="auto"/>
              </w:rPr>
            </w:pPr>
            <w:r>
              <w:rPr>
                <w:rFonts w:ascii="Times New Roman" w:cs="Times New Roman" w:eastAsia="Times New Roman" w:hAnsi="Times New Roman"/>
                <w:sz w:val="18"/>
                <w:szCs w:val="18"/>
                <w:color w:val="auto"/>
              </w:rPr>
              <w:t>60611-4213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0" w:type="dxa"/>
            <w:vAlign w:val="bottom"/>
            <w:gridSpan w:val="3"/>
            <w:shd w:val="clear" w:color="auto" w:fill="000000"/>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80" w:type="dxa"/>
            <w:vAlign w:val="bottom"/>
            <w:gridSpan w:val="7"/>
          </w:tcPr>
          <w:p>
            <w:pPr>
              <w:jc w:val="center"/>
              <w:ind w:right="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9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(Zip Code)</w:t>
            </w: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80" w:type="dxa"/>
            <w:vAlign w:val="bottom"/>
            <w:gridSpan w:val="12"/>
          </w:tcPr>
          <w:p>
            <w:pPr>
              <w:ind w:left="180"/>
              <w:spacing w:after="0" w:line="194" w:lineRule="exact"/>
              <w:rPr>
                <w:sz w:val="20"/>
                <w:szCs w:val="20"/>
                <w:color w:val="auto"/>
              </w:rPr>
            </w:pPr>
            <w:r>
              <w:rPr>
                <w:rFonts w:ascii="Times New Roman" w:cs="Times New Roman" w:eastAsia="Times New Roman" w:hAnsi="Times New Roman"/>
                <w:sz w:val="18"/>
                <w:szCs w:val="18"/>
                <w:color w:val="auto"/>
              </w:rPr>
              <w:t>The registrant's telephone number, including area code: (312) 321-1515</w:t>
            </w:r>
          </w:p>
        </w:tc>
        <w:tc>
          <w:tcPr>
            <w:tcW w:w="0" w:type="dxa"/>
            <w:vAlign w:val="bottom"/>
          </w:tcPr>
          <w:p>
            <w:pPr>
              <w:spacing w:after="0"/>
              <w:rPr>
                <w:sz w:val="1"/>
                <w:szCs w:val="1"/>
                <w:color w:val="auto"/>
              </w:rPr>
            </w:pPr>
          </w:p>
        </w:tc>
      </w:tr>
      <w:tr>
        <w:trPr>
          <w:trHeight w:val="318"/>
        </w:trPr>
        <w:tc>
          <w:tcPr>
            <w:tcW w:w="42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80" w:type="dxa"/>
            <w:vAlign w:val="bottom"/>
            <w:gridSpan w:val="5"/>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80" w:type="dxa"/>
            <w:vAlign w:val="bottom"/>
            <w:gridSpan w:val="7"/>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80" w:type="dxa"/>
            <w:vAlign w:val="bottom"/>
            <w:gridSpan w:val="7"/>
          </w:tcPr>
          <w:p>
            <w:pPr>
              <w:jc w:val="center"/>
              <w:ind w:left="130"/>
              <w:spacing w:after="0"/>
              <w:rPr>
                <w:sz w:val="20"/>
                <w:szCs w:val="20"/>
                <w:color w:val="auto"/>
              </w:rPr>
            </w:pPr>
            <w:r>
              <w:rPr>
                <w:rFonts w:ascii="Times New Roman" w:cs="Times New Roman" w:eastAsia="Times New Roman" w:hAnsi="Times New Roman"/>
                <w:sz w:val="18"/>
                <w:szCs w:val="18"/>
                <w:color w:val="auto"/>
                <w:w w:val="99"/>
              </w:rPr>
              <w:t>Common Stock, par value $0.10 per share</w:t>
            </w:r>
          </w:p>
        </w:tc>
        <w:tc>
          <w:tcPr>
            <w:tcW w:w="24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ODC</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31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311150</wp:posOffset>
            </wp:positionH>
            <wp:positionV relativeFrom="page">
              <wp:posOffset>706120</wp:posOffset>
            </wp:positionV>
            <wp:extent cx="69265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page">
              <wp:posOffset>311150</wp:posOffset>
            </wp:positionH>
            <wp:positionV relativeFrom="page">
              <wp:posOffset>662940</wp:posOffset>
            </wp:positionV>
            <wp:extent cx="692658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6580" cy="17145"/>
                    </a:xfrm>
                    <a:prstGeom prst="rect">
                      <a:avLst/>
                    </a:prstGeom>
                    <a:noFill/>
                  </pic:spPr>
                </pic:pic>
              </a:graphicData>
            </a:graphic>
          </wp:anchor>
        </w:drawing>
      </w:r>
    </w:p>
    <w:p>
      <w:pPr>
        <w:ind w:right="18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8" w:lineRule="exact"/>
        <w:rPr>
          <w:sz w:val="24"/>
          <w:szCs w:val="24"/>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20"/>
          </w:cols>
          <w:pgMar w:left="320" w:top="1282" w:right="459" w:bottom="1440" w:gutter="0" w:footer="0" w:header="0"/>
        </w:sectPr>
      </w:pPr>
    </w:p>
    <w:p>
      <w:pPr>
        <w:spacing w:after="0" w:line="81"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7"/>
          <w:szCs w:val="17"/>
          <w:color w:val="auto"/>
        </w:rPr>
        <w:t xml:space="preserve">Large Accelerated Filer </w:t>
      </w:r>
      <w:r>
        <w:rPr>
          <w:rFonts w:ascii="Wingdings" w:cs="Wingdings" w:eastAsia="Wingdings" w:hAnsi="Wingdings"/>
          <w:sz w:val="17"/>
          <w:szCs w:val="17"/>
          <w:b w:val="1"/>
          <w:bCs w:val="1"/>
          <w:color w:val="auto"/>
        </w:rPr>
        <w:t>o</w:t>
      </w:r>
    </w:p>
    <w:p>
      <w:pPr>
        <w:spacing w:after="0" w:line="39"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Accelerated Filer </w:t>
      </w: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br w:type="column"/>
      </w:r>
    </w:p>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Non-accelerated Filer </w:t>
      </w:r>
      <w:r>
        <w:rPr>
          <w:rFonts w:ascii="Wingdings" w:cs="Wingdings" w:eastAsia="Wingdings" w:hAnsi="Wingdings"/>
          <w:sz w:val="18"/>
          <w:szCs w:val="18"/>
          <w:b w:val="1"/>
          <w:bCs w:val="1"/>
          <w:color w:val="auto"/>
        </w:rPr>
        <w:t>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Smaller Reporting Company </w:t>
      </w:r>
      <w:r>
        <w:rPr>
          <w:rFonts w:ascii="Wingdings" w:cs="Wingdings" w:eastAsia="Wingdings" w:hAnsi="Wingdings"/>
          <w:sz w:val="18"/>
          <w:szCs w:val="18"/>
          <w:b w:val="1"/>
          <w:bCs w:val="1"/>
          <w:color w:val="auto"/>
        </w:rPr>
        <w:t>o</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00" w:lineRule="exact"/>
        <w:rPr>
          <w:sz w:val="24"/>
          <w:szCs w:val="24"/>
          <w:color w:val="auto"/>
        </w:rPr>
      </w:pPr>
    </w:p>
    <w:p>
      <w:pPr>
        <w:sectPr>
          <w:pgSz w:w="11900" w:h="16838" w:orient="portrait"/>
          <w:cols w:equalWidth="0" w:num="2">
            <w:col w:w="7120" w:space="720"/>
            <w:col w:w="3280"/>
          </w:cols>
          <w:pgMar w:left="320" w:top="1282" w:right="459" w:bottom="1440" w:gutter="0" w:footer="0" w:header="0"/>
          <w:type w:val="continuous"/>
        </w:sectPr>
      </w:pPr>
    </w:p>
    <w:p>
      <w:pPr>
        <w:spacing w:after="0" w:line="236" w:lineRule="exact"/>
        <w:rPr>
          <w:sz w:val="24"/>
          <w:szCs w:val="24"/>
          <w:color w:val="auto"/>
        </w:rPr>
      </w:pPr>
    </w:p>
    <w:p>
      <w:pPr>
        <w:ind w:right="4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31, 2025, 10,368,372 shares of the registrant's Common Stock and 4,269,856 shares of the registrant's Class B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82"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8120" w:type="dxa"/>
            <w:vAlign w:val="bottom"/>
            <w:gridSpan w:val="3"/>
          </w:tcPr>
          <w:p>
            <w:pPr>
              <w:ind w:left="37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97"/>
        </w:trPr>
        <w:tc>
          <w:tcPr>
            <w:tcW w:w="940" w:type="dxa"/>
            <w:vAlign w:val="bottom"/>
          </w:tcPr>
          <w:p>
            <w:pPr>
              <w:spacing w:after="0"/>
              <w:rPr>
                <w:sz w:val="24"/>
                <w:szCs w:val="24"/>
                <w:color w:val="auto"/>
              </w:rPr>
            </w:pPr>
          </w:p>
        </w:tc>
        <w:tc>
          <w:tcPr>
            <w:tcW w:w="8120" w:type="dxa"/>
            <w:vAlign w:val="bottom"/>
            <w:gridSpan w:val="3"/>
          </w:tcPr>
          <w:p>
            <w:pPr>
              <w:ind w:left="320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060" w:type="dxa"/>
            <w:vAlign w:val="bottom"/>
            <w:gridSpan w:val="7"/>
            <w:vMerge w:val="restart"/>
          </w:tcPr>
          <w:p>
            <w:pPr>
              <w:ind w:left="14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89"/>
        </w:trPr>
        <w:tc>
          <w:tcPr>
            <w:tcW w:w="940" w:type="dxa"/>
            <w:vAlign w:val="bottom"/>
          </w:tcPr>
          <w:p>
            <w:pPr>
              <w:spacing w:after="0"/>
              <w:rPr>
                <w:sz w:val="16"/>
                <w:szCs w:val="16"/>
                <w:color w:val="auto"/>
              </w:rPr>
            </w:pPr>
          </w:p>
        </w:tc>
        <w:tc>
          <w:tcPr>
            <w:tcW w:w="5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2060" w:type="dxa"/>
            <w:vAlign w:val="bottom"/>
            <w:gridSpan w:val="7"/>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9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w:t>
            </w: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Financial Statements</w:t>
            </w:r>
          </w:p>
        </w:tc>
        <w:tc>
          <w:tcPr>
            <w:tcW w:w="1720" w:type="dxa"/>
            <w:vAlign w:val="bottom"/>
            <w:gridSpan w:val="5"/>
            <w:shd w:val="clear" w:color="auto" w:fill="CCEEFF"/>
          </w:tcPr>
          <w:p>
            <w:pPr>
              <w:jc w:val="center"/>
              <w:ind w:left="1450"/>
              <w:spacing w:after="0" w:line="189" w:lineRule="exact"/>
              <w:rPr>
                <w:sz w:val="20"/>
                <w:szCs w:val="20"/>
                <w:color w:val="auto"/>
              </w:rPr>
            </w:pPr>
            <w:r>
              <w:rPr>
                <w:rFonts w:ascii="Times New Roman" w:cs="Times New Roman" w:eastAsia="Times New Roman" w:hAnsi="Times New Roman"/>
                <w:sz w:val="18"/>
                <w:szCs w:val="18"/>
                <w:color w:val="0000FF"/>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5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3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20" w:type="dxa"/>
            <w:vAlign w:val="bottom"/>
            <w:gridSpan w:val="6"/>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24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570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23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3:</w:t>
            </w: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20" w:type="dxa"/>
            <w:vAlign w:val="bottom"/>
            <w:gridSpan w:val="6"/>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5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3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Controls and Procedures</w:t>
            </w:r>
          </w:p>
        </w:tc>
        <w:tc>
          <w:tcPr>
            <w:tcW w:w="1820" w:type="dxa"/>
            <w:vAlign w:val="bottom"/>
            <w:gridSpan w:val="6"/>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31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40" w:type="dxa"/>
            <w:vAlign w:val="bottom"/>
            <w:tcBorders>
              <w:top w:val="single" w:sz="8" w:color="CCEEFF"/>
            </w:tcBorders>
          </w:tcPr>
          <w:p>
            <w:pPr>
              <w:spacing w:after="0"/>
              <w:rPr>
                <w:sz w:val="19"/>
                <w:szCs w:val="19"/>
                <w:color w:val="auto"/>
              </w:rPr>
            </w:pPr>
          </w:p>
        </w:tc>
        <w:tc>
          <w:tcPr>
            <w:tcW w:w="5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3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40" w:type="dxa"/>
            <w:vAlign w:val="bottom"/>
            <w:shd w:val="clear" w:color="auto" w:fill="CCEEFF"/>
          </w:tcPr>
          <w:p>
            <w:pPr>
              <w:spacing w:after="0"/>
              <w:rPr>
                <w:sz w:val="19"/>
                <w:szCs w:val="19"/>
                <w:color w:val="auto"/>
              </w:rPr>
            </w:pPr>
          </w:p>
        </w:tc>
        <w:tc>
          <w:tcPr>
            <w:tcW w:w="8120" w:type="dxa"/>
            <w:vAlign w:val="bottom"/>
            <w:gridSpan w:val="3"/>
            <w:shd w:val="clear" w:color="auto" w:fill="CCEEFF"/>
          </w:tcPr>
          <w:p>
            <w:pPr>
              <w:ind w:left="334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86"/>
        </w:trPr>
        <w:tc>
          <w:tcPr>
            <w:tcW w:w="94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1A:</w:t>
            </w: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Risk Factors</w:t>
            </w:r>
          </w:p>
        </w:tc>
        <w:tc>
          <w:tcPr>
            <w:tcW w:w="1820" w:type="dxa"/>
            <w:vAlign w:val="bottom"/>
            <w:gridSpan w:val="6"/>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32</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57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32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2:</w:t>
            </w: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820" w:type="dxa"/>
            <w:vAlign w:val="bottom"/>
            <w:gridSpan w:val="6"/>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57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32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4:</w:t>
            </w: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Mine Safety Disclosures</w:t>
            </w:r>
          </w:p>
        </w:tc>
        <w:tc>
          <w:tcPr>
            <w:tcW w:w="1820" w:type="dxa"/>
            <w:vAlign w:val="bottom"/>
            <w:gridSpan w:val="6"/>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33</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940" w:type="dxa"/>
            <w:vAlign w:val="bottom"/>
            <w:tcBorders>
              <w:top w:val="single" w:sz="8" w:color="CCEEFF"/>
            </w:tcBorders>
          </w:tcPr>
          <w:p>
            <w:pPr>
              <w:spacing w:after="0"/>
              <w:rPr>
                <w:sz w:val="22"/>
                <w:szCs w:val="22"/>
                <w:color w:val="auto"/>
              </w:rPr>
            </w:pPr>
          </w:p>
        </w:tc>
        <w:tc>
          <w:tcPr>
            <w:tcW w:w="570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320" w:type="dxa"/>
            <w:vAlign w:val="bottom"/>
            <w:tcBorders>
              <w:top w:val="single" w:sz="8" w:color="CCEEFF"/>
            </w:tcBorders>
          </w:tcPr>
          <w:p>
            <w:pPr>
              <w:spacing w:after="0"/>
              <w:rPr>
                <w:sz w:val="22"/>
                <w:szCs w:val="22"/>
                <w:color w:val="auto"/>
              </w:rPr>
            </w:pPr>
          </w:p>
        </w:tc>
        <w:tc>
          <w:tcPr>
            <w:tcW w:w="1440" w:type="dxa"/>
            <w:vAlign w:val="bottom"/>
            <w:tcBorders>
              <w:top w:val="single" w:sz="8" w:color="CCEE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0000FF"/>
            </w:tcBorders>
          </w:tcPr>
          <w:p>
            <w:pPr>
              <w:spacing w:after="0"/>
              <w:rPr>
                <w:sz w:val="22"/>
                <w:szCs w:val="22"/>
                <w:color w:val="auto"/>
              </w:rPr>
            </w:pPr>
          </w:p>
        </w:tc>
        <w:tc>
          <w:tcPr>
            <w:tcW w:w="40" w:type="dxa"/>
            <w:vAlign w:val="bottom"/>
            <w:tcBorders>
              <w:top w:val="single" w:sz="8" w:color="0000FF"/>
            </w:tcBorders>
          </w:tcPr>
          <w:p>
            <w:pPr>
              <w:spacing w:after="0"/>
              <w:rPr>
                <w:sz w:val="22"/>
                <w:szCs w:val="22"/>
                <w:color w:val="auto"/>
              </w:rPr>
            </w:pPr>
          </w:p>
        </w:tc>
        <w:tc>
          <w:tcPr>
            <w:tcW w:w="100" w:type="dxa"/>
            <w:vAlign w:val="bottom"/>
            <w:tcBorders>
              <w:top w:val="single" w:sz="8" w:color="CCEEFF"/>
            </w:tcBorders>
          </w:tcPr>
          <w:p>
            <w:pPr>
              <w:spacing w:after="0"/>
              <w:rPr>
                <w:sz w:val="22"/>
                <w:szCs w:val="22"/>
                <w:color w:val="auto"/>
              </w:rPr>
            </w:pPr>
          </w:p>
        </w:tc>
        <w:tc>
          <w:tcPr>
            <w:tcW w:w="2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94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Item 6:</w:t>
            </w: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Exhibits</w:t>
            </w:r>
          </w:p>
        </w:tc>
        <w:tc>
          <w:tcPr>
            <w:tcW w:w="1820" w:type="dxa"/>
            <w:vAlign w:val="bottom"/>
            <w:gridSpan w:val="6"/>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34</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40" w:type="dxa"/>
            <w:vAlign w:val="bottom"/>
            <w:tcBorders>
              <w:top w:val="single" w:sz="8" w:color="CCEEFF"/>
            </w:tcBorders>
          </w:tcPr>
          <w:p>
            <w:pPr>
              <w:spacing w:after="0"/>
              <w:rPr>
                <w:sz w:val="19"/>
                <w:szCs w:val="19"/>
                <w:color w:val="auto"/>
              </w:rPr>
            </w:pPr>
          </w:p>
        </w:tc>
        <w:tc>
          <w:tcPr>
            <w:tcW w:w="57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320" w:type="dxa"/>
            <w:vAlign w:val="bottom"/>
            <w:tcBorders>
              <w:top w:val="single" w:sz="8" w:color="CCEEFF"/>
            </w:tcBorders>
          </w:tcPr>
          <w:p>
            <w:pPr>
              <w:spacing w:after="0"/>
              <w:rPr>
                <w:sz w:val="19"/>
                <w:szCs w:val="19"/>
                <w:color w:val="auto"/>
              </w:rPr>
            </w:pPr>
          </w:p>
        </w:tc>
        <w:tc>
          <w:tcPr>
            <w:tcW w:w="14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4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940" w:type="dxa"/>
            <w:vAlign w:val="bottom"/>
            <w:shd w:val="clear" w:color="auto" w:fill="CCEEFF"/>
          </w:tcPr>
          <w:p>
            <w:pPr>
              <w:spacing w:after="0"/>
              <w:rPr>
                <w:sz w:val="16"/>
                <w:szCs w:val="16"/>
                <w:color w:val="auto"/>
              </w:rPr>
            </w:pPr>
          </w:p>
        </w:tc>
        <w:tc>
          <w:tcPr>
            <w:tcW w:w="8120" w:type="dxa"/>
            <w:vAlign w:val="bottom"/>
            <w:gridSpan w:val="3"/>
            <w:shd w:val="clear" w:color="auto" w:fill="CCEEFF"/>
          </w:tcPr>
          <w:p>
            <w:pPr>
              <w:ind w:left="240"/>
              <w:spacing w:after="0" w:line="189" w:lineRule="exact"/>
              <w:rPr>
                <w:sz w:val="20"/>
                <w:szCs w:val="20"/>
                <w:color w:val="auto"/>
              </w:rPr>
            </w:pPr>
            <w:r>
              <w:rPr>
                <w:rFonts w:ascii="Times New Roman" w:cs="Times New Roman" w:eastAsia="Times New Roman" w:hAnsi="Times New Roman"/>
                <w:sz w:val="18"/>
                <w:szCs w:val="18"/>
                <w:color w:val="0000FF"/>
              </w:rPr>
              <w:t>Signatures</w:t>
            </w:r>
          </w:p>
        </w:tc>
        <w:tc>
          <w:tcPr>
            <w:tcW w:w="1820" w:type="dxa"/>
            <w:vAlign w:val="bottom"/>
            <w:gridSpan w:val="6"/>
            <w:shd w:val="clear" w:color="auto" w:fill="CCEEFF"/>
          </w:tcPr>
          <w:p>
            <w:pPr>
              <w:jc w:val="center"/>
              <w:ind w:left="1350"/>
              <w:spacing w:after="0" w:line="189" w:lineRule="exact"/>
              <w:rPr>
                <w:sz w:val="20"/>
                <w:szCs w:val="20"/>
                <w:color w:val="auto"/>
              </w:rPr>
            </w:pPr>
            <w:r>
              <w:rPr>
                <w:rFonts w:ascii="Times New Roman" w:cs="Times New Roman" w:eastAsia="Times New Roman" w:hAnsi="Times New Roman"/>
                <w:sz w:val="18"/>
                <w:szCs w:val="18"/>
                <w:color w:val="0000FF"/>
                <w:w w:val="99"/>
              </w:rPr>
              <w:t>35</w:t>
            </w:r>
          </w:p>
        </w:tc>
        <w:tc>
          <w:tcPr>
            <w:tcW w:w="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4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Certain statements in this report, including, but not limited to, under the heading "Management’s Discussion and Analysis of Financial Condition and Results of Operations," and elsewhere in this report and in other documents that we file with the Securities and Exchange Commission ("SEC"),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spacing w:after="0" w:line="21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herein and in Item 1A, "Risk Factors," of our Annual Report on Form 10-K for the fiscal year ended July 31, 2024 and from time to time in our other filings with the SEC.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9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TRADEMARK NOTICE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is a registered trademark of Oil-Dri Corporation of America.</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3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6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OIL-DRI CORPORATION OF AMERICA</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16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1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(in thousands, except for share and per share amounts, unaudited)</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160" w:type="dxa"/>
            <w:vAlign w:val="bottom"/>
            <w:vMerge w:val="restart"/>
          </w:tcPr>
          <w:p>
            <w:pPr>
              <w:ind w:left="2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6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16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83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23,481</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Accounts receivable, net of allowances</w:t>
            </w: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65,517</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$1,370 and $934 at April 30, 2025 and July 31, 2024, respectively</w:t>
            </w:r>
          </w:p>
        </w:tc>
        <w:tc>
          <w:tcPr>
            <w:tcW w:w="2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62,171</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4,903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7,270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163,426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147,158</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1000" w:type="dxa"/>
            <w:vAlign w:val="bottom"/>
            <w:tcBorders>
              <w:bottom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Other Assets</w:t>
            </w:r>
          </w:p>
        </w:tc>
        <w:tc>
          <w:tcPr>
            <w:tcW w:w="732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139,837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137,796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15,745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Trademarks, trade names and patents, net of accumulated amortization</w:t>
            </w:r>
          </w:p>
        </w:tc>
        <w:tc>
          <w:tcPr>
            <w:tcW w:w="2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6,620</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of $664 and $625 at April 30, 2025 and July 31, 2024, respectively</w:t>
            </w:r>
          </w:p>
        </w:tc>
        <w:tc>
          <w:tcPr>
            <w:tcW w:w="220" w:type="dxa"/>
            <w:vAlign w:val="bottom"/>
          </w:tcPr>
          <w:p>
            <w:pPr>
              <w:spacing w:after="0"/>
              <w:rPr>
                <w:sz w:val="21"/>
                <w:szCs w:val="21"/>
                <w:color w:val="auto"/>
              </w:rPr>
            </w:pPr>
          </w:p>
        </w:tc>
        <w:tc>
          <w:tcPr>
            <w:tcW w:w="116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32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Customer list, net of accumulated amortization</w:t>
            </w:r>
          </w:p>
        </w:tc>
        <w:tc>
          <w:tcPr>
            <w:tcW w:w="2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19,189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of $8,996 and $8,149 at April 30, 2025 and July 31, 2024, respectively</w:t>
            </w:r>
          </w:p>
        </w:tc>
        <w:tc>
          <w:tcPr>
            <w:tcW w:w="2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20,036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15,236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32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7,581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320" w:type="dxa"/>
            <w:vAlign w:val="bottom"/>
            <w:gridSpan w:val="3"/>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206,117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207,447</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0" w:type="dxa"/>
            <w:vAlign w:val="bottom"/>
          </w:tcPr>
          <w:p>
            <w:pPr>
              <w:spacing w:after="0"/>
              <w:rPr>
                <w:sz w:val="21"/>
                <w:szCs w:val="21"/>
                <w:color w:val="auto"/>
              </w:rPr>
            </w:pPr>
          </w:p>
        </w:tc>
        <w:tc>
          <w:tcPr>
            <w:tcW w:w="8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369,543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354,605</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except for share and per share amounts, 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5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LIABILITIES &amp; STOCKHOLDERS’ EQUITY</w:t>
            </w:r>
          </w:p>
        </w:tc>
        <w:tc>
          <w:tcPr>
            <w:tcW w:w="220" w:type="dxa"/>
            <w:vAlign w:val="bottom"/>
          </w:tcPr>
          <w:p>
            <w:pPr>
              <w:spacing w:after="0"/>
              <w:rPr>
                <w:sz w:val="17"/>
                <w:szCs w:val="17"/>
                <w:color w:val="auto"/>
              </w:rPr>
            </w:pPr>
          </w:p>
        </w:tc>
        <w:tc>
          <w:tcPr>
            <w:tcW w:w="13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40" w:type="dxa"/>
            <w:vAlign w:val="bottom"/>
          </w:tcPr>
          <w:p>
            <w:pPr>
              <w:spacing w:after="0"/>
              <w:rPr>
                <w:sz w:val="17"/>
                <w:szCs w:val="17"/>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54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6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maturities of notes payable</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13,177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payable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2,105</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4,167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37,207</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44,016</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57,656</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66,677</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26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Long-term debt, net of unamortized debt issuance costs</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39,807</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of $193 and $226 at April 30, 2025 and July 31, 2024, respectively</w:t>
            </w:r>
          </w:p>
        </w:tc>
        <w:tc>
          <w:tcPr>
            <w:tcW w:w="22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49,774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Deferred compensation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6,215</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12,239</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15,391</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6,767</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6,508</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65,028</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77,340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122,684</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144,017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7)</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Stockholders’ Equity</w:t>
            </w:r>
          </w:p>
        </w:tc>
        <w:tc>
          <w:tcPr>
            <w:tcW w:w="6620" w:type="dxa"/>
            <w:vAlign w:val="bottom"/>
            <w:tcBorders>
              <w:bottom w:val="single" w:sz="8" w:color="CCEEFF"/>
            </w:tcBorders>
            <w:gridSpan w:val="2"/>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826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Common Stock, par value $.10 per share, issued 15,269,261 shares at April 30, 2025</w:t>
            </w: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1,527</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26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and 15,172,186 shares at July 31, 2024</w:t>
            </w:r>
          </w:p>
        </w:tc>
        <w:tc>
          <w:tcPr>
            <w:tcW w:w="22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Class B Stock, par value $.10 per share, issued 4,650,484 shares at April 30, 2025</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465</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and 4,652,984 shares at July 31, 2024</w:t>
            </w:r>
          </w:p>
        </w:tc>
        <w:tc>
          <w:tcPr>
            <w:tcW w:w="220" w:type="dxa"/>
            <w:vAlign w:val="bottom"/>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64,536</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60,031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266,889</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751</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260" w:type="dxa"/>
            <w:vAlign w:val="bottom"/>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Less Treasury Stock, at cost (4,897,289 Common and 380,628 Class B shares at</w:t>
            </w:r>
          </w:p>
        </w:tc>
        <w:tc>
          <w:tcPr>
            <w:tcW w:w="22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(87,309)</w:t>
            </w: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82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30, 2025 and 4,867,880 Common and 362,649 Class B shares at July 31, 2024)</w:t>
            </w: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vMerge w:val="continue"/>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(84,441)</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260" w:type="dxa"/>
            <w:vAlign w:val="bottom"/>
            <w:tcBorders>
              <w:bottom w:val="single" w:sz="8" w:color="CCEEFF"/>
            </w:tcBorders>
            <w:gridSpan w:val="4"/>
          </w:tcPr>
          <w:p>
            <w:pPr>
              <w:ind w:left="78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246,859</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210,588</w:t>
            </w:r>
          </w:p>
        </w:tc>
        <w:tc>
          <w:tcPr>
            <w:tcW w:w="0" w:type="dxa"/>
            <w:vAlign w:val="bottom"/>
          </w:tcPr>
          <w:p>
            <w:pPr>
              <w:spacing w:after="0"/>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2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Liabilities &amp; Stockholders’ Equity</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369,543</w:t>
            </w:r>
          </w:p>
        </w:tc>
        <w:tc>
          <w:tcPr>
            <w:tcW w:w="2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4" w:name="page5"/>
    <w:bookmarkEnd w:id="4"/>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(in thousands, except for share and per share amounts, unaudited)</w:t>
      </w:r>
    </w:p>
    <w:p>
      <w:pPr>
        <w:spacing w:after="0" w:line="122"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r>
      <w:tr>
        <w:trPr>
          <w:trHeight w:val="223"/>
        </w:trPr>
        <w:tc>
          <w:tcPr>
            <w:tcW w:w="5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28"/>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360,360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323,885</w:t>
            </w:r>
          </w:p>
        </w:tc>
      </w:tr>
      <w:tr>
        <w:trPr>
          <w:trHeight w:val="229"/>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(252,110)</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(231,815)</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108,250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92,070</w:t>
            </w:r>
          </w:p>
        </w:tc>
      </w:tr>
      <w:tr>
        <w:trPr>
          <w:trHeight w:val="229"/>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(55,674)</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(53,317)</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52,576</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38,753</w:t>
            </w:r>
          </w:p>
        </w:tc>
      </w:tr>
      <w:tr>
        <w:trPr>
          <w:trHeight w:val="128"/>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9"/>
        </w:trPr>
        <w:tc>
          <w:tcPr>
            <w:tcW w:w="5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r>
      <w:tr>
        <w:trPr>
          <w:trHeight w:val="223"/>
        </w:trPr>
        <w:tc>
          <w:tcPr>
            <w:tcW w:w="56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(1,866)</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37"/>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50,710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37,650</w:t>
            </w:r>
          </w:p>
        </w:tc>
      </w:tr>
      <w:tr>
        <w:trPr>
          <w:trHeight w:val="229"/>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(9,769)</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40,941</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30,901</w:t>
            </w:r>
          </w:p>
        </w:tc>
      </w:tr>
      <w:tr>
        <w:trPr>
          <w:trHeight w:val="128"/>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Common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3.03</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9"/>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Class B</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Common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2.81</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 Class B</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Common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9,882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w:t>
            </w: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Class B</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Diluted Common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13,873</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w:t>
            </w: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Class B</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3,991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w:t>
            </w: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0.465</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0.435</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Class B Stock</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0.350</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0.327</w:t>
            </w: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79"/>
          </w:cols>
          <w:pgMar w:left="980" w:top="887" w:right="1440" w:bottom="1440" w:gutter="0" w:footer="0" w:header="0"/>
        </w:sectPr>
      </w:pPr>
    </w:p>
    <w:bookmarkStart w:id="5" w:name="page6"/>
    <w:bookmarkEnd w:id="5"/>
    <w:p>
      <w:pPr>
        <w:jc w:val="center"/>
        <w:ind w:left="1620" w:right="19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OIL-DRI CORPORATION OF AMERICA Condensed Consolidated Statements of Comprehensive Income </w:t>
      </w:r>
      <w:r>
        <w:rPr>
          <w:rFonts w:ascii="Times New Roman" w:cs="Times New Roman" w:eastAsia="Times New Roman" w:hAnsi="Times New Roman"/>
          <w:sz w:val="18"/>
          <w:szCs w:val="18"/>
          <w:color w:val="auto"/>
        </w:rPr>
        <w:t>(in thousands, unaudited)</w:t>
      </w:r>
    </w:p>
    <w:p>
      <w:pPr>
        <w:spacing w:after="0" w:line="333" w:lineRule="exact"/>
        <w:rPr>
          <w:sz w:val="20"/>
          <w:szCs w:val="20"/>
          <w:color w:val="auto"/>
        </w:rPr>
      </w:pPr>
    </w:p>
    <w:tbl>
      <w:tblPr>
        <w:tblLayout w:type="fixed"/>
        <w:tblInd w:w="68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9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r>
      <w:tr>
        <w:trPr>
          <w:trHeight w:val="223"/>
        </w:trPr>
        <w:tc>
          <w:tcPr>
            <w:tcW w:w="56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6"/>
        </w:trPr>
        <w:tc>
          <w:tcPr>
            <w:tcW w:w="5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40,941</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30,901</w:t>
            </w:r>
          </w:p>
        </w:tc>
      </w:tr>
      <w:tr>
        <w:trPr>
          <w:trHeight w:val="257"/>
        </w:trPr>
        <w:tc>
          <w:tcPr>
            <w:tcW w:w="5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Postretirement expenses (net of tax)</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48"/>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40,923</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30,851</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ectPr>
          <w:pgSz w:w="11900" w:h="16838" w:orient="portrait"/>
          <w:cols w:equalWidth="0" w:num="1">
            <w:col w:w="9479"/>
          </w:cols>
          <w:pgMar w:left="980" w:top="8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79"/>
          </w:cols>
          <w:pgMar w:left="980" w:top="887" w:right="1440" w:bottom="1440" w:gutter="0" w:footer="0" w:header="0"/>
          <w:type w:val="continuous"/>
        </w:sectPr>
      </w:pPr>
    </w:p>
    <w:bookmarkStart w:id="6" w:name="page7"/>
    <w:bookmarkEnd w:id="6"/>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(in thousands, except for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83185</wp:posOffset>
            </wp:positionV>
            <wp:extent cx="18859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108"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For the Three Months Ended April</w:t>
      </w: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7" w:lineRule="exact"/>
        <w:rPr>
          <w:sz w:val="20"/>
          <w:szCs w:val="20"/>
          <w:color w:val="auto"/>
        </w:rPr>
      </w:pPr>
    </w:p>
    <w:tbl>
      <w:tblPr>
        <w:tblLayout w:type="fixed"/>
        <w:tblInd w:w="68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128"/>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115,501</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106,779</w:t>
            </w:r>
          </w:p>
        </w:tc>
      </w:tr>
      <w:tr>
        <w:trPr>
          <w:trHeight w:val="229"/>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(82,479)</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(76,642)</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33,022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30,137</w:t>
            </w:r>
          </w:p>
        </w:tc>
      </w:tr>
      <w:tr>
        <w:trPr>
          <w:trHeight w:val="229"/>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(19,118)</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(19,705)</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13,904</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w:t>
            </w:r>
          </w:p>
        </w:tc>
      </w:tr>
      <w:tr>
        <w:trPr>
          <w:trHeight w:val="128"/>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29"/>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122</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29"/>
        </w:trPr>
        <w:tc>
          <w:tcPr>
            <w:tcW w:w="5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770</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562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8"/>
                <w:szCs w:val="18"/>
                <w:b w:val="1"/>
                <w:bCs w:val="1"/>
                <w:color w:val="auto"/>
              </w:rPr>
              <w:t>Total Other Income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128"/>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14,248</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w:t>
            </w:r>
          </w:p>
        </w:tc>
      </w:tr>
      <w:tr>
        <w:trPr>
          <w:trHeight w:val="230"/>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(2,604)</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w:t>
            </w:r>
          </w:p>
        </w:tc>
      </w:tr>
      <w:tr>
        <w:trPr>
          <w:trHeight w:val="223"/>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11,644</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r>
      <w:tr>
        <w:trPr>
          <w:trHeight w:val="129"/>
        </w:trPr>
        <w:tc>
          <w:tcPr>
            <w:tcW w:w="5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Per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0.86</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0.80</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0.53</w:t>
            </w:r>
          </w:p>
        </w:tc>
      </w:tr>
      <w:tr>
        <w:trPr>
          <w:trHeight w:val="230"/>
        </w:trPr>
        <w:tc>
          <w:tcPr>
            <w:tcW w:w="5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9,907</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9,824</w:t>
            </w: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Diluted Common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13,909</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13,785</w:t>
            </w:r>
          </w:p>
        </w:tc>
      </w:tr>
      <w:tr>
        <w:trPr>
          <w:trHeight w:val="230"/>
        </w:trPr>
        <w:tc>
          <w:tcPr>
            <w:tcW w:w="56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Diluted Class B</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4,002</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3,961</w:t>
            </w: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Share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Basic Common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0.1550</w:t>
            </w:r>
          </w:p>
        </w:tc>
        <w:tc>
          <w:tcPr>
            <w:tcW w:w="26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0.1450</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Basic Class B</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0.1165</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0.1090</w:t>
            </w:r>
          </w:p>
        </w:tc>
      </w:tr>
    </w:tbl>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79"/>
          </w:cols>
          <w:pgMar w:left="980" w:top="887" w:right="1440" w:bottom="1440" w:gutter="0" w:footer="0" w:header="0"/>
        </w:sectPr>
      </w:pPr>
    </w:p>
    <w:bookmarkStart w:id="7" w:name="page8"/>
    <w:bookmarkEnd w:id="7"/>
    <w:p>
      <w:pPr>
        <w:jc w:val="center"/>
        <w:ind w:left="1620" w:right="19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OIL-DRI CORPORATION OF AMERICA Condensed Consolidated Statements of Comprehensive Income </w:t>
      </w:r>
      <w:r>
        <w:rPr>
          <w:rFonts w:ascii="Times New Roman" w:cs="Times New Roman" w:eastAsia="Times New Roman" w:hAnsi="Times New Roman"/>
          <w:sz w:val="18"/>
          <w:szCs w:val="18"/>
          <w:color w:val="auto"/>
        </w:rPr>
        <w:t>(in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4000500</wp:posOffset>
            </wp:positionH>
            <wp:positionV relativeFrom="paragraph">
              <wp:posOffset>62230</wp:posOffset>
            </wp:positionV>
            <wp:extent cx="18859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76" w:lineRule="exact"/>
        <w:rPr>
          <w:sz w:val="20"/>
          <w:szCs w:val="20"/>
          <w:color w:val="auto"/>
        </w:rPr>
      </w:pP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For the Three Months Ended April</w:t>
      </w:r>
    </w:p>
    <w:p>
      <w:pPr>
        <w:jc w:val="center"/>
        <w:ind w:left="5620"/>
        <w:spacing w:after="0"/>
        <w:rPr>
          <w:sz w:val="20"/>
          <w:szCs w:val="20"/>
          <w:color w:val="auto"/>
        </w:rPr>
      </w:pPr>
      <w:r>
        <w:rPr>
          <w:rFonts w:ascii="Times New Roman" w:cs="Times New Roman" w:eastAsia="Times New Roman" w:hAnsi="Times New Roman"/>
          <w:sz w:val="18"/>
          <w:szCs w:val="18"/>
          <w:b w:val="1"/>
          <w:bCs w:val="1"/>
          <w:color w:val="auto"/>
        </w:rPr>
        <w:t>30,</w:t>
      </w:r>
    </w:p>
    <w:p>
      <w:pPr>
        <w:spacing w:after="0" w:line="7" w:lineRule="exact"/>
        <w:rPr>
          <w:sz w:val="20"/>
          <w:szCs w:val="20"/>
          <w:color w:val="auto"/>
        </w:rPr>
      </w:pPr>
    </w:p>
    <w:tbl>
      <w:tblPr>
        <w:tblLayout w:type="fixed"/>
        <w:tblInd w:w="680" w:type="dxa"/>
        <w:tblCellMar>
          <w:top w:w="0" w:type="dxa"/>
          <w:left w:w="0" w:type="dxa"/>
          <w:bottom w:w="0" w:type="dxa"/>
          <w:right w:w="0" w:type="dxa"/>
        </w:tblCellMar>
      </w:tblPr>
      <w:tr>
        <w:trPr>
          <w:trHeight w:val="236"/>
        </w:trPr>
        <w:tc>
          <w:tcPr>
            <w:tcW w:w="562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5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29"/>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Oil-Dri</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11,644</w:t>
            </w: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r>
      <w:tr>
        <w:trPr>
          <w:trHeight w:val="270"/>
        </w:trPr>
        <w:tc>
          <w:tcPr>
            <w:tcW w:w="5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30"/>
        </w:trPr>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5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Postretirement expenses (net of tax)</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5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Cumulative translation adjustment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c>
          <w:tcPr>
            <w:tcW w:w="26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5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w:t>
            </w:r>
          </w:p>
        </w:tc>
        <w:tc>
          <w:tcPr>
            <w:tcW w:w="2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48"/>
        </w:trPr>
        <w:tc>
          <w:tcPr>
            <w:tcW w:w="5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11,834</w:t>
            </w:r>
          </w:p>
        </w:tc>
        <w:tc>
          <w:tcPr>
            <w:tcW w:w="2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79"/>
          </w:cols>
          <w:pgMar w:left="980" w:top="887" w:right="1440" w:bottom="1440" w:gutter="0" w:footer="0" w:header="0"/>
        </w:sectPr>
      </w:pPr>
    </w:p>
    <w:bookmarkStart w:id="8" w:name="page9"/>
    <w:bookmarkEnd w:id="8"/>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9"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(in thousands, except for share amounts, unaudited)</w:t>
      </w:r>
    </w:p>
    <w:p>
      <w:pPr>
        <w:spacing w:after="0" w:line="128" w:lineRule="exact"/>
        <w:rPr>
          <w:sz w:val="20"/>
          <w:szCs w:val="20"/>
          <w:color w:val="auto"/>
        </w:rPr>
      </w:pPr>
    </w:p>
    <w:tbl>
      <w:tblPr>
        <w:tblLayout w:type="fixed"/>
        <w:tblInd w:w="560" w:type="dxa"/>
        <w:tblCellMar>
          <w:top w:w="0" w:type="dxa"/>
          <w:left w:w="0" w:type="dxa"/>
          <w:bottom w:w="0" w:type="dxa"/>
          <w:right w:w="0" w:type="dxa"/>
        </w:tblCellMar>
      </w:tblPr>
      <w:tr>
        <w:trPr>
          <w:trHeight w:val="172"/>
        </w:trPr>
        <w:tc>
          <w:tcPr>
            <w:tcW w:w="204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rPr>
              <w:t>For the Three Months Ended April 30</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980" w:type="dxa"/>
            <w:vAlign w:val="bottom"/>
            <w:gridSpan w:val="4"/>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Number of Shares</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120" w:type="dxa"/>
            <w:vAlign w:val="bottom"/>
          </w:tcPr>
          <w:p>
            <w:pPr>
              <w:spacing w:after="0"/>
              <w:rPr>
                <w:sz w:val="9"/>
                <w:szCs w:val="9"/>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120" w:type="dxa"/>
            <w:vAlign w:val="bottom"/>
          </w:tcPr>
          <w:p>
            <w:pPr>
              <w:spacing w:after="0"/>
              <w:rPr>
                <w:sz w:val="9"/>
                <w:szCs w:val="9"/>
                <w:color w:val="auto"/>
              </w:rPr>
            </w:pPr>
          </w:p>
        </w:tc>
        <w:tc>
          <w:tcPr>
            <w:tcW w:w="920" w:type="dxa"/>
            <w:vAlign w:val="bottom"/>
            <w:vMerge w:val="restart"/>
          </w:tcPr>
          <w:p>
            <w:pPr>
              <w:jc w:val="center"/>
              <w:ind w:right="79"/>
              <w:spacing w:after="0"/>
              <w:rPr>
                <w:sz w:val="20"/>
                <w:szCs w:val="20"/>
                <w:color w:val="auto"/>
              </w:rPr>
            </w:pPr>
            <w:r>
              <w:rPr>
                <w:rFonts w:ascii="Times New Roman" w:cs="Times New Roman" w:eastAsia="Times New Roman" w:hAnsi="Times New Roman"/>
                <w:sz w:val="12"/>
                <w:szCs w:val="12"/>
                <w:b w:val="1"/>
                <w:bCs w:val="1"/>
                <w:color w:val="auto"/>
                <w:w w:val="94"/>
              </w:rPr>
              <w:t>Total</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Treasury</w:t>
            </w: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Retained</w:t>
            </w:r>
          </w:p>
        </w:tc>
        <w:tc>
          <w:tcPr>
            <w:tcW w:w="140" w:type="dxa"/>
            <w:vAlign w:val="bottom"/>
          </w:tcPr>
          <w:p>
            <w:pPr>
              <w:spacing w:after="0"/>
              <w:rPr>
                <w:sz w:val="10"/>
                <w:szCs w:val="10"/>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80" w:type="dxa"/>
            <w:vAlign w:val="bottom"/>
          </w:tcPr>
          <w:p>
            <w:pPr>
              <w:spacing w:after="0"/>
              <w:rPr>
                <w:sz w:val="10"/>
                <w:szCs w:val="10"/>
                <w:color w:val="auto"/>
              </w:rPr>
            </w:pPr>
          </w:p>
        </w:tc>
        <w:tc>
          <w:tcPr>
            <w:tcW w:w="118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1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1040" w:type="dxa"/>
            <w:vAlign w:val="bottom"/>
            <w:gridSpan w:val="2"/>
          </w:tcPr>
          <w:p>
            <w:pPr>
              <w:jc w:val="center"/>
              <w:ind w:right="120"/>
              <w:spacing w:after="0" w:line="122" w:lineRule="exact"/>
              <w:rPr>
                <w:sz w:val="20"/>
                <w:szCs w:val="20"/>
                <w:color w:val="auto"/>
              </w:rPr>
            </w:pPr>
            <w:r>
              <w:rPr>
                <w:rFonts w:ascii="Times New Roman" w:cs="Times New Roman" w:eastAsia="Times New Roman" w:hAnsi="Times New Roman"/>
                <w:sz w:val="12"/>
                <w:szCs w:val="12"/>
                <w:b w:val="1"/>
                <w:bCs w:val="1"/>
                <w:color w:val="auto"/>
              </w:rPr>
              <w:t>&amp; Class B</w:t>
            </w:r>
          </w:p>
        </w:tc>
        <w:tc>
          <w:tcPr>
            <w:tcW w:w="94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Times New Roman" w:cs="Times New Roman" w:eastAsia="Times New Roman" w:hAnsi="Times New Roman"/>
                <w:sz w:val="12"/>
                <w:szCs w:val="12"/>
                <w:b w:val="1"/>
                <w:bCs w:val="1"/>
                <w:color w:val="auto"/>
              </w:rPr>
              <w:t>&amp; Class B</w:t>
            </w:r>
          </w:p>
        </w:tc>
        <w:tc>
          <w:tcPr>
            <w:tcW w:w="120" w:type="dxa"/>
            <w:vAlign w:val="bottom"/>
          </w:tcPr>
          <w:p>
            <w:pPr>
              <w:spacing w:after="0"/>
              <w:rPr>
                <w:sz w:val="10"/>
                <w:szCs w:val="10"/>
                <w:color w:val="auto"/>
              </w:rPr>
            </w:pPr>
          </w:p>
        </w:tc>
        <w:tc>
          <w:tcPr>
            <w:tcW w:w="980" w:type="dxa"/>
            <w:vAlign w:val="bottom"/>
            <w:gridSpan w:val="2"/>
          </w:tcPr>
          <w:p>
            <w:pPr>
              <w:jc w:val="center"/>
              <w:ind w:right="300"/>
              <w:spacing w:after="0" w:line="122" w:lineRule="exact"/>
              <w:rPr>
                <w:sz w:val="20"/>
                <w:szCs w:val="20"/>
                <w:color w:val="auto"/>
              </w:rPr>
            </w:pPr>
            <w:r>
              <w:rPr>
                <w:rFonts w:ascii="Times New Roman" w:cs="Times New Roman" w:eastAsia="Times New Roman" w:hAnsi="Times New Roman"/>
                <w:sz w:val="12"/>
                <w:szCs w:val="12"/>
                <w:b w:val="1"/>
                <w:bCs w:val="1"/>
                <w:color w:val="auto"/>
              </w:rPr>
              <w:t>Paid-In</w:t>
            </w: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b w:val="1"/>
                <w:bCs w:val="1"/>
                <w:color w:val="auto"/>
                <w:w w:val="99"/>
              </w:rPr>
              <w:t>Comprehensive</w:t>
            </w:r>
          </w:p>
        </w:tc>
        <w:tc>
          <w:tcPr>
            <w:tcW w:w="120" w:type="dxa"/>
            <w:vAlign w:val="bottom"/>
          </w:tcPr>
          <w:p>
            <w:pPr>
              <w:spacing w:after="0"/>
              <w:rPr>
                <w:sz w:val="10"/>
                <w:szCs w:val="10"/>
                <w:color w:val="auto"/>
              </w:rPr>
            </w:pPr>
          </w:p>
        </w:tc>
        <w:tc>
          <w:tcPr>
            <w:tcW w:w="920" w:type="dxa"/>
            <w:vAlign w:val="bottom"/>
          </w:tcPr>
          <w:p>
            <w:pPr>
              <w:jc w:val="center"/>
              <w:ind w:right="59"/>
              <w:spacing w:after="0" w:line="122"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8"/>
              </w:rPr>
              <w:t>Earnings</w:t>
            </w:r>
          </w:p>
        </w:tc>
        <w:tc>
          <w:tcPr>
            <w:tcW w:w="140" w:type="dxa"/>
            <w:vAlign w:val="bottom"/>
          </w:tcPr>
          <w:p>
            <w:pPr>
              <w:spacing w:after="0"/>
              <w:rPr>
                <w:sz w:val="14"/>
                <w:szCs w:val="14"/>
                <w:color w:val="auto"/>
              </w:rPr>
            </w:pPr>
          </w:p>
        </w:tc>
        <w:tc>
          <w:tcPr>
            <w:tcW w:w="760" w:type="dxa"/>
            <w:vAlign w:val="bottom"/>
            <w:gridSpan w:val="2"/>
          </w:tcPr>
          <w:p>
            <w:pPr>
              <w:ind w:left="10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w w:val="99"/>
              </w:rPr>
              <w:t>Income</w:t>
            </w:r>
          </w:p>
        </w:tc>
        <w:tc>
          <w:tcPr>
            <w:tcW w:w="120" w:type="dxa"/>
            <w:vAlign w:val="bottom"/>
          </w:tcPr>
          <w:p>
            <w:pPr>
              <w:spacing w:after="0"/>
              <w:rPr>
                <w:sz w:val="14"/>
                <w:szCs w:val="14"/>
                <w:color w:val="auto"/>
              </w:rPr>
            </w:pPr>
          </w:p>
        </w:tc>
        <w:tc>
          <w:tcPr>
            <w:tcW w:w="920" w:type="dxa"/>
            <w:vAlign w:val="bottom"/>
          </w:tcPr>
          <w:p>
            <w:pPr>
              <w:jc w:val="center"/>
              <w:ind w:right="79"/>
              <w:spacing w:after="0"/>
              <w:rPr>
                <w:sz w:val="20"/>
                <w:szCs w:val="20"/>
                <w:color w:val="auto"/>
              </w:rPr>
            </w:pPr>
            <w:r>
              <w:rPr>
                <w:rFonts w:ascii="Times New Roman" w:cs="Times New Roman" w:eastAsia="Times New Roman" w:hAnsi="Times New Roman"/>
                <w:sz w:val="12"/>
                <w:szCs w:val="12"/>
                <w:b w:val="1"/>
                <w:bCs w:val="1"/>
                <w:color w:val="auto"/>
                <w:w w:val="97"/>
              </w:rPr>
              <w:t>Equity</w:t>
            </w:r>
          </w:p>
        </w:tc>
        <w:tc>
          <w:tcPr>
            <w:tcW w:w="0" w:type="dxa"/>
            <w:vAlign w:val="bottom"/>
          </w:tcPr>
          <w:p>
            <w:pPr>
              <w:spacing w:after="0"/>
              <w:rPr>
                <w:sz w:val="1"/>
                <w:szCs w:val="1"/>
                <w:color w:val="auto"/>
              </w:rPr>
            </w:pPr>
          </w:p>
        </w:tc>
      </w:tr>
      <w:tr>
        <w:trPr>
          <w:trHeight w:val="175"/>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31, 2024</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19,805,720</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(5,222,425)</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1,980</w:t>
            </w:r>
          </w:p>
        </w:tc>
        <w:tc>
          <w:tcPr>
            <w:tcW w:w="1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57,359</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219,995</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(84,029)</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733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196,038</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7,777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7,777</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(1,954)</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(1,651)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w:t>
            </w:r>
          </w:p>
        </w:tc>
        <w:tc>
          <w:tcPr>
            <w:tcW w:w="0" w:type="dxa"/>
            <w:vAlign w:val="bottom"/>
          </w:tcPr>
          <w:p>
            <w:pPr>
              <w:spacing w:after="0"/>
              <w:rPr>
                <w:sz w:val="1"/>
                <w:szCs w:val="1"/>
                <w:color w:val="auto"/>
              </w:rPr>
            </w:pPr>
          </w:p>
        </w:tc>
      </w:tr>
      <w:tr>
        <w:trPr>
          <w:trHeight w:val="121"/>
        </w:trPr>
        <w:tc>
          <w:tcPr>
            <w:tcW w:w="204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4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3,000</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(250)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7</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b w:val="1"/>
                <w:bCs w:val="1"/>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1,237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1,237</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April 30, 2024</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19,808,720</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(5,224,326)</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1,981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58,603</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225,818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(84,151)</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698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202,949</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January 31, 2025</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19,866,445</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(5,275,972)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1,987</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63,195</w:t>
            </w:r>
          </w:p>
        </w:tc>
        <w:tc>
          <w:tcPr>
            <w:tcW w:w="160" w:type="dxa"/>
            <w:vAlign w:val="bottom"/>
          </w:tcPr>
          <w:p>
            <w:pPr>
              <w:spacing w:after="0"/>
              <w:rPr>
                <w:sz w:val="14"/>
                <w:szCs w:val="14"/>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257,349</w:t>
            </w: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(87,232)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561</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235,860</w:t>
            </w: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11,644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11,644</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190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(2,104)</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53,300</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1,338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1,338</w:t>
            </w:r>
          </w:p>
        </w:tc>
        <w:tc>
          <w:tcPr>
            <w:tcW w:w="0" w:type="dxa"/>
            <w:vAlign w:val="bottom"/>
          </w:tcPr>
          <w:p>
            <w:pPr>
              <w:spacing w:after="0"/>
              <w:rPr>
                <w:sz w:val="1"/>
                <w:szCs w:val="1"/>
                <w:color w:val="auto"/>
              </w:rPr>
            </w:pPr>
          </w:p>
        </w:tc>
      </w:tr>
      <w:tr>
        <w:trPr>
          <w:trHeight w:val="201"/>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April 30, 2025</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19,919,745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(5,277,917)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64,536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266,889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(87,309)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751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246,859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4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2"/>
                <w:szCs w:val="12"/>
                <w:b w:val="1"/>
                <w:bCs w:val="1"/>
                <w:color w:val="auto"/>
              </w:rPr>
              <w:t>For the Nine Months Ended April 30</w:t>
            </w: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980" w:type="dxa"/>
            <w:vAlign w:val="bottom"/>
            <w:gridSpan w:val="4"/>
          </w:tcPr>
          <w:p>
            <w:pPr>
              <w:jc w:val="center"/>
              <w:ind w:right="140"/>
              <w:spacing w:after="0"/>
              <w:rPr>
                <w:sz w:val="20"/>
                <w:szCs w:val="20"/>
                <w:color w:val="auto"/>
              </w:rPr>
            </w:pPr>
            <w:r>
              <w:rPr>
                <w:rFonts w:ascii="Times New Roman" w:cs="Times New Roman" w:eastAsia="Times New Roman" w:hAnsi="Times New Roman"/>
                <w:sz w:val="12"/>
                <w:szCs w:val="12"/>
                <w:color w:val="auto"/>
              </w:rPr>
              <w:t>Number of Shares</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1040" w:type="dxa"/>
            <w:vAlign w:val="bottom"/>
            <w:tcBorders>
              <w:top w:val="single" w:sz="8" w:color="auto"/>
            </w:tcBorders>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color w:val="auto"/>
              </w:rPr>
              <w:t>Common &amp; Class</w:t>
            </w:r>
          </w:p>
        </w:tc>
        <w:tc>
          <w:tcPr>
            <w:tcW w:w="8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color w:val="auto"/>
              </w:rPr>
              <w:t>Common &amp;</w:t>
            </w:r>
          </w:p>
        </w:tc>
        <w:tc>
          <w:tcPr>
            <w:tcW w:w="110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2"/>
                <w:szCs w:val="12"/>
                <w:color w:val="auto"/>
              </w:rPr>
              <w:t>Additional Paid-</w:t>
            </w:r>
          </w:p>
        </w:tc>
        <w:tc>
          <w:tcPr>
            <w:tcW w:w="100" w:type="dxa"/>
            <w:vAlign w:val="bottom"/>
          </w:tcPr>
          <w:p>
            <w:pPr>
              <w:spacing w:after="0"/>
              <w:rPr>
                <w:sz w:val="9"/>
                <w:szCs w:val="9"/>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color w:val="auto"/>
                <w:w w:val="98"/>
              </w:rPr>
              <w:t>Retained</w:t>
            </w: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180" w:type="dxa"/>
            <w:vAlign w:val="bottom"/>
            <w:gridSpan w:val="2"/>
          </w:tcPr>
          <w:p>
            <w:pPr>
              <w:jc w:val="center"/>
              <w:ind w:right="220"/>
              <w:spacing w:after="0" w:line="108" w:lineRule="exact"/>
              <w:rPr>
                <w:sz w:val="20"/>
                <w:szCs w:val="20"/>
                <w:color w:val="auto"/>
              </w:rPr>
            </w:pPr>
            <w:r>
              <w:rPr>
                <w:rFonts w:ascii="Times New Roman" w:cs="Times New Roman" w:eastAsia="Times New Roman" w:hAnsi="Times New Roman"/>
                <w:sz w:val="12"/>
                <w:szCs w:val="12"/>
                <w:color w:val="auto"/>
              </w:rPr>
              <w:t>Accumulated Other</w:t>
            </w:r>
          </w:p>
        </w:tc>
        <w:tc>
          <w:tcPr>
            <w:tcW w:w="10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auto"/>
              </w:rPr>
              <w:t>Total Stockholders'</w:t>
            </w:r>
          </w:p>
        </w:tc>
        <w:tc>
          <w:tcPr>
            <w:tcW w:w="0" w:type="dxa"/>
            <w:vAlign w:val="bottom"/>
          </w:tcPr>
          <w:p>
            <w:pPr>
              <w:spacing w:after="0"/>
              <w:rPr>
                <w:sz w:val="1"/>
                <w:szCs w:val="1"/>
                <w:color w:val="auto"/>
              </w:rPr>
            </w:pPr>
          </w:p>
        </w:tc>
      </w:tr>
      <w:tr>
        <w:trPr>
          <w:trHeight w:val="122"/>
        </w:trPr>
        <w:tc>
          <w:tcPr>
            <w:tcW w:w="204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9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color w:val="auto"/>
              </w:rPr>
              <w:t>Treasury Stock</w:t>
            </w:r>
          </w:p>
        </w:tc>
        <w:tc>
          <w:tcPr>
            <w:tcW w:w="8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1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color w:val="auto"/>
              </w:rPr>
              <w:t>Treasury Stock</w:t>
            </w:r>
          </w:p>
        </w:tc>
        <w:tc>
          <w:tcPr>
            <w:tcW w:w="80" w:type="dxa"/>
            <w:vAlign w:val="bottom"/>
          </w:tcPr>
          <w:p>
            <w:pPr>
              <w:spacing w:after="0"/>
              <w:rPr>
                <w:sz w:val="10"/>
                <w:szCs w:val="10"/>
                <w:color w:val="auto"/>
              </w:rPr>
            </w:pPr>
          </w:p>
        </w:tc>
        <w:tc>
          <w:tcPr>
            <w:tcW w:w="11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2"/>
                <w:szCs w:val="12"/>
                <w:color w:val="auto"/>
              </w:rPr>
              <w:t>Comprehensive</w:t>
            </w:r>
          </w:p>
        </w:tc>
        <w:tc>
          <w:tcPr>
            <w:tcW w:w="10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9"/>
        </w:trPr>
        <w:tc>
          <w:tcPr>
            <w:tcW w:w="2040" w:type="dxa"/>
            <w:vAlign w:val="bottom"/>
          </w:tcPr>
          <w:p>
            <w:pPr>
              <w:spacing w:after="0"/>
              <w:rPr>
                <w:sz w:val="14"/>
                <w:szCs w:val="14"/>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B Stock</w:t>
            </w:r>
          </w:p>
        </w:tc>
        <w:tc>
          <w:tcPr>
            <w:tcW w:w="940" w:type="dxa"/>
            <w:vAlign w:val="bottom"/>
            <w:gridSpan w:val="2"/>
            <w:vMerge w:val="continue"/>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Times New Roman" w:cs="Times New Roman" w:eastAsia="Times New Roman" w:hAnsi="Times New Roman"/>
                <w:sz w:val="12"/>
                <w:szCs w:val="12"/>
                <w:color w:val="auto"/>
              </w:rPr>
              <w:t>Class B Stock</w:t>
            </w:r>
          </w:p>
        </w:tc>
        <w:tc>
          <w:tcPr>
            <w:tcW w:w="12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color w:val="auto"/>
              </w:rPr>
              <w:t>In Capital</w:t>
            </w:r>
          </w:p>
        </w:tc>
        <w:tc>
          <w:tcPr>
            <w:tcW w:w="100" w:type="dxa"/>
            <w:vAlign w:val="bottom"/>
          </w:tcPr>
          <w:p>
            <w:pPr>
              <w:spacing w:after="0"/>
              <w:rPr>
                <w:sz w:val="14"/>
                <w:szCs w:val="14"/>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8"/>
              </w:rPr>
              <w:t>Earnings</w:t>
            </w:r>
          </w:p>
        </w:tc>
        <w:tc>
          <w:tcPr>
            <w:tcW w:w="9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color w:val="auto"/>
                <w:w w:val="99"/>
              </w:rPr>
              <w:t>Income</w:t>
            </w:r>
          </w:p>
        </w:tc>
        <w:tc>
          <w:tcPr>
            <w:tcW w:w="120" w:type="dxa"/>
            <w:vAlign w:val="bottom"/>
          </w:tcPr>
          <w:p>
            <w:pPr>
              <w:spacing w:after="0"/>
              <w:rPr>
                <w:sz w:val="14"/>
                <w:szCs w:val="14"/>
                <w:color w:val="auto"/>
              </w:rPr>
            </w:pPr>
          </w:p>
        </w:tc>
        <w:tc>
          <w:tcPr>
            <w:tcW w:w="920" w:type="dxa"/>
            <w:vAlign w:val="bottom"/>
          </w:tcPr>
          <w:p>
            <w:pPr>
              <w:jc w:val="center"/>
              <w:ind w:right="59"/>
              <w:spacing w:after="0"/>
              <w:rPr>
                <w:sz w:val="20"/>
                <w:szCs w:val="20"/>
                <w:color w:val="auto"/>
              </w:rPr>
            </w:pPr>
            <w:r>
              <w:rPr>
                <w:rFonts w:ascii="Times New Roman" w:cs="Times New Roman" w:eastAsia="Times New Roman" w:hAnsi="Times New Roman"/>
                <w:sz w:val="12"/>
                <w:szCs w:val="12"/>
                <w:color w:val="auto"/>
                <w:w w:val="99"/>
              </w:rPr>
              <w:t>Equity</w:t>
            </w:r>
          </w:p>
        </w:tc>
        <w:tc>
          <w:tcPr>
            <w:tcW w:w="0" w:type="dxa"/>
            <w:vAlign w:val="bottom"/>
          </w:tcPr>
          <w:p>
            <w:pPr>
              <w:spacing w:after="0"/>
              <w:rPr>
                <w:sz w:val="1"/>
                <w:szCs w:val="1"/>
                <w:color w:val="auto"/>
              </w:rPr>
            </w:pPr>
          </w:p>
        </w:tc>
      </w:tr>
      <w:tr>
        <w:trPr>
          <w:trHeight w:val="175"/>
        </w:trPr>
        <w:tc>
          <w:tcPr>
            <w:tcW w:w="2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July 31, 2023</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19,610,720</w:t>
            </w:r>
          </w:p>
        </w:tc>
        <w:tc>
          <w:tcPr>
            <w:tcW w:w="1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(5,176,325)</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1,961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54,778</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200,796</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(81,207)</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748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177,076</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Income (Loss)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30,901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30,901</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(5,879)</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(41,726)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(2,690)</w:t>
            </w:r>
          </w:p>
        </w:tc>
        <w:tc>
          <w:tcPr>
            <w:tcW w:w="0" w:type="dxa"/>
            <w:vAlign w:val="bottom"/>
          </w:tcPr>
          <w:p>
            <w:pPr>
              <w:spacing w:after="0"/>
              <w:rPr>
                <w:sz w:val="1"/>
                <w:szCs w:val="1"/>
                <w:color w:val="auto"/>
              </w:rPr>
            </w:pPr>
          </w:p>
        </w:tc>
      </w:tr>
      <w:tr>
        <w:trPr>
          <w:trHeight w:val="122"/>
        </w:trPr>
        <w:tc>
          <w:tcPr>
            <w:tcW w:w="2040" w:type="dxa"/>
            <w:vAlign w:val="bottom"/>
          </w:tcPr>
          <w:p>
            <w:pPr>
              <w:ind w:left="20"/>
              <w:spacing w:after="0" w:line="122"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4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198,000</w:t>
            </w:r>
          </w:p>
        </w:tc>
        <w:tc>
          <w:tcPr>
            <w:tcW w:w="100" w:type="dxa"/>
            <w:vAlign w:val="bottom"/>
          </w:tcPr>
          <w:p>
            <w:pPr>
              <w:spacing w:after="0"/>
              <w:rPr>
                <w:sz w:val="10"/>
                <w:szCs w:val="1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(6,275)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vMerge w:val="restart"/>
          </w:tcPr>
          <w:p>
            <w:pPr>
              <w:jc w:val="right"/>
              <w:ind w:right="19"/>
              <w:spacing w:after="0"/>
              <w:rPr>
                <w:sz w:val="20"/>
                <w:szCs w:val="20"/>
                <w:color w:val="auto"/>
              </w:rPr>
            </w:pPr>
            <w:r>
              <w:rPr>
                <w:rFonts w:ascii="Times New Roman" w:cs="Times New Roman" w:eastAsia="Times New Roman" w:hAnsi="Times New Roman"/>
                <w:sz w:val="12"/>
                <w:szCs w:val="12"/>
                <w:color w:val="auto"/>
              </w:rPr>
              <w:t>234</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(254)</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3,591</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3,591</w:t>
            </w:r>
          </w:p>
        </w:tc>
        <w:tc>
          <w:tcPr>
            <w:tcW w:w="0" w:type="dxa"/>
            <w:vAlign w:val="bottom"/>
          </w:tcPr>
          <w:p>
            <w:pPr>
              <w:spacing w:after="0"/>
              <w:rPr>
                <w:sz w:val="1"/>
                <w:szCs w:val="1"/>
                <w:color w:val="auto"/>
              </w:rPr>
            </w:pPr>
          </w:p>
        </w:tc>
      </w:tr>
      <w:tr>
        <w:trPr>
          <w:trHeight w:val="175"/>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April 30, 2024</w:t>
            </w:r>
          </w:p>
        </w:tc>
        <w:tc>
          <w:tcPr>
            <w:tcW w:w="9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19,808,720</w:t>
            </w:r>
          </w:p>
        </w:tc>
        <w:tc>
          <w:tcPr>
            <w:tcW w:w="100" w:type="dxa"/>
            <w:vAlign w:val="bottom"/>
          </w:tcPr>
          <w:p>
            <w:pPr>
              <w:spacing w:after="0"/>
              <w:rPr>
                <w:sz w:val="15"/>
                <w:szCs w:val="15"/>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(5,224,326)</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1,981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58,603</w:t>
            </w:r>
          </w:p>
        </w:tc>
        <w:tc>
          <w:tcPr>
            <w:tcW w:w="1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225,818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(84,151)</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698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202,949</w:t>
            </w:r>
          </w:p>
        </w:tc>
        <w:tc>
          <w:tcPr>
            <w:tcW w:w="0" w:type="dxa"/>
            <w:vAlign w:val="bottom"/>
          </w:tcPr>
          <w:p>
            <w:pPr>
              <w:spacing w:after="0"/>
              <w:rPr>
                <w:sz w:val="1"/>
                <w:szCs w:val="1"/>
                <w:color w:val="auto"/>
              </w:rPr>
            </w:pPr>
          </w:p>
        </w:tc>
      </w:tr>
      <w:tr>
        <w:trPr>
          <w:trHeight w:val="20"/>
        </w:trPr>
        <w:tc>
          <w:tcPr>
            <w:tcW w:w="20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8"/>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Balance, July 31, 2024</w:t>
            </w: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19,825,170</w:t>
            </w: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(5,230,529)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1,982</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60,031</w:t>
            </w:r>
          </w:p>
        </w:tc>
        <w:tc>
          <w:tcPr>
            <w:tcW w:w="160" w:type="dxa"/>
            <w:vAlign w:val="bottom"/>
          </w:tcPr>
          <w:p>
            <w:pPr>
              <w:spacing w:after="0"/>
              <w:rPr>
                <w:sz w:val="14"/>
                <w:szCs w:val="14"/>
                <w:color w:val="auto"/>
              </w:rPr>
            </w:pPr>
          </w:p>
        </w:tc>
        <w:tc>
          <w:tcPr>
            <w:tcW w:w="10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232,247</w:t>
            </w:r>
          </w:p>
        </w:tc>
        <w:tc>
          <w:tcPr>
            <w:tcW w:w="10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(84,441)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769</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210,588</w:t>
            </w:r>
          </w:p>
        </w:tc>
        <w:tc>
          <w:tcPr>
            <w:tcW w:w="0" w:type="dxa"/>
            <w:vAlign w:val="bottom"/>
          </w:tcPr>
          <w:p>
            <w:pPr>
              <w:spacing w:after="0"/>
              <w:rPr>
                <w:sz w:val="1"/>
                <w:szCs w:val="1"/>
                <w:color w:val="auto"/>
              </w:rPr>
            </w:pPr>
          </w:p>
        </w:tc>
      </w:tr>
      <w:tr>
        <w:trPr>
          <w:trHeight w:val="183"/>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Income</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40,941</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40,941</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Comprehensive Loss</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0" w:type="dxa"/>
            <w:vAlign w:val="bottom"/>
          </w:tcPr>
          <w:p>
            <w:pPr>
              <w:spacing w:after="0"/>
              <w:rPr>
                <w:sz w:val="1"/>
                <w:szCs w:val="1"/>
                <w:color w:val="auto"/>
              </w:rPr>
            </w:pPr>
          </w:p>
        </w:tc>
      </w:tr>
      <w:tr>
        <w:trPr>
          <w:trHeight w:val="184"/>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Declared</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(6,299)</w:t>
            </w:r>
          </w:p>
        </w:tc>
        <w:tc>
          <w:tcPr>
            <w:tcW w:w="0" w:type="dxa"/>
            <w:vAlign w:val="bottom"/>
          </w:tcPr>
          <w:p>
            <w:pPr>
              <w:spacing w:after="0"/>
              <w:rPr>
                <w:sz w:val="1"/>
                <w:szCs w:val="1"/>
                <w:color w:val="auto"/>
              </w:rPr>
            </w:pPr>
          </w:p>
        </w:tc>
      </w:tr>
      <w:tr>
        <w:trPr>
          <w:trHeight w:val="167"/>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of Treasury Stock</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(34,966)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(2,233)</w:t>
            </w:r>
          </w:p>
        </w:tc>
        <w:tc>
          <w:tcPr>
            <w:tcW w:w="0" w:type="dxa"/>
            <w:vAlign w:val="bottom"/>
          </w:tcPr>
          <w:p>
            <w:pPr>
              <w:spacing w:after="0"/>
              <w:rPr>
                <w:sz w:val="1"/>
                <w:szCs w:val="1"/>
                <w:color w:val="auto"/>
              </w:rPr>
            </w:pPr>
          </w:p>
        </w:tc>
      </w:tr>
      <w:tr>
        <w:trPr>
          <w:trHeight w:val="130"/>
        </w:trPr>
        <w:tc>
          <w:tcPr>
            <w:tcW w:w="2040" w:type="dxa"/>
            <w:vAlign w:val="bottom"/>
            <w:shd w:val="clear" w:color="auto" w:fill="CCEEFF"/>
          </w:tcPr>
          <w:p>
            <w:pPr>
              <w:ind w:left="20"/>
              <w:spacing w:after="0" w:line="130" w:lineRule="exact"/>
              <w:rPr>
                <w:sz w:val="20"/>
                <w:szCs w:val="20"/>
                <w:color w:val="auto"/>
              </w:rPr>
            </w:pPr>
            <w:r>
              <w:rPr>
                <w:rFonts w:ascii="Times New Roman" w:cs="Times New Roman" w:eastAsia="Times New Roman" w:hAnsi="Times New Roman"/>
                <w:sz w:val="12"/>
                <w:szCs w:val="12"/>
                <w:color w:val="auto"/>
              </w:rPr>
              <w:t>Net issuance of stock under long-term</w:t>
            </w:r>
          </w:p>
        </w:tc>
        <w:tc>
          <w:tcPr>
            <w:tcW w:w="94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94,575</w:t>
            </w:r>
          </w:p>
        </w:tc>
        <w:tc>
          <w:tcPr>
            <w:tcW w:w="10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(12,422)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color w:val="auto"/>
              </w:rPr>
              <w:t>625</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1"/>
                <w:szCs w:val="11"/>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incentive plans</w:t>
            </w:r>
          </w:p>
        </w:tc>
        <w:tc>
          <w:tcPr>
            <w:tcW w:w="9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Amortization of Restricted Stock</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gridSpan w:val="2"/>
          </w:tcPr>
          <w:p>
            <w:pPr>
              <w:ind w:left="6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820" w:type="dxa"/>
            <w:vAlign w:val="bottom"/>
          </w:tcPr>
          <w:p>
            <w:pPr>
              <w:jc w:val="right"/>
              <w:ind w:right="19"/>
              <w:spacing w:after="0"/>
              <w:rPr>
                <w:sz w:val="20"/>
                <w:szCs w:val="20"/>
                <w:color w:val="auto"/>
              </w:rPr>
            </w:pPr>
            <w:r>
              <w:rPr>
                <w:rFonts w:ascii="Times New Roman" w:cs="Times New Roman" w:eastAsia="Times New Roman" w:hAnsi="Times New Roman"/>
                <w:sz w:val="12"/>
                <w:szCs w:val="12"/>
                <w:color w:val="auto"/>
              </w:rPr>
              <w:t>3,880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4"/>
                <w:szCs w:val="14"/>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3,880</w:t>
            </w:r>
          </w:p>
        </w:tc>
        <w:tc>
          <w:tcPr>
            <w:tcW w:w="0" w:type="dxa"/>
            <w:vAlign w:val="bottom"/>
          </w:tcPr>
          <w:p>
            <w:pPr>
              <w:spacing w:after="0"/>
              <w:rPr>
                <w:sz w:val="1"/>
                <w:szCs w:val="1"/>
                <w:color w:val="auto"/>
              </w:rPr>
            </w:pPr>
          </w:p>
        </w:tc>
      </w:tr>
      <w:tr>
        <w:trPr>
          <w:trHeight w:val="200"/>
        </w:trPr>
        <w:tc>
          <w:tcPr>
            <w:tcW w:w="2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April 30, 2025</w:t>
            </w:r>
          </w:p>
        </w:tc>
        <w:tc>
          <w:tcPr>
            <w:tcW w:w="94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19,919,745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(5,277,917)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1,992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64,536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7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266,889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(87,309)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0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2"/>
                <w:szCs w:val="12"/>
                <w:b w:val="1"/>
                <w:bCs w:val="1"/>
                <w:color w:val="auto"/>
              </w:rPr>
              <w:t>751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246,859</w:t>
            </w:r>
          </w:p>
        </w:tc>
        <w:tc>
          <w:tcPr>
            <w:tcW w:w="0" w:type="dxa"/>
            <w:vAlign w:val="bottom"/>
          </w:tcPr>
          <w:p>
            <w:pPr>
              <w:spacing w:after="0"/>
              <w:rPr>
                <w:sz w:val="1"/>
                <w:szCs w:val="1"/>
                <w:color w:val="auto"/>
              </w:rPr>
            </w:pPr>
          </w:p>
        </w:tc>
      </w:tr>
      <w:tr>
        <w:trPr>
          <w:trHeight w:val="20"/>
        </w:trPr>
        <w:tc>
          <w:tcPr>
            <w:tcW w:w="2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887" w:right="879" w:bottom="1440" w:gutter="0" w:footer="0" w:header="0"/>
        </w:sectPr>
      </w:pPr>
    </w:p>
    <w:bookmarkStart w:id="9" w:name="page10"/>
    <w:bookmarkEnd w:id="9"/>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122"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29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r>
      <w:tr>
        <w:trPr>
          <w:trHeight w:val="198"/>
        </w:trPr>
        <w:tc>
          <w:tcPr>
            <w:tcW w:w="20" w:type="dxa"/>
            <w:vAlign w:val="bottom"/>
          </w:tcPr>
          <w:p>
            <w:pPr>
              <w:spacing w:after="0"/>
              <w:rPr>
                <w:sz w:val="17"/>
                <w:szCs w:val="17"/>
                <w:color w:val="auto"/>
              </w:rPr>
            </w:pPr>
          </w:p>
        </w:tc>
        <w:tc>
          <w:tcPr>
            <w:tcW w:w="71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Pr>
          <w:p>
            <w:pPr>
              <w:spacing w:after="0"/>
              <w:rPr>
                <w:sz w:val="17"/>
                <w:szCs w:val="17"/>
                <w:color w:val="auto"/>
              </w:rPr>
            </w:pPr>
          </w:p>
        </w:tc>
        <w:tc>
          <w:tcPr>
            <w:tcW w:w="104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ind w:right="410"/>
              <w:spacing w:after="0" w:line="198" w:lineRule="exact"/>
              <w:rPr>
                <w:sz w:val="20"/>
                <w:szCs w:val="20"/>
                <w:color w:val="auto"/>
              </w:rPr>
            </w:pPr>
            <w:r>
              <w:rPr>
                <w:rFonts w:ascii="Times New Roman" w:cs="Times New Roman" w:eastAsia="Times New Roman" w:hAnsi="Times New Roman"/>
                <w:sz w:val="18"/>
                <w:szCs w:val="18"/>
                <w:b w:val="1"/>
                <w:bCs w:val="1"/>
                <w:color w:val="auto"/>
              </w:rPr>
              <w:t>2024</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39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40,941</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30,901</w:t>
            </w:r>
          </w:p>
        </w:tc>
      </w:tr>
      <w:tr>
        <w:trPr>
          <w:trHeight w:val="229"/>
        </w:trPr>
        <w:tc>
          <w:tcPr>
            <w:tcW w:w="20" w:type="dxa"/>
            <w:vAlign w:val="bottom"/>
          </w:tcPr>
          <w:p>
            <w:pPr>
              <w:spacing w:after="0"/>
              <w:rPr>
                <w:sz w:val="19"/>
                <w:szCs w:val="19"/>
                <w:color w:val="auto"/>
              </w:rPr>
            </w:pPr>
          </w:p>
        </w:tc>
        <w:tc>
          <w:tcPr>
            <w:tcW w:w="7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16,391</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w:t>
            </w:r>
          </w:p>
        </w:tc>
      </w:tr>
      <w:tr>
        <w:trPr>
          <w:trHeight w:val="230"/>
        </w:trPr>
        <w:tc>
          <w:tcPr>
            <w:tcW w:w="20" w:type="dxa"/>
            <w:vAlign w:val="bottom"/>
          </w:tcPr>
          <w:p>
            <w:pPr>
              <w:spacing w:after="0"/>
              <w:rPr>
                <w:sz w:val="19"/>
                <w:szCs w:val="19"/>
                <w:color w:val="auto"/>
              </w:rPr>
            </w:pPr>
          </w:p>
        </w:tc>
        <w:tc>
          <w:tcPr>
            <w:tcW w:w="7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3,880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3,591</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bad debts and cash discounts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436</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20" w:type="dxa"/>
            <w:vAlign w:val="bottom"/>
          </w:tcPr>
          <w:p>
            <w:pPr>
              <w:spacing w:after="0"/>
              <w:rPr>
                <w:sz w:val="19"/>
                <w:szCs w:val="19"/>
                <w:color w:val="auto"/>
              </w:rPr>
            </w:pPr>
          </w:p>
        </w:tc>
        <w:tc>
          <w:tcPr>
            <w:tcW w:w="7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Loss on impairment of patent applications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Accretion of asset retirement obligation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9"/>
        </w:trPr>
        <w:tc>
          <w:tcPr>
            <w:tcW w:w="20" w:type="dxa"/>
            <w:vAlign w:val="bottom"/>
          </w:tcPr>
          <w:p>
            <w:pPr>
              <w:spacing w:after="0"/>
              <w:rPr>
                <w:sz w:val="19"/>
                <w:szCs w:val="19"/>
                <w:color w:val="auto"/>
              </w:rPr>
            </w:pPr>
          </w:p>
        </w:tc>
        <w:tc>
          <w:tcPr>
            <w:tcW w:w="7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Loss on the disposals of property, plant and equipment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assets: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(3,816)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(2,547)</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r>
      <w:tr>
        <w:trPr>
          <w:trHeight w:val="230"/>
        </w:trPr>
        <w:tc>
          <w:tcPr>
            <w:tcW w:w="20" w:type="dxa"/>
            <w:vAlign w:val="bottom"/>
          </w:tcPr>
          <w:p>
            <w:pPr>
              <w:spacing w:after="0"/>
              <w:rPr>
                <w:sz w:val="19"/>
                <w:szCs w:val="19"/>
                <w:color w:val="auto"/>
              </w:rPr>
            </w:pPr>
          </w:p>
        </w:tc>
        <w:tc>
          <w:tcPr>
            <w:tcW w:w="71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Prepaid expenses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(3,708)</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30"/>
        </w:trPr>
        <w:tc>
          <w:tcPr>
            <w:tcW w:w="20" w:type="dxa"/>
            <w:vAlign w:val="bottom"/>
          </w:tcPr>
          <w:p>
            <w:pPr>
              <w:spacing w:after="0"/>
              <w:rPr>
                <w:sz w:val="19"/>
                <w:szCs w:val="19"/>
                <w:color w:val="auto"/>
              </w:rPr>
            </w:pPr>
          </w:p>
        </w:tc>
        <w:tc>
          <w:tcPr>
            <w:tcW w:w="71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3,012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Increase (decrease) in liabilities: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1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Accrued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(2,268)</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r>
      <w:tr>
        <w:trPr>
          <w:trHeight w:val="229"/>
        </w:trPr>
        <w:tc>
          <w:tcPr>
            <w:tcW w:w="20" w:type="dxa"/>
            <w:vAlign w:val="bottom"/>
          </w:tcPr>
          <w:p>
            <w:pPr>
              <w:spacing w:after="0"/>
              <w:rPr>
                <w:sz w:val="19"/>
                <w:szCs w:val="19"/>
                <w:color w:val="auto"/>
              </w:rPr>
            </w:pPr>
          </w:p>
        </w:tc>
        <w:tc>
          <w:tcPr>
            <w:tcW w:w="712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Deferred compensation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(3,422)</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w:t>
            </w:r>
          </w:p>
        </w:tc>
      </w:tr>
      <w:tr>
        <w:trPr>
          <w:trHeight w:val="223"/>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4"/>
          </w:tcPr>
          <w:p>
            <w:pPr>
              <w:ind w:left="760"/>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14,047</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w:t>
            </w: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54,988</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36,929</w:t>
            </w:r>
          </w:p>
        </w:tc>
      </w:tr>
      <w:tr>
        <w:trPr>
          <w:trHeight w:val="237"/>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9"/>
        </w:trPr>
        <w:tc>
          <w:tcPr>
            <w:tcW w:w="20" w:type="dxa"/>
            <w:vAlign w:val="bottom"/>
            <w:shd w:val="clear" w:color="auto" w:fill="CCEEFF"/>
          </w:tcPr>
          <w:p>
            <w:pPr>
              <w:spacing w:after="0"/>
              <w:rPr>
                <w:sz w:val="18"/>
                <w:szCs w:val="18"/>
                <w:color w:val="auto"/>
              </w:rPr>
            </w:pPr>
          </w:p>
        </w:tc>
        <w:tc>
          <w:tcPr>
            <w:tcW w:w="71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39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Capital expenditures</w:t>
            </w:r>
          </w:p>
        </w:tc>
        <w:tc>
          <w:tcPr>
            <w:tcW w:w="3180" w:type="dxa"/>
            <w:vAlign w:val="bottom"/>
            <w:tcBorders>
              <w:top w:val="single" w:sz="8" w:color="CCEEFF"/>
            </w:tcBorders>
            <w:gridSpan w:val="3"/>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(24,483)</w:t>
            </w:r>
          </w:p>
        </w:tc>
        <w:tc>
          <w:tcPr>
            <w:tcW w:w="28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0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(23,717)</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30"/>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Acquisition of a business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(24,509)</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(23,536)</w:t>
            </w:r>
          </w:p>
        </w:tc>
      </w:tr>
      <w:tr>
        <w:trPr>
          <w:trHeight w:val="236"/>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980" w:type="dxa"/>
            <w:vAlign w:val="bottom"/>
            <w:tcBorders>
              <w:bottom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9"/>
              </w:rPr>
              <w:t>CASH FLOWS FROM FINANCING ACTIVITIES</w:t>
            </w:r>
          </w:p>
        </w:tc>
        <w:tc>
          <w:tcPr>
            <w:tcW w:w="3140" w:type="dxa"/>
            <w:vAlign w:val="bottom"/>
            <w:tcBorders>
              <w:bottom w:val="single" w:sz="8" w:color="CCEEFF"/>
            </w:tcBorders>
            <w:gridSpan w:val="2"/>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Proceeds from issuance of notes payable</w:t>
            </w:r>
          </w:p>
        </w:tc>
        <w:tc>
          <w:tcPr>
            <w:tcW w:w="300" w:type="dxa"/>
            <w:vAlign w:val="bottom"/>
          </w:tcPr>
          <w:p>
            <w:pPr>
              <w:spacing w:after="0"/>
              <w:rPr>
                <w:sz w:val="19"/>
                <w:szCs w:val="19"/>
                <w:color w:val="auto"/>
              </w:rPr>
            </w:pP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Payments on revolving credit facility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(10,000)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tcPr>
          <w:p>
            <w:pPr>
              <w:spacing w:after="0"/>
              <w:rPr>
                <w:sz w:val="19"/>
                <w:szCs w:val="19"/>
                <w:color w:val="auto"/>
              </w:rPr>
            </w:pPr>
          </w:p>
        </w:tc>
        <w:tc>
          <w:tcPr>
            <w:tcW w:w="71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(6,290)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w:t>
            </w:r>
          </w:p>
        </w:tc>
      </w:tr>
      <w:tr>
        <w:trPr>
          <w:trHeight w:val="230"/>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(2,233)</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(2,690)</w:t>
            </w:r>
          </w:p>
        </w:tc>
      </w:tr>
      <w:tr>
        <w:trPr>
          <w:trHeight w:val="223"/>
        </w:trPr>
        <w:tc>
          <w:tcPr>
            <w:tcW w:w="20" w:type="dxa"/>
            <w:vAlign w:val="bottom"/>
            <w:tcBorders>
              <w:bottom w:val="single" w:sz="8" w:color="CCEEFF"/>
            </w:tcBorders>
          </w:tcPr>
          <w:p>
            <w:pPr>
              <w:spacing w:after="0"/>
              <w:rPr>
                <w:sz w:val="19"/>
                <w:szCs w:val="19"/>
                <w:color w:val="auto"/>
              </w:rPr>
            </w:pPr>
          </w:p>
        </w:tc>
        <w:tc>
          <w:tcPr>
            <w:tcW w:w="712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(18,523)</w:t>
            </w:r>
          </w:p>
        </w:tc>
        <w:tc>
          <w:tcPr>
            <w:tcW w:w="2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23"/>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23"/>
        </w:trPr>
        <w:tc>
          <w:tcPr>
            <w:tcW w:w="20" w:type="dxa"/>
            <w:vAlign w:val="bottom"/>
          </w:tcPr>
          <w:p>
            <w:pPr>
              <w:spacing w:after="0"/>
              <w:rPr>
                <w:sz w:val="19"/>
                <w:szCs w:val="19"/>
                <w:color w:val="auto"/>
              </w:rPr>
            </w:pPr>
          </w:p>
        </w:tc>
        <w:tc>
          <w:tcPr>
            <w:tcW w:w="7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Net Increase in Cash and Cash Equivalents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11,994</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15,067</w:t>
            </w:r>
          </w:p>
        </w:tc>
      </w:tr>
      <w:tr>
        <w:trPr>
          <w:trHeight w:val="229"/>
        </w:trPr>
        <w:tc>
          <w:tcPr>
            <w:tcW w:w="20" w:type="dxa"/>
            <w:vAlign w:val="bottom"/>
            <w:shd w:val="clear" w:color="auto" w:fill="CCEEFF"/>
          </w:tcPr>
          <w:p>
            <w:pPr>
              <w:spacing w:after="0"/>
              <w:rPr>
                <w:sz w:val="19"/>
                <w:szCs w:val="19"/>
                <w:color w:val="auto"/>
              </w:rPr>
            </w:pPr>
          </w:p>
        </w:tc>
        <w:tc>
          <w:tcPr>
            <w:tcW w:w="7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Beginning of Period</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24,481</w:t>
            </w:r>
          </w:p>
        </w:tc>
        <w:tc>
          <w:tcPr>
            <w:tcW w:w="2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31,754</w:t>
            </w:r>
          </w:p>
        </w:tc>
      </w:tr>
      <w:tr>
        <w:trPr>
          <w:trHeight w:val="223"/>
        </w:trPr>
        <w:tc>
          <w:tcPr>
            <w:tcW w:w="20" w:type="dxa"/>
            <w:vAlign w:val="bottom"/>
          </w:tcPr>
          <w:p>
            <w:pPr>
              <w:spacing w:after="0"/>
              <w:rPr>
                <w:sz w:val="19"/>
                <w:szCs w:val="19"/>
                <w:color w:val="auto"/>
              </w:rPr>
            </w:pPr>
          </w:p>
        </w:tc>
        <w:tc>
          <w:tcPr>
            <w:tcW w:w="7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36,475</w:t>
            </w:r>
          </w:p>
        </w:tc>
        <w:tc>
          <w:tcPr>
            <w:tcW w:w="2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46,821</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3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0"/>
          </w:cols>
          <w:pgMar w:left="320" w:top="887" w:right="89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thousands, 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80" w:type="dxa"/>
            <w:vAlign w:val="bottom"/>
          </w:tcPr>
          <w:p>
            <w:pPr>
              <w:spacing w:after="0"/>
              <w:rPr>
                <w:sz w:val="19"/>
                <w:szCs w:val="19"/>
                <w:color w:val="auto"/>
              </w:rPr>
            </w:pPr>
          </w:p>
        </w:tc>
        <w:tc>
          <w:tcPr>
            <w:tcW w:w="29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c>
          <w:tcPr>
            <w:tcW w:w="0" w:type="dxa"/>
            <w:vAlign w:val="bottom"/>
          </w:tcPr>
          <w:p>
            <w:pPr>
              <w:spacing w:after="0"/>
              <w:rPr>
                <w:sz w:val="1"/>
                <w:szCs w:val="1"/>
                <w:color w:val="auto"/>
              </w:rPr>
            </w:pPr>
          </w:p>
        </w:tc>
      </w:tr>
      <w:tr>
        <w:trPr>
          <w:trHeight w:val="238"/>
        </w:trPr>
        <w:tc>
          <w:tcPr>
            <w:tcW w:w="82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82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Beginning balance</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Converted to unrestricted cash</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(885)</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Final settlement of acquisition of Ultra Pet</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2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Ending balance</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cash flows: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payments, net of amounts capitalized</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1,172</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29"/>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 payments, net of refunds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9,588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9,638</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capital expenditures in accounts payable</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(2,253)</w:t>
            </w:r>
          </w:p>
        </w:tc>
        <w:tc>
          <w:tcPr>
            <w:tcW w:w="2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capital expenditures in accrued expenses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(4,620)</w:t>
            </w: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0" w:type="dxa"/>
            <w:vAlign w:val="bottom"/>
          </w:tcPr>
          <w:p>
            <w:pPr>
              <w:spacing w:after="0"/>
              <w:rPr>
                <w:sz w:val="1"/>
                <w:szCs w:val="1"/>
                <w:color w:val="auto"/>
              </w:rPr>
            </w:pPr>
          </w:p>
        </w:tc>
      </w:tr>
      <w:tr>
        <w:trPr>
          <w:trHeight w:val="238"/>
        </w:trPr>
        <w:tc>
          <w:tcPr>
            <w:tcW w:w="8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dividends declared and accrued</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2,105</w:t>
            </w:r>
          </w:p>
        </w:tc>
        <w:tc>
          <w:tcPr>
            <w:tcW w:w="2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0"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OIL-DRI CORPORATION OF AMERICA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p>
      <w:pPr>
        <w:ind w:right="4920" w:firstLine="8"/>
        <w:spacing w:after="0" w:line="534" w:lineRule="auto"/>
        <w:tabs>
          <w:tab w:leader="none" w:pos="1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included in our Annual Report on Form 10-K for the fiscal year ended July 31, 2024.</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reflect all adjustments, consisting of normal recurring accruals and reclassifications which are, in the opinion of management, necessary for a fair presentation of the statements contained herein. Operating results for the three and nine months ended April 30, 2025, are not necessarily an indication of the results that may be expected for the fiscal year ending July 31, 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 the prior period financial statements have been reclassified to conform to the presentation of the current period financial statements.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immaterial reclassifications had no effect on the previously reported net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9, 2024, we announced that our Board of Directors (our "Board") approved a two-for-one stock split in the form of a stock dividend. Stockholders of record as of the close of business on December 20, 2024 received a distribution of one additional share of Common Stock, par value $0.10 per share ("Common Stock"), for each share of Common Stock held by such stockholder and one additional share of Class B Stock, par value $0.10 per share ("Class B Stock"), for each share of Class B Stock held by such stockholder as of the record date. The additional shares were distributed on January 3, 2025, and our Common Stock began trading on a post-split basis on January 6, 2025.</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split did not affect the par value of the Common Stock or Class B Stock, however, in order to implement the stock split, we amended our Certificate of Incorporation on December 11, 2024 to increase the number of authorized shares of Common Stock from 15 million to 30 million. Proportionate adjustments were made to the number of shares that remain available for issuance pursuant to the Amended and Restated Oil-Dri Corporation of America 2006 Long Term Incentive Plan, as amended (the "2006 Plan"), as well as to the outstanding awards under the 2006 Plan.</w:t>
      </w:r>
    </w:p>
    <w:p>
      <w:pPr>
        <w:spacing w:after="0" w:line="1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noted, all Common Stock and Class B Stock share and per share amounts contained in the unaudited Condensed Consolidated Financial Statements have been retroactively adjusted to reflect the stock split. The impact on the unaudited Condensed Consolidated Balance Sheet and unaudited Condensed Consolidated Statements of Stockholders' Equity herein was an increase of $0.8 million to Common Stock and Class B Stock, with an offsetting decrease in Additional Paid-In-Capital, which has been retroactively adjusted for all periods presented. The change in treasury shares reflects the stock split on shares held by wholly owned subsidiaries which are presented as treasury shares on a consolidated basis.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Use of Estimates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affect the reported amounts of assets, liabilities, revenues and expenses during the reporting period, as well as the related disclosures. Estimates and assumptions about future events cannot be made with certainty. All our estimates and assumptions are revised periodically.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significant accounting policies, which are summarized in detail in our Annual Report on Form 10-K for the fiscal year ended July 31, 2024, have not materially changed. The following is a description of certain of our significant accounting policies:</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Trade Receivables. </w:t>
      </w:r>
      <w:r>
        <w:rPr>
          <w:rFonts w:ascii="Times New Roman" w:cs="Times New Roman" w:eastAsia="Times New Roman" w:hAnsi="Times New Roman"/>
          <w:sz w:val="18"/>
          <w:szCs w:val="18"/>
          <w:color w:val="auto"/>
        </w:rPr>
        <w:t>We recognize trade receivables when control of finished products is transferred to our customers. We record an allowance for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 We also include an allowance for expected cash discounts to be taken.</w:t>
      </w:r>
    </w:p>
    <w:p>
      <w:pPr>
        <w:spacing w:after="0" w:line="20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Property, Plant and Equipment. </w:t>
      </w:r>
      <w:r>
        <w:rPr>
          <w:rFonts w:ascii="Times New Roman" w:cs="Times New Roman" w:eastAsia="Times New Roman" w:hAnsi="Times New Roman"/>
          <w:sz w:val="18"/>
          <w:szCs w:val="18"/>
          <w:color w:val="auto"/>
        </w:rPr>
        <w:t>Property, plant and equipment includes depreciable assets such as building, machinery, equipment, furniture, vehicles,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capitalized spare parts. These assets are depreciated using the straight-line method over their estimated useful lives. Major improvements are capitalized, while maintenance and repairs that do not extend the useful life of the applicable assets are expensed as incurred. Interest expense may also be capitalized for assets that require a period of time to prepare them for their intended use.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assets are carried at cost on the unaudited Condensed Consolidated Balance Sheet and are reviewed for possible impairment on an annual basis or when circumstances indicate that an asset may become impaired. We take into consideration idle and underutilized equipment and review business plans for possible impairment. When impairment is indicated, an impairment charge is recorded for the difference between the carrying value of the asset and its fair market value.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is as follows (in thousands):</w:t>
      </w:r>
    </w:p>
    <w:p>
      <w:pPr>
        <w:spacing w:after="0" w:line="5" w:lineRule="exact"/>
        <w:rPr>
          <w:sz w:val="20"/>
          <w:szCs w:val="20"/>
          <w:color w:val="auto"/>
        </w:rPr>
      </w:pPr>
    </w:p>
    <w:tbl>
      <w:tblPr>
        <w:tblLayout w:type="fixed"/>
        <w:tblInd w:w="106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gridSpan w:val="2"/>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April 30,</w:t>
            </w:r>
          </w:p>
        </w:tc>
        <w:tc>
          <w:tcPr>
            <w:tcW w:w="240" w:type="dxa"/>
            <w:vAlign w:val="bottom"/>
          </w:tcPr>
          <w:p>
            <w:pPr>
              <w:spacing w:after="0"/>
              <w:rPr>
                <w:sz w:val="17"/>
                <w:szCs w:val="17"/>
                <w:color w:val="auto"/>
              </w:rPr>
            </w:pPr>
          </w:p>
        </w:tc>
        <w:tc>
          <w:tcPr>
            <w:tcW w:w="11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July 31,</w:t>
            </w:r>
          </w:p>
        </w:tc>
      </w:tr>
      <w:tr>
        <w:trPr>
          <w:trHeight w:val="241"/>
        </w:trPr>
        <w:tc>
          <w:tcPr>
            <w:tcW w:w="58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property, plant and equipment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342,479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333,561</w:t>
            </w:r>
          </w:p>
        </w:tc>
      </w:tr>
      <w:tr>
        <w:trPr>
          <w:trHeight w:val="230"/>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9"/>
              </w:rPr>
              <w:t>(202,642)</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w w:val="99"/>
              </w:rPr>
              <w:t>(195,765)</w:t>
            </w:r>
          </w:p>
        </w:tc>
      </w:tr>
      <w:tr>
        <w:trPr>
          <w:trHeight w:val="223"/>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139,837</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center"/>
              <w:ind w:left="330"/>
              <w:spacing w:after="0"/>
              <w:rPr>
                <w:sz w:val="20"/>
                <w:szCs w:val="20"/>
                <w:color w:val="auto"/>
              </w:rPr>
            </w:pPr>
            <w:r>
              <w:rPr>
                <w:rFonts w:ascii="Times New Roman" w:cs="Times New Roman" w:eastAsia="Times New Roman" w:hAnsi="Times New Roman"/>
                <w:sz w:val="18"/>
                <w:szCs w:val="18"/>
                <w:color w:val="auto"/>
                <w:w w:val="99"/>
              </w:rPr>
              <w:t>137,796</w:t>
            </w:r>
          </w:p>
        </w:tc>
      </w:tr>
    </w:tbl>
    <w:p>
      <w:pPr>
        <w:spacing w:after="0" w:line="200" w:lineRule="exact"/>
        <w:rPr>
          <w:sz w:val="20"/>
          <w:szCs w:val="20"/>
          <w:color w:val="auto"/>
        </w:rPr>
      </w:pPr>
    </w:p>
    <w:p>
      <w:pPr>
        <w:spacing w:after="0" w:line="3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Land, Mining Property and Mineral Rights. </w:t>
      </w:r>
      <w:r>
        <w:rPr>
          <w:rFonts w:ascii="Times New Roman" w:cs="Times New Roman" w:eastAsia="Times New Roman" w:hAnsi="Times New Roman"/>
          <w:sz w:val="18"/>
          <w:szCs w:val="18"/>
          <w:color w:val="auto"/>
        </w:rPr>
        <w:t>We surface mine sorbent materials on property that we either own or lease as part of our overall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operations. A significant 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goods sold in the period they are incurred. We defer and amortize the pre-production overburden removal costs during the development phase associated with opening a new mine.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Reclamation. </w:t>
      </w:r>
      <w:r>
        <w:rPr>
          <w:rFonts w:ascii="Times New Roman" w:cs="Times New Roman" w:eastAsia="Times New Roman" w:hAnsi="Times New Roman"/>
          <w:sz w:val="18"/>
          <w:szCs w:val="18"/>
          <w:color w:val="auto"/>
        </w:rPr>
        <w:t>We perform ongoing reclamation activities during the normal course of our overburden removal. As overburden is removed from a mine site,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On an annual basis we evaluate our potential reclamation liability in accordance with ASC 410, </w:t>
      </w:r>
      <w:r>
        <w:rPr>
          <w:rFonts w:ascii="Times New Roman" w:cs="Times New Roman" w:eastAsia="Times New Roman" w:hAnsi="Times New Roman"/>
          <w:sz w:val="18"/>
          <w:szCs w:val="18"/>
          <w:i w:val="1"/>
          <w:iCs w:val="1"/>
          <w:color w:val="auto"/>
        </w:rPr>
        <w:t>Asset Retirement and Environmental Obligations.</w:t>
      </w:r>
      <w:r>
        <w:rPr>
          <w:rFonts w:ascii="Times New Roman" w:cs="Times New Roman" w:eastAsia="Times New Roman" w:hAnsi="Times New Roman"/>
          <w:sz w:val="18"/>
          <w:szCs w:val="18"/>
          <w:color w:val="auto"/>
        </w:rPr>
        <w:t xml:space="preserve"> The reclamation assets are depreciated over the estimated useful lives of the respective mines. The reclamation liabilities are increased based on a yearly accretion charge over the estimated useful lives of the respective mines.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3" w:name="page14"/>
    <w:bookmarkEnd w:id="13"/>
    <w:p>
      <w:pPr>
        <w:jc w:val="both"/>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Leases. </w:t>
      </w:r>
      <w:r>
        <w:rPr>
          <w:rFonts w:ascii="Times New Roman" w:cs="Times New Roman" w:eastAsia="Times New Roman" w:hAnsi="Times New Roman"/>
          <w:sz w:val="18"/>
          <w:szCs w:val="18"/>
          <w:color w:val="auto"/>
        </w:rPr>
        <w:t>ASC 842,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provides that a contract is, or contains, a lease if it conveys the right to control the use of an identified asset and, accordingly,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 liability and a related right-of-use ("ROU") asset is recognized at the commencement date on our unaudited Condensed Consolidated Balance Sheet. As provided in ASC 842, we have elected not to apply these measurements and recognition requirements to short-term leases (i.e., leases with a term of 12 months or less). Short-term leases will not be recorded as ROU assets or lease liabilities on our unaudited Condensed Consolidated Balance Sheet, and the related lease payments will be recognized in net earnings on a straight-line basis over the lease term. For leases other than short-term leases, the lease liability is equal to the present value of unpaid lease payments over the remaining lease term. The lease term may reflect options to extend or terminate the lease when it is reasonably certain that such options will be exercised. To determine the present value of the lease liability, we use an incremental borrowing rate, which is defined as the rate of interest we would have to pay to borrow (on a collateralized basis over a similar term) an amount equal to the lease payments in similar economic environments. The ROU asset is based on the corresponding lease liability adjusted for certain costs such as initial direct costs, prepaid lease payments and lease incentives received. Both operating and finance lease ROU assets are reviewed for impairment, consistent with other long-lived assets, whenever events or changes in circumstances indicate that the carrying amount may not be recoverable. After a ROU asset is impaired, any remaining balance of the ROU asset is amortized on a straight-line basis over the shorter of the remaining lease term or the estimated useful life. After the lease commencement date, we evaluate lease modifications, if any, that could result in a change in the accounting for leases.</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leases provide for variable lease payments that vary due to changes in facts and circumstances occurring after the commencement date, other than the passage of time. Variable lease payments that are dependent on an index or rate (e.g., the Consumer Price Index) are included in the initial measurement of the lease liability and the ROU asset. Variable lease payments that are not known at the commencement date and are determinable based on the performance or use of the underlying asset, are expensed as incurred. Our variable lease payments primarily include common area maintenance charges based on the percentage of the total square footage leased and the usage of assets, such as photocopiers.</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of our contracts may contain lease components as well as non-lease components, such as an agreement to purchase services. As allowed under ASC 842, we have elected not to separate the lease components from non-lease components for all asset classes, and we will not allocate the contract consideration to these components. This policy was applied to all existing leases upon adoption of ASC 842 and will be applied to new leases on an ongoing basis.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Revenue Recognition. </w:t>
      </w:r>
      <w:r>
        <w:rPr>
          <w:rFonts w:ascii="Times New Roman" w:cs="Times New Roman" w:eastAsia="Times New Roman" w:hAnsi="Times New Roman"/>
          <w:sz w:val="18"/>
          <w:szCs w:val="18"/>
          <w:color w:val="auto"/>
        </w:rPr>
        <w:t>We recognize revenue when performance obligations under the terms of the contracts with customers are satisfied. Our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by customers,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and any related obligations.</w:t>
      </w:r>
    </w:p>
    <w:p>
      <w:pPr>
        <w:spacing w:after="0" w:line="213" w:lineRule="exact"/>
        <w:rPr>
          <w:sz w:val="20"/>
          <w:szCs w:val="20"/>
          <w:color w:val="auto"/>
        </w:rPr>
      </w:pPr>
    </w:p>
    <w:p>
      <w:pPr>
        <w:ind w:right="2120"/>
        <w:spacing w:after="0" w:line="276" w:lineRule="auto"/>
        <w:rPr>
          <w:sz w:val="20"/>
          <w:szCs w:val="20"/>
          <w:color w:val="auto"/>
        </w:rPr>
      </w:pPr>
      <w:r>
        <w:rPr>
          <w:rFonts w:ascii="Times New Roman" w:cs="Times New Roman" w:eastAsia="Times New Roman" w:hAnsi="Times New Roman"/>
          <w:sz w:val="17"/>
          <w:szCs w:val="17"/>
          <w:color w:val="auto"/>
        </w:rPr>
        <w:t>We have an unconditional right to consideration under the payment terms specified in the contracts upon completion of the performance obligation. We may require certain customers to provide payment in advance of product shipment. We recorded a</w:t>
      </w:r>
    </w:p>
    <w:p>
      <w:pPr>
        <w:spacing w:after="0" w:line="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liability for these advance payments of $0.6 million as of April 30, 2025, and $0.2 million as of July 31, 2024. This liability is reported in Other within Accrued Expenses on the unaudited Condensed Consolidated Balance Sheet. There was $0.2 million revenue recognized during the nine months ended April 30, 2025, that was included in the liability for advance payments at the beginning of the period.</w:t>
      </w:r>
    </w:p>
    <w:p>
      <w:pPr>
        <w:spacing w:after="0" w:line="21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routinely commit to one-time or ongoing trade promotion programs directly with consumers, such as coupon programs, and also with customers, such as volume discounts, cooperative marketing and other arrangements. We estimate and accrue the expected costs of these programs. These costs are considered variable consideration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2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("SG&amp;A") include salaries, wages and benefits associated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4" w:name="page15"/>
    <w:bookmarkEnd w:id="14"/>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Current and Noncurrent Liabilities. </w:t>
      </w:r>
      <w:r>
        <w:rPr>
          <w:rFonts w:ascii="Times New Roman" w:cs="Times New Roman" w:eastAsia="Times New Roman" w:hAnsi="Times New Roman"/>
          <w:sz w:val="18"/>
          <w:szCs w:val="18"/>
          <w:color w:val="auto"/>
        </w:rPr>
        <w:t>Other liabilities include the accruals for general expenses not yet paid, cash collected not yet vouchered, legal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reserves, postretirement health benefit obligations, and reclamation liability accrual. Current liabilities are due to be paid within the next 12 months. Other noncurrent liabilities on the unaudited Condensed Consolidated Balance Sheet include $4.9 million and $4.8 million for the reclamation liability as of April 30, 2025, and July 31, 2024, respectively, and $1.8 million and $1.7 million for postretirement health benefit as of April 30, 2025, and July 31, 2024,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and Regulations.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Improvements to Reportable Segment Disclosures." ("ASU No. 2023-07") These amendments primarily require enhanced disclosures about significant segment expenses regularly provided to the chief operating decision maker and are included within each reported measure of segment profit or loss. In addition, ASU No. 2023-07 also requires all annual disclosures currently required by Topic 280 to be included in interim periods. These amendments are to be applied retrospectively for all periods presented in the financial statements and are effective for fiscal years beginning after December 15, 2023, and interim periods within fiscal years beginning after December 15, 2024, with early adoption permitted. We are currently evaluating the impact that the adoption of this guidance will have on our disclosures.</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These amendments primarily require enhanced disclosures and disaggregation of income tax information by jurisdiction in the annual income tax reconciliation and quantitative disclosures regarding income taxes paid. These amendments are to be applied prospectively, with the option to apply the standard retrospectively, for annual periods beginning after December 15, 2024. Early adoption is permitted. We are currently evaluating the impact that the adoption of this guidance will have on our disclosures.</w:t>
      </w:r>
    </w:p>
    <w:p>
      <w:pPr>
        <w:spacing w:after="0" w:line="17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Statement—Reporting Comprehensive Income—Expense Disaggregation Disclosures (Subtopic 220-40)." These amendments primarily require disaggregated disclosure, in the notes to the financial statements, of prescribed categories of expenses within relevant income statement captions. The requirements will be applied prospectively, with the option to apply the standard retrospectively, for annual periods beginning after December 15, 2026, and interim periods within fiscal years beginning after December 15, 2027. Early adoption is permitted. We are currently evaluating the impact that the adoption of this guidance will have on our disclosures.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new accounting pronouncements adopted in the period.</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EARNINGS PER SHARE</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utilize the two-class method to report our earnings per share ("EPS"). The two-class method is an earnings allocation formula that determines EPS for each class of common stock according to dividends declared and participation rights in undistributed earnings. Common Stock is entitled to cash dividends equal to at least 133.33% on a per share basis of the cash dividend paid on Class B Stock. In computing EPS, the Company has allocated dividends declared to shares of Common Stock and Class B Stock based on amounts declared for each class of stock and 33.33% more of the undistributed earnings have been allocated to shares of Common Stock than to shares of Class B Stock on a per share basis. Common Stock is entitled to one vote per share and Class B Stock is entitled to ten votes per share. Common Stock have no conversion rights. Class B Stock is convertible by the holders thereof on a share-by-share basis into Common Stock at any time and is subject to mandatory conversion under certain circumstances. Basic EPS is computed by dividing net earnings, reduced for any distributed and undistributed earnings allocated to unvested restricted shares, by the weighted-average number of shares outstanding during the period for each class of common stock. Diluted EPS for Common Stock is derived utilizing the most dilutive result of the if-converted, treasury stock and two-class methods. In our case, the if-converted method is more dilutive than the two-class method and because our unvested restricted stock participates in dividends and is therefore anti-dilutive the treasury stock method does not apply. For Class B Stock, diluted EPS is derived utilizing the two-class method since, as with our Common Stock, our unvested restricted stock participates in dividends and is therefore anti-dilutive, making the treasury stock method inapplicable. The reverse treasury stock method is also inapplicable to both classes as we have no obligation to repurchase our common stock. In both the if-converted and two-class methods, diluted EPS is computed by dividing net earnings by the weighted-average number of shares and potential shares outstanding during the period, taking into consideration different</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5" w:name="page16"/>
    <w:bookmarkEnd w:id="15"/>
    <w:p>
      <w:pPr>
        <w:jc w:val="both"/>
        <w:spacing w:after="0" w:line="266" w:lineRule="auto"/>
        <w:rPr>
          <w:sz w:val="20"/>
          <w:szCs w:val="20"/>
          <w:color w:val="auto"/>
        </w:rPr>
      </w:pPr>
      <w:r>
        <w:rPr>
          <w:rFonts w:ascii="Times New Roman" w:cs="Times New Roman" w:eastAsia="Times New Roman" w:hAnsi="Times New Roman"/>
          <w:sz w:val="18"/>
          <w:szCs w:val="18"/>
          <w:color w:val="auto"/>
        </w:rPr>
        <w:t>potential shares outstanding based on the method used. Dilution for Common Stock takes into consideration the effect of both unvested restricted shares and convertible shares of Class B Stock, unless such shares are anti-dilutive, in which case they are not considered. Dilution for Class B Stock takes into consideration the effect of unvested restricted shares, unless such shares are anti-dilutive, in which case they are not considered.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reconciliation of the calculation of basic and diluted EPS.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36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the Nine Months Ended April 30, 2025</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jc w:val="center"/>
              <w:ind w:right="197"/>
              <w:spacing w:after="0"/>
              <w:rPr>
                <w:sz w:val="20"/>
                <w:szCs w:val="20"/>
                <w:color w:val="auto"/>
              </w:rPr>
            </w:pPr>
            <w:r>
              <w:rPr>
                <w:rFonts w:ascii="Times New Roman" w:cs="Times New Roman" w:eastAsia="Times New Roman" w:hAnsi="Times New Roman"/>
                <w:sz w:val="13"/>
                <w:szCs w:val="13"/>
                <w:b w:val="1"/>
                <w:bCs w:val="1"/>
                <w:color w:val="auto"/>
                <w:w w:val="97"/>
              </w:rPr>
              <w:t>For the Nine Months Ended April 30, 2024</w:t>
            </w:r>
          </w:p>
        </w:tc>
      </w:tr>
      <w:tr>
        <w:trPr>
          <w:trHeight w:val="164"/>
        </w:trPr>
        <w:tc>
          <w:tcPr>
            <w:tcW w:w="3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6"/>
          </w:tcPr>
          <w:p>
            <w:pPr>
              <w:jc w:val="center"/>
              <w:ind w:left="37"/>
              <w:spacing w:after="0"/>
              <w:rPr>
                <w:sz w:val="20"/>
                <w:szCs w:val="20"/>
                <w:color w:val="auto"/>
              </w:rPr>
            </w:pPr>
            <w:r>
              <w:rPr>
                <w:rFonts w:ascii="Times New Roman" w:cs="Times New Roman" w:eastAsia="Times New Roman" w:hAnsi="Times New Roman"/>
                <w:sz w:val="13"/>
                <w:szCs w:val="13"/>
                <w:color w:val="auto"/>
                <w:w w:val="96"/>
              </w:rPr>
              <w:t>(in thousands, except for per share data)</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6"/>
          </w:tcPr>
          <w:p>
            <w:pPr>
              <w:jc w:val="center"/>
              <w:ind w:left="457"/>
              <w:spacing w:after="0"/>
              <w:rPr>
                <w:sz w:val="20"/>
                <w:szCs w:val="20"/>
                <w:color w:val="auto"/>
              </w:rPr>
            </w:pPr>
            <w:r>
              <w:rPr>
                <w:rFonts w:ascii="Times New Roman" w:cs="Times New Roman" w:eastAsia="Times New Roman" w:hAnsi="Times New Roman"/>
                <w:sz w:val="13"/>
                <w:szCs w:val="13"/>
                <w:color w:val="auto"/>
                <w:w w:val="96"/>
              </w:rPr>
              <w:t>(in thousands, except for per share data)</w:t>
            </w:r>
          </w:p>
        </w:tc>
        <w:tc>
          <w:tcPr>
            <w:tcW w:w="780" w:type="dxa"/>
            <w:vAlign w:val="bottom"/>
          </w:tcPr>
          <w:p>
            <w:pPr>
              <w:spacing w:after="0"/>
              <w:rPr>
                <w:sz w:val="14"/>
                <w:szCs w:val="14"/>
                <w:color w:val="auto"/>
              </w:rPr>
            </w:pPr>
          </w:p>
        </w:tc>
      </w:tr>
      <w:tr>
        <w:trPr>
          <w:trHeight w:val="180"/>
        </w:trPr>
        <w:tc>
          <w:tcPr>
            <w:tcW w:w="37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w w:val="96"/>
              </w:rPr>
              <w:t>Class B</w:t>
            </w:r>
          </w:p>
        </w:tc>
      </w:tr>
      <w:tr>
        <w:trPr>
          <w:trHeight w:val="17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40,941</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31,201</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9,740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30,901</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23,503</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7,398</w:t>
            </w:r>
          </w:p>
        </w:tc>
      </w:tr>
      <w:tr>
        <w:trPr>
          <w:trHeight w:val="17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Distributed and undistributed earnings on restricted shares</w:t>
            </w: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w w:val="94"/>
              </w:rPr>
              <w:t>(1,940)</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(1,285)</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(655)</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color w:val="auto"/>
              </w:rPr>
              <w:t>(1,732)</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(1,144)</w:t>
            </w: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(588)</w:t>
            </w:r>
          </w:p>
        </w:tc>
      </w:tr>
      <w:tr>
        <w:trPr>
          <w:trHeight w:val="20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available to stockholders</w:t>
            </w:r>
          </w:p>
        </w:tc>
        <w:tc>
          <w:tcPr>
            <w:tcW w:w="68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39,001</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29,916</w:t>
            </w: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9,085</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29,169</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22,359</w:t>
            </w: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6,810</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(Numerator)</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29,916</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9,085</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22,359</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6,810</w:t>
            </w:r>
          </w:p>
        </w:tc>
      </w:tr>
      <w:tr>
        <w:trPr>
          <w:trHeight w:val="17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Weighted Average Shares Outstanding (Denominator)</w:t>
            </w:r>
          </w:p>
        </w:tc>
        <w:tc>
          <w:tcPr>
            <w:tcW w:w="6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9,882</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3,991</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9,749</w:t>
            </w: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3,949</w:t>
            </w:r>
          </w:p>
        </w:tc>
      </w:tr>
      <w:tr>
        <w:trPr>
          <w:trHeight w:val="20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Basic EPS</w:t>
            </w:r>
          </w:p>
        </w:tc>
        <w:tc>
          <w:tcPr>
            <w:tcW w:w="6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3.03</w:t>
            </w: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2.28</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2.29</w:t>
            </w: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1.72</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5"/>
        </w:trPr>
        <w:tc>
          <w:tcPr>
            <w:tcW w:w="37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Effect of dilution - Net Income </w:t>
            </w:r>
            <w:r>
              <w:rPr>
                <w:rFonts w:ascii="Times New Roman" w:cs="Times New Roman" w:eastAsia="Times New Roman" w:hAnsi="Times New Roman"/>
                <w:sz w:val="16"/>
                <w:szCs w:val="16"/>
                <w:color w:val="auto"/>
                <w:vertAlign w:val="superscript"/>
              </w:rPr>
              <w:t>(1)</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9,085</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6,810</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assuming dilution (Numerator)</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39,001</w:t>
            </w:r>
          </w:p>
        </w:tc>
        <w:tc>
          <w:tcPr>
            <w:tcW w:w="18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9,085</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29,169</w:t>
            </w:r>
          </w:p>
        </w:tc>
        <w:tc>
          <w:tcPr>
            <w:tcW w:w="18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6,810</w:t>
            </w:r>
          </w:p>
        </w:tc>
      </w:tr>
      <w:tr>
        <w:trPr>
          <w:trHeight w:val="208"/>
        </w:trPr>
        <w:tc>
          <w:tcPr>
            <w:tcW w:w="3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5"/>
        </w:trPr>
        <w:tc>
          <w:tcPr>
            <w:tcW w:w="37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Effect of dilution - Shares </w:t>
            </w:r>
            <w:r>
              <w:rPr>
                <w:rFonts w:ascii="Times New Roman" w:cs="Times New Roman" w:eastAsia="Times New Roman" w:hAnsi="Times New Roman"/>
                <w:sz w:val="16"/>
                <w:szCs w:val="16"/>
                <w:color w:val="auto"/>
                <w:vertAlign w:val="superscript"/>
              </w:rPr>
              <w:t>(1)</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3,991</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assuming dilution (Denominator)</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13,873</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3,991</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13,698</w:t>
            </w:r>
          </w:p>
        </w:tc>
        <w:tc>
          <w:tcPr>
            <w:tcW w:w="1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3,949</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EPS</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2.81</w:t>
            </w:r>
          </w:p>
        </w:tc>
        <w:tc>
          <w:tcPr>
            <w:tcW w:w="18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2.28</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2.13</w:t>
            </w:r>
          </w:p>
        </w:tc>
        <w:tc>
          <w:tcPr>
            <w:tcW w:w="180" w:type="dxa"/>
            <w:vAlign w:val="bottom"/>
          </w:tcPr>
          <w:p>
            <w:pPr>
              <w:spacing w:after="0"/>
              <w:rPr>
                <w:sz w:val="15"/>
                <w:szCs w:val="15"/>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1.72</w:t>
            </w:r>
          </w:p>
        </w:tc>
      </w:tr>
    </w:tbl>
    <w:p>
      <w:pPr>
        <w:spacing w:after="0" w:line="22" w:lineRule="exact"/>
        <w:rPr>
          <w:sz w:val="20"/>
          <w:szCs w:val="20"/>
          <w:color w:val="auto"/>
        </w:rPr>
      </w:pPr>
    </w:p>
    <w:p>
      <w:pPr>
        <w:ind w:left="20" w:right="240" w:firstLine="6"/>
        <w:spacing w:after="0"/>
        <w:tabs>
          <w:tab w:leader="none" w:pos="147" w:val="left"/>
        </w:tabs>
        <w:numPr>
          <w:ilvl w:val="0"/>
          <w:numId w:val="2"/>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The impact of 259,469 unvested shares of Common Stock and 124,187 unvested shares of Class B Stock were anti-dilutive therefore not included in the calculation of diluted EPS for the nine months ended April 30, 2025. The impact of 332,870 unvested shares of Common Stock and 100,090 unvested shares of Class B Stock were anti-dilutive, and therefore not included in the calculation of diluted EPS for the nine months ended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-193675</wp:posOffset>
            </wp:positionV>
            <wp:extent cx="150050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00505" cy="8890"/>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-193675</wp:posOffset>
            </wp:positionV>
            <wp:extent cx="15005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740" w:type="dxa"/>
            <w:vAlign w:val="bottom"/>
          </w:tcPr>
          <w:p>
            <w:pPr>
              <w:spacing w:after="0"/>
              <w:rPr>
                <w:sz w:val="15"/>
                <w:szCs w:val="15"/>
                <w:color w:val="auto"/>
              </w:rPr>
            </w:pPr>
          </w:p>
        </w:tc>
        <w:tc>
          <w:tcPr>
            <w:tcW w:w="3620" w:type="dxa"/>
            <w:vAlign w:val="bottom"/>
            <w:tcBorders>
              <w:bottom w:val="single" w:sz="8" w:color="auto"/>
            </w:tcBorders>
            <w:gridSpan w:val="8"/>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For the Three Months Ended April 30, 2025</w:t>
            </w:r>
          </w:p>
        </w:tc>
        <w:tc>
          <w:tcPr>
            <w:tcW w:w="1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7"/>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6"/>
              </w:rPr>
              <w:t>For the Three Months Ended April 30, 2024</w:t>
            </w:r>
          </w:p>
        </w:tc>
      </w:tr>
      <w:tr>
        <w:trPr>
          <w:trHeight w:val="164"/>
        </w:trPr>
        <w:tc>
          <w:tcPr>
            <w:tcW w:w="3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160" w:type="dxa"/>
            <w:vAlign w:val="bottom"/>
            <w:gridSpan w:val="6"/>
          </w:tcPr>
          <w:p>
            <w:pPr>
              <w:jc w:val="center"/>
              <w:ind w:left="37"/>
              <w:spacing w:after="0"/>
              <w:rPr>
                <w:sz w:val="20"/>
                <w:szCs w:val="20"/>
                <w:color w:val="auto"/>
              </w:rPr>
            </w:pPr>
            <w:r>
              <w:rPr>
                <w:rFonts w:ascii="Times New Roman" w:cs="Times New Roman" w:eastAsia="Times New Roman" w:hAnsi="Times New Roman"/>
                <w:sz w:val="13"/>
                <w:szCs w:val="13"/>
                <w:color w:val="auto"/>
                <w:w w:val="96"/>
              </w:rPr>
              <w:t>(in thousands, except for per share data)</w:t>
            </w: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20" w:type="dxa"/>
            <w:vAlign w:val="bottom"/>
            <w:gridSpan w:val="6"/>
          </w:tcPr>
          <w:p>
            <w:pPr>
              <w:jc w:val="center"/>
              <w:ind w:left="457"/>
              <w:spacing w:after="0"/>
              <w:rPr>
                <w:sz w:val="20"/>
                <w:szCs w:val="20"/>
                <w:color w:val="auto"/>
              </w:rPr>
            </w:pPr>
            <w:r>
              <w:rPr>
                <w:rFonts w:ascii="Times New Roman" w:cs="Times New Roman" w:eastAsia="Times New Roman" w:hAnsi="Times New Roman"/>
                <w:sz w:val="13"/>
                <w:szCs w:val="13"/>
                <w:color w:val="auto"/>
                <w:w w:val="96"/>
              </w:rPr>
              <w:t>(in thousands, except for per share data)</w:t>
            </w:r>
          </w:p>
        </w:tc>
        <w:tc>
          <w:tcPr>
            <w:tcW w:w="780" w:type="dxa"/>
            <w:vAlign w:val="bottom"/>
          </w:tcPr>
          <w:p>
            <w:pPr>
              <w:spacing w:after="0"/>
              <w:rPr>
                <w:sz w:val="14"/>
                <w:szCs w:val="14"/>
                <w:color w:val="auto"/>
              </w:rPr>
            </w:pPr>
          </w:p>
        </w:tc>
      </w:tr>
      <w:tr>
        <w:trPr>
          <w:trHeight w:val="180"/>
        </w:trPr>
        <w:tc>
          <w:tcPr>
            <w:tcW w:w="374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3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Common</w:t>
            </w:r>
          </w:p>
        </w:tc>
        <w:tc>
          <w:tcPr>
            <w:tcW w:w="3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w w:val="96"/>
              </w:rPr>
              <w:t>Class B</w:t>
            </w:r>
          </w:p>
        </w:tc>
      </w:tr>
      <w:tr>
        <w:trPr>
          <w:trHeight w:val="175"/>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68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11,644</w:t>
            </w: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8,884</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2,760</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7,777</w:t>
            </w: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5,908</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1,869</w:t>
            </w:r>
          </w:p>
        </w:tc>
      </w:tr>
      <w:tr>
        <w:trPr>
          <w:trHeight w:val="17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Distributed and undistributed earnings on restricted shares</w:t>
            </w:r>
          </w:p>
        </w:tc>
        <w:tc>
          <w:tcPr>
            <w:tcW w:w="6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(367)</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w:t>
            </w: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w:t>
            </w:r>
          </w:p>
        </w:tc>
      </w:tr>
      <w:tr>
        <w:trPr>
          <w:trHeight w:val="20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available to stockholders</w:t>
            </w:r>
          </w:p>
        </w:tc>
        <w:tc>
          <w:tcPr>
            <w:tcW w:w="680" w:type="dxa"/>
            <w:vAlign w:val="bottom"/>
            <w:tcBorders>
              <w:bottom w:val="single" w:sz="8" w:color="auto"/>
            </w:tcBorders>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color w:val="auto"/>
                <w:w w:val="9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11,104</w:t>
            </w: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8,517</w:t>
            </w: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2,587</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7,373</w:t>
            </w: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5,656</w:t>
            </w: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3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(Numerator)</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8,517</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2,587</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5,656</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w:t>
            </w:r>
          </w:p>
        </w:tc>
      </w:tr>
      <w:tr>
        <w:trPr>
          <w:trHeight w:val="170"/>
        </w:trPr>
        <w:tc>
          <w:tcPr>
            <w:tcW w:w="3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Weighted Average Shares Outstanding (Denominator)</w:t>
            </w:r>
          </w:p>
        </w:tc>
        <w:tc>
          <w:tcPr>
            <w:tcW w:w="68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9,907</w:t>
            </w:r>
          </w:p>
        </w:tc>
        <w:tc>
          <w:tcPr>
            <w:tcW w:w="1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4,002</w:t>
            </w: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9,824</w:t>
            </w:r>
          </w:p>
        </w:tc>
        <w:tc>
          <w:tcPr>
            <w:tcW w:w="1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3,961</w:t>
            </w:r>
          </w:p>
        </w:tc>
      </w:tr>
      <w:tr>
        <w:trPr>
          <w:trHeight w:val="200"/>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Basic EPS</w:t>
            </w:r>
          </w:p>
        </w:tc>
        <w:tc>
          <w:tcPr>
            <w:tcW w:w="6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0.86</w:t>
            </w:r>
          </w:p>
        </w:tc>
        <w:tc>
          <w:tcPr>
            <w:tcW w:w="1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0.65</w:t>
            </w:r>
          </w:p>
        </w:tc>
        <w:tc>
          <w:tcPr>
            <w:tcW w:w="1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0.58</w:t>
            </w:r>
          </w:p>
        </w:tc>
        <w:tc>
          <w:tcPr>
            <w:tcW w:w="1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0.43</w:t>
            </w: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50"/>
        </w:trPr>
        <w:tc>
          <w:tcPr>
            <w:tcW w:w="3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5"/>
        </w:trPr>
        <w:tc>
          <w:tcPr>
            <w:tcW w:w="3740" w:type="dxa"/>
            <w:vAlign w:val="bottom"/>
            <w:shd w:val="clear" w:color="auto" w:fill="CCEEFF"/>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Effect of dilution - Net Income </w:t>
            </w:r>
            <w:r>
              <w:rPr>
                <w:rFonts w:ascii="Times New Roman" w:cs="Times New Roman" w:eastAsia="Times New Roman" w:hAnsi="Times New Roman"/>
                <w:sz w:val="16"/>
                <w:szCs w:val="16"/>
                <w:color w:val="auto"/>
                <w:vertAlign w:val="superscript"/>
              </w:rPr>
              <w:t>(1)</w:t>
            </w:r>
          </w:p>
        </w:tc>
        <w:tc>
          <w:tcPr>
            <w:tcW w:w="6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2,587</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1,717</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assuming dilution (Numerator)</w:t>
            </w: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11,104</w:t>
            </w:r>
          </w:p>
        </w:tc>
        <w:tc>
          <w:tcPr>
            <w:tcW w:w="180" w:type="dxa"/>
            <w:vAlign w:val="bottom"/>
          </w:tcPr>
          <w:p>
            <w:pPr>
              <w:spacing w:after="0"/>
              <w:rPr>
                <w:sz w:val="14"/>
                <w:szCs w:val="14"/>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2,587</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7,373</w:t>
            </w:r>
          </w:p>
        </w:tc>
        <w:tc>
          <w:tcPr>
            <w:tcW w:w="180" w:type="dxa"/>
            <w:vAlign w:val="bottom"/>
          </w:tcPr>
          <w:p>
            <w:pPr>
              <w:spacing w:after="0"/>
              <w:rPr>
                <w:sz w:val="14"/>
                <w:szCs w:val="14"/>
                <w:color w:val="auto"/>
              </w:rPr>
            </w:pPr>
          </w:p>
        </w:tc>
        <w:tc>
          <w:tcPr>
            <w:tcW w:w="320" w:type="dxa"/>
            <w:vAlign w:val="bottom"/>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1,717</w:t>
            </w:r>
          </w:p>
        </w:tc>
      </w:tr>
      <w:tr>
        <w:trPr>
          <w:trHeight w:val="208"/>
        </w:trPr>
        <w:tc>
          <w:tcPr>
            <w:tcW w:w="37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176"/>
        </w:trPr>
        <w:tc>
          <w:tcPr>
            <w:tcW w:w="3740" w:type="dxa"/>
            <w:vAlign w:val="bottom"/>
          </w:tcPr>
          <w:p>
            <w:pPr>
              <w:ind w:left="20"/>
              <w:spacing w:after="0" w:line="175" w:lineRule="exact"/>
              <w:rPr>
                <w:sz w:val="20"/>
                <w:szCs w:val="20"/>
                <w:color w:val="auto"/>
              </w:rPr>
            </w:pPr>
            <w:r>
              <w:rPr>
                <w:rFonts w:ascii="Times New Roman" w:cs="Times New Roman" w:eastAsia="Times New Roman" w:hAnsi="Times New Roman"/>
                <w:sz w:val="13"/>
                <w:szCs w:val="13"/>
                <w:color w:val="auto"/>
              </w:rPr>
              <w:t xml:space="preserve">Effect of dilution - Shares </w:t>
            </w:r>
            <w:r>
              <w:rPr>
                <w:rFonts w:ascii="Times New Roman" w:cs="Times New Roman" w:eastAsia="Times New Roman" w:hAnsi="Times New Roman"/>
                <w:sz w:val="16"/>
                <w:szCs w:val="16"/>
                <w:color w:val="auto"/>
                <w:vertAlign w:val="superscript"/>
              </w:rPr>
              <w:t>(1)</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4,002</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3,961</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assuming dilution (Denominator)</w:t>
            </w:r>
          </w:p>
        </w:tc>
        <w:tc>
          <w:tcPr>
            <w:tcW w:w="6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13,909</w:t>
            </w:r>
          </w:p>
        </w:tc>
        <w:tc>
          <w:tcPr>
            <w:tcW w:w="1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4,002</w:t>
            </w: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13,785</w:t>
            </w:r>
          </w:p>
        </w:tc>
        <w:tc>
          <w:tcPr>
            <w:tcW w:w="1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3,961</w:t>
            </w:r>
          </w:p>
        </w:tc>
      </w:tr>
      <w:tr>
        <w:trPr>
          <w:trHeight w:val="175"/>
        </w:trPr>
        <w:tc>
          <w:tcPr>
            <w:tcW w:w="3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EPS</w:t>
            </w: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0.80</w:t>
            </w:r>
          </w:p>
        </w:tc>
        <w:tc>
          <w:tcPr>
            <w:tcW w:w="180" w:type="dxa"/>
            <w:vAlign w:val="bottom"/>
          </w:tcPr>
          <w:p>
            <w:pPr>
              <w:spacing w:after="0"/>
              <w:rPr>
                <w:sz w:val="15"/>
                <w:szCs w:val="15"/>
                <w:color w:val="auto"/>
              </w:rPr>
            </w:pPr>
          </w:p>
        </w:tc>
        <w:tc>
          <w:tcPr>
            <w:tcW w:w="3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0.65</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0.53</w:t>
            </w:r>
          </w:p>
        </w:tc>
        <w:tc>
          <w:tcPr>
            <w:tcW w:w="180" w:type="dxa"/>
            <w:vAlign w:val="bottom"/>
          </w:tcPr>
          <w:p>
            <w:pPr>
              <w:spacing w:after="0"/>
              <w:rPr>
                <w:sz w:val="15"/>
                <w:szCs w:val="15"/>
                <w:color w:val="auto"/>
              </w:rPr>
            </w:pPr>
          </w:p>
        </w:tc>
        <w:tc>
          <w:tcPr>
            <w:tcW w:w="32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0.43</w:t>
            </w:r>
          </w:p>
        </w:tc>
      </w:tr>
    </w:tbl>
    <w:p>
      <w:pPr>
        <w:spacing w:after="0" w:line="22" w:lineRule="exact"/>
        <w:rPr>
          <w:sz w:val="20"/>
          <w:szCs w:val="20"/>
          <w:color w:val="auto"/>
        </w:rPr>
      </w:pPr>
    </w:p>
    <w:p>
      <w:pPr>
        <w:ind w:left="20" w:right="200" w:firstLine="6"/>
        <w:spacing w:after="0"/>
        <w:tabs>
          <w:tab w:leader="none" w:pos="147" w:val="left"/>
        </w:tabs>
        <w:numPr>
          <w:ilvl w:val="0"/>
          <w:numId w:val="3"/>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2"/>
          <w:szCs w:val="12"/>
          <w:color w:val="auto"/>
        </w:rPr>
        <w:t>The impact of 268,920 unvested shares of Common Stock and 132,528 unvested shares of Class B Stock were anti-dilutive therefore not included in the calculation of diluted EPS for the three months ended April 30, 2025. The impact of 267,968 unvested shares of Common Stock and 113,652 unvested shares of Class B Stock were anti-dilutive, and therefore not included in the calculation of diluted EPS for the three months ended April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5594350</wp:posOffset>
            </wp:positionH>
            <wp:positionV relativeFrom="paragraph">
              <wp:posOffset>-193675</wp:posOffset>
            </wp:positionV>
            <wp:extent cx="15005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00505"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-193675</wp:posOffset>
            </wp:positionV>
            <wp:extent cx="1500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INVENTORIES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6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composition of inventories is as follows (in thousands):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5"/>
        </w:trPr>
        <w:tc>
          <w:tcPr>
            <w:tcW w:w="1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40" w:type="dxa"/>
            <w:vAlign w:val="bottom"/>
          </w:tcPr>
          <w:p>
            <w:pPr>
              <w:spacing w:after="0"/>
              <w:rPr>
                <w:sz w:val="24"/>
                <w:szCs w:val="24"/>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1880" w:type="dxa"/>
            <w:vAlign w:val="bottom"/>
          </w:tcPr>
          <w:p>
            <w:pPr>
              <w:spacing w:after="0"/>
              <w:rPr>
                <w:sz w:val="20"/>
                <w:szCs w:val="20"/>
                <w:color w:val="auto"/>
              </w:rPr>
            </w:pPr>
          </w:p>
        </w:tc>
        <w:tc>
          <w:tcPr>
            <w:tcW w:w="46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33,699</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31,772</w:t>
            </w:r>
          </w:p>
        </w:tc>
      </w:tr>
      <w:tr>
        <w:trPr>
          <w:trHeight w:val="229"/>
        </w:trPr>
        <w:tc>
          <w:tcPr>
            <w:tcW w:w="1880" w:type="dxa"/>
            <w:vAlign w:val="bottom"/>
          </w:tcPr>
          <w:p>
            <w:pPr>
              <w:spacing w:after="0"/>
              <w:rPr>
                <w:sz w:val="19"/>
                <w:szCs w:val="19"/>
                <w:color w:val="auto"/>
              </w:rPr>
            </w:pPr>
          </w:p>
        </w:tc>
        <w:tc>
          <w:tcPr>
            <w:tcW w:w="4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Packaging</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7,639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8,995</w:t>
            </w:r>
          </w:p>
        </w:tc>
      </w:tr>
      <w:tr>
        <w:trPr>
          <w:trHeight w:val="229"/>
        </w:trPr>
        <w:tc>
          <w:tcPr>
            <w:tcW w:w="1880" w:type="dxa"/>
            <w:vAlign w:val="bottom"/>
          </w:tcPr>
          <w:p>
            <w:pPr>
              <w:spacing w:after="0"/>
              <w:rPr>
                <w:sz w:val="19"/>
                <w:szCs w:val="19"/>
                <w:color w:val="auto"/>
              </w:rPr>
            </w:pPr>
          </w:p>
        </w:tc>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Spare parts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7,059</w:t>
            </w:r>
          </w:p>
        </w:tc>
      </w:tr>
      <w:tr>
        <w:trPr>
          <w:trHeight w:val="230"/>
        </w:trPr>
        <w:tc>
          <w:tcPr>
            <w:tcW w:w="1880" w:type="dxa"/>
            <w:vAlign w:val="bottom"/>
          </w:tcPr>
          <w:p>
            <w:pPr>
              <w:spacing w:after="0"/>
              <w:rPr>
                <w:sz w:val="19"/>
                <w:szCs w:val="19"/>
                <w:color w:val="auto"/>
              </w:rPr>
            </w:pPr>
          </w:p>
        </w:tc>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8,200</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6,410</w:t>
            </w:r>
          </w:p>
        </w:tc>
      </w:tr>
      <w:tr>
        <w:trPr>
          <w:trHeight w:val="248"/>
        </w:trPr>
        <w:tc>
          <w:tcPr>
            <w:tcW w:w="1880" w:type="dxa"/>
            <w:vAlign w:val="bottom"/>
          </w:tcPr>
          <w:p>
            <w:pPr>
              <w:spacing w:after="0"/>
              <w:rPr>
                <w:sz w:val="21"/>
                <w:szCs w:val="21"/>
                <w:color w:val="auto"/>
              </w:rPr>
            </w:pPr>
          </w:p>
        </w:tc>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Inventories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56,531</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54,236</w:t>
            </w:r>
          </w:p>
        </w:tc>
      </w:tr>
      <w:tr>
        <w:trPr>
          <w:trHeight w:val="20"/>
        </w:trPr>
        <w:tc>
          <w:tcPr>
            <w:tcW w:w="1880" w:type="dxa"/>
            <w:vAlign w:val="bottom"/>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Inventories are valued at the lower of cost (first-in, first-out) or net realizable value. Inventory costs include the cost of raw materials, packaging supplies, labor, and other overhead costs. The Company maintains reserves against inventory to reduce the carrying value to the expected net realizable value. These reserves are based upon a combination of factors including historical issues and market trends. Inventory reserves were $3.8 million as of both April 30, 2025, and July 31, 2024.</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Quoted market prices in active markets for identical assets or liabilities.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2: Observable market-based inputs for similar assets or liabilities or valuation models whose inputs are observable, directly or indirectly.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3: Unobservable inputs.</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equivalents are classified as Level 1 of the fair value hierarchy because they are valued using quoted market prices in active markets. These cash instruments are primarily money market funds and are included in cash and cash equivalents on the unaudited Condensed Consolidated Balance Sheet. We had $6.9 million in cash equivalents as of April 30, 2025, and $3.0 million in cash equivalents as of July 31, 2024.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Balances of accounts receivable, short-term investments and accounts payable approximated their fair values as of April 30, 2025, and July 31, 2024, due to the short maturity and nature of those balances.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Debt is reported at outstanding face value, less unamortized debt issuance costs. The estimated fair value of debt, including current maturities, was $41.1 million and $51.1 million as of April 30, 2025, and July 31, 2024, respectively. The fair value was estimated using the exit price notion of fair value and is classified as Level 2. See Note 8 of the Notes to the unaudited Condensed Consolidated Financial Statements for further information about such debt.</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the unaudited Condensed Consolidated Financial Statements for further information about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intangible assets are mainly comprised of customer lists, patents, trademarks, trade names and goodwill.</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fiscal year 2024, we recorded additions of intangible assets of $37.4 million related to the acquisition of Ultra Pet Company, Inc. ("Ultra Pet"), the components of which were $20.4 million of customer list, $5.2 million of trade name and $11.8 million of goodwill. During fiscal year 2025, we recognized a measurement period adjustment as a result of our acquisition of Ultra Pet, which increased our goodwill by $0.3 million.</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amortize customer lists on a straight-line basis over a useful life of 18 years and patents on a straight-line basis over periods ranging from 11 to 20 years. Estimated intangible amortization for fiscal year 2025 is $1.2 million. Estimated intangible amortization for each of the next five fiscal years is $1.2 million.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Trademarks and trade names acquired via acquisitions, with a carrying value of $5.6 million, were determined to have an indefinite life and are not amortized.</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6. ACCRUED EXPENSES</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59"/>
        </w:trPr>
        <w:tc>
          <w:tcPr>
            <w:tcW w:w="6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expenses are as follows (in thousands):</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45"/>
        </w:trPr>
        <w:tc>
          <w:tcPr>
            <w:tcW w:w="17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240" w:type="dxa"/>
            <w:vAlign w:val="bottom"/>
          </w:tcPr>
          <w:p>
            <w:pPr>
              <w:spacing w:after="0"/>
              <w:rPr>
                <w:sz w:val="24"/>
                <w:szCs w:val="24"/>
                <w:color w:val="auto"/>
              </w:rPr>
            </w:pPr>
          </w:p>
        </w:tc>
        <w:tc>
          <w:tcPr>
            <w:tcW w:w="11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July 31,</w:t>
            </w:r>
          </w:p>
        </w:tc>
      </w:tr>
      <w:tr>
        <w:trPr>
          <w:trHeight w:val="241"/>
        </w:trPr>
        <w:tc>
          <w:tcPr>
            <w:tcW w:w="1720" w:type="dxa"/>
            <w:vAlign w:val="bottom"/>
          </w:tcPr>
          <w:p>
            <w:pPr>
              <w:spacing w:after="0"/>
              <w:rPr>
                <w:sz w:val="20"/>
                <w:szCs w:val="20"/>
                <w:color w:val="auto"/>
              </w:rPr>
            </w:pPr>
          </w:p>
        </w:tc>
        <w:tc>
          <w:tcPr>
            <w:tcW w:w="49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5"/>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Wages, Commissions and Employee Benefits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16,968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20,711</w:t>
            </w:r>
          </w:p>
        </w:tc>
      </w:tr>
      <w:tr>
        <w:trPr>
          <w:trHeight w:val="230"/>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Payables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9,396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11,586</w:t>
            </w:r>
          </w:p>
        </w:tc>
      </w:tr>
      <w:tr>
        <w:trPr>
          <w:trHeight w:val="229"/>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Freight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2,928</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Promotions and Advertising</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Taxes</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1,514</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w:t>
            </w:r>
          </w:p>
        </w:tc>
      </w:tr>
      <w:tr>
        <w:trPr>
          <w:trHeight w:val="229"/>
        </w:trPr>
        <w:tc>
          <w:tcPr>
            <w:tcW w:w="172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Georgia Landfill Modification Reserve</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848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r>
      <w:tr>
        <w:trPr>
          <w:trHeight w:val="230"/>
        </w:trPr>
        <w:tc>
          <w:tcPr>
            <w:tcW w:w="172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2,237</w:t>
            </w:r>
          </w:p>
        </w:tc>
        <w:tc>
          <w:tcPr>
            <w:tcW w:w="1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3,104</w:t>
            </w:r>
          </w:p>
        </w:tc>
      </w:tr>
      <w:tr>
        <w:trPr>
          <w:trHeight w:val="223"/>
        </w:trPr>
        <w:tc>
          <w:tcPr>
            <w:tcW w:w="17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37,207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44,016</w:t>
            </w:r>
          </w:p>
        </w:tc>
      </w:tr>
      <w:tr>
        <w:trPr>
          <w:trHeight w:val="20"/>
        </w:trPr>
        <w:tc>
          <w:tcPr>
            <w:tcW w:w="17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OTHER CONTINGENCIES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various legal actions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w:t>
      </w:r>
    </w:p>
    <w:p>
      <w:pPr>
        <w:spacing w:after="0" w:line="20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fiscal year 2023, we recorded a reserve for anticipated modification costs that we expected to incur to address capacity issues at our sole landfill located in Ochlocknee, Georgia. Reserves are recorded when it is probable that a liability has been incurred, and the amount of the liability can be reasonably estimated. The amount of the reserve represented management’s best estimate of the costs for the modification with respect to this matter, at the time. Work began on the modifications during fiscal year 2024. During fiscal year 2025, we increased the total estimated cost by $0.7 million resulting in a total $3.8 million expense related to this matter. The modification work is expected to be completed during fiscal year 2026. Inherent uncertainties exist in these estimates primarily due to unknown conditions, changing governmental regulations and legal standards, and emerging technologies for handling site modification. Consequently, it is reasonably possible that modification costs in excess of amounts accrued could have a material impact on the Company’s results of operations, financial condition and cash flows.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DEBT</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party to an Amended and Restated Note Purchase and Private Shelf Agreement (as amended, the "Note Agreement") with PGIM, Inc. ("Prudential") and certain existing noteholders and purchasers affiliated with Prudential named therein. Pursuant to the Note Agreement, (i) on May 15, 2020, we issued $10 million in aggregate principal amount of our 3.95% Series B Senior Notes due May 15, 2030 (the "Series B Senior Notes"), of which $6 million aggregate principal amount remained</w:t>
      </w:r>
    </w:p>
    <w:p>
      <w:pPr>
        <w:sectPr>
          <w:pgSz w:w="11900" w:h="16838" w:orient="portrait"/>
          <w:cols w:equalWidth="0" w:num="1">
            <w:col w:w="11240"/>
          </w:cols>
          <w:pgMar w:left="320" w:top="887"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type w:val="continuous"/>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t>outstanding as of April 30, 2025, (ii) on December 16, 2021, we issued an additional $25 million in aggregate principal amount of our 3.25% Series C Senior Notes due December 16, 2031 (the "Series C Senior Notes"), all of which remained outstanding as of April 30, 2025, and (iii) on April 30, 2024 we issued $10 million in aggregate principal amount of our 6.47% Series D Senior Notes due April 30, 2033 (the "Series D Senior Notes"), all of which remained outstanding as of April 30, 2025. The Note Agreement also provides us with the ability to request, from time to time until September 21, 2026, that Prudential affiliate(s) purchase, at Prudential’s discretion and on an uncommitted basis, additional senior unsecured notes of Oil-Dri (the “Shelf Notes,” and collectively with the Series B Senior Notes, Series C Senior Notes, and Series D Senior Notes, the “Notes”) in an aggregate principal amount of up to $75 million minus the aggregate principal amount of Notes then outstanding and Shelf Notes that have been accepted for purchase. Interest payable on any Shelf Note agreed to be purchased under the Note Agreement will be at a rate determined by Prudential and will mature no more than fifteen years after the date of original issue of such Shelf Note.</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party to the Credit Agreement, dated as of January 27, 2006 (as previously amended, the “Credit Agreement”), among us, BMO Harris Bank N.A (“BMO Bank”), and certain of our domestic subsidiaries. The Credit Agreement provides for a $75 million unsecured revolving credit facility, including a maximum of $20 million for letters of credit.</w:t>
      </w:r>
    </w:p>
    <w:p>
      <w:pPr>
        <w:spacing w:after="0" w:line="18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Credit Agreement contains restrictive covenants that, among other things and under various conditions, limit our ability to incur additional indebtedness or to dispose of assets. These restrictive covenants include certain financial covenants such as a covenant to maintain a maximum debt to earnings ratio and to maintain a certain fixed charge coverage ratio. On September 30, 2024, the Company entered into the Eighth Amendment to Credit Agreement (the “Eighth Amendment”). The Eighth Amendment amends the Credit Agreement to, among other things: (i) increase the amount the Company may borrow from BMO Bank from time to time pursuant to its revolving line of credit from up to $45 million to up to $75 million; (ii) increase the aggregate maximum amount of letters of credit from up to $10 million to up to $20 million; (iii) add an accordion provision to allow the Company to increase the revolving line of credit by up to an additional $50 million, subject to the terms and conditions set forth in the Eighth Amendment; (iv) extend the termination date to September 30, 2029; and (v) increase certain restrictive covenant thresholds, including but not limited to, an increase to the permitted acquisitions threshold in the restricted covenants from a cumulative total of $45 million to $100 million.</w:t>
      </w:r>
    </w:p>
    <w:p>
      <w:pPr>
        <w:spacing w:after="0" w:line="2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April 30, 2025, and July 31, 2024, we were in compliance with the restrictive covenants under the Credit Agreement. There were no new borrowings during the third quarter of fiscal year 2025; however, during the first half of fiscal year 2025 we elected to pay down $10 million of our borrowings under the Credit Agreement. As of April 30, 2025, we do not have any outstanding borrowings under the Credit Agreement. We had $2.9 million of letters of credit outstanding under the Credit Agreement as of both April 30, 2025, and July 31, 2024.</w:t>
      </w:r>
    </w:p>
    <w:p>
      <w:pPr>
        <w:spacing w:after="0" w:line="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Credit Agreement states that we may select a variable interest rate based on either the Bank of Montreal ("BMO") prime rate or an adjusted Secured Overnight Financing ("SOFR")-based rate, plus a margin that varies depending on our debt to earnings ratio, or a fixed rate as agreed between us and BMO. As of April 30, 2025, the variable rates would have been 7.50% for the BMO prime-based rate or 5.52% for the adjusted SOFR-based rate.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LEASES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Certain of our leases for a shared warehouse and office facility, rail track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 which is defined as the rate of interest that the Company would have to pay to borrow (on a collateralized basis over a similar term) an amount equal to the lease payments in similar economic environments. Further information about our accounting policy for leases is included in Note 1 of the Notes to the unaudited Condensed Consolidated Financial Statements.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material finance leases, and variable costs for operating leases are immaterial for the nine months ended April 30, 2025. Operating lease costs are included in Cost of Goods Sold or SG&amp;A expenses in the unaudited Condensed Consolidated Statements of Operations based on the nature of the lease. The following table summarizes total lease costs for our operating leases (in thousands):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9" w:name="page20"/>
    <w:bookmarkEnd w:id="19"/>
    <w:tbl>
      <w:tblPr>
        <w:tblLayout w:type="fixed"/>
        <w:tblInd w:w="140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7"/>
                <w:szCs w:val="17"/>
                <w:color w:val="auto"/>
              </w:rPr>
            </w:pPr>
          </w:p>
        </w:tc>
        <w:tc>
          <w:tcPr>
            <w:tcW w:w="238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41"/>
        </w:trPr>
        <w:tc>
          <w:tcPr>
            <w:tcW w:w="3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40" w:type="dxa"/>
            <w:vAlign w:val="bottom"/>
            <w:tcBorders>
              <w:bottom w:val="single" w:sz="8" w:color="auto"/>
            </w:tcBorders>
          </w:tcPr>
          <w:p>
            <w:pPr>
              <w:spacing w:after="0"/>
              <w:rPr>
                <w:sz w:val="20"/>
                <w:szCs w:val="20"/>
                <w:color w:val="auto"/>
              </w:rPr>
            </w:pPr>
          </w:p>
        </w:tc>
      </w:tr>
      <w:tr>
        <w:trPr>
          <w:trHeight w:val="239"/>
        </w:trPr>
        <w:tc>
          <w:tcPr>
            <w:tcW w:w="3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1,337</w:t>
            </w:r>
          </w:p>
        </w:tc>
        <w:tc>
          <w:tcPr>
            <w:tcW w:w="1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4,076</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w:t>
            </w:r>
          </w:p>
        </w:tc>
      </w:tr>
      <w:tr>
        <w:trPr>
          <w:trHeight w:val="27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Short-term operating lease cost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318</w:t>
            </w:r>
          </w:p>
        </w:tc>
        <w:tc>
          <w:tcPr>
            <w:tcW w:w="18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8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1,025</w:t>
            </w:r>
          </w:p>
        </w:tc>
        <w:tc>
          <w:tcPr>
            <w:tcW w:w="160" w:type="dxa"/>
            <w:vAlign w:val="bottom"/>
          </w:tcPr>
          <w:p>
            <w:pPr>
              <w:spacing w:after="0"/>
              <w:rPr>
                <w:sz w:val="23"/>
                <w:szCs w:val="23"/>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 (in thousands):</w:t>
      </w:r>
    </w:p>
    <w:p>
      <w:pPr>
        <w:spacing w:after="0" w:line="360"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3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40" w:type="dxa"/>
            <w:vAlign w:val="bottom"/>
          </w:tcPr>
          <w:p>
            <w:pPr>
              <w:spacing w:after="0"/>
              <w:rPr>
                <w:sz w:val="17"/>
                <w:szCs w:val="17"/>
                <w:color w:val="auto"/>
              </w:rPr>
            </w:pPr>
          </w:p>
        </w:tc>
        <w:tc>
          <w:tcPr>
            <w:tcW w:w="2380" w:type="dxa"/>
            <w:vAlign w:val="bottom"/>
            <w:gridSpan w:val="3"/>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April 30,</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156"/>
        </w:trPr>
        <w:tc>
          <w:tcPr>
            <w:tcW w:w="3340" w:type="dxa"/>
            <w:vAlign w:val="bottom"/>
            <w:shd w:val="clear" w:color="auto" w:fill="CCEEFF"/>
          </w:tcPr>
          <w:p>
            <w:pPr>
              <w:ind w:left="40"/>
              <w:spacing w:after="0" w:line="156" w:lineRule="exact"/>
              <w:rPr>
                <w:sz w:val="20"/>
                <w:szCs w:val="20"/>
                <w:color w:val="auto"/>
              </w:rPr>
            </w:pPr>
            <w:r>
              <w:rPr>
                <w:rFonts w:ascii="Times New Roman" w:cs="Times New Roman" w:eastAsia="Times New Roman" w:hAnsi="Times New Roman"/>
                <w:sz w:val="18"/>
                <w:szCs w:val="18"/>
                <w:color w:val="auto"/>
              </w:rPr>
              <w:t>Cash paid for amounts included in the</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1,137</w:t>
            </w:r>
          </w:p>
        </w:tc>
        <w:tc>
          <w:tcPr>
            <w:tcW w:w="4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3,423</w:t>
            </w:r>
          </w:p>
        </w:tc>
        <w:tc>
          <w:tcPr>
            <w:tcW w:w="4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measurement of operating lease liabilities:</w:t>
            </w:r>
          </w:p>
        </w:tc>
        <w:tc>
          <w:tcPr>
            <w:tcW w:w="100" w:type="dxa"/>
            <w:vAlign w:val="bottom"/>
            <w:vMerge w:val="continue"/>
            <w:shd w:val="clear" w:color="auto" w:fill="CCEEFF"/>
          </w:tcPr>
          <w:p>
            <w:pPr>
              <w:spacing w:after="0"/>
              <w:rPr>
                <w:sz w:val="21"/>
                <w:szCs w:val="21"/>
                <w:color w:val="auto"/>
              </w:rPr>
            </w:pPr>
          </w:p>
        </w:tc>
        <w:tc>
          <w:tcPr>
            <w:tcW w:w="110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18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4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0" w:type="dxa"/>
            <w:vAlign w:val="bottom"/>
          </w:tcPr>
          <w:p>
            <w:pPr>
              <w:spacing w:after="0"/>
              <w:rPr>
                <w:sz w:val="1"/>
                <w:szCs w:val="1"/>
                <w:color w:val="auto"/>
              </w:rPr>
            </w:pPr>
          </w:p>
        </w:tc>
      </w:tr>
      <w:tr>
        <w:trPr>
          <w:trHeight w:val="230"/>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new operating lease liabilities</w:t>
            </w:r>
          </w:p>
        </w:tc>
        <w:tc>
          <w:tcPr>
            <w:tcW w:w="100" w:type="dxa"/>
            <w:vAlign w:val="bottom"/>
            <w:vMerge w:val="continue"/>
          </w:tcPr>
          <w:p>
            <w:pPr>
              <w:spacing w:after="0"/>
              <w:rPr>
                <w:sz w:val="21"/>
                <w:szCs w:val="21"/>
                <w:color w:val="auto"/>
              </w:rPr>
            </w:pPr>
          </w:p>
        </w:tc>
        <w:tc>
          <w:tcPr>
            <w:tcW w:w="1100" w:type="dxa"/>
            <w:vAlign w:val="bottom"/>
            <w:vMerge w:val="continue"/>
          </w:tcPr>
          <w:p>
            <w:pPr>
              <w:spacing w:after="0"/>
              <w:rPr>
                <w:sz w:val="21"/>
                <w:szCs w:val="21"/>
                <w:color w:val="auto"/>
              </w:rPr>
            </w:pPr>
          </w:p>
        </w:tc>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180" w:type="dxa"/>
            <w:vAlign w:val="bottom"/>
          </w:tcPr>
          <w:p>
            <w:pPr>
              <w:spacing w:after="0"/>
              <w:rPr>
                <w:sz w:val="21"/>
                <w:szCs w:val="21"/>
                <w:color w:val="auto"/>
              </w:rPr>
            </w:pPr>
          </w:p>
        </w:tc>
        <w:tc>
          <w:tcPr>
            <w:tcW w:w="140" w:type="dxa"/>
            <w:vAlign w:val="bottom"/>
            <w:vMerge w:val="continue"/>
          </w:tcPr>
          <w:p>
            <w:pPr>
              <w:spacing w:after="0"/>
              <w:rPr>
                <w:sz w:val="21"/>
                <w:szCs w:val="21"/>
                <w:color w:val="auto"/>
              </w:rPr>
            </w:pPr>
          </w:p>
        </w:tc>
        <w:tc>
          <w:tcPr>
            <w:tcW w:w="1080" w:type="dxa"/>
            <w:vAlign w:val="bottom"/>
            <w:vMerge w:val="continue"/>
          </w:tcPr>
          <w:p>
            <w:pPr>
              <w:spacing w:after="0"/>
              <w:rPr>
                <w:sz w:val="21"/>
                <w:szCs w:val="21"/>
                <w:color w:val="auto"/>
              </w:rPr>
            </w:pPr>
          </w:p>
        </w:tc>
        <w:tc>
          <w:tcPr>
            <w:tcW w:w="4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lease ROU assets and operating lease liabilities are separately presented on the unaudited Condensed Consolidated Balance Sheet, excluding leases with an initial term of twelve months or less. Other supplemental balance sheet information related to leases was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3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April 30, 2025</w:t>
            </w:r>
          </w:p>
        </w:tc>
        <w:tc>
          <w:tcPr>
            <w:tcW w:w="100" w:type="dxa"/>
            <w:vAlign w:val="bottom"/>
          </w:tcPr>
          <w:p>
            <w:pPr>
              <w:spacing w:after="0"/>
              <w:rPr>
                <w:sz w:val="20"/>
                <w:szCs w:val="20"/>
                <w:color w:val="auto"/>
              </w:rPr>
            </w:pPr>
          </w:p>
        </w:tc>
        <w:tc>
          <w:tcPr>
            <w:tcW w:w="2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July 31, 2024</w:t>
            </w:r>
          </w:p>
        </w:tc>
      </w:tr>
      <w:tr>
        <w:trPr>
          <w:trHeight w:val="223"/>
        </w:trPr>
        <w:tc>
          <w:tcPr>
            <w:tcW w:w="680" w:type="dxa"/>
            <w:vAlign w:val="bottom"/>
          </w:tcPr>
          <w:p>
            <w:pPr>
              <w:spacing w:after="0"/>
              <w:rPr>
                <w:sz w:val="19"/>
                <w:szCs w:val="19"/>
                <w:color w:val="auto"/>
              </w:rPr>
            </w:pPr>
          </w:p>
        </w:tc>
        <w:tc>
          <w:tcPr>
            <w:tcW w:w="54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23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5.0 years</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5.4 years</w:t>
            </w:r>
          </w:p>
        </w:tc>
      </w:tr>
      <w:tr>
        <w:trPr>
          <w:trHeight w:val="229"/>
        </w:trPr>
        <w:tc>
          <w:tcPr>
            <w:tcW w:w="680" w:type="dxa"/>
            <w:vAlign w:val="bottom"/>
          </w:tcPr>
          <w:p>
            <w:pPr>
              <w:spacing w:after="0"/>
              <w:rPr>
                <w:sz w:val="19"/>
                <w:szCs w:val="19"/>
                <w:color w:val="auto"/>
              </w:rPr>
            </w:pPr>
          </w:p>
        </w:tc>
        <w:tc>
          <w:tcPr>
            <w:tcW w:w="5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23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5.11%</w:t>
            </w:r>
          </w:p>
        </w:tc>
        <w:tc>
          <w:tcPr>
            <w:tcW w:w="21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5.10%</w:t>
            </w:r>
          </w:p>
        </w:tc>
      </w:tr>
      <w:tr>
        <w:trPr>
          <w:trHeight w:val="554"/>
        </w:trPr>
        <w:tc>
          <w:tcPr>
            <w:tcW w:w="6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liability maturities as of April 30, 2025, are as follows (in thousands):</w:t>
            </w: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08"/>
        </w:trPr>
        <w:tc>
          <w:tcPr>
            <w:tcW w:w="6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39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98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1480" w:type="dxa"/>
            <w:vAlign w:val="bottom"/>
          </w:tcPr>
          <w:p>
            <w:pPr>
              <w:spacing w:after="0"/>
              <w:rPr>
                <w:sz w:val="9"/>
                <w:szCs w:val="9"/>
                <w:color w:val="auto"/>
              </w:rPr>
            </w:pPr>
          </w:p>
        </w:tc>
      </w:tr>
      <w:tr>
        <w:trPr>
          <w:trHeight w:val="230"/>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2025 (remaining three months)</w:t>
            </w:r>
          </w:p>
        </w:tc>
        <w:tc>
          <w:tcPr>
            <w:tcW w:w="2360" w:type="dxa"/>
            <w:vAlign w:val="bottom"/>
            <w:gridSpan w:val="2"/>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1,255</w:t>
            </w:r>
          </w:p>
        </w:tc>
        <w:tc>
          <w:tcPr>
            <w:tcW w:w="148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2026</w:t>
            </w: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4,725</w:t>
            </w:r>
          </w:p>
        </w:tc>
        <w:tc>
          <w:tcPr>
            <w:tcW w:w="148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2027</w:t>
            </w: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3,758</w:t>
            </w:r>
          </w:p>
        </w:tc>
        <w:tc>
          <w:tcPr>
            <w:tcW w:w="1480" w:type="dxa"/>
            <w:vAlign w:val="bottom"/>
          </w:tcPr>
          <w:p>
            <w:pPr>
              <w:spacing w:after="0"/>
              <w:rPr>
                <w:sz w:val="19"/>
                <w:szCs w:val="19"/>
                <w:color w:val="auto"/>
              </w:rPr>
            </w:pPr>
          </w:p>
        </w:tc>
      </w:tr>
      <w:tr>
        <w:trPr>
          <w:trHeight w:val="229"/>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Fiscal year 2028</w:t>
            </w:r>
          </w:p>
        </w:tc>
        <w:tc>
          <w:tcPr>
            <w:tcW w:w="1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2,949</w:t>
            </w:r>
          </w:p>
        </w:tc>
        <w:tc>
          <w:tcPr>
            <w:tcW w:w="148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 2029</w:t>
            </w: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2,356</w:t>
            </w:r>
          </w:p>
        </w:tc>
        <w:tc>
          <w:tcPr>
            <w:tcW w:w="148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3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3,481</w:t>
            </w:r>
          </w:p>
        </w:tc>
        <w:tc>
          <w:tcPr>
            <w:tcW w:w="1480" w:type="dxa"/>
            <w:vAlign w:val="bottom"/>
          </w:tcPr>
          <w:p>
            <w:pPr>
              <w:spacing w:after="0"/>
              <w:rPr>
                <w:sz w:val="19"/>
                <w:szCs w:val="19"/>
                <w:color w:val="auto"/>
              </w:rPr>
            </w:pPr>
          </w:p>
        </w:tc>
      </w:tr>
      <w:tr>
        <w:trPr>
          <w:trHeight w:val="223"/>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18,524</w:t>
            </w:r>
          </w:p>
        </w:tc>
        <w:tc>
          <w:tcPr>
            <w:tcW w:w="1480" w:type="dxa"/>
            <w:vAlign w:val="bottom"/>
          </w:tcPr>
          <w:p>
            <w:pPr>
              <w:spacing w:after="0"/>
              <w:rPr>
                <w:sz w:val="19"/>
                <w:szCs w:val="19"/>
                <w:color w:val="auto"/>
              </w:rPr>
            </w:pPr>
          </w:p>
        </w:tc>
      </w:tr>
      <w:tr>
        <w:trPr>
          <w:trHeight w:val="230"/>
        </w:trPr>
        <w:tc>
          <w:tcPr>
            <w:tcW w:w="6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3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3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(2,118)</w:t>
            </w:r>
          </w:p>
        </w:tc>
        <w:tc>
          <w:tcPr>
            <w:tcW w:w="1480" w:type="dxa"/>
            <w:vAlign w:val="bottom"/>
          </w:tcPr>
          <w:p>
            <w:pPr>
              <w:spacing w:after="0"/>
              <w:rPr>
                <w:sz w:val="19"/>
                <w:szCs w:val="19"/>
                <w:color w:val="auto"/>
              </w:rPr>
            </w:pPr>
          </w:p>
        </w:tc>
      </w:tr>
      <w:tr>
        <w:trPr>
          <w:trHeight w:val="248"/>
        </w:trPr>
        <w:tc>
          <w:tcPr>
            <w:tcW w:w="6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lease obligation</w:t>
            </w:r>
          </w:p>
        </w:tc>
        <w:tc>
          <w:tcPr>
            <w:tcW w:w="1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16,406</w:t>
            </w:r>
          </w:p>
        </w:tc>
        <w:tc>
          <w:tcPr>
            <w:tcW w:w="1480" w:type="dxa"/>
            <w:vAlign w:val="bottom"/>
          </w:tcPr>
          <w:p>
            <w:pPr>
              <w:spacing w:after="0"/>
              <w:rPr>
                <w:sz w:val="21"/>
                <w:szCs w:val="21"/>
                <w:color w:val="auto"/>
              </w:rPr>
            </w:pPr>
          </w:p>
        </w:tc>
      </w:tr>
      <w:tr>
        <w:trPr>
          <w:trHeight w:val="20"/>
        </w:trPr>
        <w:tc>
          <w:tcPr>
            <w:tcW w:w="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9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OPERATING SEGMENTS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two operating segments: (1) Retail and Wholesale Products Group and (2) Business to Business Products Group. The Retail and Wholesale Products Group is comprised of our Cat Litter and Industrial and Sports Products and the Business to Business Products Group is comprised of our Agricultural and Horticultural, Fluids Purification, and Animal Health &amp; Nutrition Products. These operating segments are managed separately, and each segment's major customers have different characteristics. The Retail and Wholesale Products Group customers include mass merchandisers, the farm and fleet channel, drugstore chains, pet specialty retail outlets, dollar stores, retail grocery stores, distributors of industrial cleanup and automotive products, environmental service companies, sports field product users and marketers of consumer products. The Business to Business Products Group customers include processors and refiners of edible oils, renewable diesel, petroleum-based oils and biodiesel fuel, manufacturers of animal feed and agricultural chemicals, and distributors of animal health and nutrition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2024.</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Net sales for our principal products by segment are as follows (in thousands):</w:t>
      </w:r>
    </w:p>
    <w:p>
      <w:pPr>
        <w:spacing w:after="0" w:line="266"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9"/>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Business to Business Products</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7"/>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Retail and Wholesale Products</w:t>
            </w:r>
          </w:p>
        </w:tc>
      </w:tr>
      <w:tr>
        <w:trPr>
          <w:trHeight w:val="241"/>
        </w:trPr>
        <w:tc>
          <w:tcPr>
            <w:tcW w:w="3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6"/>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Group</w:t>
            </w:r>
          </w:p>
        </w:tc>
      </w:tr>
      <w:tr>
        <w:trPr>
          <w:trHeight w:val="225"/>
        </w:trPr>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0" w:type="dxa"/>
            <w:vAlign w:val="bottom"/>
            <w:tcBorders>
              <w:bottom w:val="single" w:sz="8" w:color="auto"/>
            </w:tcBorders>
            <w:gridSpan w:val="11"/>
          </w:tcPr>
          <w:p>
            <w:pPr>
              <w:ind w:left="4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520" w:type="dxa"/>
            <w:vAlign w:val="bottom"/>
            <w:tcBorders>
              <w:bottom w:val="single" w:sz="8" w:color="CCEEFF"/>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auto"/>
            </w:tcBorders>
          </w:tcPr>
          <w:p>
            <w:pPr>
              <w:spacing w:after="0"/>
              <w:rPr>
                <w:sz w:val="19"/>
                <w:szCs w:val="19"/>
                <w:color w:val="auto"/>
              </w:rPr>
            </w:pPr>
          </w:p>
        </w:tc>
      </w:tr>
      <w:tr>
        <w:trPr>
          <w:trHeight w:val="223"/>
        </w:trPr>
        <w:tc>
          <w:tcPr>
            <w:tcW w:w="3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 Litter</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190,656</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178,357</w:t>
            </w:r>
          </w:p>
        </w:tc>
      </w:tr>
      <w:tr>
        <w:trPr>
          <w:trHeight w:val="229"/>
        </w:trPr>
        <w:tc>
          <w:tcPr>
            <w:tcW w:w="3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Industrial and Sports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35,195</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33,937</w:t>
            </w:r>
          </w:p>
        </w:tc>
      </w:tr>
      <w:tr>
        <w:trPr>
          <w:trHeight w:val="230"/>
        </w:trPr>
        <w:tc>
          <w:tcPr>
            <w:tcW w:w="3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32,396</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Fluids Purification</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82,384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67,437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0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20" w:type="dxa"/>
            <w:vAlign w:val="bottom"/>
          </w:tcPr>
          <w:p>
            <w:pPr>
              <w:spacing w:after="0"/>
              <w:rPr>
                <w:sz w:val="19"/>
                <w:szCs w:val="19"/>
                <w:color w:val="auto"/>
              </w:rPr>
            </w:pPr>
          </w:p>
        </w:tc>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Animal Health &amp; Nutrition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19,729</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134,509</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111,591</w:t>
            </w: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225,851</w:t>
            </w: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212,294</w:t>
            </w:r>
          </w:p>
        </w:tc>
      </w:tr>
      <w:tr>
        <w:trPr>
          <w:trHeight w:val="21"/>
        </w:trPr>
        <w:tc>
          <w:tcPr>
            <w:tcW w:w="3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Borders>
              <w:bottom w:val="single" w:sz="8" w:color="auto"/>
            </w:tcBorders>
            <w:gridSpan w:val="3"/>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560"/>
        </w:trPr>
        <w:tc>
          <w:tcPr>
            <w:tcW w:w="3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720" w:type="dxa"/>
            <w:vAlign w:val="bottom"/>
            <w:gridSpan w:val="9"/>
          </w:tcPr>
          <w:p>
            <w:pPr>
              <w:jc w:val="center"/>
              <w:spacing w:after="0"/>
              <w:rPr>
                <w:sz w:val="20"/>
                <w:szCs w:val="20"/>
                <w:color w:val="auto"/>
              </w:rPr>
            </w:pPr>
            <w:r>
              <w:rPr>
                <w:rFonts w:ascii="Times New Roman" w:cs="Times New Roman" w:eastAsia="Times New Roman" w:hAnsi="Times New Roman"/>
                <w:sz w:val="18"/>
                <w:szCs w:val="18"/>
                <w:b w:val="1"/>
                <w:bCs w:val="1"/>
                <w:color w:val="auto"/>
              </w:rPr>
              <w:t>Business to Business Products</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80" w:type="dxa"/>
            <w:vAlign w:val="bottom"/>
            <w:gridSpan w:val="9"/>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Retail and Wholesale Products</w:t>
            </w:r>
          </w:p>
        </w:tc>
      </w:tr>
      <w:tr>
        <w:trPr>
          <w:trHeight w:val="241"/>
        </w:trPr>
        <w:tc>
          <w:tcPr>
            <w:tcW w:w="3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4"/>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7"/>
              </w:rPr>
              <w:t>Group</w:t>
            </w: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r>
      <w:tr>
        <w:trPr>
          <w:trHeight w:val="225"/>
        </w:trPr>
        <w:tc>
          <w:tcPr>
            <w:tcW w:w="3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gridSpan w:val="14"/>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r>
      <w:tr>
        <w:trPr>
          <w:trHeight w:val="223"/>
        </w:trPr>
        <w:tc>
          <w:tcPr>
            <w:tcW w:w="320" w:type="dxa"/>
            <w:vAlign w:val="bottom"/>
            <w:tcBorders>
              <w:bottom w:val="single" w:sz="8" w:color="CCEEFF"/>
            </w:tcBorders>
          </w:tcPr>
          <w:p>
            <w:pPr>
              <w:spacing w:after="0"/>
              <w:rPr>
                <w:sz w:val="19"/>
                <w:szCs w:val="19"/>
                <w:color w:val="auto"/>
              </w:rPr>
            </w:pPr>
          </w:p>
        </w:tc>
        <w:tc>
          <w:tcPr>
            <w:tcW w:w="3520" w:type="dxa"/>
            <w:vAlign w:val="bottom"/>
            <w:tcBorders>
              <w:bottom w:val="single" w:sz="8" w:color="CCEEFF"/>
            </w:tcBorders>
          </w:tcPr>
          <w:p>
            <w:pPr>
              <w:ind w:left="1280"/>
              <w:spacing w:after="0"/>
              <w:rPr>
                <w:sz w:val="20"/>
                <w:szCs w:val="20"/>
                <w:color w:val="auto"/>
              </w:rPr>
            </w:pPr>
            <w:r>
              <w:rPr>
                <w:rFonts w:ascii="Times New Roman" w:cs="Times New Roman" w:eastAsia="Times New Roman" w:hAnsi="Times New Roman"/>
                <w:sz w:val="18"/>
                <w:szCs w:val="18"/>
                <w:b w:val="1"/>
                <w:bCs w:val="1"/>
                <w:color w:val="auto"/>
              </w:rPr>
              <w:t>Product</w:t>
            </w: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340" w:type="dxa"/>
            <w:vAlign w:val="bottom"/>
          </w:tcPr>
          <w:p>
            <w:pPr>
              <w:spacing w:after="0"/>
              <w:rPr>
                <w:sz w:val="19"/>
                <w:szCs w:val="19"/>
                <w:color w:val="auto"/>
              </w:rPr>
            </w:pPr>
          </w:p>
        </w:tc>
      </w:tr>
      <w:tr>
        <w:trPr>
          <w:trHeight w:val="22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Cat Litter</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59,743</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58,170</w:t>
            </w:r>
          </w:p>
        </w:tc>
        <w:tc>
          <w:tcPr>
            <w:tcW w:w="340" w:type="dxa"/>
            <w:vAlign w:val="bottom"/>
          </w:tcPr>
          <w:p>
            <w:pPr>
              <w:spacing w:after="0"/>
              <w:rPr>
                <w:sz w:val="19"/>
                <w:szCs w:val="19"/>
                <w:color w:val="auto"/>
              </w:rPr>
            </w:pPr>
          </w:p>
        </w:tc>
      </w:tr>
      <w:tr>
        <w:trPr>
          <w:trHeight w:val="229"/>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Industrial and Sports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13,080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340" w:type="dxa"/>
            <w:vAlign w:val="bottom"/>
          </w:tcPr>
          <w:p>
            <w:pPr>
              <w:spacing w:after="0"/>
              <w:rPr>
                <w:sz w:val="19"/>
                <w:szCs w:val="19"/>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11,639</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30"/>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Fluids Purification</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25,269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29"/>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Animal Health &amp; Nutrition</w:t>
            </w: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5,770</w:t>
            </w:r>
          </w:p>
        </w:tc>
        <w:tc>
          <w:tcPr>
            <w:tcW w:w="1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42,678</w:t>
            </w:r>
          </w:p>
        </w:tc>
        <w:tc>
          <w:tcPr>
            <w:tcW w:w="1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36,196</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72,823</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70,583</w:t>
            </w:r>
          </w:p>
        </w:tc>
        <w:tc>
          <w:tcPr>
            <w:tcW w:w="340" w:type="dxa"/>
            <w:vAlign w:val="bottom"/>
          </w:tcPr>
          <w:p>
            <w:pPr>
              <w:spacing w:after="0"/>
              <w:rPr>
                <w:sz w:val="19"/>
                <w:szCs w:val="19"/>
                <w:color w:val="auto"/>
              </w:rPr>
            </w:pPr>
          </w:p>
        </w:tc>
      </w:tr>
      <w:tr>
        <w:trPr>
          <w:trHeight w:val="20"/>
        </w:trPr>
        <w:tc>
          <w:tcPr>
            <w:tcW w:w="3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43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4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April 30, 2025</w:t>
            </w:r>
          </w:p>
        </w:tc>
        <w:tc>
          <w:tcPr>
            <w:tcW w:w="12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July 31, 2024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46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101,261</w:t>
            </w:r>
          </w:p>
        </w:tc>
        <w:tc>
          <w:tcPr>
            <w:tcW w:w="18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4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197,438</w:t>
            </w: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Unallocated Assets</w:t>
            </w:r>
          </w:p>
        </w:tc>
        <w:tc>
          <w:tcPr>
            <w:tcW w:w="43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70,844</w:t>
            </w:r>
          </w:p>
        </w:tc>
        <w:tc>
          <w:tcPr>
            <w:tcW w:w="18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62,118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3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369,543</w:t>
            </w:r>
          </w:p>
        </w:tc>
        <w:tc>
          <w:tcPr>
            <w:tcW w:w="18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354,605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432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4100" w:type="dxa"/>
            <w:vAlign w:val="bottom"/>
            <w:tcBorders>
              <w:bottom w:val="single" w:sz="8" w:color="9A9A9A"/>
            </w:tcBorders>
          </w:tcPr>
          <w:p>
            <w:pPr>
              <w:spacing w:after="0"/>
              <w:rPr>
                <w:sz w:val="10"/>
                <w:szCs w:val="10"/>
                <w:color w:val="auto"/>
              </w:rPr>
            </w:pPr>
          </w:p>
        </w:tc>
        <w:tc>
          <w:tcPr>
            <w:tcW w:w="43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information systems, finance, legal, human resources and customer service.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the Nine Months Ended April 30,</w:t>
            </w:r>
          </w:p>
        </w:tc>
        <w:tc>
          <w:tcPr>
            <w:tcW w:w="3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134,509</w:t>
            </w:r>
          </w:p>
        </w:tc>
        <w:tc>
          <w:tcPr>
            <w:tcW w:w="5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111,591</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44,814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32,713</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225,851</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212,294</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34,414</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34,080</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360,360</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323,885</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0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(26,652)</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(28,040)</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52,576</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38,753</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(1,866)</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50,710</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37,650</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(9,769)</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(6,749)</w:t>
            </w:r>
          </w:p>
        </w:tc>
      </w:tr>
      <w:tr>
        <w:trPr>
          <w:trHeight w:val="221"/>
        </w:trPr>
        <w:tc>
          <w:tcPr>
            <w:tcW w:w="556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40,941</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30,901</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gridSpan w:val="4"/>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447"/>
        </w:trPr>
        <w:tc>
          <w:tcPr>
            <w:tcW w:w="5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9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960" w:type="dxa"/>
            <w:vAlign w:val="bottom"/>
            <w:tcBorders>
              <w:bottom w:val="single" w:sz="8" w:color="auto"/>
            </w:tcBorders>
          </w:tcPr>
          <w:p>
            <w:pPr>
              <w:spacing w:after="0"/>
              <w:rPr>
                <w:sz w:val="19"/>
                <w:szCs w:val="19"/>
                <w:color w:val="auto"/>
              </w:rPr>
            </w:pPr>
          </w:p>
        </w:tc>
      </w:tr>
      <w:tr>
        <w:trPr>
          <w:trHeight w:val="223"/>
        </w:trPr>
        <w:tc>
          <w:tcPr>
            <w:tcW w:w="55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5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52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42,678</w:t>
            </w:r>
          </w:p>
        </w:tc>
        <w:tc>
          <w:tcPr>
            <w:tcW w:w="180" w:type="dxa"/>
            <w:vAlign w:val="bottom"/>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36,196</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13,382</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10,605</w:t>
            </w:r>
          </w:p>
        </w:tc>
      </w:tr>
      <w:tr>
        <w:trPr>
          <w:trHeight w:val="23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72,823</w:t>
            </w:r>
          </w:p>
        </w:tc>
        <w:tc>
          <w:tcPr>
            <w:tcW w:w="1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70,583</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9,709</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10,872</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115,501</w:t>
            </w:r>
          </w:p>
        </w:tc>
        <w:tc>
          <w:tcPr>
            <w:tcW w:w="180" w:type="dxa"/>
            <w:vAlign w:val="bottom"/>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106,779</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10"/>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3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(9,187)</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(11,045)</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13,904</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10,432</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Income (Expenses), Net</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14,248</w:t>
            </w:r>
          </w:p>
        </w:tc>
        <w:tc>
          <w:tcPr>
            <w:tcW w:w="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10,138</w:t>
            </w:r>
          </w:p>
        </w:tc>
      </w:tr>
      <w:tr>
        <w:trPr>
          <w:trHeight w:val="229"/>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Income Tax Expense</w:t>
            </w:r>
          </w:p>
        </w:tc>
        <w:tc>
          <w:tcPr>
            <w:tcW w:w="3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(2,604)</w:t>
            </w:r>
          </w:p>
        </w:tc>
        <w:tc>
          <w:tcPr>
            <w:tcW w:w="1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w:t>
            </w:r>
          </w:p>
        </w:tc>
      </w:tr>
      <w:tr>
        <w:trPr>
          <w:trHeight w:val="248"/>
        </w:trPr>
        <w:tc>
          <w:tcPr>
            <w:tcW w:w="5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11,644</w:t>
            </w:r>
          </w:p>
        </w:tc>
        <w:tc>
          <w:tcPr>
            <w:tcW w:w="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3,439,000. As of April 30, 2025, there were 1,075,528 shares of Common Stock or Class B Stock available for future grants under this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non-vested restricted shares as of April 30, 2025, were issued under the 2006 Plan with vesting periods generally between one and five years. We determined the fair value of restricted shares as of the grant date. We recognize the related compensation expense over the period from the date of grant to the date the shares vest.</w:t>
      </w:r>
    </w:p>
    <w:p>
      <w:pPr>
        <w:spacing w:after="0" w:line="20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There were 135,850 and 146,000 restricted shares of Common Stock granted during the nine months ended April 30, 2025, and 2024, respectively. There were no restricted shares of Class B Stock granted during the nine months ended April 30, 2025, and 250,000 restricted shares of Class B Stock granted during the nine months ended April 30, 2024. Stock-based compensation</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22" w:name="page23"/>
    <w:bookmarkEnd w:id="22"/>
    <w:p>
      <w:pPr>
        <w:spacing w:after="0" w:line="282" w:lineRule="auto"/>
        <w:rPr>
          <w:sz w:val="20"/>
          <w:szCs w:val="20"/>
          <w:color w:val="auto"/>
        </w:rPr>
      </w:pPr>
      <w:r>
        <w:rPr>
          <w:rFonts w:ascii="Times New Roman" w:cs="Times New Roman" w:eastAsia="Times New Roman" w:hAnsi="Times New Roman"/>
          <w:sz w:val="18"/>
          <w:szCs w:val="18"/>
          <w:color w:val="auto"/>
        </w:rPr>
        <w:t>expense was $1.0 million and $0.9 million for the three months ended April 30, 2025, and 2024, respectively, and $2.9 million and $2.7 million for the nine months ended April 30, 2025, and 2024, respectively.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restricted stock transactions is shown below:</w:t>
            </w: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c>
          <w:tcPr>
            <w:tcW w:w="0" w:type="dxa"/>
            <w:vAlign w:val="bottom"/>
          </w:tcPr>
          <w:p>
            <w:pPr>
              <w:spacing w:after="0"/>
              <w:rPr>
                <w:sz w:val="1"/>
                <w:szCs w:val="1"/>
                <w:color w:val="auto"/>
              </w:rPr>
            </w:pPr>
          </w:p>
        </w:tc>
      </w:tr>
      <w:tr>
        <w:trPr>
          <w:trHeight w:val="175"/>
        </w:trPr>
        <w:tc>
          <w:tcPr>
            <w:tcW w:w="6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7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Restricted Shares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Grant Date Fair</w:t>
            </w: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17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43"/>
        </w:trPr>
        <w:tc>
          <w:tcPr>
            <w:tcW w:w="660" w:type="dxa"/>
            <w:vAlign w:val="bottom"/>
          </w:tcPr>
          <w:p>
            <w:pPr>
              <w:spacing w:after="0"/>
              <w:rPr>
                <w:sz w:val="21"/>
                <w:szCs w:val="21"/>
                <w:color w:val="auto"/>
              </w:rPr>
            </w:pPr>
          </w:p>
        </w:tc>
        <w:tc>
          <w:tcPr>
            <w:tcW w:w="6100" w:type="dxa"/>
            <w:vAlign w:val="bottom"/>
            <w:tcBorders>
              <w:bottom w:val="single" w:sz="8" w:color="CCEEFF"/>
            </w:tcBorders>
          </w:tcPr>
          <w:p>
            <w:pPr>
              <w:spacing w:after="0"/>
              <w:rPr>
                <w:sz w:val="21"/>
                <w:szCs w:val="21"/>
                <w:color w:val="auto"/>
              </w:rPr>
            </w:pPr>
          </w:p>
        </w:tc>
        <w:tc>
          <w:tcPr>
            <w:tcW w:w="1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July 31, 2024</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0" w:type="dxa"/>
            <w:vAlign w:val="bottom"/>
          </w:tcPr>
          <w:p>
            <w:pPr>
              <w:spacing w:after="0"/>
              <w:rPr>
                <w:sz w:val="1"/>
                <w:szCs w:val="1"/>
                <w:color w:val="auto"/>
              </w:rPr>
            </w:pPr>
          </w:p>
        </w:tc>
      </w:tr>
      <w:tr>
        <w:trPr>
          <w:trHeight w:val="230"/>
        </w:trPr>
        <w:tc>
          <w:tcPr>
            <w:tcW w:w="660" w:type="dxa"/>
            <w:vAlign w:val="bottom"/>
          </w:tcPr>
          <w:p>
            <w:pPr>
              <w:spacing w:after="0"/>
              <w:rPr>
                <w:sz w:val="19"/>
                <w:szCs w:val="19"/>
                <w:color w:val="auto"/>
              </w:rPr>
            </w:pPr>
          </w:p>
        </w:tc>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19.89</w:t>
            </w:r>
          </w:p>
        </w:tc>
        <w:tc>
          <w:tcPr>
            <w:tcW w:w="0" w:type="dxa"/>
            <w:vAlign w:val="bottom"/>
          </w:tcPr>
          <w:p>
            <w:pPr>
              <w:spacing w:after="0"/>
              <w:rPr>
                <w:sz w:val="1"/>
                <w:szCs w:val="1"/>
                <w:color w:val="auto"/>
              </w:rPr>
            </w:pPr>
          </w:p>
        </w:tc>
      </w:tr>
      <w:tr>
        <w:trPr>
          <w:trHeight w:val="229"/>
        </w:trPr>
        <w:tc>
          <w:tcPr>
            <w:tcW w:w="660" w:type="dxa"/>
            <w:vAlign w:val="bottom"/>
          </w:tcPr>
          <w:p>
            <w:pPr>
              <w:spacing w:after="0"/>
              <w:rPr>
                <w:sz w:val="19"/>
                <w:szCs w:val="19"/>
                <w:color w:val="auto"/>
              </w:rPr>
            </w:pPr>
          </w:p>
        </w:tc>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0" w:type="dxa"/>
            <w:vAlign w:val="bottom"/>
          </w:tcPr>
          <w:p>
            <w:pPr>
              <w:spacing w:after="0"/>
              <w:rPr>
                <w:sz w:val="1"/>
                <w:szCs w:val="1"/>
                <w:color w:val="auto"/>
              </w:rPr>
            </w:pPr>
          </w:p>
        </w:tc>
      </w:tr>
      <w:tr>
        <w:trPr>
          <w:trHeight w:val="248"/>
        </w:trPr>
        <w:tc>
          <w:tcPr>
            <w:tcW w:w="660" w:type="dxa"/>
            <w:vAlign w:val="bottom"/>
          </w:tcPr>
          <w:p>
            <w:pPr>
              <w:spacing w:after="0"/>
              <w:rPr>
                <w:sz w:val="21"/>
                <w:szCs w:val="21"/>
                <w:color w:val="auto"/>
              </w:rPr>
            </w:pPr>
          </w:p>
        </w:tc>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restricted stock outstanding at April 30, 2025</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ACCUMULATED OTHER COMPREHENSIVE INCOME (LOSS)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other comprehensive income (loss) by component as of April 30, 2025 (in thousands):</w:t>
      </w:r>
    </w:p>
    <w:p>
      <w:pPr>
        <w:spacing w:after="0" w:line="23" w:lineRule="exact"/>
        <w:rPr>
          <w:sz w:val="20"/>
          <w:szCs w:val="20"/>
          <w:color w:val="auto"/>
        </w:rPr>
      </w:pPr>
    </w:p>
    <w:tbl>
      <w:tblPr>
        <w:tblLayout w:type="fixed"/>
        <w:tblInd w:w="4900" w:type="dxa"/>
        <w:tblCellMar>
          <w:top w:w="0" w:type="dxa"/>
          <w:left w:w="0" w:type="dxa"/>
          <w:bottom w:w="0" w:type="dxa"/>
          <w:right w:w="0" w:type="dxa"/>
        </w:tblCellMar>
      </w:tblPr>
      <w:tr>
        <w:trPr>
          <w:trHeight w:val="207"/>
        </w:trPr>
        <w:tc>
          <w:tcPr>
            <w:tcW w:w="2100" w:type="dxa"/>
            <w:vAlign w:val="bottom"/>
          </w:tcPr>
          <w:p>
            <w:pPr>
              <w:spacing w:after="0"/>
              <w:rPr>
                <w:sz w:val="17"/>
                <w:szCs w:val="17"/>
                <w:color w:val="auto"/>
              </w:rPr>
            </w:pPr>
          </w:p>
        </w:tc>
        <w:tc>
          <w:tcPr>
            <w:tcW w:w="1640" w:type="dxa"/>
            <w:vAlign w:val="bottom"/>
            <w:vMerge w:val="restart"/>
          </w:tcPr>
          <w:p>
            <w:pPr>
              <w:ind w:left="400"/>
              <w:spacing w:after="0"/>
              <w:rPr>
                <w:sz w:val="20"/>
                <w:szCs w:val="20"/>
                <w:color w:val="auto"/>
              </w:rPr>
            </w:pPr>
            <w:r>
              <w:rPr>
                <w:rFonts w:ascii="Times New Roman" w:cs="Times New Roman" w:eastAsia="Times New Roman" w:hAnsi="Times New Roman"/>
                <w:sz w:val="18"/>
                <w:szCs w:val="18"/>
                <w:b w:val="1"/>
                <w:bCs w:val="1"/>
                <w:color w:val="auto"/>
              </w:rPr>
              <w:t>Cumulative</w:t>
            </w:r>
          </w:p>
        </w:tc>
        <w:tc>
          <w:tcPr>
            <w:tcW w:w="18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Total Accumulated</w:t>
            </w:r>
          </w:p>
        </w:tc>
        <w:tc>
          <w:tcPr>
            <w:tcW w:w="0" w:type="dxa"/>
            <w:vAlign w:val="bottom"/>
          </w:tcPr>
          <w:p>
            <w:pPr>
              <w:spacing w:after="0"/>
              <w:rPr>
                <w:sz w:val="1"/>
                <w:szCs w:val="1"/>
                <w:color w:val="auto"/>
              </w:rPr>
            </w:pPr>
          </w:p>
        </w:tc>
      </w:tr>
      <w:tr>
        <w:trPr>
          <w:trHeight w:val="176"/>
        </w:trPr>
        <w:tc>
          <w:tcPr>
            <w:tcW w:w="2100" w:type="dxa"/>
            <w:vAlign w:val="bottom"/>
            <w:vMerge w:val="restart"/>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Postretirement Health</w:t>
            </w:r>
          </w:p>
        </w:tc>
        <w:tc>
          <w:tcPr>
            <w:tcW w:w="1640" w:type="dxa"/>
            <w:vAlign w:val="bottom"/>
            <w:vMerge w:val="continue"/>
          </w:tcPr>
          <w:p>
            <w:pPr>
              <w:spacing w:after="0"/>
              <w:rPr>
                <w:sz w:val="15"/>
                <w:szCs w:val="15"/>
                <w:color w:val="auto"/>
              </w:rPr>
            </w:pPr>
          </w:p>
        </w:tc>
        <w:tc>
          <w:tcPr>
            <w:tcW w:w="1800" w:type="dxa"/>
            <w:vAlign w:val="bottom"/>
          </w:tcPr>
          <w:p>
            <w:pPr>
              <w:jc w:val="center"/>
              <w:ind w:left="25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189"/>
        </w:trPr>
        <w:tc>
          <w:tcPr>
            <w:tcW w:w="2100" w:type="dxa"/>
            <w:vAlign w:val="bottom"/>
            <w:vMerge w:val="continue"/>
          </w:tcPr>
          <w:p>
            <w:pPr>
              <w:spacing w:after="0"/>
              <w:rPr>
                <w:sz w:val="16"/>
                <w:szCs w:val="16"/>
                <w:color w:val="auto"/>
              </w:rPr>
            </w:pPr>
          </w:p>
        </w:tc>
        <w:tc>
          <w:tcPr>
            <w:tcW w:w="1640" w:type="dxa"/>
            <w:vAlign w:val="bottom"/>
          </w:tcPr>
          <w:p>
            <w:pPr>
              <w:ind w:left="420"/>
              <w:spacing w:after="0" w:line="189" w:lineRule="exact"/>
              <w:rPr>
                <w:sz w:val="20"/>
                <w:szCs w:val="20"/>
                <w:color w:val="auto"/>
              </w:rPr>
            </w:pPr>
            <w:r>
              <w:rPr>
                <w:rFonts w:ascii="Times New Roman" w:cs="Times New Roman" w:eastAsia="Times New Roman" w:hAnsi="Times New Roman"/>
                <w:sz w:val="18"/>
                <w:szCs w:val="18"/>
                <w:b w:val="1"/>
                <w:bCs w:val="1"/>
                <w:color w:val="auto"/>
              </w:rPr>
              <w:t>Translation</w:t>
            </w:r>
          </w:p>
        </w:tc>
        <w:tc>
          <w:tcPr>
            <w:tcW w:w="1800" w:type="dxa"/>
            <w:vAlign w:val="bottom"/>
          </w:tcPr>
          <w:p>
            <w:pPr>
              <w:jc w:val="center"/>
              <w:ind w:left="2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230"/>
        </w:trPr>
        <w:tc>
          <w:tcPr>
            <w:tcW w:w="21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Benefits</w:t>
            </w:r>
          </w:p>
        </w:tc>
        <w:tc>
          <w:tcPr>
            <w:tcW w:w="164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80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wp:posOffset>
            </wp:positionH>
            <wp:positionV relativeFrom="paragraph">
              <wp:posOffset>0</wp:posOffset>
            </wp:positionV>
            <wp:extent cx="620649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06490" cy="15430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p>
      <w:pPr>
        <w:spacing w:after="0" w:line="9" w:lineRule="exact"/>
        <w:rPr>
          <w:sz w:val="20"/>
          <w:szCs w:val="20"/>
          <w:color w:val="auto"/>
        </w:rPr>
      </w:pPr>
    </w:p>
    <w:p>
      <w:pPr>
        <w:ind w:left="760"/>
        <w:spacing w:after="0"/>
        <w:tabs>
          <w:tab w:leader="none" w:pos="4780" w:val="left"/>
        </w:tabs>
        <w:rPr>
          <w:sz w:val="20"/>
          <w:szCs w:val="20"/>
          <w:color w:val="auto"/>
        </w:rPr>
      </w:pPr>
      <w:r>
        <w:rPr>
          <w:rFonts w:ascii="Times New Roman" w:cs="Times New Roman" w:eastAsia="Times New Roman" w:hAnsi="Times New Roman"/>
          <w:sz w:val="18"/>
          <w:szCs w:val="18"/>
          <w:color w:val="auto"/>
        </w:rPr>
        <w:t>Balance as of July 31, 2024</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760" w:right="860"/>
        <w:spacing w:after="0" w:line="234" w:lineRule="auto"/>
        <w:rPr>
          <w:sz w:val="20"/>
          <w:szCs w:val="20"/>
          <w:color w:val="auto"/>
        </w:rPr>
      </w:pPr>
      <w:r>
        <w:rPr>
          <w:rFonts w:ascii="Times New Roman" w:cs="Times New Roman" w:eastAsia="Times New Roman" w:hAnsi="Times New Roman"/>
          <w:sz w:val="18"/>
          <w:szCs w:val="18"/>
          <w:color w:val="auto"/>
        </w:rPr>
        <w:t>Other comprehensive income before reclassifications, net of tax</w:t>
      </w:r>
    </w:p>
    <w:p>
      <w:pPr>
        <w:spacing w:after="0" w:line="10" w:lineRule="exact"/>
        <w:rPr>
          <w:sz w:val="20"/>
          <w:szCs w:val="20"/>
          <w:color w:val="auto"/>
        </w:rPr>
      </w:pPr>
    </w:p>
    <w:p>
      <w:pPr>
        <w:ind w:left="760" w:right="1440"/>
        <w:spacing w:after="0" w:line="237"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93"/>
              </w:rPr>
              <w:t>1,076</w:t>
            </w:r>
          </w:p>
        </w:tc>
        <w:tc>
          <w:tcPr>
            <w:tcW w:w="620" w:type="dxa"/>
            <w:vAlign w:val="bottom"/>
            <w:tcBorders>
              <w:top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tcPr>
          <w:p>
            <w:pPr>
              <w:spacing w:after="0"/>
              <w:rPr>
                <w:sz w:val="20"/>
                <w:szCs w:val="20"/>
                <w:color w:val="auto"/>
              </w:rPr>
            </w:pPr>
          </w:p>
        </w:tc>
        <w:tc>
          <w:tcPr>
            <w:tcW w:w="70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407"/>
        </w:trPr>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418"/>
        </w:trPr>
        <w:tc>
          <w:tcPr>
            <w:tcW w:w="8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(71)</w:t>
            </w:r>
          </w:p>
        </w:tc>
        <w:tc>
          <w:tcPr>
            <w:tcW w:w="620" w:type="dxa"/>
            <w:vAlign w:val="bottom"/>
          </w:tcPr>
          <w:p>
            <w:pPr>
              <w:spacing w:after="0"/>
              <w:rPr>
                <w:sz w:val="24"/>
                <w:szCs w:val="24"/>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-264795</wp:posOffset>
            </wp:positionV>
            <wp:extent cx="6206490" cy="265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06490" cy="26543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5480" w:space="720"/>
            <w:col w:w="5040"/>
          </w:cols>
          <w:pgMar w:left="320" w:top="891" w:right="339" w:bottom="1440" w:gutter="0" w:footer="0" w:header="0"/>
          <w:type w:val="continuous"/>
        </w:sectPr>
      </w:pPr>
    </w:p>
    <w:tbl>
      <w:tblPr>
        <w:tblLayout w:type="fixed"/>
        <w:tblInd w:w="740" w:type="dxa"/>
        <w:tblCellMar>
          <w:top w:w="0" w:type="dxa"/>
          <w:left w:w="0" w:type="dxa"/>
          <w:bottom w:w="0" w:type="dxa"/>
          <w:right w:w="0" w:type="dxa"/>
        </w:tblCellMar>
      </w:tblPr>
      <w:tr>
        <w:trPr>
          <w:trHeight w:val="156"/>
        </w:trPr>
        <w:tc>
          <w:tcPr>
            <w:tcW w:w="404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76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r>
      <w:tr>
        <w:trPr>
          <w:trHeight w:val="243"/>
        </w:trPr>
        <w:tc>
          <w:tcPr>
            <w:tcW w:w="4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of tax</w:t>
            </w:r>
          </w:p>
        </w:tc>
        <w:tc>
          <w:tcPr>
            <w:tcW w:w="7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40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(18)</w:t>
            </w:r>
          </w:p>
        </w:tc>
      </w:tr>
      <w:tr>
        <w:trPr>
          <w:trHeight w:val="248"/>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April 30, 2025</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4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751</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RELATED PARTY TRANSACTIONS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One member of our Board is currently the President and Chief Executive Officer of one of our vendors. Total payments to this vendor for fees and cost reimbursements were $0.5 million and $0.7 million for the three months ended April 30, 2025, and April 30, 2024, respectively, and $1.0 million and $1.2 million for the first nine months of fiscal years 2025 and 2024, respectively. There were no outstanding accounts payable due to that vendor as of April 30, 2025, and $0.1 million in outstanding accounts payable due as of July 31, 2024.</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One member of our Board retired from the role of President and Chief Executive Officer of one of our customers on September 28, 2019, and is currently party to a post-employment consulting agreement with this customer. Total sales to that customer, including sales to its subsidiaries, were $0.1 million for both the three months ended April 30, 2025, and April 30, 2024. Total sales to that customer, including sales to its subsidiaries, were $0.3 million and $0.1 million for the first nine months of fiscal years 2025 and 2024, respectively. There were no outstanding amounts due from that customer as of either April 30, 2025, or July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2024. This discussion contains forward-looking statements that involve risks and uncertainties. Our actual results may differ materially from the results discussed in the forward-looking statements. Factors that might cause a difference include, but are not limited to, those discussed herein under "Forward-Looking Statements" and "Risk Factors," and those discussed under Part I, Item 1A, "Risk Factors," of our Annual Report on Form 10-K for the fiscal year ended July 31,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("Retail and Wholesale") and the Business to Business Products Group ("Business to Business"), as described in Note 10 of the Notes to the unaudited Condensed Consolidated Financial Statements. Each operating segment is discussed individually below.</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OVERVIEW</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00" w:type="dxa"/>
            <w:vAlign w:val="bottom"/>
          </w:tcPr>
          <w:p>
            <w:pPr>
              <w:spacing w:after="0"/>
              <w:rPr>
                <w:sz w:val="22"/>
                <w:szCs w:val="22"/>
                <w:color w:val="auto"/>
              </w:rPr>
            </w:pPr>
          </w:p>
        </w:tc>
        <w:tc>
          <w:tcPr>
            <w:tcW w:w="2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80" w:type="dxa"/>
            <w:vAlign w:val="bottom"/>
            <w:gridSpan w:val="9"/>
          </w:tcPr>
          <w:p>
            <w:pPr>
              <w:ind w:left="44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960" w:type="dxa"/>
            <w:vAlign w:val="bottom"/>
            <w:gridSpan w:val="8"/>
          </w:tcPr>
          <w:p>
            <w:pPr>
              <w:ind w:left="38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c>
          <w:tcPr>
            <w:tcW w:w="0" w:type="dxa"/>
            <w:vAlign w:val="bottom"/>
          </w:tcPr>
          <w:p>
            <w:pPr>
              <w:spacing w:after="0"/>
              <w:rPr>
                <w:sz w:val="1"/>
                <w:szCs w:val="1"/>
                <w:color w:val="auto"/>
              </w:rPr>
            </w:pPr>
          </w:p>
        </w:tc>
      </w:tr>
      <w:tr>
        <w:trPr>
          <w:trHeight w:val="169"/>
        </w:trPr>
        <w:tc>
          <w:tcPr>
            <w:tcW w:w="300" w:type="dxa"/>
            <w:vAlign w:val="bottom"/>
          </w:tcPr>
          <w:p>
            <w:pPr>
              <w:spacing w:after="0"/>
              <w:rPr>
                <w:sz w:val="14"/>
                <w:szCs w:val="14"/>
                <w:color w:val="auto"/>
              </w:rPr>
            </w:pPr>
          </w:p>
        </w:tc>
        <w:tc>
          <w:tcPr>
            <w:tcW w:w="21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9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ind w:right="370"/>
              <w:spacing w:after="0" w:line="169" w:lineRule="exact"/>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21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0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2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right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360,360</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323,885</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36,475</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115,501</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106,779</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8,722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108,250</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92,070</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16,180</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33,022</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30,137</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2,885</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10%</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52,576</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38,753</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13,823</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36%</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13,904</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10,432</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3,472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33%</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1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40,941</w:t>
            </w: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30,901</w:t>
            </w: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10,040</w:t>
            </w: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32%</w:t>
            </w: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11,644</w:t>
            </w: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7,777</w:t>
            </w: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3,867</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to Business</w:t>
            </w: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0" w:type="dxa"/>
            <w:vAlign w:val="bottom"/>
          </w:tcPr>
          <w:p>
            <w:pPr>
              <w:spacing w:after="0"/>
              <w:rPr>
                <w:sz w:val="19"/>
                <w:szCs w:val="19"/>
                <w:color w:val="auto"/>
              </w:rPr>
            </w:pPr>
          </w:p>
        </w:tc>
        <w:tc>
          <w:tcPr>
            <w:tcW w:w="2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134,509</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22,918</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w:t>
            </w:r>
          </w:p>
        </w:tc>
        <w:tc>
          <w:tcPr>
            <w:tcW w:w="120" w:type="dxa"/>
            <w:vAlign w:val="bottom"/>
            <w:tcBorders>
              <w:right w:val="single" w:sz="8" w:color="auto"/>
            </w:tcBorders>
            <w:shd w:val="clear" w:color="auto" w:fill="CCEEFF"/>
          </w:tcPr>
          <w:p>
            <w:pPr>
              <w:spacing w:after="0"/>
              <w:rPr>
                <w:sz w:val="19"/>
                <w:szCs w:val="19"/>
                <w:color w:val="auto"/>
              </w:rPr>
            </w:pP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42,678</w:t>
            </w: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36,196</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8"/>
              </w:rPr>
              <w:t>6,482</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1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44,814</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32,713</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12,101</w:t>
            </w: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37%</w:t>
            </w:r>
          </w:p>
        </w:tc>
        <w:tc>
          <w:tcPr>
            <w:tcW w:w="120" w:type="dxa"/>
            <w:vAlign w:val="bottom"/>
            <w:tcBorders>
              <w:bottom w:val="single" w:sz="8" w:color="auto"/>
              <w:right w:val="single" w:sz="8" w:color="auto"/>
            </w:tcBorders>
          </w:tcPr>
          <w:p>
            <w:pPr>
              <w:spacing w:after="0"/>
              <w:rPr>
                <w:sz w:val="19"/>
                <w:szCs w:val="19"/>
                <w:color w:val="auto"/>
              </w:rPr>
            </w:pPr>
          </w:p>
        </w:tc>
        <w:tc>
          <w:tcPr>
            <w:tcW w:w="28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13,382</w:t>
            </w:r>
          </w:p>
        </w:tc>
        <w:tc>
          <w:tcPr>
            <w:tcW w:w="1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8"/>
              </w:rPr>
              <w:t>2,777</w:t>
            </w: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26%</w:t>
            </w: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2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Retail &amp; Wholesale</w:t>
            </w: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tcBorders>
              <w:right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Sales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225,851</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212,294</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13,557</w:t>
            </w: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w:t>
            </w:r>
          </w:p>
        </w:tc>
        <w:tc>
          <w:tcPr>
            <w:tcW w:w="120" w:type="dxa"/>
            <w:vAlign w:val="bottom"/>
            <w:tcBorders>
              <w:right w:val="single" w:sz="8" w:color="auto"/>
            </w:tcBorders>
          </w:tcPr>
          <w:p>
            <w:pPr>
              <w:spacing w:after="0"/>
              <w:rPr>
                <w:sz w:val="19"/>
                <w:szCs w:val="19"/>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72,823</w:t>
            </w:r>
          </w:p>
        </w:tc>
        <w:tc>
          <w:tcPr>
            <w:tcW w:w="18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70,583</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center"/>
              <w:ind w:left="150"/>
              <w:spacing w:after="0"/>
              <w:rPr>
                <w:sz w:val="20"/>
                <w:szCs w:val="20"/>
                <w:color w:val="auto"/>
              </w:rPr>
            </w:pPr>
            <w:r>
              <w:rPr>
                <w:rFonts w:ascii="Times New Roman" w:cs="Times New Roman" w:eastAsia="Times New Roman" w:hAnsi="Times New Roman"/>
                <w:sz w:val="18"/>
                <w:szCs w:val="18"/>
                <w:color w:val="auto"/>
                <w:w w:val="98"/>
              </w:rPr>
              <w:t>2,240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w:t>
            </w: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214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34,414</w:t>
            </w: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34,080</w:t>
            </w: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334</w:t>
            </w:r>
          </w:p>
        </w:tc>
        <w:tc>
          <w:tcPr>
            <w:tcW w:w="8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20" w:type="dxa"/>
            <w:vAlign w:val="bottom"/>
            <w:tcBorders>
              <w:bottom w:val="single" w:sz="8" w:color="auto"/>
              <w:right w:val="single" w:sz="8" w:color="auto"/>
            </w:tcBorders>
            <w:shd w:val="clear" w:color="auto" w:fill="CCEEFF"/>
          </w:tcPr>
          <w:p>
            <w:pPr>
              <w:spacing w:after="0"/>
              <w:rPr>
                <w:sz w:val="19"/>
                <w:szCs w:val="19"/>
                <w:color w:val="auto"/>
              </w:rPr>
            </w:pPr>
          </w:p>
        </w:tc>
        <w:tc>
          <w:tcPr>
            <w:tcW w:w="2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9,709</w:t>
            </w:r>
          </w:p>
        </w:tc>
        <w:tc>
          <w:tcPr>
            <w:tcW w:w="1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1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rPr>
              <w:t>(1,163)</w:t>
            </w:r>
          </w:p>
        </w:tc>
        <w:tc>
          <w:tcPr>
            <w:tcW w:w="9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Fiscal year 2025 continues to be a strong year with consolidated net sales, gross profit and net income growing in the nine months ended April 30, 2025, when compared to the nine months ended April 30, 2024. Net sales grew across both the Business to Business Products Group and the Retail and Wholesale Products Group. As described below, both operating segments grew due to favorable product mix, stronger demand and higher prices compared to the same period in fiscal year 2024. Consolidated net sales of $360.4 million increased $36.5 million, or 11%, in the nine months ended April 30, 2025, compared to the nine months ended April 30, 2024. Gross margin grew to 30% for the nine months ended April 30, 2025, compared to 28% for the nine months ended April 30, 2024.</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Despite higher SG&amp;A and other expenses consolidated income from operations increased $13.8 million, or 36%, and, including the impact of tax, consolidated net income increased $10.0 million, or 32%, for the nine months ended April 30, 2025, compared to the nine months ended April 30, 2024.</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jc w:val="both"/>
        <w:spacing w:after="0" w:line="261" w:lineRule="auto"/>
        <w:rPr>
          <w:sz w:val="20"/>
          <w:szCs w:val="20"/>
          <w:color w:val="auto"/>
        </w:rPr>
      </w:pPr>
      <w:r>
        <w:rPr>
          <w:rFonts w:ascii="Times New Roman" w:cs="Times New Roman" w:eastAsia="Times New Roman" w:hAnsi="Times New Roman"/>
          <w:sz w:val="18"/>
          <w:szCs w:val="18"/>
          <w:color w:val="auto"/>
        </w:rPr>
        <w:t>Our unaudited Condensed Consolidated Balance Sheet as of April 30, 2025 and our unaudited Condensed Consolidated Statement of Cash Flows for the nine months ended April 30, 2025, show an increase of $12.0 million, or 49%, in total cash and cash equivalents from fiscal year-end 2024. The increase was driven primarily by positive cash flow from operations partially offset by cash used in investing and financing activities. Refer to the "Liquidity and Capital Resources" section below for more details.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Split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9, 2024, the Company announced that our Board approved a two-for-one stock split in the form of a stock dividend. Stockholders of record as of the close of business on December 20, 2024 received a distribution of one additional share of Common Stock for each share of Common Stock held by such stockholder and one additional share of Class B Stock for each share of Class B Stock held by such stockholder as of the record date. The additional shares were distributed on January 3, 2025, and our Common Stock began trading on a post-split basis on January 6, 2025.</w:t>
      </w:r>
    </w:p>
    <w:p>
      <w:pPr>
        <w:spacing w:after="0" w:line="1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stock split did not affect the par value of the Common Stock or Class B Stock, however, in order to implement the stock split we amended our Certificate of Incorporation on December 11, 2024 to increase the number of authorized shares of Common Stock from 15 million to 30 million. Proportionate adjustments were made to the number of shares that remain available for issuance pursuant to the 2006 Plan, as well as to the outstanding awards under the 2006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APRIL 30, 2025 COMPARED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NINE MONTHS ENDED APRIL 30,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net sales for the nine months ended April 30, 2025, were $360.4 million, an 11% increase compared to net sales of $323.9 million for the nine months ended April 30, 2024. The increase across both our Business to Business and Retail and Wholesale product groups was primarily driven by a combination of favorable product mix, stronger demand for our products, and higher prices.</w:t>
      </w:r>
    </w:p>
    <w:p>
      <w:pPr>
        <w:spacing w:after="0" w:line="20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Consolidated gross profit in the nine months ended April 30, 2025, was $108.3 million, an increase of $16.2 million, or 18%, from gross profit of $92.1 million in the nine months ended April 30, 2024. Our gross margin (defined as gross profit as a percentage of net sales) in the nine months ended April 30, 2025, increased to 30.0% from 28.4% in the nine months ended April 30, 2024. This gross margin expansion was mainly driven by volume growth, which led to improved fixed cost coverage, and favorable product mix. However, for the nine months ended April 30, 2025, the overall domestic per ton cost of goods sold increased 5% compared to the same period of fiscal year 2024. The increase was primarily driven by our product mix across the nine months which resulted in higher overall per ton transportation and material costs, which increased 8% and 7%, respectively. These increases were slightly offset by a 2% decrease in packaging costs for the nine months ended April 30, 2025, when compared to the same period of fiscal year 2024.</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SG&amp;A expenses of $55.7 million for the nine months ended April 30, 2025, were $2.4 million, or 5%, higher compared to $53.3 million for the nine months ended April 30, 2024. The increase was primarily driven by operating segment SG&amp;A, which increased by $3.8 million, partially offset by a $1.4 million reduction in corporate unallocated expenses. SG&amp;A expenses at the operating segments level are discussed below in the discussion of our segments' operating income. The decrease in corporate unallocated for the nine months ended April 30, 2025, was primarily due to a decrease in acquisition-related expenses incurred in the same period of fiscal year 2024.</w:t>
      </w:r>
    </w:p>
    <w:p>
      <w:pPr>
        <w:spacing w:after="0" w:line="21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other expenses, net were $1.9 million for the nine months ended April 30, 2025, compared to $1.1 million in the same period of fiscal year 2024. This increase was mainly due to an $0.8 million increase in interest expense.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had tax expense of $9.8 million for the nine months ended April 30, 2025, compared to $6.7 million for the nine months ended April 30, 2024. $2.3 million of the increase was due to higher pre-tax income and $0.7 million of the increase was due to the change in the estimated annual effective tax rate ("ETR"). For the nine months ended April 30, 2025, we used an estimated annual ETR of 19% compared to an ETR of 18% for the nine months ended April 30, 2024. The ETR is based on expected annual taxable income and the assessment of various tax adjustments, including depletion and discrete items.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99"/>
        </w:trPr>
        <w:tc>
          <w:tcPr>
            <w:tcW w:w="42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c>
          <w:tcPr>
            <w:tcW w:w="1500" w:type="dxa"/>
            <w:vAlign w:val="bottom"/>
            <w:tcBorders>
              <w:bottom w:val="single" w:sz="8" w:color="auto"/>
            </w:tcBorders>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to Business Products Group</w:t>
            </w: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20" w:type="dxa"/>
            <w:vAlign w:val="bottom"/>
          </w:tcPr>
          <w:p>
            <w:pPr>
              <w:spacing w:after="0"/>
              <w:rPr>
                <w:sz w:val="19"/>
                <w:szCs w:val="19"/>
                <w:color w:val="auto"/>
              </w:rPr>
            </w:pPr>
          </w:p>
        </w:tc>
        <w:tc>
          <w:tcPr>
            <w:tcW w:w="41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32,396</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27,706</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9"/>
        </w:trPr>
        <w:tc>
          <w:tcPr>
            <w:tcW w:w="420" w:type="dxa"/>
            <w:vAlign w:val="bottom"/>
          </w:tcPr>
          <w:p>
            <w:pPr>
              <w:spacing w:after="0"/>
              <w:rPr>
                <w:sz w:val="19"/>
                <w:szCs w:val="19"/>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Fluids Purification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82,384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67,437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14,947</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30"/>
        </w:trPr>
        <w:tc>
          <w:tcPr>
            <w:tcW w:w="420" w:type="dxa"/>
            <w:vAlign w:val="bottom"/>
          </w:tcPr>
          <w:p>
            <w:pPr>
              <w:spacing w:after="0"/>
              <w:rPr>
                <w:sz w:val="19"/>
                <w:szCs w:val="19"/>
                <w:color w:val="auto"/>
              </w:rPr>
            </w:pPr>
          </w:p>
        </w:tc>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Animal Health &amp; Nutrition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19,729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16,448</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3"/>
        </w:trPr>
        <w:tc>
          <w:tcPr>
            <w:tcW w:w="420" w:type="dxa"/>
            <w:vAlign w:val="bottom"/>
          </w:tcPr>
          <w:p>
            <w:pPr>
              <w:spacing w:after="0"/>
              <w:rPr>
                <w:sz w:val="19"/>
                <w:szCs w:val="19"/>
                <w:color w:val="auto"/>
              </w:rPr>
            </w:pPr>
          </w:p>
        </w:tc>
        <w:tc>
          <w:tcPr>
            <w:tcW w:w="4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134,509</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111,591</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22,918</w:t>
            </w:r>
          </w:p>
        </w:tc>
        <w:tc>
          <w:tcPr>
            <w:tcW w:w="16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20"/>
        </w:trPr>
        <w:tc>
          <w:tcPr>
            <w:tcW w:w="4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4180" w:type="dxa"/>
            <w:vAlign w:val="bottom"/>
            <w:tcBorders>
              <w:bottom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44,814</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32,713</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12,101</w:t>
            </w: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37 %</w:t>
            </w:r>
          </w:p>
        </w:tc>
      </w:tr>
      <w:tr>
        <w:trPr>
          <w:trHeight w:val="21"/>
        </w:trPr>
        <w:tc>
          <w:tcPr>
            <w:tcW w:w="4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Net sales of the Business to Business Products Group for the nine months ended April 30, 2025, increased $22.9 million, or 21%, compared to the nine months ended April 30, 2024, with growth in all three principal products within this segment. Net sales of our fluids purification products for the nine months ended April 30, 2025, increased $14.9 million, or 22%, compared to the nine months ended April 30, 2024, primarily driven by the increase in demand for products used in renewable diesel filtration. Net sales of our agricultural and horticultural chemical carrier products for the nine months ended April 30, 2025, increased $4.7 million, or 17% compared to the nine months ended April 30, 2024, mainly as a result of stronger demand, primarily as key customers resumed purchasing after working through inventory surpluses. Net sales of our animal health &amp; nutrition products for the nine months ended April 30, 2025, increased $3.3 million, or 20%, compared to the nine months ended April 30, 2024, with growth across all regions mainly driven by favorable product mix.</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expenses for the Business to Business Products Group increased by $0.6 million, or 5%, for the nine months ended April 30, 2025, compared to the nine months ended April 30, 2024. The increase was mainly driven by a preliminary foreign value-added tax ("VAT") assessment recognized in the first quarter of fiscal year 2025, and higher research and development costs and marketing spend, partially offset by cost reductions across other general and administrative expenses.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to Business Products Group’s operating income for the nine months ended April 30, 2025, was $44.8 million, an increase of $12.1 million, or 37%, from operating income of $32.7 million for the nine months ended April 30, 2024. The increase in operating income was mostly driven by higher net sales as described above.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99"/>
        </w:trPr>
        <w:tc>
          <w:tcPr>
            <w:tcW w:w="42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c>
          <w:tcPr>
            <w:tcW w:w="1500" w:type="dxa"/>
            <w:vAlign w:val="bottom"/>
            <w:tcBorders>
              <w:bottom w:val="single" w:sz="8" w:color="auto"/>
            </w:tcBorders>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Retail and Wholesale Products Group</w:t>
            </w: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20" w:type="dxa"/>
            <w:vAlign w:val="bottom"/>
          </w:tcPr>
          <w:p>
            <w:pPr>
              <w:spacing w:after="0"/>
              <w:rPr>
                <w:sz w:val="19"/>
                <w:szCs w:val="19"/>
                <w:color w:val="auto"/>
              </w:rPr>
            </w:pPr>
          </w:p>
        </w:tc>
        <w:tc>
          <w:tcPr>
            <w:tcW w:w="41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Cat Litter</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190,656</w:t>
            </w:r>
          </w:p>
        </w:tc>
        <w:tc>
          <w:tcPr>
            <w:tcW w:w="1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178,357</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12,299</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0"/>
        </w:trPr>
        <w:tc>
          <w:tcPr>
            <w:tcW w:w="420" w:type="dxa"/>
            <w:vAlign w:val="bottom"/>
          </w:tcPr>
          <w:p>
            <w:pPr>
              <w:spacing w:after="0"/>
              <w:rPr>
                <w:sz w:val="19"/>
                <w:szCs w:val="19"/>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Industrial and Sports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35,195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8"/>
        </w:trPr>
        <w:tc>
          <w:tcPr>
            <w:tcW w:w="420" w:type="dxa"/>
            <w:vAlign w:val="bottom"/>
          </w:tcPr>
          <w:p>
            <w:pPr>
              <w:spacing w:after="0"/>
              <w:rPr>
                <w:sz w:val="21"/>
                <w:szCs w:val="21"/>
                <w:color w:val="auto"/>
              </w:rPr>
            </w:pPr>
          </w:p>
        </w:tc>
        <w:tc>
          <w:tcPr>
            <w:tcW w:w="4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225,851</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212,294</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13,557</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0"/>
        </w:trPr>
        <w:tc>
          <w:tcPr>
            <w:tcW w:w="420" w:type="dxa"/>
            <w:vAlign w:val="bottom"/>
          </w:tcPr>
          <w:p>
            <w:pPr>
              <w:spacing w:after="0" w:line="20" w:lineRule="exact"/>
              <w:rPr>
                <w:sz w:val="1"/>
                <w:szCs w:val="1"/>
                <w:color w:val="auto"/>
              </w:rPr>
            </w:pPr>
          </w:p>
        </w:tc>
        <w:tc>
          <w:tcPr>
            <w:tcW w:w="4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0" w:type="dxa"/>
            <w:vAlign w:val="bottom"/>
          </w:tcPr>
          <w:p>
            <w:pPr>
              <w:spacing w:after="0"/>
              <w:rPr>
                <w:sz w:val="18"/>
                <w:szCs w:val="18"/>
                <w:color w:val="auto"/>
              </w:rPr>
            </w:pPr>
          </w:p>
        </w:tc>
        <w:tc>
          <w:tcPr>
            <w:tcW w:w="41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48"/>
        </w:trPr>
        <w:tc>
          <w:tcPr>
            <w:tcW w:w="420" w:type="dxa"/>
            <w:vAlign w:val="bottom"/>
          </w:tcPr>
          <w:p>
            <w:pPr>
              <w:spacing w:after="0"/>
              <w:rPr>
                <w:sz w:val="21"/>
                <w:szCs w:val="21"/>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34,414</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34,080</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0"/>
        </w:trPr>
        <w:tc>
          <w:tcPr>
            <w:tcW w:w="420" w:type="dxa"/>
            <w:vAlign w:val="bottom"/>
          </w:tcPr>
          <w:p>
            <w:pPr>
              <w:spacing w:after="0" w:line="20" w:lineRule="exact"/>
              <w:rPr>
                <w:sz w:val="1"/>
                <w:szCs w:val="1"/>
                <w:color w:val="auto"/>
              </w:rPr>
            </w:pPr>
          </w:p>
        </w:tc>
        <w:tc>
          <w:tcPr>
            <w:tcW w:w="4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Net sales of the Retail and Wholesale Products Group for the nine months ended April 30, 2025, increased $13.6 million, or 6%, compared to the nine months ended April 30, 2024, primarily driven by the introduction of crystal cat litter products. Domestic cat litter net sales, excluding co-packaged cat litter, were $168.4 million for the nine months ended April 30, 2025, an increase of $12.0 million, or 8%, when compared to the nine months ended April 30, 2024. This increase was primarily driven by $15.2 million of net sales from the introduction of crystal cat litter products, partially offset by a $3.3 million decrease in clay-based cat litter products. $2.6 million of this decrease was driven by customer bankruptcies and $2.0 million was due to the loss of a private label account. These losses were partially offset by other revenue gains. Net sales of co-packaged cat litter products increased 4% in the nine months ended April 30, 2025, compared to the nine months ended April 30, 2024. This increase was driven primarily by higher prices. Net sales of our domestic industrial and sports products were $33.2 million for the nine months ended April 30, 2025, an increase of $1.2 million, or 4%, when compared to the nine months ended April 30,</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2024, mainly driven by the higher pricing to offset elevated costs. Net sales by our subsidiary in Canada, which include both our cat litter and industrial products, decreased $0.2 million, as discussed below.</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expenses for the Retail and Wholesale Products Group increased $3.2 million, or 24% during the nine months ended April 30, 2025, compared to the nine months ended April 30, 2024, primarily due to incremental SG&amp;A expenses related to the recently acquired crystal cat litter business. These elevated costs were partially offset by lower advertising expenses compared to the same period of the previous fiscal year. We anticipate total advertising expense in fiscal year 2025 to be lower than fiscal year 2024.</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Retail and Wholesale Products Group's operating income for the nine months ended April 30, 2025, was $34.4 million, an increase of $0.3 million, or 1%, from operating income of $34.1 million for nine months ended April 30,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w:t>
      </w:r>
    </w:p>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Foreign operations include our subsidiaries in Canada and Netherlands, which are reported in the Retail and Wholesale Products Group, and our subsidiaries in the United Kingdom ("UK"), Mexico, China and Indonesia, which are reported in the Business to Business Products Group. Net sales by our foreign subsidiaries for the nine months ended April 30, 2025, were $14.9 million, a decrease of 7%, compared to net sales of $16.0 million during the nine months ended April 30, 2024. The decrease was driven mainly by our subsidiary in China, and to a lesser extent Canada, offset by an increase in net sales in Mexico and the UK. Net sales of our subsidiary in China decreased $1.7 million, or 100%, in the nine months ended April 30, 2025, compared to the same period of fiscal year 2024 due to a sell-off of all existing inventory to a new master distributor, which occurred in the first quarter of fiscal year 2024. Sales to China are now directly through the Company and not through our subsidiary in China. Total net sales of our subsidiary in Canada decreased $0.2 million, or 2%, in the nine months ended April 30, 2025, compared to the nine months ended April 30, 2024, primarily due to the impact of foreign exchange rates. However, excluding the impact of foreign currency translation, net sales in local currency increased 2%, driven primarily by revenues from cat litter sales. Total net sales of our subsidiary in Mexico increased $0.6 million, or 47%, in the nine months ended April 30, 2025, compared to the nine months ended April 30, 2024, driven primarily by higher demand. Total net sales of our subsidiary in the UK increased $0.2 million, or 10%, in the nine months ended April 30, 2025, compared to the nine months ended April 30, 2024, primarily due to higher prices. Net sales by our foreign subsidiaries represented 4% and 5% of our consolidated net sales for the nine months ended April 30, 2025, and 2024, respectively.</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foreign subsidiaries reported net loss of $0.1 million for the nine months ended April 30, 2025, compared to net income of $0.6 million in the nine months ended April 30, 2024. The decrease in net income was primarily driven by the preliminary foreign VAT assessment recognized in the first quarter of fiscal year 2025 and the impact of foreign exchange in Canada.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Identifiable assets of our foreign subsidiaries as of April 30, 2025, were $9.7 million, compared to $8.7 million as of July 31,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APRIL 30, 2025 COMPARED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APRIL 30, 2024</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RESULTS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Consolidated net sales for the third quarter of fiscal year 2025 were $115.5 million, an 8% increase compared to net sales of $106.8 million for the third quarter of fiscal year 2024. The increase across both our Business to Business and Retail and Wholesale product groups was primarily driven by a combination of favorable product mix, higher volumes, and higher prices.</w:t>
      </w:r>
    </w:p>
    <w:p>
      <w:pPr>
        <w:spacing w:after="0" w:line="20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Consolidated gross profit for the third quarter of fiscal year 2025 was $33.0 million, an increase of 10% when compared to $30.1 million for the third quarter of fiscal year 2024. Our gross margin (defined as gross profit as a percentage of net sales) increased to 28.6% from 28.2% in the third quarter of fiscal year 2025 compared to the third quarter of fiscal year 2024. This increase was mainly driven by higher net sales partially offset by higher per ton costs of goods sold. Domestic per ton cost of goods sold increased 5%, primarily driven by higher material and transportation costs partially offset by a reduction in packaging costs. Per ton material costs increased 7% driven primarily by product mix and certain higher expenses such as labor, natural gas and depreciation. Domestic transportation per ton costs increased 8% due to product mix and additional railcar usage to support our growing renewable diesel business. Packaging costs decreased 5%.</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Total SG&amp;A expenses of $19.1 million for the third quarter of fiscal year 2025, decreased by $0.6 million, or 3%, compared to $19.7 million for the same period of fiscal year 2024, primarily due to the decrease in corporate unallocated expenses, partially offset by an increase in operating segments' SG&amp;A expenses. Unallocated corporate expenses were $9.2 million, a decrease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7" w:name="page28"/>
    <w:bookmarkEnd w:id="27"/>
    <w:p>
      <w:pPr>
        <w:jc w:val="both"/>
        <w:spacing w:after="0" w:line="282" w:lineRule="auto"/>
        <w:rPr>
          <w:sz w:val="20"/>
          <w:szCs w:val="20"/>
          <w:color w:val="auto"/>
        </w:rPr>
      </w:pPr>
      <w:r>
        <w:rPr>
          <w:rFonts w:ascii="Times New Roman" w:cs="Times New Roman" w:eastAsia="Times New Roman" w:hAnsi="Times New Roman"/>
          <w:sz w:val="18"/>
          <w:szCs w:val="18"/>
          <w:color w:val="auto"/>
        </w:rPr>
        <w:t>$1.9 million, or 17%, compared to the same period in fiscal year 2024, primarily as a result of acquisition-related expenses incurred in the third quarter of fiscal year 2024. SG&amp;A expenses at the operating segments level are discussed below in the discussion of our segments' operating income.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net other income was $0.3 million for the third quarter of fiscal year 2025, compared to net other expenses of $0.3 million for the third quarter of fiscal year 2024 mainly due to foreign exchange gains offset by higher interest expense, and lower interest income.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Tax expense was $2.6 million for the third quarter of fiscal year 2025 compared to $2.4 million for the third quarter of fiscal year 2024. $1.0 million of the year-over-year increase in tax expense was driven by higher pre-tax income partially offset another $0.7 million decrease due to changes in the annual ETR for the quarter. For the third quarter of fiscal year 2025 we used an estimated ETR of 18% compared to an ETR of 23% for the third quarter of fiscal year 2024. We adjust our ETR quarterly based on expected annual taxable income and our assessment of various tax adjustments, including depletion and discrete items.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BUSINESS TO BUSINESS PRODUCTS GROUP</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56"/>
        </w:trPr>
        <w:tc>
          <w:tcPr>
            <w:tcW w:w="420" w:type="dxa"/>
            <w:vAlign w:val="bottom"/>
          </w:tcPr>
          <w:p>
            <w:pPr>
              <w:spacing w:after="0"/>
              <w:rPr>
                <w:sz w:val="22"/>
                <w:szCs w:val="22"/>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c>
          <w:tcPr>
            <w:tcW w:w="1500" w:type="dxa"/>
            <w:vAlign w:val="bottom"/>
            <w:tcBorders>
              <w:bottom w:val="single" w:sz="8" w:color="auto"/>
            </w:tcBorders>
          </w:tcPr>
          <w:p>
            <w:pPr>
              <w:spacing w:after="0"/>
              <w:rPr>
                <w:sz w:val="22"/>
                <w:szCs w:val="22"/>
                <w:color w:val="auto"/>
              </w:rPr>
            </w:pPr>
          </w:p>
        </w:tc>
      </w:tr>
      <w:tr>
        <w:trPr>
          <w:trHeight w:val="223"/>
        </w:trPr>
        <w:tc>
          <w:tcPr>
            <w:tcW w:w="420" w:type="dxa"/>
            <w:vAlign w:val="bottom"/>
          </w:tcPr>
          <w:p>
            <w:pPr>
              <w:spacing w:after="0"/>
              <w:rPr>
                <w:sz w:val="19"/>
                <w:szCs w:val="19"/>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to Business Products Group</w:t>
            </w: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20" w:type="dxa"/>
            <w:vAlign w:val="bottom"/>
          </w:tcPr>
          <w:p>
            <w:pPr>
              <w:spacing w:after="0"/>
              <w:rPr>
                <w:sz w:val="19"/>
                <w:szCs w:val="19"/>
                <w:color w:val="auto"/>
              </w:rPr>
            </w:pPr>
          </w:p>
        </w:tc>
        <w:tc>
          <w:tcPr>
            <w:tcW w:w="41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Agricultural and Horticultural</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11,639</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30"/>
        </w:trPr>
        <w:tc>
          <w:tcPr>
            <w:tcW w:w="420" w:type="dxa"/>
            <w:vAlign w:val="bottom"/>
          </w:tcPr>
          <w:p>
            <w:pPr>
              <w:spacing w:after="0"/>
              <w:rPr>
                <w:sz w:val="19"/>
                <w:szCs w:val="19"/>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Fluids Purification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25,269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420" w:type="dxa"/>
            <w:vAlign w:val="bottom"/>
          </w:tcPr>
          <w:p>
            <w:pPr>
              <w:spacing w:after="0"/>
              <w:rPr>
                <w:sz w:val="19"/>
                <w:szCs w:val="19"/>
                <w:color w:val="auto"/>
              </w:rPr>
            </w:pPr>
          </w:p>
        </w:tc>
        <w:tc>
          <w:tcPr>
            <w:tcW w:w="43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Animal Health &amp; Nutrition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5,770</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420" w:type="dxa"/>
            <w:vAlign w:val="bottom"/>
          </w:tcPr>
          <w:p>
            <w:pPr>
              <w:spacing w:after="0"/>
              <w:rPr>
                <w:sz w:val="19"/>
                <w:szCs w:val="19"/>
                <w:color w:val="auto"/>
              </w:rPr>
            </w:pPr>
          </w:p>
        </w:tc>
        <w:tc>
          <w:tcPr>
            <w:tcW w:w="4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42,678</w:t>
            </w: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36,196</w:t>
            </w:r>
          </w:p>
        </w:tc>
        <w:tc>
          <w:tcPr>
            <w:tcW w:w="1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6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0"/>
        </w:trPr>
        <w:tc>
          <w:tcPr>
            <w:tcW w:w="4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4180" w:type="dxa"/>
            <w:vAlign w:val="bottom"/>
            <w:tcBorders>
              <w:bottom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spacing w:after="0"/>
              <w:rPr>
                <w:sz w:val="20"/>
                <w:szCs w:val="20"/>
                <w:color w:val="auto"/>
              </w:rPr>
            </w:pPr>
          </w:p>
        </w:tc>
      </w:tr>
      <w:tr>
        <w:trPr>
          <w:trHeight w:val="223"/>
        </w:trPr>
        <w:tc>
          <w:tcPr>
            <w:tcW w:w="420" w:type="dxa"/>
            <w:vAlign w:val="bottom"/>
          </w:tcPr>
          <w:p>
            <w:pPr>
              <w:spacing w:after="0"/>
              <w:rPr>
                <w:sz w:val="19"/>
                <w:szCs w:val="19"/>
                <w:color w:val="auto"/>
              </w:rPr>
            </w:pPr>
          </w:p>
        </w:tc>
        <w:tc>
          <w:tcPr>
            <w:tcW w:w="4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13,382</w:t>
            </w:r>
          </w:p>
        </w:tc>
        <w:tc>
          <w:tcPr>
            <w:tcW w:w="18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10,605</w:t>
            </w: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16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420" w:type="dxa"/>
            <w:vAlign w:val="bottom"/>
          </w:tcPr>
          <w:p>
            <w:pPr>
              <w:spacing w:after="0" w:line="20" w:lineRule="exact"/>
              <w:rPr>
                <w:sz w:val="1"/>
                <w:szCs w:val="1"/>
                <w:color w:val="auto"/>
              </w:rPr>
            </w:pPr>
          </w:p>
        </w:tc>
        <w:tc>
          <w:tcPr>
            <w:tcW w:w="4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sales of the Business to Business Products Group increased $6.5 million, or 18%, in the third quarter of fiscal year 2025, compared to the same period in 2024, driven by an increase in net sales of our agriculture and horticultural products and fluids purification products. Net sales of our agricultural and horticultural chemical carrier products in the third quarter of fiscal year 2025 increased $3.5 million, or 43%, compared to the third quarter of fiscal year 2024, primarily due to higher volumes. Net sales of our fluids purification products in the third quarter of fiscal year 2025 increased $2.9 million, or 13%, compared to the third quarter of fiscal year 2024, primarily driven by the increase in demand for products used in renewable diesel filtration. Net sales of our animal health and nutrition products in the third quarter of fiscal year 2025 remained flat compared to the third quarter of fiscal year 2024.</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SG&amp;A expenses for the Business to Business Products Group in the third quarter of fiscal year 2025 increased $0.3 million, or 8%, compared to the same period of fiscal year 2024.</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Business to Business Products Group’s operating income for the third quarter of fiscal year 2025 was $13.4 million, an increase of $2.8 million, or 26%, from operating income of $10.6 million for the third quarter of fiscal year 2024. The overall increase in operating income was primarily due to higher net sales as described above.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RETAIL AND WHOLESALE PRODUCTS GROUP</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499"/>
        </w:trPr>
        <w:tc>
          <w:tcPr>
            <w:tcW w:w="420" w:type="dxa"/>
            <w:vAlign w:val="bottom"/>
          </w:tcPr>
          <w:p>
            <w:pPr>
              <w:spacing w:after="0"/>
              <w:rPr>
                <w:sz w:val="24"/>
                <w:szCs w:val="24"/>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 thousands)</w:t>
            </w: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For the Three Months Ended April 30,</w:t>
            </w:r>
          </w:p>
        </w:tc>
        <w:tc>
          <w:tcPr>
            <w:tcW w:w="1500" w:type="dxa"/>
            <w:vAlign w:val="bottom"/>
            <w:tcBorders>
              <w:bottom w:val="single" w:sz="8" w:color="auto"/>
            </w:tcBorders>
          </w:tcPr>
          <w:p>
            <w:pPr>
              <w:spacing w:after="0"/>
              <w:rPr>
                <w:sz w:val="24"/>
                <w:szCs w:val="24"/>
                <w:color w:val="auto"/>
              </w:rPr>
            </w:pPr>
          </w:p>
        </w:tc>
      </w:tr>
      <w:tr>
        <w:trPr>
          <w:trHeight w:val="223"/>
        </w:trPr>
        <w:tc>
          <w:tcPr>
            <w:tcW w:w="420" w:type="dxa"/>
            <w:vAlign w:val="bottom"/>
          </w:tcPr>
          <w:p>
            <w:pPr>
              <w:spacing w:after="0"/>
              <w:rPr>
                <w:sz w:val="19"/>
                <w:szCs w:val="19"/>
                <w:color w:val="auto"/>
              </w:rPr>
            </w:pPr>
          </w:p>
        </w:tc>
        <w:tc>
          <w:tcPr>
            <w:tcW w:w="4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Retail and Wholesale Products Group</w:t>
            </w:r>
          </w:p>
        </w:tc>
        <w:tc>
          <w:tcPr>
            <w:tcW w:w="30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50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420" w:type="dxa"/>
            <w:vAlign w:val="bottom"/>
          </w:tcPr>
          <w:p>
            <w:pPr>
              <w:spacing w:after="0"/>
              <w:rPr>
                <w:sz w:val="19"/>
                <w:szCs w:val="19"/>
                <w:color w:val="auto"/>
              </w:rPr>
            </w:pPr>
          </w:p>
        </w:tc>
        <w:tc>
          <w:tcPr>
            <w:tcW w:w="4180" w:type="dxa"/>
            <w:vAlign w:val="bottom"/>
            <w:tcBorders>
              <w:top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Cat Litter</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59,743</w:t>
            </w:r>
          </w:p>
        </w:tc>
        <w:tc>
          <w:tcPr>
            <w:tcW w:w="18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58,170</w:t>
            </w:r>
          </w:p>
        </w:tc>
        <w:tc>
          <w:tcPr>
            <w:tcW w:w="1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6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420" w:type="dxa"/>
            <w:vAlign w:val="bottom"/>
          </w:tcPr>
          <w:p>
            <w:pPr>
              <w:spacing w:after="0"/>
              <w:rPr>
                <w:sz w:val="19"/>
                <w:szCs w:val="19"/>
                <w:color w:val="auto"/>
              </w:rPr>
            </w:pPr>
          </w:p>
        </w:tc>
        <w:tc>
          <w:tcPr>
            <w:tcW w:w="43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Industrial and Sports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13,080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48"/>
        </w:trPr>
        <w:tc>
          <w:tcPr>
            <w:tcW w:w="420" w:type="dxa"/>
            <w:vAlign w:val="bottom"/>
          </w:tcPr>
          <w:p>
            <w:pPr>
              <w:spacing w:after="0"/>
              <w:rPr>
                <w:sz w:val="21"/>
                <w:szCs w:val="21"/>
                <w:color w:val="auto"/>
              </w:rPr>
            </w:pPr>
          </w:p>
        </w:tc>
        <w:tc>
          <w:tcPr>
            <w:tcW w:w="4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72,823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70,583</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2,240</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420" w:type="dxa"/>
            <w:vAlign w:val="bottom"/>
          </w:tcPr>
          <w:p>
            <w:pPr>
              <w:spacing w:after="0" w:line="20" w:lineRule="exact"/>
              <w:rPr>
                <w:sz w:val="1"/>
                <w:szCs w:val="1"/>
                <w:color w:val="auto"/>
              </w:rPr>
            </w:pPr>
          </w:p>
        </w:tc>
        <w:tc>
          <w:tcPr>
            <w:tcW w:w="4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20" w:type="dxa"/>
            <w:vAlign w:val="bottom"/>
          </w:tcPr>
          <w:p>
            <w:pPr>
              <w:spacing w:after="0"/>
              <w:rPr>
                <w:sz w:val="18"/>
                <w:szCs w:val="18"/>
                <w:color w:val="auto"/>
              </w:rPr>
            </w:pPr>
          </w:p>
        </w:tc>
        <w:tc>
          <w:tcPr>
            <w:tcW w:w="418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r>
      <w:tr>
        <w:trPr>
          <w:trHeight w:val="248"/>
        </w:trPr>
        <w:tc>
          <w:tcPr>
            <w:tcW w:w="420" w:type="dxa"/>
            <w:vAlign w:val="bottom"/>
          </w:tcPr>
          <w:p>
            <w:pPr>
              <w:spacing w:after="0"/>
              <w:rPr>
                <w:sz w:val="21"/>
                <w:szCs w:val="21"/>
                <w:color w:val="auto"/>
              </w:rPr>
            </w:pPr>
          </w:p>
        </w:tc>
        <w:tc>
          <w:tcPr>
            <w:tcW w:w="4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9,709</w:t>
            </w:r>
          </w:p>
        </w:tc>
        <w:tc>
          <w:tcPr>
            <w:tcW w:w="1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10,872</w:t>
            </w:r>
          </w:p>
        </w:tc>
        <w:tc>
          <w:tcPr>
            <w:tcW w:w="1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20" w:type="dxa"/>
            <w:vAlign w:val="bottom"/>
          </w:tcPr>
          <w:p>
            <w:pPr>
              <w:spacing w:after="0" w:line="20" w:lineRule="exact"/>
              <w:rPr>
                <w:sz w:val="1"/>
                <w:szCs w:val="1"/>
                <w:color w:val="auto"/>
              </w:rPr>
            </w:pPr>
          </w:p>
        </w:tc>
        <w:tc>
          <w:tcPr>
            <w:tcW w:w="4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sales of the Retail and Wholesale Products Group increased $2.2 million, or 3%, in the third quarter of fiscal year 2025, compared to the same period in 2024, driven primarily by the introduction of crystal cat litter products. Domestic cat litter net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8" w:name="page29"/>
    <w:bookmarkEnd w:id="28"/>
    <w:p>
      <w:pPr>
        <w:jc w:val="both"/>
        <w:spacing w:after="0" w:line="243" w:lineRule="auto"/>
        <w:rPr>
          <w:sz w:val="20"/>
          <w:szCs w:val="20"/>
          <w:color w:val="auto"/>
        </w:rPr>
      </w:pPr>
      <w:r>
        <w:rPr>
          <w:rFonts w:ascii="Times New Roman" w:cs="Times New Roman" w:eastAsia="Times New Roman" w:hAnsi="Times New Roman"/>
          <w:sz w:val="18"/>
          <w:szCs w:val="18"/>
          <w:color w:val="auto"/>
        </w:rPr>
        <w:t>sales, excluding sales of co-packaged cat litter, were $52.8 million for the third quarter of fiscal year 2025, an increase of $1.6 million, or 3%, when compared to the third quarter of fiscal year 2024. This increase was driven by $4.8 million in net sales from the introduction of crystal cat litter products, offset by a $1.4 million decrease due to the loss of a private label account, $0.8 million driven by customer bankruptcies, and the remainder due to other net decreases in revenue from sales of clay-based cat litter products. Net sales of co-packaged cat litter products decreased 2% compared to the third quarter of fiscal year 2024, due to softer volumes. Net sales of our domestic industrial and sports products in the third quarter of fiscal year 2025 were $12.3 million, an increase of $0.6 million, or 5%, when compared to the third quarter of fiscal year 2024, mainly driven by the higher pricing to offset elevated costs. Net sales by our subsidiary in Canada, which include both our cat litter and industrial products, in the third quarter of fiscal year 2025, increased $0.1 million, or 4%, compared to the same period in 2024, as discussed below.</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SG&amp;A expenses for the Retail and Wholesale Products Group increased by $1.0 million, or 21%, during the third quarter of fiscal year 2025, compared to the same period in fiscal year 2024. This increase was driven by incremental SG&amp;A expenses related to the recently acquired crystal cat litter business. These elevated costs were partially offset by lower advertising expenses compared to the same period of the previous fiscal year. We anticipate total advertising expense in fiscal year 2025 to be lower than fiscal year 2024.</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Retail and Wholesale Products Group's operating income was $9.7 million for the third quarter of fiscal year 2025, a decrease of $1.2 million from operating income of $10.9 million for the same period of fiscal year 2024. This was driven primarily by a $3.4 million increase in operating costs, which offset the $2.2 million increase in net sales in the quarter.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FOREIGN OPERATIONS</w:t>
      </w:r>
    </w:p>
    <w:p>
      <w:pPr>
        <w:spacing w:after="0" w:line="25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Foreign operations include our subsidiaries in Canada and the Netherlands, which are reported in the Retail and Wholesale Products Group, and our subsidiaries in the UK, Mexico, China and Indonesia, which are reported in the Business to Business Products Group. Net sales by our foreign subsidiaries during the third quarter of fiscal year 2025 were $4.8 million, an increase of $0.3 million compared to net sales of $4.5 million during the same period of fiscal year 2024, driven primarily by increases in net sales in Canada, the UK and Mexico. Net sales by our subsidiary in Canada increased $0.1 million, or 4%, driven by higher volumes of cat litter sales, partially offset by a $0.2 million negative effect of foreign exchange rates. Net sales of our fluids purification products by our subsidiary in the UK during the third quarter of fiscal year 2025 increased $0.1 million, or 12%, compared to the same period in fiscal year 2024, primarily due to higher volume. Net sales of our animal health and nutrition products by our subsidiary in Mexico during the third quarter of fiscal year 2025 increased $0.1 million, or 24%, compared to fiscal year 2024, due to higher volume. Net sales by our foreign subsidiaries represented 4% of our consolidated net sales during the third quarter of both fiscal years 2025 and 2024.</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foreign subsidiaries reported net income of $0.2 million for the third quarter of fiscal year 2025 compared to a net loss of $0.1 million in the third quarter of fiscal year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43"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Our principal liquidity needs are to fund our capital requirements, including funding working capital needs; purchasing and upgrading equipment, facilities, information systems, and real estate; supporting new product development; investing in infrastructure; repurchasing stock; paying dividends; and, from time to time, business acquisitions, and funding our debt service requirements. During the nine months ended April 30, 2025, we principally funded these short and long-term capital requirements using cash from current operations as well as cash generated from previous borrowings under our Series B, C and D Senior Notes and Credit Agreement. On September 30, 2024, we amended the Credit Agreement to, among other things, increase our line of credit from $45 million to $75 million, providing more financial flexibility. See Note 8 of the Notes to the unaudited Condensed Consolidated Financial Statements in this Quarterly Report on Form 10-Q for further information relating to our existing borrowings.</w:t>
      </w:r>
    </w:p>
    <w:p>
      <w:pPr>
        <w:spacing w:after="0" w:line="2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cash flow from operations, availability under our Note Agreement and revolving credit facility under our Credit Agreement, current cash balances and our ability to obtain other financing, if necessary, will provide sufficient liquidity for foreseeable working capital needs, capital expenditures at existing facilities, deferred compensation payouts, dividend payments and debt service obligations for the foreseeable future.</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Credit Agreement, depends on our future operating performance, which, in turn, is subject to prevailing economic conditions and to</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9" w:name="page30"/>
    <w:bookmarkEnd w:id="29"/>
    <w:p>
      <w:pPr>
        <w:jc w:val="both"/>
        <w:spacing w:after="0" w:line="282" w:lineRule="auto"/>
        <w:rPr>
          <w:sz w:val="20"/>
          <w:szCs w:val="20"/>
          <w:color w:val="auto"/>
        </w:rPr>
      </w:pPr>
      <w:r>
        <w:rPr>
          <w:rFonts w:ascii="Times New Roman" w:cs="Times New Roman" w:eastAsia="Times New Roman" w:hAnsi="Times New Roman"/>
          <w:sz w:val="18"/>
          <w:szCs w:val="18"/>
          <w:color w:val="auto"/>
        </w:rPr>
        <w:t>financial, business and other factors. The timing and size of any new business ventures or acquisitions that we complete may also impact our cash requirements.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elements of our unaudited Condensed Consolidated Statements of Cash Flows (in thousands):</w:t>
      </w:r>
    </w:p>
    <w:p>
      <w:pPr>
        <w:spacing w:after="0" w:line="140" w:lineRule="exact"/>
        <w:rPr>
          <w:sz w:val="20"/>
          <w:szCs w:val="20"/>
          <w:color w:val="auto"/>
        </w:rPr>
      </w:pPr>
    </w:p>
    <w:tbl>
      <w:tblPr>
        <w:tblLayout w:type="fixed"/>
        <w:tblInd w:w="92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292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For the Nine Months Ended April 30,</w:t>
            </w:r>
          </w:p>
        </w:tc>
      </w:tr>
      <w:tr>
        <w:trPr>
          <w:trHeight w:val="223"/>
        </w:trPr>
        <w:tc>
          <w:tcPr>
            <w:tcW w:w="64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54,988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36,929</w:t>
            </w: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(24,509)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(23,536)</w:t>
            </w: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(18,523)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w:t>
            </w:r>
          </w:p>
        </w:tc>
      </w:tr>
      <w:tr>
        <w:trPr>
          <w:trHeight w:val="229"/>
        </w:trPr>
        <w:tc>
          <w:tcPr>
            <w:tcW w:w="6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48"/>
        </w:trPr>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11,994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15,067</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operating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to net income, as adjusted for depreciation and amortization and other non-cash operating activities, the primary sources and uses of operating cash flows for the nine months ended April 30, 2025, were as follows: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receivable, net of allowances increased by $3.8 million in the nine months ended April 30, 2025, as compared to the nine months ended April 30, 2024. The increase in accounts receivable was driven primarily by higher net sales, offset by the level and timing of collections due to payment terms.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Inventory increased by $2.5 million in the nine months ended April 30, 2025, as compared to the nine months ended April 30, 2024, mainly due to the building of finished goods inventory to meet anticipated demand.</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Prepaid expenses decreased by $1.2 million in the nine months ended April 30, 2025, as compared to the nine months ended April 30, 2024, mainly due to the timing of tax and insurance payments.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Excluding the impact of payments related to capital expenditures, accounts payable increased by $0.5 million in the nine months ended April 30, 2025, as compared to the nine months ended April 30, 2024. The increase was mainly due to the timing of payments, cost of goods and services we purchase, production volume levels and vendor payment terms. In the nine months ended April 30, 2025, there was a $2.3 million decrease in accounts payable related to capital expenditures recognized as cash used in investing activities as compared to the nine months ended April 30, 2024.</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Excluding the impact of payments made related to capital expenditures, accrued expenses decreased $2.3 million in the nine months ended April 30, 2025, as compared to the nine months ended April 30, 2024. The decrease was mainly due to the payout of annual bonuses and taxes, and other miscellaneous expenses which fluctuate due to timing of payments, changes in the cost of goods and services we purchase, production volume levels, and vendor payment terms, including freight. In the nine months ended April 30, 2025, there was a $4.6 million decrease in accrued expenses related to capital expenditures recognized as cash used in investing activities as compared to the nine months ended April 30,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investing activities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of $24.5 million in the nine months ended April 30, 2025, was driven by capital expenditures. During the nine months ended April 30, 2025, we continued to expand our plant equipment and improve our facilities to support increased demand for our products.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color w:val="auto"/>
        </w:rPr>
        <w:t>Net cash used in financing activities</w:t>
      </w:r>
    </w:p>
    <w:p>
      <w:pPr>
        <w:spacing w:after="0" w:line="2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of $18.5 million in the nine months ended April 30, 2025, was primarily driven by a $10 million payment of our borrowings under the Credit Agreement, as well as $6.3 million used for dividend payments and $2.2 million for treasury stock repurchases.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cash balances held by our foreign subsidiaries of $5.2 million as of April 30, 2025, increased $0.7 million compared to $4.5 million as of July 31, 2024. See further discussion in "Foreign Operations" above.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April 30, 2025, we had remaining authority to repurchase 362,938 shares of Common Stock and 244,113 shares of Class B Stock under a repurchase plan approved by our Board. Repurchases may be made on the open market (pursuant to Rule 10b5-1 plans or otherwise) or in negotiated transactions. The timing, number and manner of share repurchases will be determined by our management pursuant to the repurchase plan approved by our Board.</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CRITICAL ACCOUNTING POLICIES AND ESTIMATES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2024.</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our exposure to market risk from that discussed in our Quarterly Report on Form 10-Q for the fiscal quarter ended October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fiscal quarter ended April 30,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1, 3, and 5 of this Part II are either inapplicable or are answered in the negative and are omitted pursuant to the instructions to Part II of Form 10-Q.</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00" w:lineRule="exact"/>
        <w:rPr>
          <w:sz w:val="20"/>
          <w:szCs w:val="20"/>
          <w:color w:val="auto"/>
        </w:rPr>
      </w:pPr>
    </w:p>
    <w:p>
      <w:pPr>
        <w:spacing w:after="0" w:line="2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and financial results are subject to various risks and uncertainties, including those described in Part I, Item 1A, "Risk Factors," of our Annual Report on Form 10-K for the fiscal year ended July 31, 2024. There have been no material changes to our risk factors since our Annual Report on Form 10-K for the fiscal year ended July 31, 2024.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April 30, 2025, we did not sell any equity securities which were not registered under the Securities Act of 1933, as amended. The following table summarizes our Common Stock purchases by or on behalf of the Company or any affiliated purchaser (as defined in Rule 10b-18(a)(3) under the Exchange Act) during this period.</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r>
        <w:rPr>
          <w:rFonts w:ascii="Times New Roman" w:cs="Times New Roman" w:eastAsia="Times New Roman" w:hAnsi="Times New Roman"/>
          <w:sz w:val="23"/>
          <w:szCs w:val="23"/>
          <w:b w:val="1"/>
          <w:bCs w:val="1"/>
          <w:color w:val="auto"/>
          <w:vertAlign w:val="superscript"/>
        </w:rPr>
        <w:t>1, 2</w:t>
      </w:r>
    </w:p>
    <w:tbl>
      <w:tblPr>
        <w:tblLayout w:type="fixed"/>
        <w:tblInd w:w="0" w:type="dxa"/>
        <w:tblCellMar>
          <w:top w:w="0" w:type="dxa"/>
          <w:left w:w="0" w:type="dxa"/>
          <w:bottom w:w="0" w:type="dxa"/>
          <w:right w:w="0" w:type="dxa"/>
        </w:tblCellMar>
      </w:tblPr>
      <w:tr>
        <w:trPr>
          <w:trHeight w:val="214"/>
        </w:trPr>
        <w:tc>
          <w:tcPr>
            <w:tcW w:w="208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2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2240" w:type="dxa"/>
            <w:vAlign w:val="bottom"/>
            <w:tcBorders>
              <w:top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0" w:type="dxa"/>
            <w:vAlign w:val="bottom"/>
          </w:tcPr>
          <w:p>
            <w:pPr>
              <w:spacing w:after="0"/>
              <w:rPr>
                <w:sz w:val="1"/>
                <w:szCs w:val="1"/>
                <w:color w:val="auto"/>
              </w:rPr>
            </w:pPr>
          </w:p>
        </w:tc>
      </w:tr>
      <w:tr>
        <w:trPr>
          <w:trHeight w:val="184"/>
        </w:trPr>
        <w:tc>
          <w:tcPr>
            <w:tcW w:w="2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0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40" w:type="dxa"/>
            <w:vAlign w:val="bottom"/>
          </w:tcPr>
          <w:p>
            <w:pPr>
              <w:jc w:val="center"/>
              <w:ind w:left="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Maximum Number of</w:t>
            </w:r>
          </w:p>
        </w:tc>
        <w:tc>
          <w:tcPr>
            <w:tcW w:w="0" w:type="dxa"/>
            <w:vAlign w:val="bottom"/>
          </w:tcPr>
          <w:p>
            <w:pPr>
              <w:spacing w:after="0"/>
              <w:rPr>
                <w:sz w:val="1"/>
                <w:szCs w:val="1"/>
                <w:color w:val="auto"/>
              </w:rPr>
            </w:pPr>
          </w:p>
        </w:tc>
      </w:tr>
      <w:tr>
        <w:trPr>
          <w:trHeight w:val="176"/>
        </w:trPr>
        <w:tc>
          <w:tcPr>
            <w:tcW w:w="2080" w:type="dxa"/>
            <w:vAlign w:val="bottom"/>
          </w:tcPr>
          <w:p>
            <w:pPr>
              <w:spacing w:after="0"/>
              <w:rPr>
                <w:sz w:val="15"/>
                <w:szCs w:val="15"/>
                <w:color w:val="auto"/>
              </w:rPr>
            </w:pP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Price Paid per</w:t>
            </w:r>
          </w:p>
        </w:tc>
        <w:tc>
          <w:tcPr>
            <w:tcW w:w="2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Purchased as Part of</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2080" w:type="dxa"/>
            <w:vAlign w:val="bottom"/>
            <w:vMerge w:val="restart"/>
          </w:tcPr>
          <w:p>
            <w:pPr>
              <w:ind w:left="7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28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2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Publicly Announced Plans</w:t>
            </w:r>
          </w:p>
        </w:tc>
        <w:tc>
          <w:tcPr>
            <w:tcW w:w="2240" w:type="dxa"/>
            <w:vAlign w:val="bottom"/>
          </w:tcPr>
          <w:p>
            <w:pPr>
              <w:jc w:val="center"/>
              <w:ind w:lef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Under Plans or</w:t>
            </w:r>
          </w:p>
        </w:tc>
        <w:tc>
          <w:tcPr>
            <w:tcW w:w="0" w:type="dxa"/>
            <w:vAlign w:val="bottom"/>
          </w:tcPr>
          <w:p>
            <w:pPr>
              <w:spacing w:after="0"/>
              <w:rPr>
                <w:sz w:val="1"/>
                <w:szCs w:val="1"/>
                <w:color w:val="auto"/>
              </w:rPr>
            </w:pPr>
          </w:p>
        </w:tc>
      </w:tr>
      <w:tr>
        <w:trPr>
          <w:trHeight w:val="243"/>
        </w:trPr>
        <w:tc>
          <w:tcPr>
            <w:tcW w:w="2080" w:type="dxa"/>
            <w:vAlign w:val="bottom"/>
            <w:tcBorders>
              <w:bottom w:val="single" w:sz="8" w:color="auto"/>
            </w:tcBorders>
            <w:vMerge w:val="continue"/>
          </w:tcPr>
          <w:p>
            <w:pPr>
              <w:spacing w:after="0"/>
              <w:rPr>
                <w:sz w:val="21"/>
                <w:szCs w:val="21"/>
                <w:color w:val="auto"/>
              </w:rPr>
            </w:pPr>
          </w:p>
        </w:tc>
        <w:tc>
          <w:tcPr>
            <w:tcW w:w="228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9"/>
              </w:rPr>
              <w:t>Purchased</w:t>
            </w:r>
            <w:r>
              <w:rPr>
                <w:rFonts w:ascii="Times New Roman" w:cs="Times New Roman" w:eastAsia="Times New Roman" w:hAnsi="Times New Roman"/>
                <w:sz w:val="23"/>
                <w:szCs w:val="23"/>
                <w:b w:val="1"/>
                <w:bCs w:val="1"/>
                <w:color w:val="auto"/>
                <w:w w:val="99"/>
                <w:vertAlign w:val="superscript"/>
              </w:rPr>
              <w:t>3</w:t>
            </w: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2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 Programs</w:t>
            </w:r>
          </w:p>
        </w:tc>
        <w:tc>
          <w:tcPr>
            <w:tcW w:w="2240" w:type="dxa"/>
            <w:vAlign w:val="bottom"/>
            <w:tcBorders>
              <w:bottom w:val="single" w:sz="8" w:color="auto"/>
            </w:tcBorders>
          </w:tcPr>
          <w:p>
            <w:pPr>
              <w:jc w:val="center"/>
              <w:ind w:left="10"/>
              <w:spacing w:after="0" w:line="243" w:lineRule="exact"/>
              <w:rPr>
                <w:sz w:val="20"/>
                <w:szCs w:val="20"/>
                <w:color w:val="auto"/>
              </w:rPr>
            </w:pPr>
            <w:r>
              <w:rPr>
                <w:rFonts w:ascii="Times New Roman" w:cs="Times New Roman" w:eastAsia="Times New Roman" w:hAnsi="Times New Roman"/>
                <w:sz w:val="18"/>
                <w:szCs w:val="18"/>
                <w:b w:val="1"/>
                <w:bCs w:val="1"/>
                <w:color w:val="auto"/>
                <w:w w:val="97"/>
              </w:rPr>
              <w:t>Programs</w:t>
            </w:r>
            <w:r>
              <w:rPr>
                <w:rFonts w:ascii="Times New Roman" w:cs="Times New Roman" w:eastAsia="Times New Roman" w:hAnsi="Times New Roman"/>
                <w:sz w:val="23"/>
                <w:szCs w:val="23"/>
                <w:b w:val="1"/>
                <w:bCs w:val="1"/>
                <w:color w:val="auto"/>
                <w:w w:val="97"/>
                <w:vertAlign w:val="superscript"/>
              </w:rPr>
              <w:t>4</w:t>
            </w:r>
          </w:p>
        </w:tc>
        <w:tc>
          <w:tcPr>
            <w:tcW w:w="0" w:type="dxa"/>
            <w:vAlign w:val="bottom"/>
          </w:tcPr>
          <w:p>
            <w:pPr>
              <w:spacing w:after="0"/>
              <w:rPr>
                <w:sz w:val="1"/>
                <w:szCs w:val="1"/>
                <w:color w:val="auto"/>
              </w:rPr>
            </w:pPr>
          </w:p>
        </w:tc>
      </w:tr>
      <w:tr>
        <w:trPr>
          <w:trHeight w:val="169"/>
        </w:trPr>
        <w:tc>
          <w:tcPr>
            <w:tcW w:w="20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February 1, 2025 to</w:t>
            </w:r>
          </w:p>
        </w:tc>
        <w:tc>
          <w:tcPr>
            <w:tcW w:w="228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2400" w:type="dxa"/>
            <w:vAlign w:val="bottom"/>
            <w:shd w:val="clear" w:color="auto" w:fill="CCEEFF"/>
          </w:tcPr>
          <w:p>
            <w:pPr>
              <w:spacing w:after="0"/>
              <w:rPr>
                <w:sz w:val="14"/>
                <w:szCs w:val="14"/>
                <w:color w:val="auto"/>
              </w:rPr>
            </w:pPr>
          </w:p>
        </w:tc>
        <w:tc>
          <w:tcPr>
            <w:tcW w:w="2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February 28, 2025</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364,483</w:t>
            </w:r>
          </w:p>
        </w:tc>
        <w:tc>
          <w:tcPr>
            <w:tcW w:w="0" w:type="dxa"/>
            <w:vAlign w:val="bottom"/>
          </w:tcPr>
          <w:p>
            <w:pPr>
              <w:spacing w:after="0"/>
              <w:rPr>
                <w:sz w:val="1"/>
                <w:szCs w:val="1"/>
                <w:color w:val="auto"/>
              </w:rPr>
            </w:pPr>
          </w:p>
        </w:tc>
      </w:tr>
      <w:tr>
        <w:trPr>
          <w:trHeight w:val="176"/>
        </w:trPr>
        <w:tc>
          <w:tcPr>
            <w:tcW w:w="20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March 1, 2025 to March</w:t>
            </w:r>
          </w:p>
        </w:tc>
        <w:tc>
          <w:tcPr>
            <w:tcW w:w="228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31, 2025</w:t>
            </w: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1,337</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$45.38</w:t>
            </w: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363,146</w:t>
            </w:r>
          </w:p>
        </w:tc>
        <w:tc>
          <w:tcPr>
            <w:tcW w:w="0" w:type="dxa"/>
            <w:vAlign w:val="bottom"/>
          </w:tcPr>
          <w:p>
            <w:pPr>
              <w:spacing w:after="0"/>
              <w:rPr>
                <w:sz w:val="1"/>
                <w:szCs w:val="1"/>
                <w:color w:val="auto"/>
              </w:rPr>
            </w:pPr>
          </w:p>
        </w:tc>
      </w:tr>
      <w:tr>
        <w:trPr>
          <w:trHeight w:val="176"/>
        </w:trPr>
        <w:tc>
          <w:tcPr>
            <w:tcW w:w="20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April 1, 2025 to April 30,</w:t>
            </w:r>
          </w:p>
        </w:tc>
        <w:tc>
          <w:tcPr>
            <w:tcW w:w="228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2400" w:type="dxa"/>
            <w:vAlign w:val="bottom"/>
            <w:shd w:val="clear" w:color="auto" w:fill="CCEEFF"/>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208</w:t>
            </w:r>
          </w:p>
        </w:tc>
        <w:tc>
          <w:tcPr>
            <w:tcW w:w="22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$41.97</w:t>
            </w:r>
          </w:p>
        </w:tc>
        <w:tc>
          <w:tcPr>
            <w:tcW w:w="24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4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362,938</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8"/>
        <w:spacing w:after="0" w:line="241" w:lineRule="auto"/>
        <w:tabs>
          <w:tab w:leader="none" w:pos="8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table summarizes repurchases of (and remaining authority to repurchase) shares of our Common Stock. There have been no repurchases of Class B Stock for the three months ended April 30, 2025, and the authorized Class B Stock is not included in the table above. As of April 30, 2025, we had remaining authority to repurchase 244,113 shares of Class B Stock. No shares of our Class A Common Stock are currently outstanding. Descriptions of our Common Stock, Class B Stock and Class A Common Stock are contained in Exhibit 4.1 of our Annual Report on Form 10-K for the fiscal year ended July 31, 2024.</w:t>
      </w:r>
    </w:p>
    <w:p>
      <w:pPr>
        <w:spacing w:after="0" w:line="226" w:lineRule="exact"/>
        <w:rPr>
          <w:sz w:val="20"/>
          <w:szCs w:val="20"/>
          <w:color w:val="auto"/>
        </w:rPr>
      </w:pPr>
    </w:p>
    <w:p>
      <w:pPr>
        <w:ind w:firstLine="8"/>
        <w:spacing w:after="0" w:line="229" w:lineRule="auto"/>
        <w:tabs>
          <w:tab w:leader="none" w:pos="115"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figures in the table reflect transactions according to the settlement dates. For the purposes of our unaudited Condensed Consolidated Financial Statements included in this report, the impact of repurchases are recorded according to the settlement dates.</w:t>
      </w:r>
    </w:p>
    <w:p>
      <w:pPr>
        <w:spacing w:after="0" w:line="195" w:lineRule="exact"/>
        <w:rPr>
          <w:sz w:val="20"/>
          <w:szCs w:val="20"/>
          <w:color w:val="auto"/>
        </w:rPr>
      </w:pPr>
    </w:p>
    <w:p>
      <w:pPr>
        <w:ind w:left="100" w:hanging="92"/>
        <w:spacing w:after="0"/>
        <w:tabs>
          <w:tab w:leader="none" w:pos="10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All purchased shares were surrendered by employees to pay taxes related to restricted stock awards.</w:t>
      </w:r>
    </w:p>
    <w:p>
      <w:pPr>
        <w:spacing w:after="0" w:line="225" w:lineRule="exact"/>
        <w:rPr>
          <w:sz w:val="20"/>
          <w:szCs w:val="20"/>
          <w:color w:val="auto"/>
        </w:rPr>
      </w:pPr>
    </w:p>
    <w:p>
      <w:pPr>
        <w:jc w:val="both"/>
        <w:ind w:firstLine="8"/>
        <w:spacing w:after="0" w:line="239" w:lineRule="auto"/>
        <w:tabs>
          <w:tab w:leader="none" w:pos="8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Our Board authorized the repurchase of 750,000 shares of Common Stock on March 11, 2019. This authorization does not have a stated expiration date. The share numbers in this column indicate the number of shares of Common Stock that may yet be repurchased under this authorization. Repurchases may be made on the open market (pursuant to Rule 10b5-1 plans or otherwise) or in negotiated transactions. The timing, number and manner of share repurchases will be determined by management.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are included in Exhibit 95 to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790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3300" w:type="dxa"/>
            <w:vAlign w:val="bottom"/>
          </w:tcPr>
          <w:p>
            <w:pPr>
              <w:spacing w:after="0"/>
              <w:rPr>
                <w:sz w:val="20"/>
                <w:szCs w:val="20"/>
                <w:color w:val="auto"/>
              </w:rPr>
            </w:pPr>
          </w:p>
        </w:tc>
      </w:tr>
      <w:tr>
        <w:trPr>
          <w:trHeight w:val="203"/>
        </w:trPr>
        <w:tc>
          <w:tcPr>
            <w:tcW w:w="1080" w:type="dxa"/>
            <w:vAlign w:val="bottom"/>
            <w:gridSpan w:val="2"/>
          </w:tcPr>
          <w:p>
            <w:pPr>
              <w:ind w:left="220"/>
              <w:spacing w:after="0" w:line="202" w:lineRule="exact"/>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00" w:type="dxa"/>
            <w:vAlign w:val="bottom"/>
          </w:tcPr>
          <w:p>
            <w:pPr>
              <w:spacing w:after="0"/>
              <w:rPr>
                <w:sz w:val="17"/>
                <w:szCs w:val="17"/>
                <w:color w:val="auto"/>
              </w:rPr>
            </w:pPr>
          </w:p>
        </w:tc>
      </w:tr>
      <w:tr>
        <w:trPr>
          <w:trHeight w:val="243"/>
        </w:trPr>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No.</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462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8"/>
                <w:szCs w:val="18"/>
                <w:color w:val="auto"/>
              </w:rPr>
              <w:t>Description</w:t>
            </w:r>
          </w:p>
        </w:tc>
        <w:tc>
          <w:tcPr>
            <w:tcW w:w="80" w:type="dxa"/>
            <w:vAlign w:val="bottom"/>
          </w:tcPr>
          <w:p>
            <w:pPr>
              <w:spacing w:after="0"/>
              <w:rPr>
                <w:sz w:val="21"/>
                <w:szCs w:val="21"/>
                <w:color w:val="auto"/>
              </w:rPr>
            </w:pPr>
          </w:p>
        </w:tc>
        <w:tc>
          <w:tcPr>
            <w:tcW w:w="33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SEC Document Reference</w:t>
            </w:r>
          </w:p>
        </w:tc>
      </w:tr>
      <w:tr>
        <w:trPr>
          <w:trHeight w:val="223"/>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Certifications pursuant to Rule 13a–14(a) or Rule 15d-14(a) under the Securities Exchange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80" w:type="dxa"/>
            <w:vAlign w:val="bottom"/>
            <w:tcBorders>
              <w:top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rPr>
              <w:t>Act of 1934, as amended.</w:t>
            </w: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3300" w:type="dxa"/>
            <w:vAlign w:val="bottom"/>
          </w:tcPr>
          <w:p>
            <w:pPr>
              <w:spacing w:after="0"/>
              <w:rPr>
                <w:sz w:val="13"/>
                <w:szCs w:val="13"/>
                <w:color w:val="auto"/>
              </w:rPr>
            </w:pPr>
          </w:p>
        </w:tc>
      </w:tr>
      <w:tr>
        <w:trPr>
          <w:trHeight w:val="20"/>
        </w:trPr>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46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27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Certifications pursuant to 18 U.S.C. Section 1350 as adopted pursuant to Section 906 of the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Furnished herewith.</w:t>
            </w:r>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0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00" w:type="dxa"/>
            <w:vAlign w:val="bottom"/>
            <w:gridSpan w:val="2"/>
          </w:tcPr>
          <w:p>
            <w:pPr>
              <w:spacing w:after="0"/>
              <w:rPr>
                <w:sz w:val="13"/>
                <w:szCs w:val="13"/>
                <w:color w:val="auto"/>
              </w:rPr>
            </w:pPr>
          </w:p>
        </w:tc>
        <w:tc>
          <w:tcPr>
            <w:tcW w:w="3300" w:type="dxa"/>
            <w:vAlign w:val="bottom"/>
          </w:tcPr>
          <w:p>
            <w:pPr>
              <w:spacing w:after="0"/>
              <w:rPr>
                <w:sz w:val="13"/>
                <w:szCs w:val="13"/>
                <w:color w:val="auto"/>
              </w:rPr>
            </w:pPr>
          </w:p>
        </w:tc>
      </w:tr>
      <w:tr>
        <w:trPr>
          <w:trHeight w:val="277"/>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0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Mine Safety Disclosures</w:t>
            </w:r>
            <w:r>
              <w:rPr>
                <w:rFonts w:ascii="Times New Roman" w:cs="Times New Roman" w:eastAsia="Times New Roman" w:hAnsi="Times New Roman"/>
                <w:sz w:val="18"/>
                <w:szCs w:val="18"/>
                <w:color w:val="000000"/>
              </w:rPr>
              <w:t>.</w:t>
            </w:r>
          </w:p>
        </w:tc>
        <w:tc>
          <w:tcPr>
            <w:tcW w:w="4700" w:type="dxa"/>
            <w:vAlign w:val="bottom"/>
            <w:gridSpan w:val="4"/>
          </w:tcPr>
          <w:p>
            <w:pPr>
              <w:spacing w:after="0"/>
              <w:rPr>
                <w:sz w:val="24"/>
                <w:szCs w:val="24"/>
                <w:color w:val="auto"/>
              </w:rPr>
            </w:pP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04"/>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3"/>
        </w:trPr>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84"/>
        </w:trPr>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Filed herewith.</w:t>
            </w: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OIL-DRI CORPORATION OF AMERICA</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-7620</wp:posOffset>
            </wp:positionV>
            <wp:extent cx="16033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03375"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-7620</wp:posOffset>
            </wp:positionV>
            <wp:extent cx="153924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39240" cy="8255"/>
                    </a:xfrm>
                    <a:prstGeom prst="rect">
                      <a:avLst/>
                    </a:prstGeom>
                    <a:noFill/>
                  </pic:spPr>
                </pic:pic>
              </a:graphicData>
            </a:graphic>
          </wp:anchor>
        </w:drawing>
      </w:r>
    </w:p>
    <w:p>
      <w:pPr>
        <w:spacing w:after="0" w:line="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June 5, 2025</w:t>
      </w:r>
    </w:p>
    <w:p>
      <w:pPr>
        <w:spacing w:after="0" w:line="200" w:lineRule="exact"/>
        <w:rPr>
          <w:sz w:val="20"/>
          <w:szCs w:val="20"/>
          <w:color w:val="auto"/>
        </w:rPr>
      </w:pPr>
    </w:p>
    <w:p>
      <w:pPr>
        <w:spacing w:after="0" w:line="3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320"/>
          </w:cols>
          <w:pgMar w:left="660" w:top="891" w:right="9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color w:val="auto"/>
        </w:rPr>
        <w:t>Exhibit 31: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RULE 13A-14(A)/15D-14(A) UNDER THE SECURITIES EXCHANGE ACT OF 1934, AS AMENDED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Daniel S. Jaffee,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427"/>
        <w:spacing w:after="0" w:line="266" w:lineRule="auto"/>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477"/>
        <w:spacing w:after="0" w:line="266" w:lineRule="auto"/>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526"/>
        <w:spacing w:after="0" w:line="266" w:lineRule="auto"/>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517"/>
        <w:spacing w:after="0" w:line="266" w:lineRule="auto"/>
        <w:tabs>
          <w:tab w:leader="none" w:pos="194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427"/>
        <w:spacing w:after="0" w:line="266" w:lineRule="auto"/>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477"/>
        <w:spacing w:after="0" w:line="273" w:lineRule="auto"/>
        <w:tabs>
          <w:tab w:leader="none" w:pos="1960" w:val="left"/>
        </w:tabs>
        <w:numPr>
          <w:ilvl w:val="3"/>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5, 2025</w:t>
            </w:r>
          </w:p>
        </w:tc>
      </w:tr>
      <w:tr>
        <w:trPr>
          <w:trHeight w:val="22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Daniel S. Jaffee</w:t>
            </w:r>
          </w:p>
        </w:tc>
      </w:tr>
      <w:tr>
        <w:trPr>
          <w:trHeight w:val="178"/>
        </w:trPr>
        <w:tc>
          <w:tcPr>
            <w:tcW w:w="840" w:type="dxa"/>
            <w:vAlign w:val="bottom"/>
          </w:tcPr>
          <w:p>
            <w:pPr>
              <w:spacing w:after="0"/>
              <w:rPr>
                <w:sz w:val="15"/>
                <w:szCs w:val="15"/>
                <w:color w:val="auto"/>
              </w:rPr>
            </w:pPr>
          </w:p>
        </w:tc>
        <w:tc>
          <w:tcPr>
            <w:tcW w:w="42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Daniel S. Jaffee</w:t>
            </w:r>
          </w:p>
        </w:tc>
      </w:tr>
      <w:tr>
        <w:trPr>
          <w:trHeight w:val="234"/>
        </w:trPr>
        <w:tc>
          <w:tcPr>
            <w:tcW w:w="840" w:type="dxa"/>
            <w:vAlign w:val="bottom"/>
          </w:tcPr>
          <w:p>
            <w:pPr>
              <w:spacing w:after="0"/>
              <w:rPr>
                <w:sz w:val="20"/>
                <w:szCs w:val="20"/>
                <w:color w:val="auto"/>
              </w:rPr>
            </w:pPr>
          </w:p>
        </w:tc>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9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color w:val="auto"/>
        </w:rPr>
        <w:t>Exhibit 31 (continued):</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a Principal Financial Officer</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0" w:lineRule="exact"/>
        <w:rPr>
          <w:sz w:val="20"/>
          <w:szCs w:val="20"/>
          <w:color w:val="auto"/>
        </w:rPr>
      </w:pPr>
    </w:p>
    <w:p>
      <w:pPr>
        <w:spacing w:after="0" w:line="358"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Susan M. Kreh, certify that:</w:t>
      </w:r>
    </w:p>
    <w:p>
      <w:pPr>
        <w:spacing w:after="0" w:line="17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Oil-Dri Corporation of America (the “registrant”);</w:t>
      </w:r>
    </w:p>
    <w:p>
      <w:pPr>
        <w:spacing w:after="0" w:line="17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13a-15(f) and 15d-15(f)) for the registrant and have:</w:t>
      </w:r>
    </w:p>
    <w:p>
      <w:pPr>
        <w:spacing w:after="0" w:line="152"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960" w:right="20" w:hanging="332"/>
        <w:spacing w:after="0" w:line="266" w:lineRule="auto"/>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jc w:val="both"/>
        <w:ind w:left="1960" w:hanging="332"/>
        <w:spacing w:after="0" w:line="266" w:lineRule="auto"/>
        <w:tabs>
          <w:tab w:leader="none" w:pos="195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June 5, 2025</w:t>
            </w:r>
          </w:p>
        </w:tc>
      </w:tr>
      <w:tr>
        <w:trPr>
          <w:trHeight w:val="22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Susan M. Kreh</w:t>
            </w:r>
          </w:p>
        </w:tc>
      </w:tr>
      <w:tr>
        <w:trPr>
          <w:trHeight w:val="169"/>
        </w:trPr>
        <w:tc>
          <w:tcPr>
            <w:tcW w:w="900" w:type="dxa"/>
            <w:vAlign w:val="bottom"/>
          </w:tcPr>
          <w:p>
            <w:pPr>
              <w:spacing w:after="0"/>
              <w:rPr>
                <w:sz w:val="14"/>
                <w:szCs w:val="14"/>
                <w:color w:val="auto"/>
              </w:rPr>
            </w:pPr>
          </w:p>
        </w:tc>
        <w:tc>
          <w:tcPr>
            <w:tcW w:w="49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Susan M. Kreh</w:t>
            </w:r>
          </w:p>
        </w:tc>
      </w:tr>
      <w:tr>
        <w:trPr>
          <w:trHeight w:val="234"/>
        </w:trPr>
        <w:tc>
          <w:tcPr>
            <w:tcW w:w="90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2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 AS ADOPTED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SARBANES-OXLEY ACT OF 2002 CERTIFICATION</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Oil-Dri Corporation of America (the “Company”) hereby certifies that to the best of my knowledge the Company’s Quarterly Report on Form 10-Q for the quarter ended April 30, 2025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June 5,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Daniel S. Jaffee</w:t>
      </w:r>
    </w:p>
    <w:p>
      <w:pPr>
        <w:spacing w:after="0" w:line="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Chairman, President and Chief Executive Officer</w:t>
      </w:r>
    </w:p>
    <w:p>
      <w:pPr>
        <w:spacing w:after="0" w:line="3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the undersigned officer of Oil-Dri Corporation of America (the “Company”) hereby certifies that to the best of my knowledge the Company’s Quarterly Report on Form 10-Q for the quarter ended April 30, 2025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4" w:lineRule="exact"/>
        <w:rPr>
          <w:sz w:val="20"/>
          <w:szCs w:val="20"/>
          <w:color w:val="auto"/>
        </w:rPr>
      </w:pPr>
    </w:p>
    <w:p>
      <w:pPr>
        <w:ind w:left="20"/>
        <w:spacing w:after="0"/>
        <w:tabs>
          <w:tab w:leader="none" w:pos="720" w:val="left"/>
        </w:tabs>
        <w:rPr>
          <w:sz w:val="20"/>
          <w:szCs w:val="20"/>
          <w:color w:val="auto"/>
        </w:rPr>
      </w:pPr>
      <w:r>
        <w:rPr>
          <w:rFonts w:ascii="Times New Roman" w:cs="Times New Roman" w:eastAsia="Times New Roman" w:hAnsi="Times New Roman"/>
          <w:sz w:val="18"/>
          <w:szCs w:val="18"/>
          <w:color w:val="auto"/>
        </w:rPr>
        <w:t>Dated:</w:t>
        <w:tab/>
        <w:t>June 5,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8330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583305" cy="82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Name: Susan M. Kreh</w:t>
      </w: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3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MINE SAFETY DISCLOSURES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April 30, 2025.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21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8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20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203"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89"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Legal Actions Pending, Initiated or Resolved: Total number of cases pending legal action before the Federal Mine Safety and Health Review Commission (the "Commission") as of the last day of the reporting period or the number of such cases initiated or resolved during the reporting period.</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Legal Actions</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8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rPr>
              <w:t>Section 104</w:t>
            </w: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180" w:type="dxa"/>
            <w:vAlign w:val="bottom"/>
            <w:vMerge w:val="restart"/>
          </w:tcPr>
          <w:p>
            <w:pPr>
              <w:jc w:val="center"/>
              <w:spacing w:after="0" w:line="159" w:lineRule="exact"/>
              <w:rPr>
                <w:sz w:val="20"/>
                <w:szCs w:val="20"/>
                <w:color w:val="auto"/>
              </w:rPr>
            </w:pPr>
            <w:r>
              <w:rPr>
                <w:rFonts w:ascii="Times New Roman" w:cs="Times New Roman" w:eastAsia="Times New Roman" w:hAnsi="Times New Roman"/>
                <w:sz w:val="14"/>
                <w:szCs w:val="14"/>
                <w:color w:val="auto"/>
              </w:rPr>
              <w:t>Total Dollar</w:t>
            </w:r>
          </w:p>
        </w:tc>
        <w:tc>
          <w:tcPr>
            <w:tcW w:w="7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Section 104(d)</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110(b)(2)</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Section 107(a)</w:t>
            </w:r>
          </w:p>
        </w:tc>
        <w:tc>
          <w:tcPr>
            <w:tcW w:w="1180" w:type="dxa"/>
            <w:vAlign w:val="bottom"/>
            <w:vMerge w:val="continue"/>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Mining</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Pending as</w:t>
            </w:r>
          </w:p>
        </w:tc>
        <w:tc>
          <w:tcPr>
            <w:tcW w:w="9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“Significant and</w:t>
            </w:r>
          </w:p>
        </w:tc>
        <w:tc>
          <w:tcPr>
            <w:tcW w:w="66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Value of Proposed</w:t>
            </w:r>
          </w:p>
        </w:tc>
        <w:tc>
          <w:tcPr>
            <w:tcW w:w="7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Resolved</w:t>
            </w:r>
          </w:p>
        </w:tc>
        <w:tc>
          <w:tcPr>
            <w:tcW w:w="0" w:type="dxa"/>
            <w:vAlign w:val="bottom"/>
          </w:tcPr>
          <w:p>
            <w:pPr>
              <w:spacing w:after="0"/>
              <w:rPr>
                <w:sz w:val="1"/>
                <w:szCs w:val="1"/>
                <w:color w:val="auto"/>
              </w:rPr>
            </w:pPr>
          </w:p>
        </w:tc>
      </w:tr>
      <w:tr>
        <w:trPr>
          <w:trHeight w:val="149"/>
        </w:trPr>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Mine ID</w:t>
            </w:r>
          </w:p>
        </w:tc>
        <w:tc>
          <w:tcPr>
            <w:tcW w:w="11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color w:val="auto"/>
              </w:rPr>
              <w:t>Mine Location</w:t>
            </w: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Substantial”</w:t>
            </w:r>
          </w:p>
        </w:tc>
        <w:tc>
          <w:tcPr>
            <w:tcW w:w="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104(b)</w:t>
            </w:r>
          </w:p>
        </w:tc>
        <w:tc>
          <w:tcPr>
            <w:tcW w:w="10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Citations and</w:t>
            </w: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Flagrant</w:t>
            </w: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Imminent</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8"/>
              </w:rPr>
              <w:t>MSHA</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Related</w:t>
            </w:r>
          </w:p>
        </w:tc>
        <w:tc>
          <w:tcPr>
            <w:tcW w:w="17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of Last Day Initiated During</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760" w:type="dxa"/>
            <w:vAlign w:val="bottom"/>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Violations</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Orders</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Orders</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Violations</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Danger Orders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Assessments</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Fatalities</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of Period</w:t>
            </w:r>
          </w:p>
        </w:tc>
        <w:tc>
          <w:tcPr>
            <w:tcW w:w="94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Period</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During Period</w:t>
            </w:r>
          </w:p>
        </w:tc>
        <w:tc>
          <w:tcPr>
            <w:tcW w:w="0" w:type="dxa"/>
            <w:vAlign w:val="bottom"/>
          </w:tcPr>
          <w:p>
            <w:pPr>
              <w:spacing w:after="0"/>
              <w:rPr>
                <w:sz w:val="1"/>
                <w:szCs w:val="1"/>
                <w:color w:val="auto"/>
              </w:rPr>
            </w:pPr>
          </w:p>
        </w:tc>
      </w:tr>
      <w:tr>
        <w:trPr>
          <w:trHeight w:val="193"/>
        </w:trPr>
        <w:tc>
          <w:tcPr>
            <w:tcW w:w="7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02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w:t>
            </w:r>
          </w:p>
        </w:tc>
        <w:tc>
          <w:tcPr>
            <w:tcW w:w="800" w:type="dxa"/>
            <w:vAlign w:val="bottom"/>
          </w:tcPr>
          <w:p>
            <w:pPr>
              <w:jc w:val="center"/>
              <w:ind w:right="8"/>
              <w:spacing w:after="0"/>
              <w:rPr>
                <w:sz w:val="20"/>
                <w:szCs w:val="20"/>
                <w:color w:val="auto"/>
              </w:rPr>
            </w:pPr>
            <w:r>
              <w:rPr>
                <w:rFonts w:ascii="Times New Roman" w:cs="Times New Roman" w:eastAsia="Times New Roman" w:hAnsi="Times New Roman"/>
                <w:sz w:val="14"/>
                <w:szCs w:val="14"/>
                <w:color w:val="auto"/>
                <w:w w:val="97"/>
              </w:rPr>
              <w:t>(#)</w:t>
            </w:r>
          </w:p>
        </w:tc>
        <w:tc>
          <w:tcPr>
            <w:tcW w:w="9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7"/>
              </w:rPr>
              <w:t>(#)</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76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760" w:type="dxa"/>
            <w:vAlign w:val="bottom"/>
            <w:vMerge w:val="restart"/>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0900114</w:t>
            </w:r>
          </w:p>
        </w:tc>
        <w:tc>
          <w:tcPr>
            <w:tcW w:w="1120" w:type="dxa"/>
            <w:vAlign w:val="bottom"/>
            <w:shd w:val="clear" w:color="auto" w:fill="CCEEFF"/>
          </w:tcPr>
          <w:p>
            <w:pPr>
              <w:ind w:left="100"/>
              <w:spacing w:after="0" w:line="115" w:lineRule="exact"/>
              <w:rPr>
                <w:sz w:val="20"/>
                <w:szCs w:val="20"/>
                <w:color w:val="auto"/>
              </w:rPr>
            </w:pPr>
            <w:r>
              <w:rPr>
                <w:rFonts w:ascii="Times New Roman" w:cs="Times New Roman" w:eastAsia="Times New Roman" w:hAnsi="Times New Roman"/>
                <w:sz w:val="13"/>
                <w:szCs w:val="13"/>
                <w:color w:val="auto"/>
              </w:rPr>
              <w:t>Ochlocknee,</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801</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2"/>
        </w:trPr>
        <w:tc>
          <w:tcPr>
            <w:tcW w:w="760" w:type="dxa"/>
            <w:vAlign w:val="bottom"/>
            <w:vMerge w:val="continue"/>
            <w:shd w:val="clear" w:color="auto" w:fill="CCEEFF"/>
          </w:tcPr>
          <w:p>
            <w:pPr>
              <w:spacing w:after="0"/>
              <w:rPr>
                <w:sz w:val="9"/>
                <w:szCs w:val="9"/>
                <w:color w:val="auto"/>
              </w:rPr>
            </w:pPr>
          </w:p>
        </w:tc>
        <w:tc>
          <w:tcPr>
            <w:tcW w:w="1120" w:type="dxa"/>
            <w:vAlign w:val="bottom"/>
            <w:vMerge w:val="restart"/>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Georgia</w:t>
            </w:r>
          </w:p>
        </w:tc>
        <w:tc>
          <w:tcPr>
            <w:tcW w:w="1080" w:type="dxa"/>
            <w:vAlign w:val="bottom"/>
            <w:vMerge w:val="continue"/>
            <w:shd w:val="clear" w:color="auto" w:fill="CCEEFF"/>
          </w:tcPr>
          <w:p>
            <w:pPr>
              <w:spacing w:after="0"/>
              <w:rPr>
                <w:sz w:val="9"/>
                <w:szCs w:val="9"/>
                <w:color w:val="auto"/>
              </w:rPr>
            </w:pPr>
          </w:p>
        </w:tc>
        <w:tc>
          <w:tcPr>
            <w:tcW w:w="660" w:type="dxa"/>
            <w:vAlign w:val="bottom"/>
            <w:vMerge w:val="continue"/>
            <w:shd w:val="clear" w:color="auto" w:fill="CCEEFF"/>
          </w:tcPr>
          <w:p>
            <w:pPr>
              <w:spacing w:after="0"/>
              <w:rPr>
                <w:sz w:val="9"/>
                <w:szCs w:val="9"/>
                <w:color w:val="auto"/>
              </w:rPr>
            </w:pPr>
          </w:p>
        </w:tc>
        <w:tc>
          <w:tcPr>
            <w:tcW w:w="1020" w:type="dxa"/>
            <w:vAlign w:val="bottom"/>
            <w:vMerge w:val="continue"/>
            <w:shd w:val="clear" w:color="auto" w:fill="CCEEFF"/>
          </w:tcPr>
          <w:p>
            <w:pPr>
              <w:spacing w:after="0"/>
              <w:rPr>
                <w:sz w:val="9"/>
                <w:szCs w:val="9"/>
                <w:color w:val="auto"/>
              </w:rPr>
            </w:pPr>
          </w:p>
        </w:tc>
        <w:tc>
          <w:tcPr>
            <w:tcW w:w="112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1180" w:type="dxa"/>
            <w:vAlign w:val="bottom"/>
            <w:vMerge w:val="continue"/>
            <w:shd w:val="clear" w:color="auto" w:fill="CCEEFF"/>
          </w:tcPr>
          <w:p>
            <w:pPr>
              <w:spacing w:after="0"/>
              <w:rPr>
                <w:sz w:val="9"/>
                <w:szCs w:val="9"/>
                <w:color w:val="auto"/>
              </w:rPr>
            </w:pPr>
          </w:p>
        </w:tc>
        <w:tc>
          <w:tcPr>
            <w:tcW w:w="740" w:type="dxa"/>
            <w:vAlign w:val="bottom"/>
            <w:vMerge w:val="continue"/>
            <w:shd w:val="clear" w:color="auto" w:fill="CCEEFF"/>
          </w:tcPr>
          <w:p>
            <w:pPr>
              <w:spacing w:after="0"/>
              <w:rPr>
                <w:sz w:val="9"/>
                <w:szCs w:val="9"/>
                <w:color w:val="auto"/>
              </w:rPr>
            </w:pPr>
          </w:p>
        </w:tc>
        <w:tc>
          <w:tcPr>
            <w:tcW w:w="800" w:type="dxa"/>
            <w:vAlign w:val="bottom"/>
            <w:vMerge w:val="continue"/>
            <w:shd w:val="clear" w:color="auto" w:fill="CCEEFF"/>
          </w:tcPr>
          <w:p>
            <w:pPr>
              <w:spacing w:after="0"/>
              <w:rPr>
                <w:sz w:val="9"/>
                <w:szCs w:val="9"/>
                <w:color w:val="auto"/>
              </w:rPr>
            </w:pPr>
          </w:p>
        </w:tc>
        <w:tc>
          <w:tcPr>
            <w:tcW w:w="940" w:type="dxa"/>
            <w:vAlign w:val="bottom"/>
            <w:vMerge w:val="continue"/>
            <w:shd w:val="clear" w:color="auto" w:fill="CCEEFF"/>
          </w:tcPr>
          <w:p>
            <w:pPr>
              <w:spacing w:after="0"/>
              <w:rPr>
                <w:sz w:val="9"/>
                <w:szCs w:val="9"/>
                <w:color w:val="auto"/>
              </w:rPr>
            </w:pPr>
          </w:p>
        </w:tc>
        <w:tc>
          <w:tcPr>
            <w:tcW w:w="88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760" w:type="dxa"/>
            <w:vAlign w:val="bottom"/>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11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2200035</w:t>
            </w: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Ripley,</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2"/>
        </w:trPr>
        <w:tc>
          <w:tcPr>
            <w:tcW w:w="760" w:type="dxa"/>
            <w:vAlign w:val="bottom"/>
            <w:vMerge w:val="continue"/>
          </w:tcPr>
          <w:p>
            <w:pPr>
              <w:spacing w:after="0"/>
              <w:rPr>
                <w:sz w:val="9"/>
                <w:szCs w:val="9"/>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Mississippi</w:t>
            </w:r>
          </w:p>
        </w:tc>
        <w:tc>
          <w:tcPr>
            <w:tcW w:w="10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1102403</w:t>
            </w: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Mounds, Illinois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2</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2,020</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35"/>
        </w:trPr>
        <w:tc>
          <w:tcPr>
            <w:tcW w:w="7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color w:val="auto"/>
              </w:rPr>
              <w:t>2200582</w:t>
            </w:r>
          </w:p>
        </w:tc>
        <w:tc>
          <w:tcPr>
            <w:tcW w:w="1120" w:type="dxa"/>
            <w:vAlign w:val="bottom"/>
          </w:tcPr>
          <w:p>
            <w:pPr>
              <w:ind w:left="100"/>
              <w:spacing w:after="0" w:line="135" w:lineRule="exact"/>
              <w:rPr>
                <w:sz w:val="20"/>
                <w:szCs w:val="20"/>
                <w:color w:val="auto"/>
              </w:rPr>
            </w:pPr>
            <w:r>
              <w:rPr>
                <w:rFonts w:ascii="Times New Roman" w:cs="Times New Roman" w:eastAsia="Times New Roman" w:hAnsi="Times New Roman"/>
                <w:sz w:val="14"/>
                <w:szCs w:val="14"/>
                <w:color w:val="auto"/>
              </w:rPr>
              <w:t>Blue Mountain,</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987</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12"/>
        </w:trPr>
        <w:tc>
          <w:tcPr>
            <w:tcW w:w="760" w:type="dxa"/>
            <w:vAlign w:val="bottom"/>
            <w:vMerge w:val="continue"/>
          </w:tcPr>
          <w:p>
            <w:pPr>
              <w:spacing w:after="0"/>
              <w:rPr>
                <w:sz w:val="9"/>
                <w:szCs w:val="9"/>
                <w:color w:val="auto"/>
              </w:rPr>
            </w:pPr>
          </w:p>
        </w:tc>
        <w:tc>
          <w:tcPr>
            <w:tcW w:w="11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Mississippi</w:t>
            </w:r>
          </w:p>
        </w:tc>
        <w:tc>
          <w:tcPr>
            <w:tcW w:w="108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76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76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0402964</w:t>
            </w:r>
          </w:p>
        </w:tc>
        <w:tc>
          <w:tcPr>
            <w:tcW w:w="11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Taft, California</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1</w:t>
            </w:r>
          </w:p>
        </w:tc>
        <w:tc>
          <w:tcPr>
            <w:tcW w:w="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shd w:val="clear" w:color="auto" w:fill="CCEEFF"/>
          </w:tcPr>
          <w:p>
            <w:pPr>
              <w:jc w:val="center"/>
              <w:ind w:right="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39" w:name="page40"/>
    <w:bookmarkEnd w:id="39"/>
    <w:p>
      <w:pPr>
        <w:jc w:val="both"/>
        <w:spacing w:after="0" w:line="250" w:lineRule="auto"/>
        <w:rPr>
          <w:sz w:val="20"/>
          <w:szCs w:val="20"/>
          <w:color w:val="auto"/>
        </w:rPr>
      </w:pPr>
      <w:r>
        <w:rPr>
          <w:rFonts w:ascii="Times New Roman" w:cs="Times New Roman" w:eastAsia="Times New Roman" w:hAnsi="Times New Roman"/>
          <w:sz w:val="18"/>
          <w:szCs w:val="18"/>
          <w:color w:val="auto"/>
        </w:rPr>
        <w:t>During this period we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w:t>
      </w:r>
    </w:p>
    <w:p>
      <w:pPr>
        <w:spacing w:after="0" w:line="204" w:lineRule="exact"/>
        <w:rPr>
          <w:sz w:val="20"/>
          <w:szCs w:val="20"/>
          <w:color w:val="auto"/>
        </w:rPr>
      </w:pPr>
    </w:p>
    <w:p>
      <w:pPr>
        <w:jc w:val="both"/>
        <w:ind w:right="360"/>
        <w:spacing w:after="0" w:line="236" w:lineRule="auto"/>
        <w:rPr>
          <w:sz w:val="20"/>
          <w:szCs w:val="20"/>
          <w:color w:val="auto"/>
        </w:rPr>
      </w:pPr>
      <w:r>
        <w:rPr>
          <w:rFonts w:ascii="Times New Roman" w:cs="Times New Roman" w:eastAsia="Times New Roman" w:hAnsi="Times New Roman"/>
          <w:sz w:val="18"/>
          <w:szCs w:val="18"/>
          <w:color w:val="auto"/>
        </w:rPr>
        <w:t>Legal actions pending before the Commission may involve, among other questions, challenges by operators to citations, orders and penalties they have received from MSHA or complaints of discrimination by miners under section 105 of the Mine Act. The following is a brief description of the types of legal actions that may be brought before the Commission.</w:t>
      </w:r>
    </w:p>
    <w:p>
      <w:pPr>
        <w:spacing w:after="0" w:line="213" w:lineRule="exact"/>
        <w:rPr>
          <w:sz w:val="20"/>
          <w:szCs w:val="20"/>
          <w:color w:val="auto"/>
        </w:rPr>
      </w:pPr>
    </w:p>
    <w:p>
      <w:pPr>
        <w:ind w:left="120" w:right="260"/>
        <w:spacing w:after="0" w:line="250" w:lineRule="auto"/>
        <w:rPr>
          <w:sz w:val="20"/>
          <w:szCs w:val="20"/>
          <w:color w:val="auto"/>
        </w:rPr>
      </w:pPr>
      <w:r>
        <w:rPr>
          <w:rFonts w:ascii="Times New Roman" w:cs="Times New Roman" w:eastAsia="Times New Roman" w:hAnsi="Times New Roman"/>
          <w:sz w:val="18"/>
          <w:szCs w:val="18"/>
          <w:color w:val="auto"/>
        </w:rPr>
        <w:t>Contests of Citations and Orders: A contest proceeding may be filed with the Commission by operators, miners or miners’ representatives to challenge the issuance of a citation or order issued by MSHA.</w:t>
      </w:r>
    </w:p>
    <w:p>
      <w:pPr>
        <w:spacing w:after="0" w:line="203" w:lineRule="exact"/>
        <w:rPr>
          <w:sz w:val="20"/>
          <w:szCs w:val="20"/>
          <w:color w:val="auto"/>
        </w:rPr>
      </w:pPr>
    </w:p>
    <w:p>
      <w:pPr>
        <w:ind w:left="120"/>
        <w:spacing w:after="0" w:line="250" w:lineRule="auto"/>
        <w:rPr>
          <w:sz w:val="20"/>
          <w:szCs w:val="20"/>
          <w:color w:val="auto"/>
        </w:rPr>
      </w:pPr>
      <w:r>
        <w:rPr>
          <w:rFonts w:ascii="Times New Roman" w:cs="Times New Roman" w:eastAsia="Times New Roman" w:hAnsi="Times New Roman"/>
          <w:sz w:val="18"/>
          <w:szCs w:val="18"/>
          <w:color w:val="auto"/>
        </w:rPr>
        <w:t>Contests of Proposed Penalties (Petitions for Assessment of Penalties): A contest of a proposed penalty is an administrative proceeding before the Commission challenging a civil penalty that MSHA has proposed for the alleged violation contained in a citation or order. The validity of the citation may also be challenged in this proceeding as well.</w:t>
      </w:r>
    </w:p>
    <w:p>
      <w:pPr>
        <w:spacing w:after="0" w:line="204" w:lineRule="exact"/>
        <w:rPr>
          <w:sz w:val="20"/>
          <w:szCs w:val="20"/>
          <w:color w:val="auto"/>
        </w:rPr>
      </w:pPr>
    </w:p>
    <w:p>
      <w:pPr>
        <w:jc w:val="both"/>
        <w:ind w:left="120" w:right="380"/>
        <w:spacing w:after="0" w:line="250" w:lineRule="auto"/>
        <w:rPr>
          <w:sz w:val="20"/>
          <w:szCs w:val="20"/>
          <w:color w:val="auto"/>
        </w:rPr>
      </w:pPr>
      <w:r>
        <w:rPr>
          <w:rFonts w:ascii="Times New Roman" w:cs="Times New Roman" w:eastAsia="Times New Roman" w:hAnsi="Times New Roman"/>
          <w:sz w:val="18"/>
          <w:szCs w:val="18"/>
          <w:color w:val="auto"/>
        </w:rPr>
        <w:t>Complaints for Compensation: A complaint for compensation may be filed with the Commission by miners entitled to compensation when a mine is closed by certain withdrawal orders issued by MSHA. The purpose of the proceeding is to determine the amount of compensation, if any, due miners idled by the orders.</w:t>
      </w:r>
    </w:p>
    <w:p>
      <w:pPr>
        <w:spacing w:after="0" w:line="204" w:lineRule="exact"/>
        <w:rPr>
          <w:sz w:val="20"/>
          <w:szCs w:val="20"/>
          <w:color w:val="auto"/>
        </w:rPr>
      </w:pPr>
    </w:p>
    <w:p>
      <w:pPr>
        <w:ind w:left="120" w:right="300"/>
        <w:spacing w:after="0" w:line="296" w:lineRule="auto"/>
        <w:rPr>
          <w:sz w:val="20"/>
          <w:szCs w:val="20"/>
          <w:color w:val="auto"/>
        </w:rPr>
      </w:pPr>
      <w:r>
        <w:rPr>
          <w:rFonts w:ascii="Times New Roman" w:cs="Times New Roman" w:eastAsia="Times New Roman" w:hAnsi="Times New Roman"/>
          <w:sz w:val="17"/>
          <w:szCs w:val="17"/>
          <w:color w:val="auto"/>
        </w:rPr>
        <w:t>Complaints of Discharge, Discrimination or Interference: A discrimination proceeding is a case that involves a miner’s allegation that he or she has suffered a wrong by the operator because he or she engaged in some type of activity protected under the Mine Act, such as making a safety complaint.</w:t>
      </w:r>
    </w:p>
    <w:p>
      <w:pPr>
        <w:spacing w:after="0" w:line="16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Applications for Temporary Relief: An application for temporary relief from any modification or termination of any order or from any order issued under section 104 of the Mine Act.</w:t>
      </w:r>
    </w:p>
    <w:p>
      <w:pPr>
        <w:spacing w:after="0" w:line="189" w:lineRule="exact"/>
        <w:rPr>
          <w:sz w:val="20"/>
          <w:szCs w:val="20"/>
          <w:color w:val="auto"/>
        </w:rPr>
      </w:pPr>
    </w:p>
    <w:p>
      <w:pPr>
        <w:ind w:left="120" w:right="160"/>
        <w:spacing w:after="0" w:line="250" w:lineRule="auto"/>
        <w:rPr>
          <w:sz w:val="20"/>
          <w:szCs w:val="20"/>
          <w:color w:val="auto"/>
        </w:rPr>
      </w:pPr>
      <w:r>
        <w:rPr>
          <w:rFonts w:ascii="Times New Roman" w:cs="Times New Roman" w:eastAsia="Times New Roman" w:hAnsi="Times New Roman"/>
          <w:sz w:val="18"/>
          <w:szCs w:val="18"/>
          <w:color w:val="auto"/>
        </w:rPr>
        <w:t>Appeals of Judges’ Decisions or Orders to the Commission: A filing with the Commission of a petition for discretionary review of a Judge’s decision or order by a person who has been adversely affected or aggrieved by such decision or order.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4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color w:val="auto"/>
              </w:rPr>
              <w:t>Contests of</w:t>
            </w:r>
          </w:p>
        </w:tc>
        <w:tc>
          <w:tcPr>
            <w:tcW w:w="13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Complaints of</w:t>
            </w:r>
          </w:p>
        </w:tc>
        <w:tc>
          <w:tcPr>
            <w:tcW w:w="128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Contests of Citations</w:t>
            </w:r>
          </w:p>
        </w:tc>
        <w:tc>
          <w:tcPr>
            <w:tcW w:w="1040" w:type="dxa"/>
            <w:vAlign w:val="bottom"/>
            <w:vMerge w:val="continue"/>
          </w:tcPr>
          <w:p>
            <w:pPr>
              <w:spacing w:after="0"/>
              <w:rPr>
                <w:sz w:val="12"/>
                <w:szCs w:val="12"/>
                <w:color w:val="auto"/>
              </w:rPr>
            </w:pP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Complaints for</w:t>
            </w:r>
          </w:p>
        </w:tc>
        <w:tc>
          <w:tcPr>
            <w:tcW w:w="14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color w:val="auto"/>
              </w:rPr>
              <w:t>Discharge,</w:t>
            </w:r>
          </w:p>
        </w:tc>
        <w:tc>
          <w:tcPr>
            <w:tcW w:w="12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rPr>
              <w:t>Applications for</w:t>
            </w: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Appeals of Judges Decisions</w:t>
            </w:r>
          </w:p>
        </w:tc>
        <w:tc>
          <w:tcPr>
            <w:tcW w:w="0" w:type="dxa"/>
            <w:vAlign w:val="bottom"/>
          </w:tcPr>
          <w:p>
            <w:pPr>
              <w:spacing w:after="0"/>
              <w:rPr>
                <w:sz w:val="1"/>
                <w:szCs w:val="1"/>
                <w:color w:val="auto"/>
              </w:rPr>
            </w:pPr>
          </w:p>
        </w:tc>
      </w:tr>
      <w:tr>
        <w:trPr>
          <w:trHeight w:val="148"/>
        </w:trPr>
        <w:tc>
          <w:tcPr>
            <w:tcW w:w="9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Mine ID</w:t>
            </w:r>
          </w:p>
        </w:tc>
        <w:tc>
          <w:tcPr>
            <w:tcW w:w="1600" w:type="dxa"/>
            <w:vAlign w:val="bottom"/>
            <w:vMerge w:val="restart"/>
          </w:tcPr>
          <w:p>
            <w:pPr>
              <w:ind w:left="460"/>
              <w:spacing w:after="0"/>
              <w:rPr>
                <w:sz w:val="20"/>
                <w:szCs w:val="20"/>
                <w:color w:val="auto"/>
              </w:rPr>
            </w:pPr>
            <w:r>
              <w:rPr>
                <w:rFonts w:ascii="Times New Roman" w:cs="Times New Roman" w:eastAsia="Times New Roman" w:hAnsi="Times New Roman"/>
                <w:sz w:val="14"/>
                <w:szCs w:val="14"/>
                <w:color w:val="auto"/>
              </w:rPr>
              <w:t>Mine location</w:t>
            </w:r>
          </w:p>
        </w:tc>
        <w:tc>
          <w:tcPr>
            <w:tcW w:w="1480" w:type="dxa"/>
            <w:vAlign w:val="bottom"/>
            <w:vMerge w:val="continue"/>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Proposed</w:t>
            </w:r>
          </w:p>
        </w:tc>
        <w:tc>
          <w:tcPr>
            <w:tcW w:w="1340" w:type="dxa"/>
            <w:vAlign w:val="bottom"/>
            <w:vMerge w:val="continue"/>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Discrimination or</w:t>
            </w:r>
          </w:p>
        </w:tc>
        <w:tc>
          <w:tcPr>
            <w:tcW w:w="1280" w:type="dxa"/>
            <w:vAlign w:val="bottom"/>
            <w:vMerge w:val="continue"/>
          </w:tcPr>
          <w:p>
            <w:pPr>
              <w:spacing w:after="0"/>
              <w:rPr>
                <w:sz w:val="12"/>
                <w:szCs w:val="12"/>
                <w:color w:val="auto"/>
              </w:rPr>
            </w:pPr>
          </w:p>
        </w:tc>
        <w:tc>
          <w:tcPr>
            <w:tcW w:w="1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900" w:type="dxa"/>
            <w:vAlign w:val="bottom"/>
            <w:tcBorders>
              <w:bottom w:val="single" w:sz="8" w:color="CCEEFF"/>
            </w:tcBorders>
            <w:vMerge w:val="continue"/>
          </w:tcPr>
          <w:p>
            <w:pPr>
              <w:spacing w:after="0"/>
              <w:rPr>
                <w:sz w:val="17"/>
                <w:szCs w:val="17"/>
                <w:color w:val="auto"/>
              </w:rPr>
            </w:pPr>
          </w:p>
        </w:tc>
        <w:tc>
          <w:tcPr>
            <w:tcW w:w="1600" w:type="dxa"/>
            <w:vAlign w:val="bottom"/>
            <w:tcBorders>
              <w:bottom w:val="single" w:sz="8" w:color="CCEEFF"/>
            </w:tcBorders>
            <w:vMerge w:val="continue"/>
          </w:tcPr>
          <w:p>
            <w:pPr>
              <w:spacing w:after="0"/>
              <w:rPr>
                <w:sz w:val="17"/>
                <w:szCs w:val="17"/>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and Orders</w:t>
            </w:r>
          </w:p>
        </w:tc>
        <w:tc>
          <w:tcPr>
            <w:tcW w:w="104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color w:val="auto"/>
              </w:rPr>
              <w:t>Penalties</w:t>
            </w: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Compensation</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Interference</w:t>
            </w:r>
          </w:p>
        </w:tc>
        <w:tc>
          <w:tcPr>
            <w:tcW w:w="1280" w:type="dxa"/>
            <w:vAlign w:val="bottom"/>
            <w:tcBorders>
              <w:bottom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Temporary Relief</w:t>
            </w:r>
          </w:p>
        </w:tc>
        <w:tc>
          <w:tcPr>
            <w:tcW w:w="17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color w:val="auto"/>
              </w:rPr>
              <w:t>or Orders to the Commission</w:t>
            </w:r>
          </w:p>
        </w:tc>
        <w:tc>
          <w:tcPr>
            <w:tcW w:w="0" w:type="dxa"/>
            <w:vAlign w:val="bottom"/>
          </w:tcPr>
          <w:p>
            <w:pPr>
              <w:spacing w:after="0"/>
              <w:rPr>
                <w:sz w:val="1"/>
                <w:szCs w:val="1"/>
                <w:color w:val="auto"/>
              </w:rPr>
            </w:pPr>
          </w:p>
        </w:tc>
      </w:tr>
      <w:tr>
        <w:trPr>
          <w:trHeight w:val="201"/>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0900114</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Ochlocknee, Georgia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5"/>
        </w:trPr>
        <w:tc>
          <w:tcPr>
            <w:tcW w:w="90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2200035</w:t>
            </w:r>
          </w:p>
        </w:tc>
        <w:tc>
          <w:tcPr>
            <w:tcW w:w="16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Ripley, Mississippi</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210"/>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1102403</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Mounds, Illinois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39"/>
        </w:trPr>
        <w:tc>
          <w:tcPr>
            <w:tcW w:w="90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color w:val="auto"/>
              </w:rPr>
              <w:t>2200582</w:t>
            </w:r>
          </w:p>
        </w:tc>
        <w:tc>
          <w:tcPr>
            <w:tcW w:w="16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Blue Mountain,</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07"/>
        </w:trPr>
        <w:tc>
          <w:tcPr>
            <w:tcW w:w="900" w:type="dxa"/>
            <w:vAlign w:val="bottom"/>
            <w:vMerge w:val="continue"/>
          </w:tcPr>
          <w:p>
            <w:pPr>
              <w:spacing w:after="0"/>
              <w:rPr>
                <w:sz w:val="9"/>
                <w:szCs w:val="9"/>
                <w:color w:val="auto"/>
              </w:rPr>
            </w:pPr>
          </w:p>
        </w:tc>
        <w:tc>
          <w:tcPr>
            <w:tcW w:w="160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Mississippi</w:t>
            </w:r>
          </w:p>
        </w:tc>
        <w:tc>
          <w:tcPr>
            <w:tcW w:w="14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900" w:type="dxa"/>
            <w:vAlign w:val="bottom"/>
          </w:tcPr>
          <w:p>
            <w:pPr>
              <w:spacing w:after="0"/>
              <w:rPr>
                <w:sz w:val="7"/>
                <w:szCs w:val="7"/>
                <w:color w:val="auto"/>
              </w:rPr>
            </w:pPr>
          </w:p>
        </w:tc>
        <w:tc>
          <w:tcPr>
            <w:tcW w:w="160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1340" w:type="dxa"/>
            <w:vAlign w:val="bottom"/>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90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0402964</w:t>
            </w:r>
          </w:p>
        </w:tc>
        <w:tc>
          <w:tcPr>
            <w:tcW w:w="1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Taft, California</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80" w:type="dxa"/>
            <w:vAlign w:val="bottom"/>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1780" w:type="dxa"/>
            <w:vAlign w:val="bottom"/>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decimal"/>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4"/>
      <w:numFmt w:val="bullet"/>
      <w:start w:val="1"/>
    </w:lvl>
  </w:abstractNum>
  <w:abstractNum w:abstractNumId="7">
    <w:nsid w:val="515F007C"/>
    <w:multiLevelType w:val="hybridMultilevel"/>
    <w:lvl w:ilvl="0">
      <w:lvlJc w:val="left"/>
      <w:lvlText w:val="%1."/>
      <w:numFmt w:val="upperLetter"/>
      <w:start w:val="9"/>
    </w:lvl>
    <w:lvl w:ilvl="1">
      <w:lvlJc w:val="left"/>
      <w:lvlText w:val="%2."/>
      <w:numFmt w:val="lowerLetter"/>
      <w:start w:val="1"/>
    </w:lvl>
    <w:lvl w:ilvl="2">
      <w:lvlJc w:val="left"/>
      <w:lvlText w:val="%3."/>
      <w:numFmt w:val="lowerRoman"/>
      <w:start w:val="3"/>
    </w:lvl>
    <w:lvl w:ilvl="3">
      <w:lvlJc w:val="left"/>
      <w:lvlText w:val="%4."/>
      <w:numFmt w:val="lowerRoman"/>
      <w:start w:val="1"/>
    </w:lvl>
  </w:abstractNum>
  <w:abstractNum w:abstractNumId="8">
    <w:nsid w:val="5BD062C2"/>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2025-06-05T15:20:55Z</dcterms:created>
  <dcterms:modified xsi:type="dcterms:W3CDTF">2025-06-05T15:20:55Z</dcterms:modified>
</cp:coreProperties>
</file>