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8"/>
              </w:rPr>
              <w:t>October 13, 2022</w:t>
            </w:r>
          </w:p>
        </w:tc>
      </w:tr>
      <w:tr>
        <w:trPr>
          <w:trHeight w:val="52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7" w:lineRule="auto"/>
        <w:rPr>
          <w:sz w:val="20"/>
          <w:szCs w:val="20"/>
          <w:color w:val="auto"/>
        </w:rPr>
      </w:pPr>
      <w:r>
        <w:rPr>
          <w:rFonts w:ascii="Times New Roman" w:cs="Times New Roman" w:eastAsia="Times New Roman" w:hAnsi="Times New Roman"/>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5" w:right="339" w:bottom="1440" w:gutter="0" w:footer="0" w:header="0"/>
          <w:type w:val="continuous"/>
        </w:sectPr>
      </w:pPr>
    </w:p>
    <w:p>
      <w:pPr>
        <w:spacing w:after="0" w:line="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13, 2022, Oil-Dri Corporation of America (the “Registrant”) issued a press release announcing its results of operations for its fourth quarter ended July 31, 2022.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1"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the Registrant dated October 13, 2022</w:t>
            </w:r>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60" w:type="dxa"/>
            <w:vAlign w:val="bottom"/>
            <w:tcBorders>
              <w:top w:val="single" w:sz="8" w:color="0000FF"/>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180"/>
        </w:trPr>
        <w:tc>
          <w:tcPr>
            <w:tcW w:w="640" w:type="dxa"/>
            <w:vAlign w:val="bottom"/>
          </w:tcPr>
          <w:p>
            <w:pPr>
              <w:spacing w:after="0"/>
              <w:rPr>
                <w:sz w:val="15"/>
                <w:szCs w:val="15"/>
                <w:color w:val="auto"/>
              </w:rPr>
            </w:pPr>
          </w:p>
        </w:tc>
        <w:tc>
          <w:tcPr>
            <w:tcW w:w="5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Strategic Partnerships and General Counsel &amp;</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13, 2022</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Record Sales for the Fourth Quarter and Fiscal Year 2022</w:t>
      </w:r>
    </w:p>
    <w:p>
      <w:pPr>
        <w:spacing w:after="0" w:line="251"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CHICAGO- (October 13, 2022) - Oil-Dri Corporation of America (NYSE: ODC), producer and marketer of sorbent mineral products, today announced results for its fourth quarter and fiscal year 2022.</w:t>
      </w:r>
    </w:p>
    <w:p>
      <w:pPr>
        <w:spacing w:after="0" w:line="68" w:lineRule="exact"/>
        <w:rPr>
          <w:sz w:val="20"/>
          <w:szCs w:val="20"/>
          <w:color w:val="auto"/>
        </w:rPr>
      </w:pPr>
    </w:p>
    <w:tbl>
      <w:tblPr>
        <w:tblLayout w:type="fixed"/>
        <w:tblInd w:w="9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240" w:type="dxa"/>
            <w:vAlign w:val="bottom"/>
            <w:gridSpan w:val="2"/>
          </w:tcPr>
          <w:p>
            <w:pPr>
              <w:jc w:val="center"/>
              <w:ind w:left="758"/>
              <w:spacing w:after="0"/>
              <w:rPr>
                <w:sz w:val="20"/>
                <w:szCs w:val="20"/>
                <w:color w:val="auto"/>
              </w:rPr>
            </w:pPr>
            <w:r>
              <w:rPr>
                <w:rFonts w:ascii="Times New Roman" w:cs="Times New Roman" w:eastAsia="Times New Roman" w:hAnsi="Times New Roman"/>
                <w:sz w:val="18"/>
                <w:szCs w:val="18"/>
                <w:b w:val="1"/>
                <w:bCs w:val="1"/>
                <w:color w:val="auto"/>
                <w:w w:val="98"/>
              </w:rPr>
              <w:t>Fourth Quarter</w:t>
            </w: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40" w:type="dxa"/>
            <w:vAlign w:val="bottom"/>
          </w:tcPr>
          <w:p>
            <w:pPr>
              <w:spacing w:after="0"/>
              <w:rPr>
                <w:sz w:val="19"/>
                <w:szCs w:val="19"/>
                <w:color w:val="auto"/>
              </w:rPr>
            </w:pPr>
          </w:p>
        </w:tc>
      </w:tr>
      <w:tr>
        <w:trPr>
          <w:trHeight w:val="190"/>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060" w:type="dxa"/>
            <w:vAlign w:val="bottom"/>
          </w:tcPr>
          <w:p>
            <w:pPr>
              <w:spacing w:after="0"/>
              <w:rPr>
                <w:sz w:val="16"/>
                <w:szCs w:val="16"/>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Ended July 31,</w:t>
            </w: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Ended July 31,</w:t>
            </w:r>
          </w:p>
        </w:tc>
        <w:tc>
          <w:tcPr>
            <w:tcW w:w="940" w:type="dxa"/>
            <w:vAlign w:val="bottom"/>
          </w:tcPr>
          <w:p>
            <w:pPr>
              <w:spacing w:after="0"/>
              <w:rPr>
                <w:sz w:val="16"/>
                <w:szCs w:val="16"/>
                <w:color w:val="auto"/>
              </w:rPr>
            </w:pPr>
          </w:p>
        </w:tc>
      </w:tr>
      <w:tr>
        <w:trPr>
          <w:trHeight w:val="23"/>
        </w:trPr>
        <w:tc>
          <w:tcPr>
            <w:tcW w:w="4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8"/>
        </w:trPr>
        <w:tc>
          <w:tcPr>
            <w:tcW w:w="4880" w:type="dxa"/>
            <w:vAlign w:val="bottom"/>
            <w:tcBorders>
              <w:left w:val="single" w:sz="8" w:color="auto"/>
              <w:right w:val="single" w:sz="8" w:color="auto"/>
            </w:tcBorders>
          </w:tcPr>
          <w:p>
            <w:pPr>
              <w:spacing w:after="0"/>
              <w:rPr>
                <w:sz w:val="18"/>
                <w:szCs w:val="18"/>
                <w:color w:val="auto"/>
              </w:rPr>
            </w:pPr>
          </w:p>
        </w:tc>
        <w:tc>
          <w:tcPr>
            <w:tcW w:w="106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8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1"/>
        </w:trPr>
        <w:tc>
          <w:tcPr>
            <w:tcW w:w="488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Consolidated Results</w:t>
            </w:r>
          </w:p>
        </w:tc>
        <w:tc>
          <w:tcPr>
            <w:tcW w:w="1060" w:type="dxa"/>
            <w:vAlign w:val="bottom"/>
            <w:shd w:val="clear" w:color="auto" w:fill="000000"/>
          </w:tcPr>
          <w:p>
            <w:pPr>
              <w:spacing w:after="0"/>
              <w:rPr>
                <w:sz w:val="20"/>
                <w:szCs w:val="20"/>
                <w:color w:val="auto"/>
              </w:rPr>
            </w:pPr>
          </w:p>
        </w:tc>
        <w:tc>
          <w:tcPr>
            <w:tcW w:w="118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r>
      <w:tr>
        <w:trPr>
          <w:trHeight w:val="210"/>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$93,158</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$78,129</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5"/>
              </w:rPr>
              <w:t>19%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$348,589</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$304,981</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5"/>
              </w:rPr>
              <w:t>14%</w:t>
            </w:r>
          </w:p>
        </w:tc>
      </w:tr>
      <w:tr>
        <w:trPr>
          <w:trHeight w:val="216"/>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Oil-Dri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$603</w:t>
            </w:r>
          </w:p>
        </w:tc>
        <w:tc>
          <w:tcPr>
            <w:tcW w:w="88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762%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$11,113</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(49)%</w:t>
            </w:r>
          </w:p>
        </w:tc>
      </w:tr>
      <w:tr>
        <w:trPr>
          <w:trHeight w:val="230"/>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Oil-Dri Excluding Goodwill Impairment</w:t>
            </w:r>
            <w:r>
              <w:rPr>
                <w:rFonts w:ascii="Times New Roman" w:cs="Times New Roman" w:eastAsia="Times New Roman" w:hAnsi="Times New Roman"/>
                <w:sz w:val="14"/>
                <w:szCs w:val="14"/>
                <w:i w:val="1"/>
                <w:i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$10,136</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$11,113</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(9)%</w:t>
            </w:r>
          </w:p>
        </w:tc>
      </w:tr>
      <w:tr>
        <w:trPr>
          <w:trHeight w:val="216"/>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Earnings per Common Diluted Share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$0.08</w:t>
            </w:r>
          </w:p>
        </w:tc>
        <w:tc>
          <w:tcPr>
            <w:tcW w:w="88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863%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$1.57</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(48)%</w:t>
            </w:r>
          </w:p>
        </w:tc>
      </w:tr>
      <w:tr>
        <w:trPr>
          <w:trHeight w:val="232"/>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Earnings per Common Diluted Share Excluding Goodwill Impairment</w:t>
            </w:r>
            <w:r>
              <w:rPr>
                <w:rFonts w:ascii="Times New Roman" w:cs="Times New Roman" w:eastAsia="Times New Roman" w:hAnsi="Times New Roman"/>
                <w:sz w:val="14"/>
                <w:szCs w:val="14"/>
                <w:i w:val="1"/>
                <w:i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$1.57</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(7)%</w:t>
            </w:r>
          </w:p>
        </w:tc>
      </w:tr>
      <w:tr>
        <w:trPr>
          <w:trHeight w:val="233"/>
        </w:trPr>
        <w:tc>
          <w:tcPr>
            <w:tcW w:w="488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Business to Business</w:t>
            </w:r>
          </w:p>
        </w:tc>
        <w:tc>
          <w:tcPr>
            <w:tcW w:w="1060" w:type="dxa"/>
            <w:vAlign w:val="bottom"/>
            <w:shd w:val="clear" w:color="auto" w:fill="000000"/>
          </w:tcPr>
          <w:p>
            <w:pPr>
              <w:spacing w:after="0"/>
              <w:rPr>
                <w:sz w:val="20"/>
                <w:szCs w:val="20"/>
                <w:color w:val="auto"/>
              </w:rPr>
            </w:pPr>
          </w:p>
        </w:tc>
        <w:tc>
          <w:tcPr>
            <w:tcW w:w="118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r>
      <w:tr>
        <w:trPr>
          <w:trHeight w:val="210"/>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$32,229</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$26,409</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5"/>
              </w:rPr>
              <w:t>22%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$113,379</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$97,138</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5"/>
              </w:rPr>
              <w:t>17%</w:t>
            </w:r>
          </w:p>
        </w:tc>
      </w:tr>
      <w:tr>
        <w:trPr>
          <w:trHeight w:val="219"/>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$6,609</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3"/>
              </w:rPr>
              <w:t>9%</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$24,344</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$25,914</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(6)%</w:t>
            </w:r>
          </w:p>
        </w:tc>
      </w:tr>
      <w:tr>
        <w:trPr>
          <w:trHeight w:val="233"/>
        </w:trPr>
        <w:tc>
          <w:tcPr>
            <w:tcW w:w="4880" w:type="dxa"/>
            <w:vAlign w:val="bottom"/>
            <w:tcBorders>
              <w:left w:val="single" w:sz="8" w:color="auto"/>
              <w:right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8"/>
                <w:szCs w:val="18"/>
                <w:color w:val="FFFFFF"/>
              </w:rPr>
              <w:t>Retail and Wholesale</w:t>
            </w:r>
          </w:p>
        </w:tc>
        <w:tc>
          <w:tcPr>
            <w:tcW w:w="1060" w:type="dxa"/>
            <w:vAlign w:val="bottom"/>
            <w:shd w:val="clear" w:color="auto" w:fill="000000"/>
          </w:tcPr>
          <w:p>
            <w:pPr>
              <w:spacing w:after="0"/>
              <w:rPr>
                <w:sz w:val="20"/>
                <w:szCs w:val="20"/>
                <w:color w:val="auto"/>
              </w:rPr>
            </w:pPr>
          </w:p>
        </w:tc>
        <w:tc>
          <w:tcPr>
            <w:tcW w:w="1180" w:type="dxa"/>
            <w:vAlign w:val="bottom"/>
            <w:shd w:val="clear" w:color="auto" w:fill="000000"/>
          </w:tcPr>
          <w:p>
            <w:pPr>
              <w:spacing w:after="0"/>
              <w:rPr>
                <w:sz w:val="20"/>
                <w:szCs w:val="20"/>
                <w:color w:val="auto"/>
              </w:rPr>
            </w:pPr>
          </w:p>
        </w:tc>
        <w:tc>
          <w:tcPr>
            <w:tcW w:w="880" w:type="dxa"/>
            <w:vAlign w:val="bottom"/>
            <w:tcBorders>
              <w:right w:val="single" w:sz="8" w:color="auto"/>
            </w:tcBorders>
            <w:shd w:val="clear" w:color="auto" w:fill="000000"/>
          </w:tcPr>
          <w:p>
            <w:pPr>
              <w:spacing w:after="0"/>
              <w:rPr>
                <w:sz w:val="20"/>
                <w:szCs w:val="20"/>
                <w:color w:val="auto"/>
              </w:rPr>
            </w:pPr>
          </w:p>
        </w:tc>
        <w:tc>
          <w:tcPr>
            <w:tcW w:w="1040" w:type="dxa"/>
            <w:vAlign w:val="bottom"/>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r>
      <w:tr>
        <w:trPr>
          <w:trHeight w:val="210"/>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$60,929</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$51,720</w:t>
            </w:r>
          </w:p>
        </w:tc>
        <w:tc>
          <w:tcPr>
            <w:tcW w:w="88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5"/>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$235,210</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$207,843</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5"/>
              </w:rPr>
              <w:t>13%</w:t>
            </w:r>
          </w:p>
        </w:tc>
      </w:tr>
      <w:tr>
        <w:trPr>
          <w:trHeight w:val="216"/>
        </w:trPr>
        <w:tc>
          <w:tcPr>
            <w:tcW w:w="4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$465</w:t>
            </w:r>
          </w:p>
        </w:tc>
        <w:tc>
          <w:tcPr>
            <w:tcW w:w="88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1,072%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$11,088</w:t>
            </w:r>
          </w:p>
        </w:tc>
        <w:tc>
          <w:tcPr>
            <w:tcW w:w="94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(44)%</w:t>
            </w:r>
          </w:p>
        </w:tc>
      </w:tr>
      <w:tr>
        <w:trPr>
          <w:trHeight w:val="232"/>
        </w:trPr>
        <w:tc>
          <w:tcPr>
            <w:tcW w:w="4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Segment Operating Income Excluding Goodwill Impairment*</w:t>
            </w:r>
            <w:r>
              <w:rPr>
                <w:rFonts w:ascii="Times New Roman" w:cs="Times New Roman" w:eastAsia="Times New Roman" w:hAnsi="Times New Roman"/>
                <w:sz w:val="14"/>
                <w:szCs w:val="14"/>
                <w:i w:val="1"/>
                <w:i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880" w:type="dxa"/>
            <w:vAlign w:val="bottom"/>
            <w:tcBorders>
              <w:bottom w:val="single" w:sz="8" w:color="auto"/>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$11,896</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$11,088</w:t>
            </w:r>
          </w:p>
        </w:tc>
        <w:tc>
          <w:tcPr>
            <w:tcW w:w="94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3"/>
              </w:rPr>
              <w:t>7%</w:t>
            </w:r>
          </w:p>
        </w:tc>
      </w:tr>
    </w:tbl>
    <w:p>
      <w:pPr>
        <w:spacing w:after="0" w:line="313" w:lineRule="exact"/>
        <w:rPr>
          <w:sz w:val="20"/>
          <w:szCs w:val="20"/>
          <w:color w:val="auto"/>
        </w:rPr>
      </w:pPr>
    </w:p>
    <w:p>
      <w:pPr>
        <w:ind w:firstLine="8"/>
        <w:spacing w:after="0" w:line="264" w:lineRule="auto"/>
        <w:tabs>
          <w:tab w:leader="none" w:pos="1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Segment net sales and operating income for three months and twelve months ended July 31, 2021 have been adjusted for a realignment of segments. See Note 2 of the audited Notes to the Condensed Consolidated Financial Statements in our Annual Report on Form 10-K for the year ended July 31, 2022.</w:t>
      </w:r>
    </w:p>
    <w:p>
      <w:pPr>
        <w:spacing w:after="0" w:line="1" w:lineRule="exact"/>
        <w:rPr>
          <w:rFonts w:ascii="Times New Roman" w:cs="Times New Roman" w:eastAsia="Times New Roman" w:hAnsi="Times New Roman"/>
          <w:sz w:val="14"/>
          <w:szCs w:val="14"/>
          <w:i w:val="1"/>
          <w:iCs w:val="1"/>
          <w:color w:val="auto"/>
        </w:rPr>
      </w:pPr>
    </w:p>
    <w:p>
      <w:pPr>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Please refer to Reconciliation of Non-GAAP Financial Measures below for a reconciliation of Non-GAAP items to the comparable GAAP measures.</w:t>
      </w:r>
    </w:p>
    <w:p>
      <w:pPr>
        <w:spacing w:after="0" w:line="2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auto"/>
        </w:rPr>
        <w:t>Daniel S. Jaffee, President and Chief Executive Officer, stated, “Despite numerous challenges, including rampant inflation, supply chain disruptions, and logistics delays, I am pleased with the record breaking consolidated net sales we achieved for both the fourth quarter and full fiscal year. I am more pleased with the margin and profit improvement experienced during the fourth quarter. While both are still not back to historic norms, we made considerable progress by the end of the year. We are cautiously optimistic that this momentum will carry over into fiscal year 2023. During the past twelve months, we successfully delivered on our strategic objectives to grow our animal health and cat litter businesses. In January 2022, our team launched our mineral-based</w:t>
      </w:r>
    </w:p>
    <w:p>
      <w:pPr>
        <w:sectPr>
          <w:pgSz w:w="11900" w:h="16838" w:orient="portrait"/>
          <w:cols w:equalWidth="0" w:num="1">
            <w:col w:w="11240"/>
          </w:cols>
          <w:pgMar w:left="320" w:top="1270" w:right="339" w:bottom="1440" w:gutter="0" w:footer="0" w:header="0"/>
        </w:sectPr>
      </w:pPr>
    </w:p>
    <w:bookmarkStart w:id="4" w:name="page5"/>
    <w:bookmarkEnd w:id="4"/>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40"/>
        <w:spacing w:after="0" w:line="253" w:lineRule="auto"/>
        <w:rPr>
          <w:sz w:val="20"/>
          <w:szCs w:val="20"/>
          <w:color w:val="auto"/>
        </w:rPr>
      </w:pPr>
      <w:r>
        <w:rPr>
          <w:rFonts w:ascii="Times New Roman" w:cs="Times New Roman" w:eastAsia="Times New Roman" w:hAnsi="Times New Roman"/>
          <w:sz w:val="22"/>
          <w:szCs w:val="22"/>
          <w:color w:val="auto"/>
        </w:rPr>
        <w:t>antibiotic alternative feed additives in the United States, and we achieved significant growth within that region. We also grew our unit and dollar market share of our lightweight cat litter, as more consumers embraced the numerous benefits of our branded and private label offerings. Furthermore, we raised our dividend rate for the 19</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year. As we enter into fiscal year 2023, we will continue our focus on restoring profitability, exceeding our customers’ expectations, and enhancing market penetration in all areas of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Results</w:t>
      </w:r>
    </w:p>
    <w:p>
      <w:pPr>
        <w:spacing w:after="0" w:line="3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1"/>
          <w:szCs w:val="21"/>
          <w:color w:val="auto"/>
        </w:rPr>
        <w:t>Consolidated net sales for fiscal year 2022 reached an all-time high of approximately $349 million, reflecting a 14% increase over the prior year. All of the Company’s principal products achieved record revenues due to price increases and higher demand. A main driver of this increase was from cat litter sales within the U.S. and Canada which grew by approximately $17.7 million, or 11% over the prior year. Revenues from fluids purification products increased by $8.7 million, or 16%, while domestic and Canadian industrial and sports products were $7.2 million or 23% greater than last year. In addition, the Company experienced sales gains over the prior year from its animal health, agricultural and co-packaging coarse cat litter businesses.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Annual consolidated gross profit decreased by approximately $2.7 million, as margins reduced to 18% in fiscal 2022 from 21% in the prior year. Severe inflationary pressures caused domestic cost of goods sold per manufacturing ton to increase approximately 13% in the twelve month period compared to the prior year.</w:t>
      </w:r>
    </w:p>
    <w:p>
      <w:pPr>
        <w:spacing w:after="0" w:line="18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2"/>
          <w:szCs w:val="22"/>
          <w:color w:val="auto"/>
        </w:rPr>
        <w:t>Selling, general and administrative (“SG&amp;A”) expenses for fiscal year 2022 remained flat compared to last year. Included in fiscal year 2022’s results as a separate line item, was the one-time non-cash goodwill impairment charge of $5.6 million for the Retail &amp; Wholesale (“R&amp;W”) Products Group that occurred in the third quarter.</w:t>
      </w:r>
    </w:p>
    <w:p>
      <w:pPr>
        <w:spacing w:after="0" w:line="208" w:lineRule="exact"/>
        <w:rPr>
          <w:sz w:val="20"/>
          <w:szCs w:val="20"/>
          <w:color w:val="auto"/>
        </w:rPr>
      </w:pPr>
    </w:p>
    <w:p>
      <w:pPr>
        <w:jc w:val="both"/>
        <w:ind w:right="1060"/>
        <w:spacing w:after="0" w:line="257" w:lineRule="auto"/>
        <w:rPr>
          <w:sz w:val="20"/>
          <w:szCs w:val="20"/>
          <w:color w:val="auto"/>
        </w:rPr>
      </w:pPr>
      <w:r>
        <w:rPr>
          <w:rFonts w:ascii="Times New Roman" w:cs="Times New Roman" w:eastAsia="Times New Roman" w:hAnsi="Times New Roman"/>
          <w:sz w:val="22"/>
          <w:szCs w:val="22"/>
          <w:color w:val="auto"/>
        </w:rPr>
        <w:t>Consolidated annual operating income was $4.8 million, reflecting a 63% decrease from the prior year. Excluding the aforementioned one-time non-cash goodwill impairment charge of $5.6 million, operating income for fiscal 2022 was approximately $10.5 million or 20% less than fiscal 2021.</w:t>
      </w:r>
    </w:p>
    <w:p>
      <w:pPr>
        <w:spacing w:after="0" w:line="213"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2"/>
          <w:szCs w:val="22"/>
          <w:color w:val="auto"/>
        </w:rPr>
        <w:t>Income tax expense was approximately $97,000 in fiscal year 2022 compared to $2.4 million last year. This 96% decrease was driven by lower taxable income and additional mining industry tax deductions. Full year net income attributed to Oil-Dri was approximately $5.7 million, reflecting a 49% decrease from the prior year.</w:t>
      </w:r>
    </w:p>
    <w:p>
      <w:pPr>
        <w:spacing w:after="0" w:line="2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Cash and cash equivalents decreased to $16 million in fiscal 2022 from $25 million in fiscal 2021 driven by higher cost of goods, increased capital investments, and stock repurchases. Cash reductions were offset by $25 million in loan proceeds to support business operations and allow for strategic capital investments necessary for future growth.</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Fourth Quarter Results</w:t>
      </w:r>
    </w:p>
    <w:p>
      <w:pPr>
        <w:spacing w:after="0" w:line="3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2"/>
          <w:szCs w:val="22"/>
          <w:color w:val="auto"/>
        </w:rPr>
        <w:t>Consolidated net sales in the fourth quarter reached an all-time high of $93 million, a 19% increase over the same period in the prior year. This was primarily driven by price increases and, to a lesser extent, by higher volume. Sales from the Company’s cat litter, fluids purification, and industrial &amp; sports businesses drove the majority of this growth. The Company also experienced substantially higher sales of its animal health and agricultural products, while revenues of co-packaging coarse cat litter items remained relatively flat.</w:t>
      </w:r>
    </w:p>
    <w:p>
      <w:pPr>
        <w:spacing w:after="0" w:line="21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Fourth quarter consolidated gross profit was $17.5 million, an increase of $2.7 million or 18% over the prior year. While fourth quarter gross margins remained at 19% for both fiscal years 2022 and 2021, the Company experienced gross margin improvement during the last three consecutive quarters of fiscal year 2022. Domestic cost of goods sold per ton increased 14% compared to the prior year as a result of challenges including inflation on key cost inputs, supply chain disruptions and logistics delays.</w:t>
      </w:r>
    </w:p>
    <w:p>
      <w:pPr>
        <w:spacing w:after="0" w:line="20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In the fourth quarter of fiscal 2022, consolidated operating income was approximately $6.5 million compared to $1.7 million in fiscal 2021, or a 285% increase. Higher sales and a 16% reduction in SG&amp;A expenses offset inflationary impacts on cost of goods.</w:t>
      </w:r>
    </w:p>
    <w:p>
      <w:pPr>
        <w:spacing w:after="0" w:line="21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2"/>
          <w:szCs w:val="22"/>
          <w:color w:val="auto"/>
        </w:rPr>
        <w:t>Income tax expense increased to $1.3 million in the fourth quarter of fiscal year 2022 compared to $737,000 in the same period last year due to the Company’s elevated taxable income. Fourth quarter consolidated net income attributed to Oil-Dri reached $5.2 million in fiscal 2022 from $603,000 in fiscal 2021, reflecting a 762% increase.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Oil-Dri routinely assesses its operating segments. Upon its most recent evaluation and a change in management organization, the Company decided to move its wholly-owned subsidiary in the United Kingdom from the Retail and Wholesale Products Group to the Business to Business (“B2B”) Products Group. In addition, the co-packaging coarse cat litter business was moved from the B2B Products Group to the R&amp;W Products Group. Prior year and fourth quarter net sales and operating income have been reclassified to reflect these changes.</w:t>
      </w:r>
    </w:p>
    <w:p>
      <w:pPr>
        <w:spacing w:after="0" w:line="21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The Business to Business Products Group’s fourth quarter revenues reached a record $32.2 million, a 22% gain over the prior year. All principal products within the B2B Products Group demonstrated topline growth. Sales of fluids purification products were at an all-time quarterly high of $16.8 million, or a 17% increase over the prior year. Higher prices and increased demand of these products equally contributed to this growth. Bleaching clay product revenues were strong in all regions, with significant gains within North America and Latin America. In addition, sales of jet fuel purification products continued to improve during the fourth quarter compared to last year. Amlan, the Company’s animal health business, experienced substantial growth both domestically and</w:t>
      </w:r>
    </w:p>
    <w:p>
      <w:pPr>
        <w:sectPr>
          <w:pgSz w:w="11900" w:h="16838" w:orient="portrait"/>
          <w:cols w:equalWidth="0" w:num="1">
            <w:col w:w="11220"/>
          </w:cols>
          <w:pgMar w:left="320" w:top="1440" w:right="359" w:bottom="1440" w:gutter="0" w:footer="0" w:header="0"/>
        </w:sectPr>
      </w:pPr>
    </w:p>
    <w:bookmarkStart w:id="6" w:name="page7"/>
    <w:bookmarkEnd w:id="6"/>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9" w:lineRule="auto"/>
        <w:rPr>
          <w:sz w:val="20"/>
          <w:szCs w:val="20"/>
          <w:color w:val="auto"/>
        </w:rPr>
      </w:pPr>
      <w:r>
        <w:rPr>
          <w:rFonts w:ascii="Times New Roman" w:cs="Times New Roman" w:eastAsia="Times New Roman" w:hAnsi="Times New Roman"/>
          <w:sz w:val="22"/>
          <w:szCs w:val="22"/>
          <w:color w:val="auto"/>
        </w:rPr>
        <w:t>internationally as demonstrated by fourth quarter sales which reached a record high of $6.5 million, a 37% increase over the same period last year. A considerable portion of this increase was generated within Latin America, where a large percentage of meat is exported to the European Union (“EU”). Amlan has benefited from the EU’s new antibiotic-free regulation on foreign protein imports. Within the United States, the Company experienced a significant increase in demand of its mineral-based feed additives driven by the acquisition of new key accounts, organic sales growth from existing customers, and a new product line. However, the business climate in Asia, including China, has remained challenging. The agricultural products business experienced record quarterly net sales of $8.9 million, or a 21% increase over last year. Higher prices as well as an increase in demand from new and existing customers contributed to the revenue improvement.</w:t>
      </w:r>
    </w:p>
    <w:p>
      <w:pPr>
        <w:spacing w:after="0" w:line="22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Operating income for the B2B Products Group was $7.2 million in the fourth quarter of fiscal 2022 compared to $6.6 million in fiscal 2021, reflecting a 9% increase. Higher sales were partially offset by inflationary headwinds on cost of goods sold and a 4% increase in SG&amp;A expenses.</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The Retail and Wholesale Products Group’s fourth quarter revenues reached an all-time high of $61 million, an 18% increase over the prior year. This was primarily driven by a $6.3 million or 17% increase in domestic cat litter sales, excluding the Company’s co-packaged coarse-cat litter business. These elevated revenues predominantly reflect the effects of pricing actions, but the Company also experienced an increase in demand of its value-added products. Topline growth was achieved from scoopable and coarse cat litter items, while sales of accessories decreased within the quarter. Revenues from combined domestic branded and private label lightweight litter items rose 26% in the fourth quarter of fiscal 2022 versus the prior year, exceeding the lightweight litter segment sales growth of 10% for the 12-week period ended July 16, 2022, according to third-party research data for retail sales</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Sales of cat litter from Oil-Dri’s subsidiary in Canada also rose within the quarter, while revenues from floor absorbent within that region remained soft. Oil-Dri’s domestic industrial and sports products business showed a $2.2 million or 29% revenue improvement in the fourth quarter of fiscal 2022 over the prior year. Higher prices in response to rising costs as well as elevated demand of these products from both new and existing customers drove this growth. Revenues from the Company’s co-packaging coarse litter business remained relatively flat in the fourth quarter of fiscal 2022 compared to the prior year.</w:t>
      </w: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2"/>
          <w:szCs w:val="22"/>
          <w:color w:val="auto"/>
        </w:rPr>
        <w:t>Operating income for the R&amp;W Products Group was $5.5 million in the fourth quarter of fiscal year 2022 compared to $465,000 in the prior year. Higher sales coupled with a significant reduction in SG&amp;A expenses offset elevated costs of goods sold. SG&amp;A expenses for the fourth quarter of fiscal year 2022 decreased by 61% from last year, primarily driven by a reduction in advertising, bad debt expense, and other selling expenses. Oil-Dri expects advertising costs for the upcoming fiscal year 2023 to be higher than fiscal year 2022 and more in line with pre-pandemic spending levels.</w:t>
      </w:r>
    </w:p>
    <w:p>
      <w:pPr>
        <w:sectPr>
          <w:pgSz w:w="11900" w:h="16838" w:orient="portrait"/>
          <w:cols w:equalWidth="0" w:num="1">
            <w:col w:w="11220"/>
          </w:cols>
          <w:pgMar w:left="320" w:top="1440" w:right="359" w:bottom="1440" w:gutter="0" w:footer="0" w:header="0"/>
        </w:sectPr>
      </w:pPr>
    </w:p>
    <w:bookmarkStart w:id="7" w:name="page8"/>
    <w:bookmarkEnd w:id="7"/>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The Company will host its fourth quarter of fiscal 2022 earnings teleconference on Friday, October 14, 2022 at 10:00 a.m.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Central Time. Participation details are available on the Company’s website’s Events page.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3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In addition to the results reported in accordance with accounting principles generally accepted in the United States (GAAP) included throughout this press release, the Company has provided information regarding "Segment Operating Income Excluding Goodwill Impairment," a non-GAAP financial measure. This financial measure excludes a one-time non-cash goodwill impairment charge in the third quarter of fiscal year 2022. This non-GAAP financial measure is intended to serve as a supplement to the results provided in accordance with GAAP. Management believes that such information provides an additional measurement and consistent historical comparison of the Company's performance and further believes that this non-GAAP financial measure is useful to both management and investors in their analysis of the Company's financial position and results of operations by excluding a one-time impairment charge that is not indicative of the Company's operating performance or that may obscure trends useful in evaluating the Company's continuing operating activities. The non-GAAP financial measure, as determined and presented by the Company, may not be comparable to related or similarly titled measures reported by other companies. A reconciliation of the non-GAAP financial measures to the most directly comparable GAAP measures is available in this news release.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24"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Based in part on data reported by NielsenIQ through its Scantrack Service for the Cat Litter Category in the 12-week period ended July 16, 2022, for the U.S. xAOC+Pet Supers market. Copyright © 2022 Nielsen.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“Oil-Dri” and “Amlan” are registered trademarks of Oil-Dri Corporation of America.</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ectPr>
          <w:pgSz w:w="11900" w:h="16838" w:orient="portrait"/>
          <w:cols w:equalWidth="0" w:num="1">
            <w:col w:w="11240"/>
          </w:cols>
          <w:pgMar w:left="320" w:top="1440" w:right="339" w:bottom="1440" w:gutter="0" w:footer="0" w:header="0"/>
        </w:sectPr>
      </w:pPr>
    </w:p>
    <w:bookmarkStart w:id="8" w:name="page9"/>
    <w:bookmarkEnd w:id="8"/>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price fluctuations and pressures, increases in costs, disruptions to our and our counterparties’ businesses and operations and other uncertainties and assumptions that are described in the Company's filings with the Securities and Exchange Commission, including Item 1A (Risk Factors) of our most recent Annual Report on Form 10-K, Quarterly Reports on Form 10-Q, and Current Reports on Form 8-K.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Category: Earnings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31" w:lineRule="auto"/>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Manager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Fourth Quarter Ended July 31,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vMerge w:val="continue"/>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93,158</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78,129</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(75,677)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 (2)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40" w:top="1440" w:right="379" w:bottom="1440" w:gutter="0" w:footer="0" w:header="0"/>
        </w:sectPr>
      </w:pPr>
    </w:p>
    <w:bookmarkStart w:id="10" w:name="page11"/>
    <w:bookmarkEnd w:id="10"/>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0" w:lineRule="exact"/>
        <w:rPr>
          <w:sz w:val="20"/>
          <w:szCs w:val="20"/>
          <w:color w:val="auto"/>
        </w:rPr>
      </w:pPr>
    </w:p>
    <w:tbl>
      <w:tblPr>
        <w:tblLayout w:type="fixed"/>
        <w:tblInd w:w="12"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Twelve Months Ended July 31,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348,589</w:t>
            </w:r>
          </w:p>
        </w:tc>
        <w:tc>
          <w:tcPr>
            <w:tcW w:w="12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304,981</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(286,074)</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(239,740)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65,241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 (1)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(52,050)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(52,205)</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on Impairment of Goodwill</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13,036</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Net (2)</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11,113</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8" w:firstLine="8"/>
        <w:spacing w:after="0" w:line="285" w:lineRule="auto"/>
        <w:tabs>
          <w:tab w:leader="none" w:pos="198"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Note 9 of the Notes to the Consolidated Financial Statements in our Annual Report on Form 10-K for the year ended July 31, 2022 for further information about amounts included in this line item for the years presented.</w:t>
      </w:r>
    </w:p>
    <w:p>
      <w:pPr>
        <w:spacing w:after="0" w:line="198" w:lineRule="exact"/>
        <w:rPr>
          <w:rFonts w:ascii="Times New Roman" w:cs="Times New Roman" w:eastAsia="Times New Roman" w:hAnsi="Times New Roman"/>
          <w:sz w:val="14"/>
          <w:szCs w:val="14"/>
          <w:i w:val="1"/>
          <w:iCs w:val="1"/>
          <w:color w:val="auto"/>
        </w:rPr>
      </w:pPr>
    </w:p>
    <w:p>
      <w:pPr>
        <w:ind w:left="-8" w:firstLine="8"/>
        <w:spacing w:after="0" w:line="305" w:lineRule="auto"/>
        <w:tabs>
          <w:tab w:leader="none" w:pos="198"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Note 8 of the Notes to the Consolidated Financial Statements in our Annual Report on Form 10-K for the year ended July 31, 2022 for further information about amounts included in this line item for the years presented.</w:t>
      </w:r>
    </w:p>
    <w:p>
      <w:pPr>
        <w:sectPr>
          <w:pgSz w:w="11900" w:h="16838" w:orient="portrait"/>
          <w:cols w:equalWidth="0" w:num="1">
            <w:col w:w="11232"/>
          </w:cols>
          <w:pgMar w:left="328"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40,923</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35,562</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114,681</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101,942</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107,866</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95,940</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249,611</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32,263</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48,515</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0" w:type="dxa"/>
            <w:vAlign w:val="bottom"/>
          </w:tcPr>
          <w:p>
            <w:pPr>
              <w:spacing w:after="0"/>
              <w:rPr>
                <w:sz w:val="1"/>
                <w:szCs w:val="1"/>
                <w:color w:val="auto"/>
              </w:rPr>
            </w:pPr>
          </w:p>
        </w:tc>
      </w:tr>
      <w:tr>
        <w:trPr>
          <w:trHeight w:val="201"/>
        </w:trPr>
        <w:tc>
          <w:tcPr>
            <w:tcW w:w="4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31,798</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159,232</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249,611</w:t>
            </w:r>
          </w:p>
        </w:tc>
        <w:tc>
          <w:tcPr>
            <w:tcW w:w="4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4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47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4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4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34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on Impairment of Goodwill</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0" w:type="dxa"/>
            <w:vAlign w:val="bottom"/>
          </w:tcPr>
          <w:p>
            <w:pPr>
              <w:spacing w:after="0"/>
              <w:rPr>
                <w:sz w:val="1"/>
                <w:szCs w:val="1"/>
                <w:color w:val="auto"/>
              </w:rPr>
            </w:pPr>
          </w:p>
        </w:tc>
      </w:tr>
      <w:tr>
        <w:trPr>
          <w:trHeight w:val="457"/>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0" w:type="dxa"/>
            <w:vAlign w:val="bottom"/>
          </w:tcPr>
          <w:p>
            <w:pPr>
              <w:spacing w:after="0"/>
              <w:rPr>
                <w:sz w:val="1"/>
                <w:szCs w:val="1"/>
                <w:color w:val="auto"/>
              </w:rPr>
            </w:pPr>
          </w:p>
        </w:tc>
      </w:tr>
      <w:tr>
        <w:trPr>
          <w:trHeight w:val="457"/>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Proceeds from Issuance of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 of Debt Issuance costs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Payments on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484"/>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64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July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01"/>
        </w:trPr>
        <w:tc>
          <w:tcPr>
            <w:tcW w:w="6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Attributable to Oil-Dri</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Attributable to Oil-Dri excluding Goodwill Impairment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Earnings per Common Diluted Share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6700" w:type="dxa"/>
            <w:vAlign w:val="bottom"/>
            <w:vMerge w:val="continue"/>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Earnings per Common Diluted Share excluding Goodwill Impairment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RETAIL AND WHOLESALE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6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Segment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Impairment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Segment Operating Income excluding Goodwill Impairment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19"/>
      </w:cols>
      <w:pgMar w:left="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2022-10-13T15:52:58Z</dcterms:created>
  <dcterms:modified xsi:type="dcterms:W3CDTF">2022-10-13T15:52:58Z</dcterms:modified>
</cp:coreProperties>
</file>