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Quarterly Period Ended April 30, 2016</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April 30, 2016.</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 5,058,190 Shares and Class B Stock – 2,190,994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2015.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Fresh &amp; Light Ultimate Care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10,493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29,161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$886 and $761 at April 30, 2016 and July 31,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31,466</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25,025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3,923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89,945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209,584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(136,234)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79,489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79,655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9,034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$319 and $301 at April 30, 2016 and July 31,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$154 and $133 at April 30, 2016 and July 31, 2015,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$3,119 and $2,094 at April 30, 2016 and July 31,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5,832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26,715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196,149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6,002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9,254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2,720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6,063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30,647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12,333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15,417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9,657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23,729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23,429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48,951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79,598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79,503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7,981,243 shares at April 30, 2016</w:t>
            </w:r>
          </w:p>
        </w:tc>
        <w:tc>
          <w:tcPr>
            <w:tcW w:w="1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7,936,343 shares at July 31, 2015</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2,515,735 shares at April 30, 2016</w:t>
            </w:r>
          </w:p>
        </w:tc>
        <w:tc>
          <w:tcPr>
            <w:tcW w:w="18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2,389,735 shares at July 31, 2015</w:t>
            </w: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33,809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32,632</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146,195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(8,518)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(8,646)</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84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Less Treasury Stock, at cost (2,923,053 Common and 324,741 Class B shares at</w:t>
            </w:r>
          </w:p>
        </w:tc>
        <w:tc>
          <w:tcPr>
            <w:tcW w:w="1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(55,857)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April 30, 2016 and 2,932,796 Common and 324,741 Class B shares at July 31, 2015)</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116,551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110,528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196,149</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190,031</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6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Nine Months Ended April 30,</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197,397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195,883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(139,114)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(152,448)</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58,283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43,435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(46,342)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(34,085)</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11,941</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9,350</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(768)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185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310</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11,376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(3,024)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(2,351)</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8,352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6,302</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142,095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136,039</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(4,252)</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146,195</w:t>
            </w:r>
          </w:p>
        </w:tc>
        <w:tc>
          <w:tcPr>
            <w:tcW w:w="2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138,405</w:t>
            </w:r>
          </w:p>
        </w:tc>
      </w:tr>
      <w:tr>
        <w:trPr>
          <w:trHeight w:val="284"/>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0.94</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0.72</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4,981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2,049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2,018</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7,085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0.6300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0.6000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0.4725</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0.4500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Nine Months Ended April 30,</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8,352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6,302</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Unrealized loss on marketable securities</w:t>
            </w:r>
          </w:p>
        </w:tc>
        <w:tc>
          <w:tcPr>
            <w:tcW w:w="30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142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599</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8,951</w:t>
            </w:r>
          </w:p>
        </w:tc>
        <w:tc>
          <w:tcPr>
            <w:tcW w:w="2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6,173</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64,235</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65,196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(45,667)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(50,763)</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18,568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(19,803)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(12,524)</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(1,235)</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250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316</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341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1,385</w:t>
            </w: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(0.14)</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0.21</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4,986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4,957</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7,041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7,046</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0.2100</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0.2000</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0.1575</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0.1500</w:t>
            </w:r>
          </w:p>
        </w:tc>
      </w:tr>
      <w:tr>
        <w:trPr>
          <w:trHeight w:val="27"/>
        </w:trPr>
        <w:tc>
          <w:tcPr>
            <w:tcW w:w="8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9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9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(892)</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w:t>
            </w:r>
          </w:p>
        </w:tc>
      </w:tr>
      <w:tr>
        <w:trPr>
          <w:trHeight w:val="297"/>
        </w:trPr>
        <w:tc>
          <w:tcPr>
            <w:tcW w:w="8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9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149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96</w:t>
            </w:r>
          </w:p>
        </w:tc>
      </w:tr>
      <w:tr>
        <w:trPr>
          <w:trHeight w:val="27"/>
        </w:trPr>
        <w:tc>
          <w:tcPr>
            <w:tcW w:w="8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292</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441</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w:t>
            </w:r>
          </w:p>
        </w:tc>
      </w:tr>
      <w:tr>
        <w:trPr>
          <w:trHeight w:val="27"/>
        </w:trPr>
        <w:tc>
          <w:tcPr>
            <w:tcW w:w="8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(Loss) Income</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(451)</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0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2015</w:t>
            </w: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8,352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6,302</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8,991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Gain on sale of marketable securities</w:t>
            </w:r>
          </w:p>
        </w:tc>
        <w:tc>
          <w:tcPr>
            <w:tcW w:w="32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Life insurance benefits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assets: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(3,653)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(1,383)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3,365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139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11,057</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9,966</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19,409</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16,268</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256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(26,977)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18,680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2,861</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sale of marketable securities</w:t>
            </w:r>
          </w:p>
        </w:tc>
        <w:tc>
          <w:tcPr>
            <w:tcW w:w="32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life insurance</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(15,093)</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(10,622)</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(4,190)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185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(7,343)</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16,230</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17,194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14,379</w:t>
            </w: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85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854"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1,407</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2015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nine months ended April 30, 2016 are not necessarily an indication of the results that may be expected for the fiscal year ending July 31, 2016.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when risk of loss and title are transferred under the terms of our sales agreements with customers at a fixed and 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an allowance for doubtful accounts based on our historical experience and a periodic review of our accounts receivable, including a review of the overall aging of accounts and analysis of specific customer accounts. A customer account is determined to be uncollectible when we have completed our internal collection procedures, including termination of shipments, direct customer contact and formal demand of payment.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Issued Regulations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guidance under Accounting Standards Codification “ASC”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 with Customers</w:t>
      </w:r>
      <w:r>
        <w:rPr>
          <w:rFonts w:ascii="Arial" w:cs="Arial" w:eastAsia="Arial" w:hAnsi="Arial"/>
          <w:sz w:val="17"/>
          <w:szCs w:val="17"/>
          <w:color w:val="auto"/>
        </w:rPr>
        <w:t>, which establishes a single comprehensive revenue recognition model for all contracts with customers and will supersede most</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revenue guidance. This guidance requires entities to recognize revenue to depict the transfer of promised goods or services to customers in an amount that reflects the consideration to which the entity expects to be entitled to receive in exchange. In March and April 2016, the FASB issued amended guidance that further clarifies the principles for recognizing revenue. Transition options include either a full or modified retrospective approach and early adoption is permitted. The implementation date for this guidance was recently deferred and will now be effective at the beginning of our first quarter of fiscal year 2019. We are currently evaluating the impact of the adoption of this requirement on our Consolidated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ending July 31, 2017. We are currently evaluating the impact of the adoption of this requirement on our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2015, the FASB issued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in the balance sheet as a direct deduction from the carrying amount of the associated debt liability, rather than as an asset. This guidance is effective for our first quarter of fiscal year 2017 and early adoption is permitted. The guidance must be applied on a retrospective basis. We are currently evaluating the impact of the adoption of this requirement on our Consolidated Financial Statements.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July 2015, the FASB issued guidance under ASC 330,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guidance under ASC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deferred tax liabilities and assets to be classified as noncurrent in a classified statement of financial position. This guidance is effective for our first quarter of fiscal year 2018 and early adoption is permitted. The guidance may be applied either prospectively or retrospectively to all periods presented. We are currently evaluating the impact of the adoption of this requirement on our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2016, the FASB issued guidance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simplifies several aspects of the accounting for share-based payment transactions, including accounting for forfeitures, employer tax withholding on share-based compensation and the financial statement presentation of excess tax benefits or deficiencies. The new guidance also clarifies the statement of cash flows presentation for certain components of share-based awards. This guidance is effective for our first quarter of fiscal year 2018, with early adoption permitted. We are currently evaluating the impact of the adoption of this requirement on our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7"/>
        </w:trPr>
        <w:tc>
          <w:tcPr>
            <w:tcW w:w="19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12,117</w:t>
            </w:r>
          </w:p>
        </w:tc>
      </w:tr>
      <w:tr>
        <w:trPr>
          <w:trHeight w:val="243"/>
        </w:trPr>
        <w:tc>
          <w:tcPr>
            <w:tcW w:w="19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4,923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4,735</w:t>
            </w:r>
          </w:p>
        </w:tc>
      </w:tr>
      <w:tr>
        <w:trPr>
          <w:trHeight w:val="27"/>
        </w:trPr>
        <w:tc>
          <w:tcPr>
            <w:tcW w:w="1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w:t>
            </w:r>
          </w:p>
        </w:tc>
      </w:tr>
      <w:tr>
        <w:trPr>
          <w:trHeight w:val="257"/>
        </w:trPr>
        <w:tc>
          <w:tcPr>
            <w:tcW w:w="19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25,025</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21,369</w:t>
            </w:r>
          </w:p>
        </w:tc>
      </w:tr>
      <w:tr>
        <w:trPr>
          <w:trHeight w:val="20"/>
        </w:trPr>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detailed review of our inventory items to determine if an obsolescence reserve adjustment is necessary. The review surveys all of our operating facilities and sales groups to ensure that both historical issues and new market trends are considered. The obsolescence reserve not only considers specific items, but also takes into consideration the overall value of the inventory as of the balance sheet date. The inventory obsolescence reserve values at April 30, 2016 and July 31, 2015 were 532,000 and 521,000,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equivalents of $6,277,000 and $9,297,000 as of April 30, 2016 and July 31, 2015, respectively, were classified as Level 1. These cash instruments are primarily money market mutual funds and are included in cash and cash equivalents on the Condensed Consolidated Balance Sheets.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April 30, 2016 and July 31, 2015.</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approximated their fair values at April 30, 2016 and July 31, 2015 due to the short maturity and nature of those balances.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Notes payable are reported at the face amount of future maturities. The estimated fair value of notes payable, including current maturities, was $16,598,000 and $20,476,000 as of April 30, 2016 and July 31, 2015,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Intangible amortization expense was $363,000 and $410,000 in the third quarter of fiscal 2016 and 2015, respectively. Intangible amortization expense was $1,090,000 and $1,230,000 for the first nine months of fiscal 2016 and 2015, respectively. Estimated intangible amortization for the remainder of fiscal 2016 is $363,000. Estimated intangible amortization for the next five fiscal years is as follows (in thousands):</w:t>
      </w:r>
    </w:p>
    <w:p>
      <w:pPr>
        <w:spacing w:after="0" w:line="115"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2017</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2018</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2019</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2020</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2021</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7"/>
        </w:trPr>
        <w:tc>
          <w:tcPr>
            <w:tcW w:w="10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performed our annual goodwill impairment analysis in the first quarter of fiscal 2016 and no impairment was identified.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6"/>
              </w:rPr>
              <w:t>Pension Benefits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 April 30,</w:t>
            </w:r>
          </w:p>
        </w:tc>
        <w:tc>
          <w:tcPr>
            <w:tcW w:w="140" w:type="dxa"/>
            <w:vAlign w:val="bottom"/>
          </w:tcPr>
          <w:p>
            <w:pPr>
              <w:spacing w:after="0"/>
              <w:rPr>
                <w:sz w:val="20"/>
                <w:szCs w:val="20"/>
                <w:color w:val="auto"/>
              </w:rPr>
            </w:pPr>
          </w:p>
        </w:tc>
        <w:tc>
          <w:tcPr>
            <w:tcW w:w="2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7"/>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479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1,446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1,388</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(480)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239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735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433</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1,624</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68"/>
        </w:trPr>
        <w:tc>
          <w:tcPr>
            <w:tcW w:w="4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Postretirement Health Benefits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 April 30,</w:t>
            </w:r>
          </w:p>
        </w:tc>
        <w:tc>
          <w:tcPr>
            <w:tcW w:w="140" w:type="dxa"/>
            <w:vAlign w:val="bottom"/>
          </w:tcPr>
          <w:p>
            <w:pPr>
              <w:spacing w:after="0"/>
              <w:rPr>
                <w:sz w:val="20"/>
                <w:szCs w:val="20"/>
                <w:color w:val="auto"/>
              </w:rPr>
            </w:pPr>
          </w:p>
        </w:tc>
        <w:tc>
          <w:tcPr>
            <w:tcW w:w="2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7"/>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62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79</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Net transition obligation</w:t>
            </w:r>
          </w:p>
        </w:tc>
        <w:tc>
          <w:tcPr>
            <w:tcW w:w="960" w:type="dxa"/>
            <w:vAlign w:val="bottom"/>
          </w:tcPr>
          <w:p>
            <w:pPr>
              <w:spacing w:after="0"/>
              <w:rPr>
                <w:sz w:val="21"/>
                <w:szCs w:val="21"/>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60" w:type="dxa"/>
            <w:vAlign w:val="bottom"/>
          </w:tcPr>
          <w:p>
            <w:pPr>
              <w:spacing w:after="0"/>
              <w:rPr>
                <w:sz w:val="21"/>
                <w:szCs w:val="21"/>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7"/>
          <w:szCs w:val="17"/>
          <w:color w:val="auto"/>
        </w:rPr>
        <w:t>applicable regulations. We contributed $363,000 and $962,000 to our pension plan during the third quarter and first nine months of fiscal 2016, respectively. We estimate contributions will be $301,000 for the remainder of fiscal 2016. See Item 3. "Quantitative and Qualitative Disclosures About Market Risk" for a discussion of the potential impact of financial market fluctuations on pension plan assets and future funding contributions.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4840" w:type="dxa"/>
            <w:vAlign w:val="bottom"/>
            <w:tcBorders>
              <w:bottom w:val="single" w:sz="8" w:color="auto"/>
            </w:tcBorders>
            <w:gridSpan w:val="7"/>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840" w:type="dxa"/>
            <w:vAlign w:val="bottom"/>
            <w:gridSpan w:val="7"/>
          </w:tcPr>
          <w:p>
            <w:pPr>
              <w:ind w:left="1040"/>
              <w:spacing w:after="0"/>
              <w:rPr>
                <w:sz w:val="20"/>
                <w:szCs w:val="20"/>
                <w:color w:val="auto"/>
              </w:rPr>
            </w:pPr>
            <w:r>
              <w:rPr>
                <w:rFonts w:ascii="Arial" w:cs="Arial" w:eastAsia="Arial" w:hAnsi="Arial"/>
                <w:sz w:val="18"/>
                <w:szCs w:val="18"/>
                <w:b w:val="1"/>
                <w:bCs w:val="1"/>
                <w:color w:val="auto"/>
                <w:w w:val="94"/>
              </w:rPr>
              <w:t>For the Three and Nine Months Ended April 30,</w:t>
            </w:r>
          </w:p>
        </w:tc>
        <w:tc>
          <w:tcPr>
            <w:tcW w:w="9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4.22%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8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7.50%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7.0%. The graded trend rate is expected to decrease to an ultimate rate of 4.0% in fiscal 2035.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2015.</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0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1460" w:type="dxa"/>
            <w:vAlign w:val="bottom"/>
            <w:gridSpan w:val="3"/>
          </w:tcPr>
          <w:p>
            <w:pPr>
              <w:ind w:left="180"/>
              <w:spacing w:after="0"/>
              <w:rPr>
                <w:sz w:val="20"/>
                <w:szCs w:val="20"/>
                <w:color w:val="auto"/>
              </w:rPr>
            </w:pPr>
            <w:r>
              <w:rPr>
                <w:rFonts w:ascii="Arial" w:cs="Arial" w:eastAsia="Arial" w:hAnsi="Arial"/>
                <w:sz w:val="18"/>
                <w:szCs w:val="18"/>
                <w:b w:val="1"/>
                <w:bCs w:val="1"/>
                <w:color w:val="auto"/>
              </w:rPr>
              <w:t>April 30, 2016</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2015</w:t>
            </w:r>
          </w:p>
        </w:tc>
      </w:tr>
      <w:tr>
        <w:trPr>
          <w:trHeight w:val="27"/>
        </w:trPr>
        <w:tc>
          <w:tcPr>
            <w:tcW w:w="8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54,807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55,767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97,131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96,043</w:t>
            </w:r>
          </w:p>
        </w:tc>
      </w:tr>
      <w:tr>
        <w:trPr>
          <w:trHeight w:val="27"/>
        </w:trPr>
        <w:tc>
          <w:tcPr>
            <w:tcW w:w="8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44,211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38,221</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196,149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190,031</w:t>
            </w:r>
          </w:p>
        </w:tc>
      </w:tr>
      <w:tr>
        <w:trPr>
          <w:trHeight w:val="20"/>
        </w:trPr>
        <w:tc>
          <w:tcPr>
            <w:tcW w:w="8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9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2"/>
              </w:rPr>
              <w:t>For the Nine Months Ended April 30,</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6"/>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8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70,919</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24,049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126,478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127,334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5,682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2,521</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197,397</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(17,790)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(14,161)</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11,941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11,376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(3,024)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(2,351)</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8,352</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6,302</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89"/>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gridSpan w:val="10"/>
          </w:tcPr>
          <w:p>
            <w:pPr>
              <w:jc w:val="center"/>
              <w:ind w:right="185"/>
              <w:spacing w:after="0"/>
              <w:rPr>
                <w:sz w:val="20"/>
                <w:szCs w:val="20"/>
                <w:color w:val="auto"/>
              </w:rPr>
            </w:pPr>
            <w:r>
              <w:rPr>
                <w:rFonts w:ascii="Arial" w:cs="Arial" w:eastAsia="Arial" w:hAnsi="Arial"/>
                <w:sz w:val="18"/>
                <w:szCs w:val="18"/>
                <w:b w:val="1"/>
                <w:bCs w:val="1"/>
                <w:color w:val="auto"/>
                <w:w w:val="93"/>
              </w:rPr>
              <w:t>For the Three Months Ended April 30,</w:t>
            </w:r>
          </w:p>
        </w:tc>
        <w:tc>
          <w:tcPr>
            <w:tcW w:w="90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Income (Loss)</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6"/>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8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22,473</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7,304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41,762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64,235</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2"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 summary of stock option transactions is shown below:</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0"/>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Aggregate Intrinsic</w:t>
            </w:r>
          </w:p>
        </w:tc>
      </w:tr>
      <w:tr>
        <w:trPr>
          <w:trHeight w:val="234"/>
        </w:trPr>
        <w:tc>
          <w:tcPr>
            <w:tcW w:w="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0"/>
        </w:trPr>
        <w:tc>
          <w:tcPr>
            <w:tcW w:w="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3"/>
                <w:szCs w:val="23"/>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(in thousands)</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July 31, 2015</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43"/>
        </w:trPr>
        <w:tc>
          <w:tcPr>
            <w:tcW w:w="8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April 30, 2016</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r>
      <w:tr>
        <w:trPr>
          <w:trHeight w:val="20"/>
        </w:trPr>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stock options were exercised in the third quarter of either fiscal 2016 or 2015. During the first nine months of fiscal 2016, the amount of cash received from the exercise of stock options was $281,000 and the related tax benefit was $68,000. During the first nine months of fiscal 2015, the amount of cash received from the exercise of stock options was $15,000 and the related tax benefit was $3,000.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in the first nine months of either fiscal 2016 or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of our non-vested restricted stock as of April 30, 2016 was issued under the 2006 Plan with vesting periods between two years and five years.</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2006 Plan, 500 restricted shares of Common Stock were granted in the third quarter of fiscal year 2016. There were no restricted shares of Common Stock granted in the third quarter of fiscal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Stock-based compensation expense related to non-vested restricted stock in the third quarter of fiscal years 2016 and 2015 was $324,000 and $210,000, respectively. In the first nine months of fiscal years 2016 and 2015, the stock-based compensation related to non-vested restricted stock was $962,000 and $866,000,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3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9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2015</w:t>
            </w:r>
          </w:p>
        </w:tc>
        <w:tc>
          <w:tcPr>
            <w:tcW w:w="47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Granted</w:t>
            </w:r>
          </w:p>
        </w:tc>
        <w:tc>
          <w:tcPr>
            <w:tcW w:w="4740" w:type="dxa"/>
            <w:vAlign w:val="bottom"/>
            <w:gridSpan w:val="2"/>
          </w:tcPr>
          <w:p>
            <w:pPr>
              <w:jc w:val="right"/>
              <w:ind w:right="10"/>
              <w:spacing w:after="0"/>
              <w:rPr>
                <w:sz w:val="20"/>
                <w:szCs w:val="20"/>
                <w:color w:val="auto"/>
              </w:rPr>
            </w:pPr>
            <w:r>
              <w:rPr>
                <w:rFonts w:ascii="Arial" w:cs="Arial" w:eastAsia="Arial" w:hAnsi="Arial"/>
                <w:sz w:val="18"/>
                <w:szCs w:val="18"/>
                <w:color w:val="auto"/>
              </w:rPr>
              <w:t>165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April 30, 2016</w:t>
            </w:r>
          </w:p>
        </w:tc>
        <w:tc>
          <w:tcPr>
            <w:tcW w:w="4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17</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April 30, 2016 (in thousands):</w:t>
      </w:r>
    </w:p>
    <w:p>
      <w:pPr>
        <w:spacing w:after="0" w:line="395"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Pension and</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Cumulative</w:t>
            </w:r>
          </w:p>
        </w:tc>
        <w:tc>
          <w:tcPr>
            <w:tcW w:w="32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Postretirement</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Translation</w:t>
            </w:r>
          </w:p>
        </w:tc>
        <w:tc>
          <w:tcPr>
            <w:tcW w:w="32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Health Benefits</w:t>
            </w:r>
          </w:p>
        </w:tc>
        <w:tc>
          <w:tcPr>
            <w:tcW w:w="60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Adjustment</w:t>
            </w:r>
          </w:p>
        </w:tc>
        <w:tc>
          <w:tcPr>
            <w:tcW w:w="32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w w:val="96"/>
              </w:rPr>
              <w:t>Other comprehensive income before reclassifications,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a)</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w w:val="94"/>
              </w:rPr>
              <w:t>Net current-period other comprehensive income, net of</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457</w:t>
            </w:r>
          </w:p>
        </w:tc>
        <w:tc>
          <w:tcPr>
            <w:tcW w:w="600" w:type="dxa"/>
            <w:vAlign w:val="bottom"/>
          </w:tcPr>
          <w:p>
            <w:pPr>
              <w:spacing w:after="0"/>
              <w:rPr>
                <w:sz w:val="20"/>
                <w:szCs w:val="20"/>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599</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98"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is net of tax expense of $279,000. Amount is included in the components of net periodic benefit cost for the pension and postretirement health plans. See Note 6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2015.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2016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Consolidated net sales for the nine months ended April 30, 2016 were $197,397,000, an increase of 1% from net sales of $195,883,000 for the nine months ended April 30, 2015. Net sales were up for our Business to Business Products Group, but were down for our Retail and Wholesale Products Group. Consolidated net income for the first nine months of fiscal 2016 was $8,352,000, a 33% increase from net income of $6,302,000 for the first nine months of fiscal 2015. Operating income was up for both our Retail and Wholesale Products and Business to Business Products Groups. Diluted net income per share was $1.15 for the first nine months of fiscal 2016, compared to $0.88 for the first nine months of fiscal 2015.</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Consolidated gross profit as a percentage of net sales for the first nine months of fiscal 2016 was 30%, which was higher than the 22% reported for the first nine months of fiscal 2015. Gross profit was positively impacted by a favorable product sales mix (defined as a greater proportion of sales from higher priced products) in both of our operating segments. In addition, the cost per manufactured ton for natural gas used to operate kilns that dry our clay was down 24% compared to the prior year. Freight and packaging costs per ton produced also declined. Freight costs declined due primarily to lower diesel fuel costs, as well as additional capacity and some relief from unfavorable regulations in the truck freight industry. A significant amount of our packaging purchases are subject to contractual price adjustments throughout the year based on underlying commodity prices. The lower packaging costs reflected favorable price adjustments as commodity prices have declined, particularly for resin and paper-based packaging. Other manufacturing costs per ton produced were up approximately 2% compared to the same period the prior year, including higher repair expense.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selling, general and administrative expenses were 36% higher for the first nine months of fiscal 2016 compared to the first nine months of fiscal 2015. The discussions of the segments' operating incomes below describe the changes in the selling, general and administrative expenses that were allocated to the operating segments, particularly higher advertising expense in the Retail and Wholesale Products Group. The remaining unallocated corporate expenses in the first nine months of fiscal 2016 included a higher estimated annual incentive bonus accrual as compared to the prior year. The incentive bonus accruals were based on performance targets established for each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$250,000 lower for the first nine months of fiscal 2016 compared to the same period in fiscal 2015 due to a reduction of notes payable.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jc w:val="both"/>
        <w:ind w:right="20"/>
        <w:spacing w:after="0" w:line="342" w:lineRule="auto"/>
        <w:rPr>
          <w:sz w:val="20"/>
          <w:szCs w:val="20"/>
          <w:color w:val="auto"/>
        </w:rPr>
      </w:pPr>
      <w:r>
        <w:rPr>
          <w:rFonts w:ascii="Arial" w:cs="Arial" w:eastAsia="Arial" w:hAnsi="Arial"/>
          <w:sz w:val="16"/>
          <w:szCs w:val="16"/>
          <w:color w:val="auto"/>
        </w:rPr>
        <w:t>Our effective tax rate was 27% of pre-tax income for the first nine months of fiscal 2016, which was the same as for the first nine months of fiscal 2015. Our effective tax rate was based on the estimated level of our taxable income for the year and the assessment of various deductions, including depletion.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22222"/>
        </w:rPr>
        <w:t>integrated marketing campaign for o</w:t>
      </w:r>
      <w:r>
        <w:rPr>
          <w:rFonts w:ascii="Arial" w:cs="Arial" w:eastAsia="Arial" w:hAnsi="Arial"/>
          <w:sz w:val="18"/>
          <w:szCs w:val="18"/>
          <w:color w:val="auto"/>
        </w:rPr>
        <w:t xml:space="preserve">ur </w:t>
      </w:r>
      <w:r>
        <w:rPr>
          <w:rFonts w:ascii="Arial" w:cs="Arial" w:eastAsia="Arial" w:hAnsi="Arial"/>
          <w:sz w:val="18"/>
          <w:szCs w:val="18"/>
          <w:color w:val="222222"/>
        </w:rPr>
        <w:t>Fresh &amp; Light Ultimate Care lightweight cat litter will keep going in</w:t>
      </w:r>
      <w:r>
        <w:rPr>
          <w:rFonts w:ascii="Arial" w:cs="Arial" w:eastAsia="Arial" w:hAnsi="Arial"/>
          <w:sz w:val="18"/>
          <w:szCs w:val="18"/>
          <w:color w:val="auto"/>
        </w:rPr>
        <w:t xml:space="preserve"> the fourth quarter of fiscal 2016 and will continue to impact our operating results for the fiscal year. We anticipate our annual advertising expense will significantly exceed the $10,800,000 spent when we initially created the lightweight cat litter category.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Business to Business Products Group for the first nine months of fiscal 2016 were $70,919,000, an increase of $2,370,000, or 3%, from net sales of $68,549,000 for the first nine months of fiscal 2015. Net sales of our agricultural chemical carrier products increased approximately 17% due to more tons sold and a favorable product sales mix. Sales increased for both our standard and engineered granule products used by manufacturers of crop protection products. Net sales of fluids purification products were up 1% due primarily to a favorable product sales mix and normal ordering fluctuations by our customers in the petroleum oil processing industry. Sales of our animal health and nutrition products were essentially flat as higher sales in China and other Asian countries were offset by lower sales in other markets. Sales of our co-packaged coarse cat litter were 1% lower as the market for coarse cat litters continued to decline.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16% higher compared to the first nine months of fiscal 2015 due primarily to additional costs to promote new animal health and nutrition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first nine months of fiscal 2016 was $24,049,000, an increase of $3,059,000, or 15%, from operating income of $20,990,000 for the first nine months of fiscal 2015. The benefits of higher sales, a favorable product sales mix and lower costs for natural gas, freight and packaging more than offset higher selling, general and administrative expenses. See “Consolidated Results” above for further discussion of natural gas, freight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Retail and Wholesale Products Group for the first nine months of fiscal 2016 were $126,478,000, a decrease of $856,000, or 1%, from net sales of $127,334,000 for the first nine months of fiscal 2015. Sales of industrial and automotive absorbent products were down approximately 3% due primarily to lower sales to distributors in the manufacturing sector. Net sales for our foreign subsidiary in Canada also declined as discussed in “Foreign Operations” below. Sales for our cat litter products were essentially flat compared to the first nine months of fiscal 2015. Total private label cat litter sales increased due primarily to new business for our lightweight scoopable product, which more than offset lower sales of our coarse private label litters. Overall sales of branded cat litter declined due to lower sales of our core Cat's Pride scoopable and coarse litters, which more than offset higher sales of our Cat's Pride Fresh &amp; Light lightweight cat litters.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Selling, general and administrative expenses for the Retail and Wholesale Products Group were 56% higher compared to the first nine months of fiscal 2015. Advertising expense increased significantly due to the integrated marketing campaign launched in March 2016 to promote our </w:t>
      </w:r>
      <w:r>
        <w:rPr>
          <w:rFonts w:ascii="Arial" w:cs="Arial" w:eastAsia="Arial" w:hAnsi="Arial"/>
          <w:sz w:val="18"/>
          <w:szCs w:val="18"/>
          <w:color w:val="222222"/>
        </w:rPr>
        <w:t>Fresh &amp; Light Ultimate Care</w:t>
      </w:r>
      <w:r>
        <w:rPr>
          <w:rFonts w:ascii="Arial" w:cs="Arial" w:eastAsia="Arial" w:hAnsi="Arial"/>
          <w:sz w:val="18"/>
          <w:szCs w:val="18"/>
          <w:color w:val="auto"/>
        </w:rPr>
        <w:t xml:space="preserve"> </w:t>
      </w:r>
      <w:r>
        <w:rPr>
          <w:rFonts w:ascii="Arial" w:cs="Arial" w:eastAsia="Arial" w:hAnsi="Arial"/>
          <w:sz w:val="18"/>
          <w:szCs w:val="18"/>
          <w:color w:val="222222"/>
        </w:rPr>
        <w:t>lightweight cat litter. We will continue this advertising promotion into the fourth quarter of fiscal 2016.</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Group's operating income for the first nine months of fiscal 2016 was $5,682,000, an increase of $3,161,000, or 125%, from operating income of $2,521,000 for the first nine months of fiscal 2015. Operating income increased, despite significantly higher advertising expenses, due primarily to a favorable product sales mix, reduced trade spending, and lower costs for natural gas, freight and packaging. See “Consolidated Results” above for further discussion of these cost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first nine months of fiscal 2016 were $8,270,000, compared to net sales of $8,245,000 during the first nine months of fiscal 2015. Higher sales were reported for animal health and nutrition products sold by our subsidiary in China and for fluids purification products sold by our subsidiary in the United Kingdom. Lower sales of cat litter by our subsidiary in Canada more than offset higher sales of industrial absorbent products. Net sales by our foreign subsidiaries represented 4% of our consolidated net sales during the first nine months of both fiscal years 2016 and 2015.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Our foreign subsidiaries reported a net loss of $750,000 for the first nine months of fiscal 2016 compared to a net loss of $940,000 for the first nine months of fiscal 2015. The reduced loss was driven by a favorable sales mix.</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Identifiable assets of our foreign subsidiaries as of April 30, 2016 were $8,017,000, compared to $7,724,000 as of April 30, 2015. The increase was due primarily to higher cash and cash equivalents and accounts receivables, which were partially offset by lower net fixed assets and inventories.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2016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net sales for the three months ended April 30, 2016 were $64,235,000, a decrease of 1% from net sales of $65,196,000 for the three months ended April 30, 2015. Net sales were down for our Retail and Wholesale Products Group and were up for our Business to Business Products Group. A consolidated net loss of $892,000 was reported for the third quarter of fiscal 2016 compared to net income of $1,385,000 for the third quarter of fiscal 2015. Increased advertising costs described below drove the consolidated net loss and an operating loss for our Retail and Wholesale Products Group in the third quarter. Operating income increased for our Business to Business Products Group compared to the prior year. A diluted net loss per share of $0.13 was reported for the third quarter of fiscal 2016, compared to diluted net income per share of $0.19 for the third quarter of fiscal 2015.</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Consolidated gross profit as a percentage of net sales for the third quarter of fiscal 2016 was 29%, compared to 22% for the third quarter of fiscal 2015. Gross profit was positively impacted by a favorable product sales mix in both of our operating segments. In addition, the cost per manufactured ton for natural gas used to operate kilns that dry our clay was down 27% from the third quarter of the prior year. Freight and packaging costs per ton produced also declined. Freight costs declined due primarily to lower diesel fuel costs, as well as additional capacity and some relief from unfavorable regulations in the truck freight industry. A significant amount of our packaging purchases are subject to contractual price adjustments throughout the year based on underlying commodity prices. The lower packaging costs reflected favorable price adjustments as commodity prices have declined, particularly for resin and paper-based packaging. Other manufacturing costs per ton produced were up approximately 5% compared to the same period in the prior year, including higher repair expense and salary costs.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selling, general and administrative expenses were 58% higher for the third quarter of fiscal 2016 compared to the third quarter of fiscal 2015. The discussion of the segments' operating incomes below describes the selling, general and administrative expenses allocated to the operating segments, particularly higher advertising expense in the Retail and Wholesale Products Group. Unallocated corporate expenses in the third quarter of fiscal 2016 included a lower estimated annual incentive bonus accrual compared to the third quarter in the prior fiscal year. The incentive bonus accruals were based on performance targets established for each fiscal year.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$72,000 lower for the third quarter of fiscal 2016 compared to the same period in fiscal 2015 due primarily to a reduction of notes payable.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benefit was 28% of the pre-tax loss for the third quarter of fiscal 2016, compared to a tax expense of 27% of pre-tax income in the third quarter of fiscal 2015. Our effective tax rate was based on the estimated level of our taxable income for the year and the assessment of various tax deductions, including depletion.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22222"/>
        </w:rPr>
        <w:t>integrated marketing campaign for o</w:t>
      </w:r>
      <w:r>
        <w:rPr>
          <w:rFonts w:ascii="Arial" w:cs="Arial" w:eastAsia="Arial" w:hAnsi="Arial"/>
          <w:sz w:val="18"/>
          <w:szCs w:val="18"/>
          <w:color w:val="auto"/>
        </w:rPr>
        <w:t xml:space="preserve">ur </w:t>
      </w:r>
      <w:r>
        <w:rPr>
          <w:rFonts w:ascii="Arial" w:cs="Arial" w:eastAsia="Arial" w:hAnsi="Arial"/>
          <w:sz w:val="18"/>
          <w:szCs w:val="18"/>
          <w:color w:val="222222"/>
        </w:rPr>
        <w:t>Fresh &amp; Light Ultimate Care lightweight cat litter will keep going in</w:t>
      </w:r>
      <w:r>
        <w:rPr>
          <w:rFonts w:ascii="Arial" w:cs="Arial" w:eastAsia="Arial" w:hAnsi="Arial"/>
          <w:sz w:val="18"/>
          <w:szCs w:val="18"/>
          <w:color w:val="auto"/>
        </w:rPr>
        <w:t xml:space="preserve"> the fourth quarter of fiscal 2016 and will continue to impact our operating results for the fiscal year. We anticipate our annual advertising expense will significantly exceed the $10,800,000 spent when we initially created the lightweight cat litter category.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Business to Business Products Group for the third quarter of fiscal 2016 were $22,473,000, an increase of $619,000, or 3%, from net sales of $21,854,000 for the third quarter of fiscal 2015. Sales of our animal health and nutrition products increased approximately 13% due primarily to higher sales in China and other Asian countries. Net sales of fluids purification products were up approximately 3% due primarily to sales to edible oil producers and due to normal ordering fluctuations by our customers in the petroleum oil processing industry. Net sales of our agricultural chemical carriers to manufacturers of crop protection products were essentially flat compared to the prior year. Sales of co-packaged coarse cat litter were 4% lower than in the third quarter of fiscal 2015 as the market for coarse cat litters continued to decline.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21% higher compared to the third quarter of fiscal 2015 due primarily to additional costs to promote new animal health and nutrition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third quarter of fiscal 2016 was $7,304,000, an increase of $628,000, or 9%, from operating income of $6,676,000 in the third quarter of fiscal 2015. The benefits of higher sales, a favorable product sales mix and lower costs for natural gas and freight more than offset the higher selling, general and administrative expenses. See “Consolidated Results” above for further discussion of natural gas and freight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sales of the Retail and Wholesale Products Group for the third quarter of fiscal 2016 were $41,762,000, a decrease of $1,580,000, or 4%, from net sales of $43,342,000 for the third quarter of fiscal 2015. Overall cat litter net sales declined approximately 4% compared to the third quarter of the prior year. Our traditional private label cat litter sales decreased due to the loss of two customers, which outweighed increased sales of our newer private label lightweight litter. Branded cat litter sales were flat as higher sales of our Cat's Pride Fresh &amp; Light lightweight cat litters were offset by lower sales of our core Cat's Pride scoopable and coarse litters. Sales of industrial and automotive absorbent products were down approximately 6% due primarily to lower sales to distributors in the manufacturing sector. Sales for both our United Kingdom and Canada subsidiaries increased, as discussed in “Foreign Operations” below.</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Selling, general and administrative expenses for the Retail and Wholesale Products Group were 140% higher compared to the third quarter of fiscal 2015 due primarily to increased advertising expenses. Advertising expense increased significantly due to the integrated marketing campaign launched in March 2016 to promote our </w:t>
      </w:r>
      <w:r>
        <w:rPr>
          <w:rFonts w:ascii="Arial" w:cs="Arial" w:eastAsia="Arial" w:hAnsi="Arial"/>
          <w:sz w:val="16"/>
          <w:szCs w:val="16"/>
          <w:color w:val="222222"/>
        </w:rPr>
        <w:t>Fresh &amp; Light Ultimate Care lightweight cat litter. We will continue this advertising promotion into the fourth quarter of fiscal 2016.</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 reported an operating loss of $4,015,000 for the third quarter of fiscal 2016, compared to operating income of $373,000 for the third quarter of fiscal 2015. The operating loss was driven by the increased advertising expense discussed above. The Group's fiscal 2016 third quarter results benefited from a favorable product sales mix, reduced trade spending, and lower costs for natural gas, freight and packaging. See “Consolidated Results” above for further discussion of these cost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third quarter of fiscal 2016 were $2,738,000, a 15% increase compared to net sales of $2,378,000 during the third quarter of fiscal 2015. Sales increased for animal health and nutrition products sold by our China subsidiary, for fluids purification products sold by our United Kingdom subsidiary and for both industrial floor absorbents and cat litter sold by our Canada subsidiary. Net sales by our foreign subsidiaries represented approximately 4% of our consolidated net sales during the third quarters of both fiscal 2016 and 2015.</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subsidiaries reported a net loss of $214,000 for the third quarter of fiscal 2016 compared to a net loss of $278,000 for the third quarter of fiscal 2015. The reduced loss was driven by the higher sales and a favorable product sales mix.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principal capital requirements include: funding working capital needs; purchasing and upgrading equipment, facilities and real estate; supporting new product development; investing in infrastructure; repurchasing Common Stock; paying dividends; and business acquisitions. During the first nine months of fiscal 2016, we principally used cash generated from operations and from debt borrowings in prior years to fund these requirements. We also have the ability to borrow under our revolving credit agreement with BMO Harris Bank N.A. (“BMO Harris”), as described further below, however we have not borrowed under the credit agreement in recent years. Cash and cash equivalents decreased $2,944,000 during the first nine months of fiscal 2016 to $17,194,000, while short term investments increased $8,303,000 during the same period to $10,493,000 as of April 30, 2016.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16,268</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(15,093)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(10,622)</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nine months of fiscal years 2016 and 2015 were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decreased $2,289,000 in the first nine months of fiscal 2016 compared to an increase of $968,000 in the first nine months of fiscal 2015. The changes in both periods were impacted by the level and timing of sales and collections, as well as the payment terms provided to various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increased $3,653,000 in the first nine months of fiscal 2016 compared to a decrease of $198,000 in the first nine months of fiscal 2015. Finished goods, packaging and additives inventories were higher in the first nine months of fiscal 2016 in anticipation of sales requirements. Finished goods inventory was down in the first nine months of fiscal 2015 due primarily to increased sales of agricultural chemical products, which was partially offset by higher additives inventories due to favorable purchasing opportunities.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Prepaid expenses increased $593,000 in the first nine months of fiscal 2016 compared to a decrease of $1,655,000 in the first nine months of fiscal 2015. Prepaid expenses increased in the first nine months of fiscal 2016 due primarily to an increase in prepaid income taxes and prepaid insurance. Annual insurance premiums were paid in the first nine months of both fiscal 2016 and 2015. Premiums paid in fiscal 2016 increased due to a change in the risk management approach for our workers' compensation insurance plan. Contributing to the decrease in prepaid expenses in the first nine months of fiscal 2015 were a reclassification of prepaid rents and royalties to other long-term assets and a reduction in prepaid income taxes.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assets increased $270,000 in the first nine months of fiscal 2016 compared to an increase of $1,438,000 in the first nine months of fiscal 2015. The cash surrender value of life insurance on former key employees increased in the first nine months of fiscal 2016. The increase in the first nine months of fiscal 2015 was due primarily to the reclassification of prepaid rents and royalties from current prepaid expenses, which was partially offset by a decrease in the cash surrender value of life insurance due to the closing of two policies.</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Accounts payable decreased $1,383,000 in the first nine months of fiscal 2016 compared to a decrease of $691,000 in the first nine months of fiscal 2015. Trade and freight payables varied in both periods due to timing of payments, fluctuations in the cost of goods and services we purchased, production volume levels and vendor payment terms. The decrease in the first nine months of fiscal 2016 also included a reduction in accrued income taxes.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Accrued expenses increased $3,365,000 in the first nine months of fiscal 2016 compared to an increase of $348,000 in the first nine months of fiscal 2015. Accrued salaries included the discretionary incentive bonus accrual, which in the first nine months of both fiscal 2016 and 2015 decreased by the payout of the prior fiscal year's bonus and increased by the amount of the current fiscal year's first nine months' accrual. The estimated incentive bonus accrued for the first nine months of fiscal 2016 was higher than the payout of the bonus for fiscal 2015 based on the financial results. Similar to accounts payable, accrued plant expenses fluctuated in the first nine months of both fiscal 2016 and 2015 due to timing of payments, changes in the cost of goods and services we purchased, production volume levels and vendor payment terms. In addition, accrued trade promotions and advertising varied due to the timing of marketing programs. An increase in accrued advertising in the first nine months of fiscal 2015 was more than offset by a reduction in accrued expenses due to the purchase of plant equipment previously under a capital lease.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was $15,093,000 in the first nine months of fiscal 2016 compared to cash used in investing activities of $10,622,000 in the first nine months of fiscal 2015. Cash used for capital expenditures was $7,052,000 and $13,945,000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97" w:lineRule="auto"/>
        <w:rPr>
          <w:sz w:val="20"/>
          <w:szCs w:val="20"/>
          <w:color w:val="auto"/>
        </w:rPr>
      </w:pPr>
      <w:r>
        <w:rPr>
          <w:rFonts w:ascii="Arial" w:cs="Arial" w:eastAsia="Arial" w:hAnsi="Arial"/>
          <w:sz w:val="16"/>
          <w:szCs w:val="16"/>
          <w:color w:val="auto"/>
        </w:rPr>
        <w:t>in the first nine months of fiscal 2016 and 2015, respectively. Major initiatives for new processing and packaging equipment and capacity expansion projects were substantially completed during fiscal 2015. Net purchases of short-term investments used cash of $8,297,000 in the first nine months of fiscal 2016, while net dispositions provided cash of $2,161,000 in the first nine months of fiscal 2015. Purchases and dispositions of investment securities in both periods are impacted by variations in the timing of investment maturities, the operating cash needs of the Company and the availability of investment options. Also, in the first nine months of fiscal 2015, cash proceeds of $903,000 were received from the closing of two life insurance policies on former key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$7,343,000 in the first nine months of fiscal 2016 compared to cash used in financing activities of $7,476,000 in the first nine months of fiscal 2015. Scheduled payments on long-term debt were $3,484,000 and $3,500,000 in the first nine months of fiscal 2016 and 2015, respectively. Dividend payments in the first nine months of fiscal 2016 were $4,190,000 compared to $3,937,000 paid during the same period of fiscal 2015 due to a dividend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$1,460,000 as of April 30, 2016 were higher than the April 30, 2015 balances of $1,103,000. See further discussion in “Foreign Operations” above.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$25,000,000 unsecured revolving credit agreement with BMO Harris which expires on December 4, 2019. The agreement also provides for a maximum of $5,000,000 for foreign letters of credit. Under the agreement we may select a variable rate based on either the BMO Harris prime rate or a LIBOR-based rate, plus a margin which varies depending on our debt to earnings ratio, or a fixed rate as agreed between us and BMO Harris. At April 30, 2016, the variable rates would have been 3.50% for the BMO Harris prime-based rate or 1.63%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nine months ended April 30, 2016 and 2015, and we were in compliance with its covenants.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30, 2016, we had remaining authority to repurchase 305,361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Our cash requirements are subject to change as business conditions warrant and opportunities arise. We will continue spending for the integrated marketing campaign to promote our </w:t>
      </w:r>
      <w:r>
        <w:rPr>
          <w:rFonts w:ascii="Arial" w:cs="Arial" w:eastAsia="Arial" w:hAnsi="Arial"/>
          <w:sz w:val="17"/>
          <w:szCs w:val="17"/>
          <w:color w:val="222222"/>
        </w:rPr>
        <w:t>Fresh &amp; Light Ultimate Care lightweight cat litter in the fourth quarter</w:t>
      </w:r>
      <w:r>
        <w:rPr>
          <w:rFonts w:ascii="Arial" w:cs="Arial" w:eastAsia="Arial" w:hAnsi="Arial"/>
          <w:sz w:val="17"/>
          <w:szCs w:val="17"/>
          <w:color w:val="auto"/>
        </w:rPr>
        <w:t xml:space="preserve"> </w:t>
      </w:r>
      <w:r>
        <w:rPr>
          <w:rFonts w:ascii="Arial" w:cs="Arial" w:eastAsia="Arial" w:hAnsi="Arial"/>
          <w:sz w:val="17"/>
          <w:szCs w:val="17"/>
          <w:color w:val="222222"/>
        </w:rPr>
        <w:t xml:space="preserve">of fiscal 2016 and in fiscal 2017. </w:t>
      </w:r>
      <w:r>
        <w:rPr>
          <w:rFonts w:ascii="Arial" w:cs="Arial" w:eastAsia="Arial" w:hAnsi="Arial"/>
          <w:sz w:val="17"/>
          <w:szCs w:val="17"/>
          <w:color w:val="000000"/>
        </w:rPr>
        <w:t>We continually evaluate our liquidity position and anticipated cash needs, as well as the financing options available to obtain</w:t>
      </w:r>
      <w:r>
        <w:rPr>
          <w:rFonts w:ascii="Arial" w:cs="Arial" w:eastAsia="Arial" w:hAnsi="Arial"/>
          <w:sz w:val="17"/>
          <w:szCs w:val="17"/>
          <w:color w:val="222222"/>
        </w:rPr>
        <w:t xml:space="preserve"> </w:t>
      </w:r>
      <w:r>
        <w:rPr>
          <w:rFonts w:ascii="Arial" w:cs="Arial" w:eastAsia="Arial" w:hAnsi="Arial"/>
          <w:sz w:val="17"/>
          <w:szCs w:val="17"/>
          <w:color w:val="000000"/>
        </w:rPr>
        <w:t>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(in thousands) as of April 30, 2016 for the time-frames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Unconditional Purchase Obligations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32,507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unconditional purchase obligations include forward purchase contracts we have entered into for a portion of our natural gas fuel needs for fiscal 2016 and 2017. As of April 30, 2016, the remaining purchase obligation for fiscal 2016 was $266,000 for 120,000 MMBtu and for fiscal 2017 was $280,000 for 120,000 MMBtu. These contracts were entered into in the normal course of business and no contracts were entered into for speculative purposes.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$962,000 during the first nine months of fiscal 2016. We estimate contributions of approximately $301,000 will be made during the remainder of fiscal 2016.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Regulations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guidance under Accounting Standards Codification “ASC”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 with Customers</w:t>
      </w:r>
      <w:r>
        <w:rPr>
          <w:rFonts w:ascii="Arial" w:cs="Arial" w:eastAsia="Arial" w:hAnsi="Arial"/>
          <w:sz w:val="17"/>
          <w:szCs w:val="17"/>
          <w:color w:val="auto"/>
        </w:rPr>
        <w:t>, which establishes a single comprehensive revenue recognition model for all contracts with customers and will supersede most</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revenue guidance. This guidance requires entities to recognize revenue to depict the transfer of promised goods or services to customers in an amount that reflects the consideration to which the entity expects to be entitled to receive in exchange. In March and April 2016, the FASB issued amended guidance that further clarifies the principles for recognizing revenue. Transition options include either a full or modified retrospective approach and early adoption is permitted. The implementation date for this guidance was recently deferred and will now be effective at the beginning of our first quarter of fiscal year 2019. We are currently evaluating the impact of the adoption of this requirement on our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67"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ending July 31, 2017. We are currently evaluating the impact of the adoption of this requirement on our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2015, the FASB issued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in the balance sheet as a direct deduction from the carrying amount of the associated debt liability, rather than as an asset. This guidance is effective for our first quarter of fiscal year 2017 and early adoption is permitted. The guidance must be applied on a retrospective basis. We are currently evaluating the impact of the adoption of this requirement on our Consolidated Financial Statements.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July 2015, the FASB issued guidance under ASC 330,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guidance under ASC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deferred tax liabilities and assets to be classified as noncurrent in a classified statement of financial position. This guidance is effective for our first quarter of fiscal year 2018 and early adoption is permitted. The guidance may be applied either prospectively or retrospectively to all periods presented. We are currently evaluating the impact of the adoption of this requirement on our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2016, the FASB issued guidance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simplifies several aspects of the accounting for share-based payment transactions, including accounting for forfeitures, employer tax withholding on share-based compensation and the financial statement presentation of excess tax benefits or deficiencies. The new guidance also clarifies the statement of cash flows presentation for certain components of share-based awards. This guidance is effective for our first quarter of fiscal year 2018, with early adoption permitted. We are currently evaluating the impact of the adoption of this requirement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exposed to foreign currency fluctuation risk, primarily the U.S. Dollar relative to the British Pound, Euro, Canadian Dollar, Chinese Yuan and the Brazilian Real, as related to our foreign subsidiaries, to certain accounts receivable, and to our ability to sell in foreign markets. We are subject to translation exposure of our foreign subsidiaries’ financial statements from local currencies to U.S. Dollars. In recent years, our foreign subsidiaries have not generated a substantial portion of our consolidated sales or net income. In addition, the portion of our consolidated accounts receivable denominated in foreign currencies is not significant. Finally, foreign sales of our products may be influenced by the relative strength or weakness of the U.S. Dollar compared to various other currencies, which makes our products relatively more or less expensive than our foreign competitors' products in local marketplaces. Foreign currency fluctuations had some bearing on our operating results in the first nine months of fiscal 2016; however, historically the overall foreign currency fluctuation risk has not been material to our Consolidated Financial Statements and in the first nine months of fiscal 2016 we did not enter into any hedge contracts in an attempt to offset any adverse effect of changes in currency exchange rates.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purchase fuel at spot rates on a month to month basis and we may contract for a portion of our anticipated fuel needs using forward purchase contracts to mitigate the volatility of our kiln fuel prices. As of April 30, 2016, we have purchased natural gas contracts for approximately 26% of our planned kiln fuel needs for the remainder of fiscal 2016 and approximately 6% of our planned kiln fuel needs for fiscal 2017. All contracts are related to the normal course of business and no contracts are entered into for speculative purposes.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The tables below provide information about our natural gas purchase contracts, which are sensitive to changes in commodity prices. For the purchase contracts outstanding at April 30, 2016, the tables present the notional amounts in MMBtu's, the weighted average contract prices, and the total dollar contract amount which will mature by our fiscal years ended July 31, 2016 and 2017. The Fair Value was determined using the most recent settle price for the Henry Hub Natural Gas Futures contract prices listed by the New York Mercantile Exchange on May 17, 2016.</w:t>
      </w:r>
    </w:p>
    <w:p>
      <w:pPr>
        <w:spacing w:after="0" w:line="334"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2"/>
          </w:tcPr>
          <w:p>
            <w:pPr>
              <w:jc w:val="center"/>
              <w:ind w:right="110"/>
              <w:spacing w:after="0"/>
              <w:rPr>
                <w:sz w:val="20"/>
                <w:szCs w:val="20"/>
                <w:color w:val="auto"/>
              </w:rPr>
            </w:pPr>
            <w:r>
              <w:rPr>
                <w:rFonts w:ascii="Arial" w:cs="Arial" w:eastAsia="Arial" w:hAnsi="Arial"/>
                <w:sz w:val="18"/>
                <w:szCs w:val="18"/>
                <w:color w:val="auto"/>
                <w:w w:val="93"/>
              </w:rPr>
              <w:t>Commodity Price Sensitivity</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Natural Gas Future Contracts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For the Three Months Ending July 31, 2016</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Pr>
          <w:p>
            <w:pPr>
              <w:jc w:val="center"/>
              <w:ind w:right="550"/>
              <w:spacing w:after="0"/>
              <w:rPr>
                <w:sz w:val="20"/>
                <w:szCs w:val="20"/>
                <w:color w:val="auto"/>
              </w:rPr>
            </w:pPr>
            <w:r>
              <w:rPr>
                <w:rFonts w:ascii="Arial" w:cs="Arial" w:eastAsia="Arial" w:hAnsi="Arial"/>
                <w:sz w:val="18"/>
                <w:szCs w:val="18"/>
                <w:color w:val="auto"/>
                <w:w w:val="90"/>
              </w:rPr>
              <w:t>Expected Fiscal 2016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jc w:val="center"/>
              <w:ind w:right="550"/>
              <w:spacing w:after="0"/>
              <w:rPr>
                <w:sz w:val="20"/>
                <w:szCs w:val="20"/>
                <w:color w:val="auto"/>
              </w:rPr>
            </w:pPr>
            <w:r>
              <w:rPr>
                <w:rFonts w:ascii="Arial" w:cs="Arial" w:eastAsia="Arial" w:hAnsi="Arial"/>
                <w:sz w:val="18"/>
                <w:szCs w:val="18"/>
                <w:color w:val="auto"/>
                <w:w w:val="99"/>
              </w:rPr>
              <w:t>Maturity</w:t>
            </w:r>
          </w:p>
        </w:tc>
        <w:tc>
          <w:tcPr>
            <w:tcW w:w="1800" w:type="dxa"/>
            <w:vAlign w:val="bottom"/>
          </w:tcPr>
          <w:p>
            <w:pPr>
              <w:jc w:val="right"/>
              <w:ind w:right="67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7"/>
        </w:trPr>
        <w:tc>
          <w:tcPr>
            <w:tcW w:w="2380" w:type="dxa"/>
            <w:vAlign w:val="bottom"/>
            <w:vMerge w:val="restart"/>
          </w:tcPr>
          <w:p>
            <w:pPr>
              <w:spacing w:after="0"/>
              <w:rPr>
                <w:sz w:val="20"/>
                <w:szCs w:val="20"/>
                <w:color w:val="auto"/>
              </w:rPr>
            </w:pPr>
            <w:r>
              <w:rPr>
                <w:rFonts w:ascii="Arial" w:cs="Arial" w:eastAsia="Arial" w:hAnsi="Arial"/>
                <w:sz w:val="18"/>
                <w:szCs w:val="18"/>
                <w:color w:val="auto"/>
              </w:rPr>
              <w:t>Natural Gas Future Volumes</w:t>
            </w: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(MMBtu)</w:t>
            </w:r>
          </w:p>
        </w:tc>
        <w:tc>
          <w:tcPr>
            <w:tcW w:w="220" w:type="dxa"/>
            <w:vAlign w:val="bottom"/>
          </w:tcPr>
          <w:p>
            <w:pPr>
              <w:spacing w:after="0"/>
              <w:rPr>
                <w:sz w:val="20"/>
                <w:szCs w:val="20"/>
                <w:color w:val="auto"/>
              </w:rPr>
            </w:pPr>
          </w:p>
        </w:tc>
        <w:tc>
          <w:tcPr>
            <w:tcW w:w="2440" w:type="dxa"/>
            <w:vAlign w:val="bottom"/>
          </w:tcPr>
          <w:p>
            <w:pPr>
              <w:jc w:val="right"/>
              <w:ind w:right="410"/>
              <w:spacing w:after="0"/>
              <w:rPr>
                <w:sz w:val="20"/>
                <w:szCs w:val="20"/>
                <w:color w:val="auto"/>
              </w:rPr>
            </w:pPr>
            <w:r>
              <w:rPr>
                <w:rFonts w:ascii="Arial" w:cs="Arial" w:eastAsia="Arial" w:hAnsi="Arial"/>
                <w:sz w:val="18"/>
                <w:szCs w:val="18"/>
                <w:color w:val="auto"/>
              </w:rPr>
              <w:t>120,000</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0"/>
                <w:szCs w:val="20"/>
                <w:color w:val="auto"/>
              </w:rPr>
            </w:pPr>
            <w:r>
              <w:rPr>
                <w:rFonts w:ascii="Arial" w:cs="Arial" w:eastAsia="Arial" w:hAnsi="Arial"/>
                <w:sz w:val="18"/>
                <w:szCs w:val="18"/>
                <w:color w:val="auto"/>
              </w:rPr>
              <w:t>Weighted Average Price (Per</w:t>
            </w:r>
          </w:p>
        </w:tc>
        <w:tc>
          <w:tcPr>
            <w:tcW w:w="2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MMBtu)</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ind w:right="410"/>
              <w:spacing w:after="0"/>
              <w:rPr>
                <w:sz w:val="20"/>
                <w:szCs w:val="20"/>
                <w:color w:val="auto"/>
              </w:rPr>
            </w:pPr>
            <w:r>
              <w:rPr>
                <w:rFonts w:ascii="Arial" w:cs="Arial" w:eastAsia="Arial" w:hAnsi="Arial"/>
                <w:sz w:val="18"/>
                <w:szCs w:val="18"/>
                <w:color w:val="auto"/>
              </w:rPr>
              <w:t>2.22</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0"/>
                <w:szCs w:val="20"/>
                <w:color w:val="auto"/>
              </w:rPr>
            </w:pPr>
            <w:r>
              <w:rPr>
                <w:rFonts w:ascii="Arial" w:cs="Arial" w:eastAsia="Arial" w:hAnsi="Arial"/>
                <w:sz w:val="18"/>
                <w:szCs w:val="18"/>
                <w:color w:val="auto"/>
                <w:w w:val="98"/>
              </w:rPr>
              <w:t>Contracted Amount ($ U.S., in</w:t>
            </w:r>
          </w:p>
        </w:tc>
        <w:tc>
          <w:tcPr>
            <w:tcW w:w="2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ind w:right="230"/>
              <w:spacing w:after="0"/>
              <w:rPr>
                <w:sz w:val="20"/>
                <w:szCs w:val="20"/>
                <w:color w:val="auto"/>
              </w:rPr>
            </w:pPr>
            <w:r>
              <w:rPr>
                <w:rFonts w:ascii="Arial" w:cs="Arial" w:eastAsia="Arial" w:hAnsi="Arial"/>
                <w:sz w:val="18"/>
                <w:szCs w:val="18"/>
                <w:color w:val="auto"/>
              </w:rPr>
              <w:t>266 $</w:t>
            </w:r>
          </w:p>
        </w:tc>
        <w:tc>
          <w:tcPr>
            <w:tcW w:w="18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823"/>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2"/>
          </w:tcPr>
          <w:p>
            <w:pPr>
              <w:jc w:val="center"/>
              <w:ind w:right="110"/>
              <w:spacing w:after="0"/>
              <w:rPr>
                <w:sz w:val="20"/>
                <w:szCs w:val="20"/>
                <w:color w:val="auto"/>
              </w:rPr>
            </w:pPr>
            <w:r>
              <w:rPr>
                <w:rFonts w:ascii="Arial" w:cs="Arial" w:eastAsia="Arial" w:hAnsi="Arial"/>
                <w:sz w:val="18"/>
                <w:szCs w:val="18"/>
                <w:color w:val="auto"/>
                <w:w w:val="93"/>
              </w:rPr>
              <w:t>Commodity Price Sensitivity</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Natural Gas Future Contracts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2"/>
          </w:tcPr>
          <w:p>
            <w:pPr>
              <w:jc w:val="center"/>
              <w:ind w:right="130"/>
              <w:spacing w:after="0"/>
              <w:rPr>
                <w:sz w:val="20"/>
                <w:szCs w:val="20"/>
                <w:color w:val="auto"/>
              </w:rPr>
            </w:pPr>
            <w:r>
              <w:rPr>
                <w:rFonts w:ascii="Arial" w:cs="Arial" w:eastAsia="Arial" w:hAnsi="Arial"/>
                <w:sz w:val="18"/>
                <w:szCs w:val="18"/>
                <w:color w:val="auto"/>
                <w:w w:val="91"/>
              </w:rPr>
              <w:t>For the Twelve Months Ending July 31, 2017</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Pr>
          <w:p>
            <w:pPr>
              <w:jc w:val="center"/>
              <w:ind w:right="550"/>
              <w:spacing w:after="0"/>
              <w:rPr>
                <w:sz w:val="20"/>
                <w:szCs w:val="20"/>
                <w:color w:val="auto"/>
              </w:rPr>
            </w:pPr>
            <w:r>
              <w:rPr>
                <w:rFonts w:ascii="Arial" w:cs="Arial" w:eastAsia="Arial" w:hAnsi="Arial"/>
                <w:sz w:val="18"/>
                <w:szCs w:val="18"/>
                <w:color w:val="auto"/>
                <w:w w:val="90"/>
              </w:rPr>
              <w:t>Expected Fiscal 2017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jc w:val="center"/>
              <w:ind w:right="550"/>
              <w:spacing w:after="0"/>
              <w:rPr>
                <w:sz w:val="20"/>
                <w:szCs w:val="20"/>
                <w:color w:val="auto"/>
              </w:rPr>
            </w:pPr>
            <w:r>
              <w:rPr>
                <w:rFonts w:ascii="Arial" w:cs="Arial" w:eastAsia="Arial" w:hAnsi="Arial"/>
                <w:sz w:val="18"/>
                <w:szCs w:val="18"/>
                <w:color w:val="auto"/>
                <w:w w:val="99"/>
              </w:rPr>
              <w:t>Maturity</w:t>
            </w:r>
          </w:p>
        </w:tc>
        <w:tc>
          <w:tcPr>
            <w:tcW w:w="1800" w:type="dxa"/>
            <w:vAlign w:val="bottom"/>
          </w:tcPr>
          <w:p>
            <w:pPr>
              <w:jc w:val="right"/>
              <w:ind w:right="67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7"/>
        </w:trPr>
        <w:tc>
          <w:tcPr>
            <w:tcW w:w="2380" w:type="dxa"/>
            <w:vAlign w:val="bottom"/>
            <w:vMerge w:val="restart"/>
          </w:tcPr>
          <w:p>
            <w:pPr>
              <w:spacing w:after="0"/>
              <w:rPr>
                <w:sz w:val="20"/>
                <w:szCs w:val="20"/>
                <w:color w:val="auto"/>
              </w:rPr>
            </w:pPr>
            <w:r>
              <w:rPr>
                <w:rFonts w:ascii="Arial" w:cs="Arial" w:eastAsia="Arial" w:hAnsi="Arial"/>
                <w:sz w:val="18"/>
                <w:szCs w:val="18"/>
                <w:color w:val="auto"/>
              </w:rPr>
              <w:t>Natural Gas Future Volumes</w:t>
            </w: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(MMBtu)</w:t>
            </w:r>
          </w:p>
        </w:tc>
        <w:tc>
          <w:tcPr>
            <w:tcW w:w="220" w:type="dxa"/>
            <w:vAlign w:val="bottom"/>
          </w:tcPr>
          <w:p>
            <w:pPr>
              <w:spacing w:after="0"/>
              <w:rPr>
                <w:sz w:val="20"/>
                <w:szCs w:val="20"/>
                <w:color w:val="auto"/>
              </w:rPr>
            </w:pPr>
          </w:p>
        </w:tc>
        <w:tc>
          <w:tcPr>
            <w:tcW w:w="2440" w:type="dxa"/>
            <w:vAlign w:val="bottom"/>
          </w:tcPr>
          <w:p>
            <w:pPr>
              <w:jc w:val="right"/>
              <w:ind w:right="410"/>
              <w:spacing w:after="0"/>
              <w:rPr>
                <w:sz w:val="20"/>
                <w:szCs w:val="20"/>
                <w:color w:val="auto"/>
              </w:rPr>
            </w:pPr>
            <w:r>
              <w:rPr>
                <w:rFonts w:ascii="Arial" w:cs="Arial" w:eastAsia="Arial" w:hAnsi="Arial"/>
                <w:sz w:val="18"/>
                <w:szCs w:val="18"/>
                <w:color w:val="auto"/>
              </w:rPr>
              <w:t>120,000</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0"/>
                <w:szCs w:val="20"/>
                <w:color w:val="auto"/>
              </w:rPr>
            </w:pPr>
            <w:r>
              <w:rPr>
                <w:rFonts w:ascii="Arial" w:cs="Arial" w:eastAsia="Arial" w:hAnsi="Arial"/>
                <w:sz w:val="18"/>
                <w:szCs w:val="18"/>
                <w:color w:val="auto"/>
              </w:rPr>
              <w:t>Weighted Average Price (Per</w:t>
            </w:r>
          </w:p>
        </w:tc>
        <w:tc>
          <w:tcPr>
            <w:tcW w:w="2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MMBtu)</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ind w:right="410"/>
              <w:spacing w:after="0"/>
              <w:rPr>
                <w:sz w:val="20"/>
                <w:szCs w:val="20"/>
                <w:color w:val="auto"/>
              </w:rPr>
            </w:pPr>
            <w:r>
              <w:rPr>
                <w:rFonts w:ascii="Arial" w:cs="Arial" w:eastAsia="Arial" w:hAnsi="Arial"/>
                <w:sz w:val="18"/>
                <w:szCs w:val="18"/>
                <w:color w:val="auto"/>
              </w:rPr>
              <w:t>2.33</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0"/>
                <w:szCs w:val="20"/>
                <w:color w:val="auto"/>
              </w:rPr>
            </w:pPr>
            <w:r>
              <w:rPr>
                <w:rFonts w:ascii="Arial" w:cs="Arial" w:eastAsia="Arial" w:hAnsi="Arial"/>
                <w:sz w:val="18"/>
                <w:szCs w:val="18"/>
                <w:color w:val="auto"/>
                <w:w w:val="98"/>
              </w:rPr>
              <w:t>Contracted Amount ($ U.S., in</w:t>
            </w:r>
          </w:p>
        </w:tc>
        <w:tc>
          <w:tcPr>
            <w:tcW w:w="2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ind w:right="230"/>
              <w:spacing w:after="0"/>
              <w:rPr>
                <w:sz w:val="20"/>
                <w:szCs w:val="20"/>
                <w:color w:val="auto"/>
              </w:rPr>
            </w:pPr>
            <w:r>
              <w:rPr>
                <w:rFonts w:ascii="Arial" w:cs="Arial" w:eastAsia="Arial" w:hAnsi="Arial"/>
                <w:sz w:val="18"/>
                <w:szCs w:val="18"/>
                <w:color w:val="auto"/>
              </w:rPr>
              <w:t>280 $</w:t>
            </w:r>
          </w:p>
        </w:tc>
        <w:tc>
          <w:tcPr>
            <w:tcW w:w="180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fiscal quarter ended April 30, 2016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90" w:lineRule="auto"/>
        <w:rPr>
          <w:sz w:val="20"/>
          <w:szCs w:val="20"/>
          <w:color w:val="auto"/>
        </w:rPr>
      </w:pPr>
      <w:r>
        <w:rPr>
          <w:rFonts w:ascii="Arial" w:cs="Arial" w:eastAsia="Arial" w:hAnsi="Arial"/>
          <w:sz w:val="16"/>
          <w:szCs w:val="16"/>
          <w:color w:val="auto"/>
        </w:rPr>
        <w:t>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Items 1, 1A, 2, 3 and 5 of this Part II are either inapplicable or are answered in the negative and are omitted pursuant to the instructions to Part 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June 7, 2016</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320"/>
          </w:cols>
          <w:pgMar w:left="580" w:top="584" w:right="9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6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3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3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For the Nine Months Ended April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 available to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w:t>
            </w:r>
          </w:p>
        </w:tc>
        <w:tc>
          <w:tcPr>
            <w:tcW w:w="180" w:type="dxa"/>
            <w:vAlign w:val="bottom"/>
          </w:tcPr>
          <w:p>
            <w:pPr>
              <w:spacing w:after="0"/>
              <w:rPr>
                <w:sz w:val="19"/>
                <w:szCs w:val="19"/>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(192)</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earnings available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8,160</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4,986</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2,055</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2,049</w:t>
            </w:r>
          </w:p>
        </w:tc>
        <w:tc>
          <w:tcPr>
            <w:tcW w:w="4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 and</w:t>
            </w: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non-vested restricted stock *</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vMerge w:val="continue"/>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7,041</w:t>
            </w:r>
          </w:p>
        </w:tc>
        <w:tc>
          <w:tcPr>
            <w:tcW w:w="4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7,046</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7,085</w:t>
            </w:r>
          </w:p>
        </w:tc>
        <w:tc>
          <w:tcPr>
            <w:tcW w:w="4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 Per Share: Basic Common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Income Per Share: Basic Class B Common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(0.10)</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0.94</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 Per Share: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3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table above, a total of 72,000 of potential common stock relating to stock options and non-vested restricted stock were excluded from the calculation of diluted net loss per share for the three months ended April 30, 2016 since their effects were anti-dilutive.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June 7, 2016</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June 7, 2016</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June 7,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June 7,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2016.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10,124</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April 30, 2016.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1"/>
    </w:lvl>
  </w:abstractNum>
  <w:abstractNum w:abstractNumId="3">
    <w:nsid w:val="3D1B58BA"/>
    <w:multiLevelType w:val="hybridMultilevel"/>
    <w:lvl w:ilvl="0">
      <w:lvlJc w:val="left"/>
      <w:lvlText w:val="%1"/>
      <w:numFmt w:val="decimal"/>
      <w:start w:val="3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6">
    <w:nsid w:val="41B71EF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2020-01-20T16:37:35Z</dcterms:created>
  <dcterms:modified xsi:type="dcterms:W3CDTF">2020-01-20T16:37:35Z</dcterms:modified>
</cp:coreProperties>
</file>