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oc6018.htm"/>
      <w:bookmarkStart w:id="1" w:name="ksoc6018"/>
      <w:bookmarkStart w:id="2" w:name="oc6018.htm"/>
      <w:bookmarkStart w:id="3" w:name="ksoc6018"/>
      <w:bookmarkEnd w:id="2"/>
      <w:bookmarkEnd w:id="3"/>
    </w:p>
    <w:p>
      <w:pPr>
        <w:pStyle w:val="TextBody"/>
        <w:jc w:val="center"/>
        <w:rPr/>
      </w:pPr>
      <w:r>
        <w:rPr>
          <w:rFonts w:ascii="Times New Roman" w:hAnsi="Times New Roman"/>
          <w:b/>
          <w:sz w:val="36"/>
        </w:rPr>
        <w:t>UNITED STATES</w:t>
        <w:br/>
        <w:t>SECURITIES AND EXCHANGE COMMISSION</w:t>
        <w:br/>
      </w:r>
      <w:r>
        <w:rPr>
          <w:b/>
          <w:sz w:val="24"/>
        </w:rPr>
        <w:t>Washington, D.C. 20549</w:t>
      </w:r>
    </w:p>
    <w:p>
      <w:pPr>
        <w:pStyle w:val="TextBody"/>
        <w:jc w:val="center"/>
        <w:rPr>
          <w:rFonts w:ascii="Times New Roman" w:hAnsi="Times New Roman"/>
          <w:b/>
          <w:sz w:val="36"/>
        </w:rPr>
      </w:pPr>
      <w:r>
        <w:rPr>
          <w:rFonts w:ascii="Times New Roman" w:hAnsi="Times New Roman"/>
          <w:b/>
          <w:sz w:val="36"/>
        </w:rPr>
        <w:t>FORM 8-K</w:t>
      </w:r>
    </w:p>
    <w:p>
      <w:pPr>
        <w:pStyle w:val="TextBody"/>
        <w:jc w:val="center"/>
        <w:rPr>
          <w:rFonts w:ascii="Times New Roman" w:hAnsi="Times New Roman"/>
          <w:b/>
          <w:sz w:val="24"/>
        </w:rPr>
      </w:pPr>
      <w:r>
        <w:rPr>
          <w:rFonts w:ascii="Times New Roman" w:hAnsi="Times New Roman"/>
          <w:b/>
          <w:sz w:val="24"/>
        </w:rPr>
        <w:t>CURRENT REPORT</w:t>
      </w:r>
    </w:p>
    <w:p>
      <w:pPr>
        <w:pStyle w:val="TextBody"/>
        <w:jc w:val="center"/>
        <w:rPr>
          <w:rFonts w:ascii="Times New Roman" w:hAnsi="Times New Roman"/>
          <w:b/>
          <w:sz w:val="24"/>
        </w:rPr>
      </w:pPr>
      <w:r>
        <w:rPr>
          <w:rFonts w:ascii="Times New Roman" w:hAnsi="Times New Roman"/>
          <w:b/>
          <w:sz w:val="24"/>
        </w:rPr>
        <w:t>Pursuant to Section 13 or 15(d) of the Securities Exchange Act of 1934</w:t>
      </w:r>
    </w:p>
    <w:p>
      <w:pPr>
        <w:pStyle w:val="TextBody"/>
        <w:jc w:val="center"/>
        <w:rPr>
          <w:rFonts w:ascii="Times New Roman" w:hAnsi="Times New Roman"/>
          <w:b/>
          <w:sz w:val="20"/>
        </w:rPr>
      </w:pPr>
      <w:r>
        <w:rPr>
          <w:rFonts w:ascii="Times New Roman" w:hAnsi="Times New Roman"/>
          <w:b/>
          <w:sz w:val="20"/>
        </w:rPr>
        <w:t>Date of Report (Date of earliest event reported)   May 25, 2006</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center"/>
              <w:rPr>
                <w:rFonts w:ascii="Times New Roman" w:hAnsi="Times New Roman"/>
                <w:b/>
                <w:sz w:val="48"/>
              </w:rPr>
            </w:pPr>
            <w:r>
              <w:rPr>
                <w:rFonts w:ascii="Times New Roman" w:hAnsi="Times New Roman"/>
                <w:b/>
                <w:sz w:val="48"/>
              </w:rPr>
              <w:t>Oil-Dri Corporation of America</w:t>
            </w:r>
          </w:p>
        </w:tc>
      </w:tr>
      <w:tr>
        <w:trPr/>
        <w:tc>
          <w:tcPr>
            <w:tcW w:w="10205" w:type="dxa"/>
            <w:tcBorders/>
            <w:shd w:fill="auto" w:val="clear"/>
            <w:vAlign w:val="bottom"/>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(Exact name of registrant as specified in its charter)</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3267"/>
        <w:gridCol w:w="201"/>
        <w:gridCol w:w="3268"/>
        <w:gridCol w:w="201"/>
        <w:gridCol w:w="3268"/>
      </w:tblGrid>
      <w:tr>
        <w:trPr/>
        <w:tc>
          <w:tcPr>
            <w:tcW w:w="326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tcPr>
          <w:p>
            <w:pPr>
              <w:pStyle w:val="TableContents"/>
              <w:spacing w:before="0" w:after="283"/>
              <w:rPr/>
            </w:pPr>
            <w:r>
              <w:rPr/>
              <w:t> </w:t>
            </w:r>
          </w:p>
        </w:tc>
        <w:tc>
          <w:tcPr>
            <w:tcW w:w="326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0-8675</w:t>
            </w:r>
          </w:p>
        </w:tc>
        <w:tc>
          <w:tcPr>
            <w:tcW w:w="201" w:type="dxa"/>
            <w:tcBorders/>
            <w:shd w:fill="auto" w:val="clear"/>
            <w:vAlign w:val="bottom"/>
          </w:tcPr>
          <w:p>
            <w:pPr>
              <w:pStyle w:val="TableContents"/>
              <w:spacing w:before="0" w:after="283"/>
              <w:jc w:val="center"/>
              <w:rPr/>
            </w:pPr>
            <w:r>
              <w:rPr/>
              <w:t> </w:t>
            </w:r>
          </w:p>
        </w:tc>
        <w:tc>
          <w:tcPr>
            <w:tcW w:w="326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36-2048898</w:t>
            </w:r>
          </w:p>
        </w:tc>
      </w:tr>
      <w:tr>
        <w:trPr/>
        <w:tc>
          <w:tcPr>
            <w:tcW w:w="3267" w:type="dxa"/>
            <w:tcBorders/>
            <w:shd w:fill="auto" w:val="clear"/>
            <w:vAlign w:val="bottom"/>
          </w:tcPr>
          <w:p>
            <w:pPr>
              <w:pStyle w:val="HorizontalLine"/>
              <w:pBdr>
                <w:bottom w:val="single" w:sz="6" w:space="0" w:color="000000"/>
              </w:pBdr>
              <w:spacing w:before="0" w:after="283"/>
              <w:rPr/>
            </w:pPr>
            <w:r>
              <w:rPr/>
            </w:r>
          </w:p>
        </w:tc>
        <w:tc>
          <w:tcPr>
            <w:tcW w:w="201" w:type="dxa"/>
            <w:tcBorders/>
            <w:shd w:fill="auto" w:val="clear"/>
          </w:tcPr>
          <w:p>
            <w:pPr>
              <w:pStyle w:val="TableContents"/>
              <w:spacing w:before="0" w:after="283"/>
              <w:rPr/>
            </w:pPr>
            <w:r>
              <w:rPr/>
              <w:t> </w:t>
            </w:r>
          </w:p>
        </w:tc>
        <w:tc>
          <w:tcPr>
            <w:tcW w:w="3268" w:type="dxa"/>
            <w:tcBorders/>
            <w:shd w:fill="auto" w:val="clear"/>
            <w:vAlign w:val="bottom"/>
          </w:tcPr>
          <w:p>
            <w:pPr>
              <w:pStyle w:val="HorizontalLine"/>
              <w:pBdr>
                <w:bottom w:val="single" w:sz="6" w:space="0" w:color="000000"/>
              </w:pBdr>
              <w:spacing w:before="0" w:after="283"/>
              <w:rPr/>
            </w:pPr>
            <w:r>
              <w:rPr/>
            </w:r>
          </w:p>
        </w:tc>
        <w:tc>
          <w:tcPr>
            <w:tcW w:w="201" w:type="dxa"/>
            <w:tcBorders/>
            <w:shd w:fill="auto" w:val="clear"/>
            <w:vAlign w:val="bottom"/>
          </w:tcPr>
          <w:p>
            <w:pPr>
              <w:pStyle w:val="TableContents"/>
              <w:spacing w:before="0" w:after="283"/>
              <w:jc w:val="center"/>
              <w:rPr/>
            </w:pPr>
            <w:r>
              <w:rPr/>
              <w:t> </w:t>
            </w:r>
          </w:p>
        </w:tc>
        <w:tc>
          <w:tcPr>
            <w:tcW w:w="3268" w:type="dxa"/>
            <w:tcBorders/>
            <w:shd w:fill="auto" w:val="clear"/>
            <w:vAlign w:val="bottom"/>
          </w:tcPr>
          <w:p>
            <w:pPr>
              <w:pStyle w:val="HorizontalLine"/>
              <w:pBdr>
                <w:bottom w:val="single" w:sz="6" w:space="0" w:color="000000"/>
              </w:pBdr>
              <w:spacing w:before="0" w:after="283"/>
              <w:rPr/>
            </w:pPr>
            <w:r>
              <w:rPr/>
            </w:r>
          </w:p>
        </w:tc>
      </w:tr>
      <w:tr>
        <w:trPr/>
        <w:tc>
          <w:tcPr>
            <w:tcW w:w="3267"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(State or other jurisdiction</w:t>
              <w:br/>
              <w:t>of incorporation)</w:t>
            </w:r>
          </w:p>
        </w:tc>
        <w:tc>
          <w:tcPr>
            <w:tcW w:w="201" w:type="dxa"/>
            <w:tcBorders/>
            <w:shd w:fill="auto" w:val="clear"/>
          </w:tcPr>
          <w:p>
            <w:pPr>
              <w:pStyle w:val="TableContents"/>
              <w:spacing w:before="0" w:after="283"/>
              <w:rPr/>
            </w:pPr>
            <w:r>
              <w:rPr/>
              <w:t> </w:t>
            </w:r>
          </w:p>
        </w:tc>
        <w:tc>
          <w:tcPr>
            <w:tcW w:w="3268"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(Commission</w:t>
              <w:br/>
              <w:t>File Number)</w:t>
            </w:r>
          </w:p>
        </w:tc>
        <w:tc>
          <w:tcPr>
            <w:tcW w:w="201" w:type="dxa"/>
            <w:tcBorders/>
            <w:shd w:fill="auto" w:val="clear"/>
            <w:vAlign w:val="bottom"/>
          </w:tcPr>
          <w:p>
            <w:pPr>
              <w:pStyle w:val="TableContents"/>
              <w:spacing w:before="0" w:after="283"/>
              <w:jc w:val="center"/>
              <w:rPr/>
            </w:pPr>
            <w:r>
              <w:rPr/>
              <w:t> </w:t>
            </w:r>
          </w:p>
        </w:tc>
        <w:tc>
          <w:tcPr>
            <w:tcW w:w="3268"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(IRS Employer</w:t>
              <w:br/>
              <w:t>Identification No.)</w:t>
            </w:r>
          </w:p>
        </w:tc>
      </w:tr>
      <w:tr>
        <w:trPr/>
        <w:tc>
          <w:tcPr>
            <w:tcW w:w="3267" w:type="dxa"/>
            <w:tcBorders/>
            <w:shd w:fill="auto" w:val="clear"/>
            <w:vAlign w:val="bottom"/>
          </w:tcPr>
          <w:p>
            <w:pPr>
              <w:pStyle w:val="TableContents"/>
              <w:spacing w:before="0" w:after="283"/>
              <w:rPr/>
            </w:pPr>
            <w:r>
              <w:rPr/>
              <w:t> </w:t>
            </w:r>
          </w:p>
        </w:tc>
        <w:tc>
          <w:tcPr>
            <w:tcW w:w="201" w:type="dxa"/>
            <w:tcBorders/>
            <w:shd w:fill="auto" w:val="clear"/>
          </w:tcPr>
          <w:p>
            <w:pPr>
              <w:pStyle w:val="TableContents"/>
              <w:spacing w:before="0" w:after="283"/>
              <w:rPr/>
            </w:pPr>
            <w:r>
              <w:rPr/>
              <w:t> </w:t>
            </w:r>
          </w:p>
        </w:tc>
        <w:tc>
          <w:tcPr>
            <w:tcW w:w="3268" w:type="dxa"/>
            <w:tcBorders/>
            <w:shd w:fill="auto" w:val="clear"/>
            <w:vAlign w:val="bottom"/>
          </w:tcPr>
          <w:p>
            <w:pPr>
              <w:pStyle w:val="TableContents"/>
              <w:spacing w:before="0" w:after="283"/>
              <w:jc w:val="center"/>
              <w:rPr/>
            </w:pPr>
            <w:r>
              <w:rPr/>
              <w:t> </w:t>
            </w:r>
          </w:p>
        </w:tc>
        <w:tc>
          <w:tcPr>
            <w:tcW w:w="201" w:type="dxa"/>
            <w:tcBorders/>
            <w:shd w:fill="auto" w:val="clear"/>
            <w:vAlign w:val="bottom"/>
          </w:tcPr>
          <w:p>
            <w:pPr>
              <w:pStyle w:val="TableContents"/>
              <w:spacing w:before="0" w:after="283"/>
              <w:jc w:val="center"/>
              <w:rPr/>
            </w:pPr>
            <w:r>
              <w:rPr/>
              <w:t> </w:t>
            </w:r>
          </w:p>
        </w:tc>
        <w:tc>
          <w:tcPr>
            <w:tcW w:w="3268" w:type="dxa"/>
            <w:tcBorders/>
            <w:shd w:fill="auto" w:val="clear"/>
            <w:vAlign w:val="bottom"/>
          </w:tcPr>
          <w:p>
            <w:pPr>
              <w:pStyle w:val="TableContents"/>
              <w:spacing w:before="0" w:after="283"/>
              <w:jc w:val="center"/>
              <w:rPr/>
            </w:pPr>
            <w:r>
              <w:rPr/>
              <w:t> </w:t>
            </w:r>
          </w:p>
        </w:tc>
      </w:tr>
      <w:tr>
        <w:trPr/>
        <w:tc>
          <w:tcPr>
            <w:tcW w:w="6736"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410 North Michigan Avenue</w:t>
              <w:br/>
              <w:t>Suite 400</w:t>
              <w:br/>
              <w:t>Chicago, Illinois</w:t>
            </w:r>
          </w:p>
        </w:tc>
        <w:tc>
          <w:tcPr>
            <w:tcW w:w="201" w:type="dxa"/>
            <w:tcBorders/>
            <w:shd w:fill="auto" w:val="clear"/>
            <w:vAlign w:val="bottom"/>
          </w:tcPr>
          <w:p>
            <w:pPr>
              <w:pStyle w:val="TableContents"/>
              <w:spacing w:before="0" w:after="283"/>
              <w:rPr/>
            </w:pPr>
            <w:r>
              <w:rPr/>
              <w:t> </w:t>
            </w:r>
          </w:p>
        </w:tc>
        <w:tc>
          <w:tcPr>
            <w:tcW w:w="326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60611-4213</w:t>
            </w:r>
          </w:p>
        </w:tc>
      </w:tr>
      <w:tr>
        <w:trPr/>
        <w:tc>
          <w:tcPr>
            <w:tcW w:w="6736" w:type="dxa"/>
            <w:gridSpan w:val="3"/>
            <w:tcBorders/>
            <w:shd w:fill="auto" w:val="clear"/>
            <w:vAlign w:val="bottom"/>
          </w:tcPr>
          <w:p>
            <w:pPr>
              <w:pStyle w:val="HorizontalLine"/>
              <w:pBdr>
                <w:bottom w:val="single" w:sz="6" w:space="0" w:color="000000"/>
              </w:pBdr>
              <w:spacing w:before="0" w:after="283"/>
              <w:rPr/>
            </w:pPr>
            <w:r>
              <w:rPr/>
            </w:r>
          </w:p>
        </w:tc>
        <w:tc>
          <w:tcPr>
            <w:tcW w:w="201" w:type="dxa"/>
            <w:tcBorders/>
            <w:shd w:fill="auto" w:val="clear"/>
            <w:vAlign w:val="bottom"/>
          </w:tcPr>
          <w:p>
            <w:pPr>
              <w:pStyle w:val="TableContents"/>
              <w:spacing w:before="0" w:after="283"/>
              <w:rPr/>
            </w:pPr>
            <w:r>
              <w:rPr/>
              <w:t> </w:t>
            </w:r>
          </w:p>
        </w:tc>
        <w:tc>
          <w:tcPr>
            <w:tcW w:w="3268" w:type="dxa"/>
            <w:tcBorders/>
            <w:shd w:fill="auto" w:val="clear"/>
            <w:vAlign w:val="bottom"/>
          </w:tcPr>
          <w:p>
            <w:pPr>
              <w:pStyle w:val="HorizontalLine"/>
              <w:pBdr>
                <w:bottom w:val="single" w:sz="6" w:space="0" w:color="000000"/>
              </w:pBdr>
              <w:spacing w:before="0" w:after="283"/>
              <w:rPr/>
            </w:pPr>
            <w:r>
              <w:rPr/>
            </w:r>
          </w:p>
        </w:tc>
      </w:tr>
      <w:tr>
        <w:trPr/>
        <w:tc>
          <w:tcPr>
            <w:tcW w:w="6736" w:type="dxa"/>
            <w:gridSpan w:val="3"/>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(Address of principal executive offices)</w:t>
            </w:r>
          </w:p>
        </w:tc>
        <w:tc>
          <w:tcPr>
            <w:tcW w:w="201" w:type="dxa"/>
            <w:tcBorders/>
            <w:shd w:fill="auto" w:val="clear"/>
            <w:vAlign w:val="bottom"/>
          </w:tcPr>
          <w:p>
            <w:pPr>
              <w:pStyle w:val="TableContents"/>
              <w:spacing w:before="0" w:after="283"/>
              <w:rPr/>
            </w:pPr>
            <w:r>
              <w:rPr/>
              <w:t> </w:t>
            </w:r>
          </w:p>
        </w:tc>
        <w:tc>
          <w:tcPr>
            <w:tcW w:w="3268"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(Zip Code)</w:t>
            </w:r>
          </w:p>
        </w:tc>
      </w:tr>
      <w:tr>
        <w:trPr/>
        <w:tc>
          <w:tcPr>
            <w:tcW w:w="6736" w:type="dxa"/>
            <w:gridSpan w:val="3"/>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268" w:type="dxa"/>
            <w:tcBorders/>
            <w:shd w:fill="auto" w:val="clear"/>
            <w:vAlign w:val="bottom"/>
          </w:tcPr>
          <w:p>
            <w:pPr>
              <w:pStyle w:val="TableContents"/>
              <w:spacing w:before="0" w:after="283"/>
              <w:jc w:val="center"/>
              <w:rPr/>
            </w:pPr>
            <w:r>
              <w:rPr/>
              <w:t> </w:t>
            </w:r>
          </w:p>
        </w:tc>
      </w:tr>
      <w:tr>
        <w:trPr/>
        <w:tc>
          <w:tcPr>
            <w:tcW w:w="10205" w:type="dxa"/>
            <w:gridSpan w:val="5"/>
            <w:tcBorders/>
            <w:shd w:fill="auto" w:val="clear"/>
            <w:vAlign w:val="bottom"/>
          </w:tcPr>
          <w:p>
            <w:pPr>
              <w:pStyle w:val="TableContents"/>
              <w:spacing w:before="0" w:after="283"/>
              <w:rPr/>
            </w:pPr>
            <w:r>
              <w:rPr/>
              <w:t> </w:t>
            </w:r>
          </w:p>
        </w:tc>
      </w:tr>
      <w:tr>
        <w:trPr/>
        <w:tc>
          <w:tcPr>
            <w:tcW w:w="10205" w:type="dxa"/>
            <w:gridSpan w:val="5"/>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Registrants telephone number, including area code (312) 321-1515</w:t>
            </w:r>
          </w:p>
        </w:tc>
      </w:tr>
      <w:tr>
        <w:trPr/>
        <w:tc>
          <w:tcPr>
            <w:tcW w:w="10205" w:type="dxa"/>
            <w:gridSpan w:val="5"/>
            <w:tcBorders/>
            <w:shd w:fill="auto" w:val="clear"/>
            <w:vAlign w:val="bottom"/>
          </w:tcPr>
          <w:p>
            <w:pPr>
              <w:pStyle w:val="TableContents"/>
              <w:spacing w:before="0" w:after="283"/>
              <w:rPr/>
            </w:pPr>
            <w:r>
              <w:rPr/>
              <w:t> </w:t>
            </w:r>
          </w:p>
        </w:tc>
      </w:tr>
      <w:tr>
        <w:trPr/>
        <w:tc>
          <w:tcPr>
            <w:tcW w:w="10205" w:type="dxa"/>
            <w:gridSpan w:val="5"/>
            <w:tcBorders/>
            <w:shd w:fill="auto" w:val="clear"/>
            <w:vAlign w:val="bottom"/>
          </w:tcPr>
          <w:p>
            <w:pPr>
              <w:pStyle w:val="TableContents"/>
              <w:spacing w:before="0" w:after="283"/>
              <w:rPr/>
            </w:pPr>
            <w:r>
              <w:rPr/>
              <w:t> </w:t>
            </w:r>
          </w:p>
        </w:tc>
      </w:tr>
      <w:tr>
        <w:trPr/>
        <w:tc>
          <w:tcPr>
            <w:tcW w:w="10205" w:type="dxa"/>
            <w:gridSpan w:val="5"/>
            <w:tcBorders/>
            <w:shd w:fill="auto" w:val="clear"/>
            <w:vAlign w:val="bottom"/>
          </w:tcPr>
          <w:p>
            <w:pPr>
              <w:pStyle w:val="HorizontalLine"/>
              <w:pBdr>
                <w:bottom w:val="single" w:sz="6" w:space="0" w:color="000000"/>
              </w:pBdr>
              <w:spacing w:before="0" w:after="283"/>
              <w:rPr/>
            </w:pPr>
            <w:r>
              <w:rPr/>
            </w:r>
          </w:p>
        </w:tc>
      </w:tr>
      <w:tr>
        <w:trPr/>
        <w:tc>
          <w:tcPr>
            <w:tcW w:w="10205" w:type="dxa"/>
            <w:gridSpan w:val="5"/>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(Former name or former address, if changed since last report.)</w:t>
            </w:r>
          </w:p>
        </w:tc>
      </w:tr>
    </w:tbl>
    <w:p>
      <w:pPr>
        <w:pStyle w:val="TextBody"/>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tbl>
      <w:tblPr>
        <w:tblW w:w="5000" w:type="pct"/>
        <w:jc w:val="center"/>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pPr>
            <w:r>
              <w:rPr/>
              <w:t> </w:t>
            </w:r>
            <w:r>
              <w:rPr>
                <w:rFonts w:ascii="Times New Roman" w:hAnsi="Times New Roman"/>
                <w:sz w:val="20"/>
              </w:rPr>
              <w:t>Soliciting material pursuant to Rule 14a-12 under the Exchange Act (17 CFR 240.14a-12)</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Pre-commencement communications pursuant to Rule 13e-4(c) under the Exchange Act (17 CFR 240.13e-4(c))</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10205" w:type="dxa"/>
            <w:gridSpan w:val="2"/>
            <w:tcBorders/>
            <w:shd w:fill="auto" w:val="clear"/>
          </w:tcPr>
          <w:p>
            <w:pPr>
              <w:pStyle w:val="HorizontalLine"/>
              <w:pBdr>
                <w:bottom w:val="single" w:sz="24" w:space="0" w:color="000000"/>
              </w:pBdr>
              <w:spacing w:before="0" w:after="283"/>
              <w:rPr/>
            </w:pPr>
            <w:r>
              <w:rPr/>
            </w:r>
          </w:p>
        </w:tc>
      </w:tr>
    </w:tbl>
    <w:p>
      <w:pPr>
        <w:pStyle w:val="TextBody"/>
        <w:spacing w:before="0" w:after="0"/>
        <w:rPr/>
      </w:pPr>
      <w:r>
        <w:rPr/>
      </w:r>
    </w:p>
    <w:p>
      <w:pPr>
        <w:pStyle w:val="TextBody"/>
        <w:rPr/>
      </w:pPr>
      <w:r>
        <w:rPr/>
      </w:r>
    </w:p>
    <w:p>
      <w:pPr>
        <w:pStyle w:val="TextBody"/>
        <w:rPr>
          <w:rFonts w:ascii="Times New Roman" w:hAnsi="Times New Roman"/>
          <w:b/>
          <w:sz w:val="20"/>
        </w:rPr>
      </w:pPr>
      <w:r>
        <w:rPr>
          <w:rFonts w:ascii="Times New Roman" w:hAnsi="Times New Roman"/>
          <w:b/>
          <w:sz w:val="20"/>
          <w:u w:val="single"/>
        </w:rPr>
        <w:t>Item 2.02</w:t>
      </w:r>
      <w:r>
        <w:rPr>
          <w:rFonts w:ascii="Times New Roman" w:hAnsi="Times New Roman"/>
          <w:b/>
          <w:sz w:val="20"/>
        </w:rPr>
        <w:t>  Results of Operations and Financial Condition.</w:t>
      </w:r>
    </w:p>
    <w:p>
      <w:pPr>
        <w:pStyle w:val="TextBody"/>
        <w:rPr>
          <w:rFonts w:ascii="Times New Roman" w:hAnsi="Times New Roman"/>
          <w:sz w:val="20"/>
        </w:rPr>
      </w:pPr>
      <w:r>
        <w:rPr>
          <w:rFonts w:ascii="Times New Roman" w:hAnsi="Times New Roman"/>
          <w:sz w:val="20"/>
        </w:rPr>
        <w:t xml:space="preserve">On May 25, 2006, Oil-Dri Corporation of America (the Registrant) issued a press release announcing its results of operations for the third quarter and first nine months of its fiscal year 2006.  A copy of the press release is attached as Exhibit 99.1 and the information contained therein is incorporated herein by reference.  The information contained in this Form 8-K, including the exhibit, shall not be deemed filed for purposes of Section 18 of the Securities Exchange Act of 1934, and it shall not be deemed incorporated by reference into any filing under the Securities Act of 1933, except as shall be expressly set forth by specific reference in such filing. </w:t>
      </w:r>
    </w:p>
    <w:p>
      <w:pPr>
        <w:pStyle w:val="TextBody"/>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rPr>
          <w:rFonts w:ascii="Times New Roman" w:hAnsi="Times New Roman"/>
          <w:sz w:val="20"/>
        </w:rPr>
      </w:pPr>
      <w:r>
        <w:rPr>
          <w:rFonts w:ascii="Times New Roman" w:hAnsi="Times New Roman"/>
          <w:sz w:val="20"/>
        </w:rPr>
        <w:t>(d)  Exhibits</w:t>
      </w:r>
    </w:p>
    <w:tbl>
      <w:tblPr>
        <w:tblW w:w="5000" w:type="pct"/>
        <w:jc w:val="center"/>
        <w:tblInd w:w="0" w:type="dxa"/>
        <w:tblCellMar>
          <w:top w:w="0" w:type="dxa"/>
          <w:left w:w="0" w:type="dxa"/>
          <w:bottom w:w="0" w:type="dxa"/>
          <w:right w:w="0" w:type="dxa"/>
        </w:tblCellMar>
      </w:tblPr>
      <w:tblGrid>
        <w:gridCol w:w="815"/>
        <w:gridCol w:w="204"/>
        <w:gridCol w:w="9186"/>
      </w:tblGrid>
      <w:tr>
        <w:trPr/>
        <w:tc>
          <w:tcPr>
            <w:tcW w:w="815" w:type="dxa"/>
            <w:vMerge w:val="restart"/>
            <w:tcBorders/>
            <w:shd w:fill="auto" w:val="clear"/>
          </w:tcPr>
          <w:p>
            <w:pPr>
              <w:pStyle w:val="TableContents"/>
              <w:spacing w:before="0" w:after="283"/>
              <w:rPr>
                <w:rFonts w:ascii="Times New Roman" w:hAnsi="Times New Roman"/>
                <w:b/>
                <w:sz w:val="14"/>
              </w:rPr>
            </w:pPr>
            <w:r>
              <w:rPr>
                <w:rFonts w:ascii="Times New Roman" w:hAnsi="Times New Roman"/>
                <w:b/>
                <w:sz w:val="14"/>
              </w:rPr>
              <w:t>Exhibit</w:t>
              <w:br/>
              <w:t>Number</w:t>
            </w:r>
          </w:p>
        </w:tc>
        <w:tc>
          <w:tcPr>
            <w:tcW w:w="204" w:type="dxa"/>
            <w:tcBorders/>
            <w:shd w:fill="auto" w:val="clear"/>
          </w:tcPr>
          <w:p>
            <w:pPr>
              <w:pStyle w:val="TableContents"/>
              <w:spacing w:before="0" w:after="283"/>
              <w:jc w:val="center"/>
              <w:rPr/>
            </w:pPr>
            <w:r>
              <w:rPr/>
              <w:t> </w:t>
            </w:r>
          </w:p>
        </w:tc>
        <w:tc>
          <w:tcPr>
            <w:tcW w:w="9186" w:type="dxa"/>
            <w:tcBorders/>
            <w:shd w:fill="auto" w:val="clear"/>
          </w:tcPr>
          <w:p>
            <w:pPr>
              <w:pStyle w:val="TableContents"/>
              <w:spacing w:before="0" w:after="283"/>
              <w:jc w:val="center"/>
              <w:rPr/>
            </w:pPr>
            <w:r>
              <w:rPr/>
              <w:t> </w:t>
            </w:r>
          </w:p>
        </w:tc>
      </w:tr>
      <w:tr>
        <w:trPr/>
        <w:tc>
          <w:tcPr>
            <w:tcW w:w="815" w:type="dxa"/>
            <w:vMerge w:val="continue"/>
            <w:tcBorders/>
            <w:shd w:fill="auto" w:val="clear"/>
          </w:tcPr>
          <w:p>
            <w:pPr>
              <w:pStyle w:val="Normal"/>
              <w:rPr/>
            </w:pPr>
            <w:r>
              <w:rPr/>
            </w:r>
          </w:p>
        </w:tc>
        <w:tc>
          <w:tcPr>
            <w:tcW w:w="204" w:type="dxa"/>
            <w:tcBorders/>
            <w:shd w:fill="auto" w:val="clear"/>
          </w:tcPr>
          <w:p>
            <w:pPr>
              <w:pStyle w:val="TableContents"/>
              <w:spacing w:before="0" w:after="283"/>
              <w:jc w:val="center"/>
              <w:rPr/>
            </w:pPr>
            <w:r>
              <w:rPr/>
              <w:t> </w:t>
            </w:r>
          </w:p>
        </w:tc>
        <w:tc>
          <w:tcPr>
            <w:tcW w:w="9186" w:type="dxa"/>
            <w:tcBorders/>
            <w:shd w:fill="auto" w:val="clear"/>
          </w:tcPr>
          <w:p>
            <w:pPr>
              <w:pStyle w:val="TableContents"/>
              <w:spacing w:before="0" w:after="283"/>
              <w:rPr>
                <w:rFonts w:ascii="Times New Roman" w:hAnsi="Times New Roman"/>
                <w:b/>
                <w:sz w:val="14"/>
              </w:rPr>
            </w:pPr>
            <w:r>
              <w:rPr>
                <w:rFonts w:ascii="Times New Roman" w:hAnsi="Times New Roman"/>
                <w:b/>
                <w:sz w:val="14"/>
              </w:rPr>
              <w:t>Description of Exhibits</w:t>
            </w:r>
          </w:p>
        </w:tc>
      </w:tr>
      <w:tr>
        <w:trPr/>
        <w:tc>
          <w:tcPr>
            <w:tcW w:w="815"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rPr/>
            </w:pPr>
            <w:r>
              <w:rPr/>
              <w:t> </w:t>
            </w:r>
          </w:p>
        </w:tc>
        <w:tc>
          <w:tcPr>
            <w:tcW w:w="9186" w:type="dxa"/>
            <w:tcBorders/>
            <w:shd w:fill="auto" w:val="clear"/>
          </w:tcPr>
          <w:p>
            <w:pPr>
              <w:pStyle w:val="HorizontalLine"/>
              <w:pBdr>
                <w:bottom w:val="single" w:sz="6" w:space="0" w:color="000000"/>
              </w:pBdr>
              <w:spacing w:before="0" w:after="283"/>
              <w:rPr/>
            </w:pPr>
            <w:r>
              <w:rPr/>
            </w:r>
          </w:p>
        </w:tc>
      </w:tr>
      <w:tr>
        <w:trPr/>
        <w:tc>
          <w:tcPr>
            <w:tcW w:w="815"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204"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of the Registrant dated May 25, 2006.</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SIGNATURES</w:t>
      </w:r>
    </w:p>
    <w:p>
      <w:pPr>
        <w:pStyle w:val="TextBody"/>
        <w:rPr/>
      </w:pPr>
      <w:r>
        <w:rPr/>
        <w:t>          </w:t>
      </w:r>
      <w:r>
        <w:rPr>
          <w:rFonts w:ascii="Times New Roman" w:hAnsi="Times New Roman"/>
          <w:sz w:val="20"/>
        </w:rPr>
        <w:t>Pursuant to the requirements of the Securities Exchange Act of 1934, the Registrant has duly caused this report to be signed on its behalf by the undersigned hereunto duly authorized.</w:t>
      </w:r>
    </w:p>
    <w:tbl>
      <w:tblPr>
        <w:tblW w:w="5000" w:type="pct"/>
        <w:jc w:val="center"/>
        <w:tblInd w:w="0" w:type="dxa"/>
        <w:tblCellMar>
          <w:top w:w="0" w:type="dxa"/>
          <w:left w:w="0" w:type="dxa"/>
          <w:bottom w:w="0" w:type="dxa"/>
          <w:right w:w="0" w:type="dxa"/>
        </w:tblCellMar>
      </w:tblPr>
      <w:tblGrid>
        <w:gridCol w:w="6123"/>
        <w:gridCol w:w="510"/>
        <w:gridCol w:w="3572"/>
      </w:tblGrid>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pPr>
            <w:r>
              <w:rPr/>
              <w:t> </w:t>
            </w:r>
            <w:r>
              <w:rPr>
                <w:rFonts w:ascii="Times New Roman" w:hAnsi="Times New Roman"/>
                <w:sz w:val="20"/>
              </w:rPr>
              <w:t>OIL-DRI CORPORATION OF AMERICA</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/s/ Charles P. Brissman</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tcPr>
          <w:p>
            <w:pPr>
              <w:pStyle w:val="HorizontalLine"/>
              <w:pBdr>
                <w:bottom w:val="single" w:sz="6" w:space="0" w:color="000000"/>
              </w:pBdr>
              <w:spacing w:before="0" w:after="283"/>
              <w:rPr/>
            </w:pPr>
            <w:r>
              <w:rPr/>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Charles P. Brissman</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General Counsel</w:t>
            </w:r>
          </w:p>
        </w:tc>
      </w:tr>
    </w:tbl>
    <w:p>
      <w:pPr>
        <w:pStyle w:val="TextBody"/>
        <w:rPr>
          <w:rFonts w:ascii="Times New Roman" w:hAnsi="Times New Roman"/>
          <w:sz w:val="20"/>
        </w:rPr>
      </w:pPr>
      <w:r>
        <w:rPr>
          <w:rFonts w:ascii="Times New Roman" w:hAnsi="Times New Roman"/>
          <w:sz w:val="20"/>
        </w:rPr>
        <w:t>Date: May 26, 2006</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sz w:val="20"/>
          <w:u w:val="single"/>
        </w:rPr>
      </w:pPr>
      <w:r>
        <w:rPr>
          <w:rFonts w:ascii="Times New Roman" w:hAnsi="Times New Roman"/>
          <w:sz w:val="20"/>
          <w:u w:val="single"/>
        </w:rPr>
        <w:t>Exhibit Index</w:t>
      </w:r>
    </w:p>
    <w:tbl>
      <w:tblPr>
        <w:tblW w:w="5000" w:type="pct"/>
        <w:jc w:val="center"/>
        <w:tblInd w:w="0" w:type="dxa"/>
        <w:tblCellMar>
          <w:top w:w="0" w:type="dxa"/>
          <w:left w:w="0" w:type="dxa"/>
          <w:bottom w:w="0" w:type="dxa"/>
          <w:right w:w="0" w:type="dxa"/>
        </w:tblCellMar>
      </w:tblPr>
      <w:tblGrid>
        <w:gridCol w:w="815"/>
        <w:gridCol w:w="204"/>
        <w:gridCol w:w="9186"/>
      </w:tblGrid>
      <w:tr>
        <w:trPr/>
        <w:tc>
          <w:tcPr>
            <w:tcW w:w="815" w:type="dxa"/>
            <w:vMerge w:val="restart"/>
            <w:tcBorders/>
            <w:shd w:fill="auto" w:val="clear"/>
          </w:tcPr>
          <w:p>
            <w:pPr>
              <w:pStyle w:val="TableContents"/>
              <w:spacing w:before="0" w:after="283"/>
              <w:rPr>
                <w:rFonts w:ascii="Times New Roman" w:hAnsi="Times New Roman"/>
                <w:b/>
                <w:sz w:val="14"/>
              </w:rPr>
            </w:pPr>
            <w:r>
              <w:rPr>
                <w:rFonts w:ascii="Times New Roman" w:hAnsi="Times New Roman"/>
                <w:b/>
                <w:sz w:val="14"/>
              </w:rPr>
              <w:t>Exhibit</w:t>
              <w:br/>
              <w:t>Number</w:t>
            </w:r>
          </w:p>
        </w:tc>
        <w:tc>
          <w:tcPr>
            <w:tcW w:w="204" w:type="dxa"/>
            <w:tcBorders/>
            <w:shd w:fill="auto" w:val="clear"/>
          </w:tcPr>
          <w:p>
            <w:pPr>
              <w:pStyle w:val="TableContents"/>
              <w:spacing w:before="0" w:after="283"/>
              <w:jc w:val="center"/>
              <w:rPr/>
            </w:pPr>
            <w:r>
              <w:rPr/>
              <w:t> </w:t>
            </w:r>
          </w:p>
        </w:tc>
        <w:tc>
          <w:tcPr>
            <w:tcW w:w="9186" w:type="dxa"/>
            <w:tcBorders/>
            <w:shd w:fill="auto" w:val="clear"/>
          </w:tcPr>
          <w:p>
            <w:pPr>
              <w:pStyle w:val="TableContents"/>
              <w:spacing w:before="0" w:after="283"/>
              <w:jc w:val="center"/>
              <w:rPr/>
            </w:pPr>
            <w:r>
              <w:rPr/>
              <w:t> </w:t>
            </w:r>
          </w:p>
        </w:tc>
      </w:tr>
      <w:tr>
        <w:trPr/>
        <w:tc>
          <w:tcPr>
            <w:tcW w:w="815" w:type="dxa"/>
            <w:vMerge w:val="continue"/>
            <w:tcBorders/>
            <w:shd w:fill="auto" w:val="clear"/>
          </w:tcPr>
          <w:p>
            <w:pPr>
              <w:pStyle w:val="Normal"/>
              <w:rPr/>
            </w:pPr>
            <w:r>
              <w:rPr/>
            </w:r>
          </w:p>
        </w:tc>
        <w:tc>
          <w:tcPr>
            <w:tcW w:w="204" w:type="dxa"/>
            <w:tcBorders/>
            <w:shd w:fill="auto" w:val="clear"/>
          </w:tcPr>
          <w:p>
            <w:pPr>
              <w:pStyle w:val="TableContents"/>
              <w:spacing w:before="0" w:after="283"/>
              <w:jc w:val="center"/>
              <w:rPr/>
            </w:pPr>
            <w:r>
              <w:rPr/>
              <w:t> </w:t>
            </w:r>
          </w:p>
        </w:tc>
        <w:tc>
          <w:tcPr>
            <w:tcW w:w="9186" w:type="dxa"/>
            <w:tcBorders/>
            <w:shd w:fill="auto" w:val="clear"/>
          </w:tcPr>
          <w:p>
            <w:pPr>
              <w:pStyle w:val="TableContents"/>
              <w:spacing w:before="0" w:after="283"/>
              <w:rPr>
                <w:rFonts w:ascii="Times New Roman" w:hAnsi="Times New Roman"/>
                <w:b/>
                <w:sz w:val="14"/>
              </w:rPr>
            </w:pPr>
            <w:r>
              <w:rPr>
                <w:rFonts w:ascii="Times New Roman" w:hAnsi="Times New Roman"/>
                <w:b/>
                <w:sz w:val="14"/>
              </w:rPr>
              <w:t>Description of Exhibits</w:t>
            </w:r>
          </w:p>
        </w:tc>
      </w:tr>
      <w:tr>
        <w:trPr/>
        <w:tc>
          <w:tcPr>
            <w:tcW w:w="815"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rPr/>
            </w:pPr>
            <w:r>
              <w:rPr/>
              <w:t> </w:t>
            </w:r>
          </w:p>
        </w:tc>
        <w:tc>
          <w:tcPr>
            <w:tcW w:w="9186" w:type="dxa"/>
            <w:tcBorders/>
            <w:shd w:fill="auto" w:val="clear"/>
          </w:tcPr>
          <w:p>
            <w:pPr>
              <w:pStyle w:val="HorizontalLine"/>
              <w:pBdr>
                <w:bottom w:val="single" w:sz="6" w:space="0" w:color="000000"/>
              </w:pBdr>
              <w:spacing w:before="0" w:after="283"/>
              <w:rPr/>
            </w:pPr>
            <w:r>
              <w:rPr/>
            </w:r>
          </w:p>
        </w:tc>
      </w:tr>
      <w:tr>
        <w:trPr/>
        <w:tc>
          <w:tcPr>
            <w:tcW w:w="815"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204"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of the Registrant dated May 25, 2006.</w:t>
            </w:r>
          </w:p>
        </w:tc>
      </w:tr>
    </w:tbl>
    <w:p>
      <w:pPr>
        <w:pStyle w:val="TextBody"/>
        <w:spacing w:before="0" w:after="0"/>
        <w:rPr/>
      </w:pPr>
      <w:r>
        <w:rPr/>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4" w:name="oc6018ex991.htm"/>
      <w:bookmarkStart w:id="5" w:name="ksoc6018ex991"/>
      <w:bookmarkEnd w:id="4"/>
      <w:bookmarkEnd w:id="5"/>
      <w:r>
        <w:rPr>
          <w:rFonts w:ascii="Times New Roman" w:hAnsi="Times New Roman"/>
          <w:b/>
          <w:sz w:val="20"/>
        </w:rPr>
        <w:t>Exhibit 99.1</w:t>
      </w:r>
    </w:p>
    <w:tbl>
      <w:tblPr>
        <w:tblW w:w="5000" w:type="pct"/>
        <w:jc w:val="center"/>
        <w:tblInd w:w="0" w:type="dxa"/>
        <w:tblCellMar>
          <w:top w:w="0" w:type="dxa"/>
          <w:left w:w="0" w:type="dxa"/>
          <w:bottom w:w="0" w:type="dxa"/>
          <w:right w:w="0" w:type="dxa"/>
        </w:tblCellMar>
      </w:tblPr>
      <w:tblGrid>
        <w:gridCol w:w="1530"/>
        <w:gridCol w:w="1020"/>
        <w:gridCol w:w="1020"/>
        <w:gridCol w:w="4084"/>
        <w:gridCol w:w="1020"/>
        <w:gridCol w:w="1531"/>
      </w:tblGrid>
      <w:tr>
        <w:trPr/>
        <w:tc>
          <w:tcPr>
            <w:tcW w:w="1530" w:type="dxa"/>
            <w:tcBorders/>
            <w:shd w:fill="auto" w:val="clear"/>
          </w:tcPr>
          <w:p>
            <w:pPr>
              <w:pStyle w:val="TableContents"/>
              <w:spacing w:before="0" w:after="283"/>
              <w:rPr/>
            </w:pPr>
            <w:r>
              <w:rPr/>
              <w:drawing>
                <wp:inline distT="0" distB="0" distL="0" distR="0">
                  <wp:extent cx="9144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400050"/>
                          </a:xfrm>
                          <a:prstGeom prst="rect">
                            <a:avLst/>
                          </a:prstGeom>
                        </pic:spPr>
                      </pic:pic>
                    </a:graphicData>
                  </a:graphic>
                </wp:inline>
              </w:drawing>
            </w:r>
          </w:p>
        </w:tc>
        <w:tc>
          <w:tcPr>
            <w:tcW w:w="1020" w:type="dxa"/>
            <w:tcBorders/>
            <w:shd w:fill="auto" w:val="clear"/>
            <w:vAlign w:val="center"/>
          </w:tcPr>
          <w:p>
            <w:pPr>
              <w:pStyle w:val="HorizontalLine"/>
              <w:pBdr>
                <w:bottom w:val="single" w:sz="6" w:space="0" w:color="000000"/>
              </w:pBdr>
              <w:spacing w:before="0" w:after="283"/>
              <w:rPr/>
            </w:pPr>
            <w:r>
              <w:rPr/>
            </w:r>
          </w:p>
        </w:tc>
        <w:tc>
          <w:tcPr>
            <w:tcW w:w="1020" w:type="dxa"/>
            <w:tcBorders/>
            <w:shd w:fill="auto" w:val="clear"/>
            <w:vAlign w:val="center"/>
          </w:tcPr>
          <w:p>
            <w:pPr>
              <w:pStyle w:val="HorizontalLine"/>
              <w:pBdr>
                <w:bottom w:val="single" w:sz="6" w:space="0" w:color="000000"/>
              </w:pBdr>
              <w:spacing w:before="0" w:after="283"/>
              <w:rPr/>
            </w:pPr>
            <w:r>
              <w:rPr/>
            </w:r>
          </w:p>
        </w:tc>
        <w:tc>
          <w:tcPr>
            <w:tcW w:w="4084" w:type="dxa"/>
            <w:tcBorders/>
            <w:shd w:fill="auto" w:val="clear"/>
            <w:vAlign w:val="center"/>
          </w:tcPr>
          <w:p>
            <w:pPr>
              <w:pStyle w:val="HorizontalLine"/>
              <w:pBdr>
                <w:bottom w:val="single" w:sz="6" w:space="0" w:color="000000"/>
              </w:pBdr>
              <w:spacing w:before="0" w:after="283"/>
              <w:rPr/>
            </w:pPr>
            <w:r>
              <w:rPr/>
            </w:r>
          </w:p>
        </w:tc>
        <w:tc>
          <w:tcPr>
            <w:tcW w:w="1020" w:type="dxa"/>
            <w:tcBorders/>
            <w:shd w:fill="auto" w:val="clear"/>
            <w:vAlign w:val="center"/>
          </w:tcPr>
          <w:p>
            <w:pPr>
              <w:pStyle w:val="HorizontalLine"/>
              <w:pBdr>
                <w:bottom w:val="single" w:sz="6" w:space="0" w:color="000000"/>
              </w:pBdr>
              <w:spacing w:before="0" w:after="283"/>
              <w:rPr/>
            </w:pPr>
            <w:r>
              <w:rPr/>
            </w:r>
          </w:p>
        </w:tc>
        <w:tc>
          <w:tcPr>
            <w:tcW w:w="1531" w:type="dxa"/>
            <w:tcBorders/>
            <w:shd w:fill="auto" w:val="clear"/>
            <w:vAlign w:val="center"/>
          </w:tcPr>
          <w:p>
            <w:pPr>
              <w:pStyle w:val="HorizontalLine"/>
              <w:pBdr>
                <w:bottom w:val="single" w:sz="6" w:space="0" w:color="000000"/>
              </w:pBdr>
              <w:spacing w:before="0" w:after="283"/>
              <w:rPr/>
            </w:pPr>
            <w:r>
              <w:rPr/>
            </w:r>
          </w:p>
        </w:tc>
      </w:tr>
      <w:tr>
        <w:trPr/>
        <w:tc>
          <w:tcPr>
            <w:tcW w:w="1530"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Release:</w:t>
            </w:r>
          </w:p>
        </w:tc>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Immediate</w:t>
            </w:r>
          </w:p>
        </w:tc>
        <w:tc>
          <w:tcPr>
            <w:tcW w:w="4084"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Contact:</w:t>
            </w:r>
          </w:p>
        </w:tc>
        <w:tc>
          <w:tcPr>
            <w:tcW w:w="1531" w:type="dxa"/>
            <w:tcBorders/>
            <w:shd w:fill="auto" w:val="clear"/>
          </w:tcPr>
          <w:p>
            <w:pPr>
              <w:pStyle w:val="TableContents"/>
              <w:spacing w:before="0" w:after="283"/>
              <w:rPr>
                <w:rFonts w:ascii="Times New Roman" w:hAnsi="Times New Roman"/>
                <w:sz w:val="20"/>
              </w:rPr>
            </w:pPr>
            <w:r>
              <w:rPr>
                <w:rFonts w:ascii="Times New Roman" w:hAnsi="Times New Roman"/>
                <w:sz w:val="20"/>
              </w:rPr>
              <w:t>Ronda J. Williams</w:t>
            </w:r>
          </w:p>
        </w:tc>
      </w:tr>
      <w:tr>
        <w:trPr/>
        <w:tc>
          <w:tcPr>
            <w:tcW w:w="1530"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4084"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rFonts w:ascii="Times New Roman" w:hAnsi="Times New Roman"/>
                <w:sz w:val="20"/>
              </w:rPr>
            </w:pPr>
            <w:r>
              <w:rPr>
                <w:rFonts w:ascii="Times New Roman" w:hAnsi="Times New Roman"/>
                <w:sz w:val="20"/>
              </w:rPr>
              <w:t>312-706-3232</w:t>
            </w:r>
          </w:p>
        </w:tc>
      </w:tr>
    </w:tbl>
    <w:p>
      <w:pPr>
        <w:pStyle w:val="TextBody"/>
        <w:jc w:val="center"/>
        <w:rPr>
          <w:rFonts w:ascii="Times New Roman" w:hAnsi="Times New Roman"/>
          <w:b/>
          <w:sz w:val="20"/>
        </w:rPr>
      </w:pPr>
      <w:r>
        <w:rPr>
          <w:rFonts w:ascii="Times New Roman" w:hAnsi="Times New Roman"/>
          <w:b/>
          <w:sz w:val="20"/>
        </w:rPr>
        <w:t>Oil-Dri Announces Third Quarter and Nine Month Results</w:t>
      </w:r>
    </w:p>
    <w:p>
      <w:pPr>
        <w:pStyle w:val="TextBody"/>
        <w:rPr>
          <w:rFonts w:ascii="Times New Roman" w:hAnsi="Times New Roman"/>
          <w:sz w:val="20"/>
        </w:rPr>
      </w:pPr>
      <w:r>
        <w:rPr>
          <w:rFonts w:ascii="Times New Roman" w:hAnsi="Times New Roman"/>
          <w:sz w:val="20"/>
        </w:rPr>
        <w:t xml:space="preserve">CHICAGO  May 25, 2006  Oil-Dri Corporation of America (NYSE: ODC) today announced record sales of $51,764,000 for the third quarter ended April 30, 2006.  Sales were 7% greater than sales of $48,249,000 for the same quarter one year ago.  Net income for the quarter was $1,223,000, or $0.21 per diluted share, compared with income of $1,972,000, or $0.33 per diluted share, for the third quarter one year ago.  </w:t>
      </w:r>
    </w:p>
    <w:p>
      <w:pPr>
        <w:pStyle w:val="TextBody"/>
        <w:rPr>
          <w:rFonts w:ascii="Times New Roman" w:hAnsi="Times New Roman"/>
          <w:sz w:val="20"/>
        </w:rPr>
      </w:pPr>
      <w:r>
        <w:rPr>
          <w:rFonts w:ascii="Times New Roman" w:hAnsi="Times New Roman"/>
          <w:sz w:val="20"/>
        </w:rPr>
        <w:t>Net sales for the nine-month period ended April 30, 2006, also a record, were $153,516,000, up 8% over sales of $141,851,000 in the same period one year ago.  Net income for the nine months was $4,118,000, or $0.71 per diluted share, compared with income of $5,398,000, or $0.91 per diluted share, in the same period one year ago.</w:t>
      </w:r>
    </w:p>
    <w:p>
      <w:pPr>
        <w:pStyle w:val="TextBody"/>
        <w:rPr>
          <w:rFonts w:ascii="Times New Roman" w:hAnsi="Times New Roman"/>
          <w:sz w:val="20"/>
        </w:rPr>
      </w:pPr>
      <w:r>
        <w:rPr>
          <w:rFonts w:ascii="Times New Roman" w:hAnsi="Times New Roman"/>
          <w:sz w:val="20"/>
        </w:rPr>
        <w:t xml:space="preserve">In the third quarter the Company took a one-time charge to income taxes of $525,000, or $.09 per diluted share, in connection with the Companys repatriation of accumulated earnings from its Canadian and Swiss subsidiaries.  The repatriation opportunity arises under the 2004 Homeland Investment Act, which enables companies to effectively retrieve previously untaxed earnings from foreign subsidiaries at a reduced federal income tax rate. </w:t>
      </w:r>
    </w:p>
    <w:p>
      <w:pPr>
        <w:pStyle w:val="TextBody"/>
        <w:rPr>
          <w:rFonts w:ascii="Times New Roman" w:hAnsi="Times New Roman"/>
          <w:b/>
          <w:sz w:val="20"/>
        </w:rPr>
      </w:pPr>
      <w:r>
        <w:rPr>
          <w:rFonts w:ascii="Times New Roman" w:hAnsi="Times New Roman"/>
          <w:b/>
          <w:sz w:val="20"/>
        </w:rPr>
        <w:t>T</w:t>
      </w:r>
      <w:r>
        <w:rPr>
          <w:rFonts w:ascii="Times New Roman" w:hAnsi="Times New Roman"/>
          <w:b/>
          <w:sz w:val="14"/>
        </w:rPr>
        <w:t>HIRD</w:t>
      </w:r>
      <w:r>
        <w:rPr>
          <w:rFonts w:ascii="Times New Roman" w:hAnsi="Times New Roman"/>
          <w:b/>
          <w:sz w:val="20"/>
        </w:rPr>
        <w:t xml:space="preserve"> Q</w:t>
      </w:r>
      <w:r>
        <w:rPr>
          <w:rFonts w:ascii="Times New Roman" w:hAnsi="Times New Roman"/>
          <w:b/>
          <w:sz w:val="14"/>
        </w:rPr>
        <w:t>UARTER</w:t>
      </w:r>
      <w:r>
        <w:rPr>
          <w:rFonts w:ascii="Times New Roman" w:hAnsi="Times New Roman"/>
          <w:b/>
          <w:sz w:val="20"/>
        </w:rPr>
        <w:t xml:space="preserve"> R</w:t>
      </w:r>
      <w:r>
        <w:rPr>
          <w:rFonts w:ascii="Times New Roman" w:hAnsi="Times New Roman"/>
          <w:b/>
          <w:sz w:val="14"/>
        </w:rPr>
        <w:t>EVIEW</w:t>
      </w:r>
    </w:p>
    <w:p>
      <w:pPr>
        <w:pStyle w:val="TextBody"/>
        <w:rPr>
          <w:rFonts w:ascii="Times New Roman" w:hAnsi="Times New Roman"/>
          <w:sz w:val="20"/>
        </w:rPr>
      </w:pPr>
      <w:r>
        <w:rPr>
          <w:rFonts w:ascii="Times New Roman" w:hAnsi="Times New Roman"/>
          <w:sz w:val="20"/>
        </w:rPr>
        <w:t xml:space="preserve">Dan Jaffee, President and CEO said, Considering we have absorbed $6 million of increased fuel cost, in addition to many other commodity and transportation cost increases, we are pleased to report positive results for the third quarter and nine months.   </w:t>
      </w:r>
    </w:p>
    <w:p>
      <w:pPr>
        <w:pStyle w:val="TextBody"/>
        <w:rPr>
          <w:rFonts w:ascii="Times New Roman" w:hAnsi="Times New Roman"/>
          <w:sz w:val="20"/>
        </w:rPr>
      </w:pPr>
      <w:r>
        <w:rPr>
          <w:rFonts w:ascii="Times New Roman" w:hAnsi="Times New Roman"/>
          <w:sz w:val="20"/>
        </w:rPr>
        <w:t xml:space="preserve">Our ability to raise prices has allowed us to partially offset these cost increases and rebuild our profit margins, particularly in our Business-to-Business Products Segment.  We have been able to raise our average selling price over the past 16 quarters while also maintaining our unit volume.  In the third quarter, we have exceeded an average selling price of $200 per ton for the first time in the Companys history. Over the past four years, our average net selling price has grown at a compounded annual growth rate of 7.1% per year.  This has been the result of both price increases and an emphasis on selling higher value products.  </w:t>
      </w:r>
    </w:p>
    <w:p>
      <w:pPr>
        <w:pStyle w:val="TextBody"/>
        <w:rPr>
          <w:rFonts w:ascii="Times New Roman" w:hAnsi="Times New Roman"/>
          <w:b/>
          <w:sz w:val="20"/>
        </w:rPr>
      </w:pPr>
      <w:r>
        <w:rPr>
          <w:rFonts w:ascii="Times New Roman" w:hAnsi="Times New Roman"/>
          <w:b/>
          <w:sz w:val="20"/>
        </w:rPr>
        <w:t>B</w:t>
      </w:r>
      <w:r>
        <w:rPr>
          <w:rFonts w:ascii="Times New Roman" w:hAnsi="Times New Roman"/>
          <w:b/>
          <w:sz w:val="14"/>
        </w:rPr>
        <w:t>USINESS</w:t>
      </w:r>
      <w:r>
        <w:rPr>
          <w:rFonts w:ascii="Times New Roman" w:hAnsi="Times New Roman"/>
          <w:b/>
          <w:sz w:val="20"/>
        </w:rPr>
        <w:t xml:space="preserve"> R</w:t>
      </w:r>
      <w:r>
        <w:rPr>
          <w:rFonts w:ascii="Times New Roman" w:hAnsi="Times New Roman"/>
          <w:b/>
          <w:sz w:val="14"/>
        </w:rPr>
        <w:t>EVIEW</w:t>
      </w:r>
    </w:p>
    <w:tbl>
      <w:tblPr>
        <w:tblW w:w="5000" w:type="pct"/>
        <w:jc w:val="center"/>
        <w:tblInd w:w="0" w:type="dxa"/>
        <w:tblCellMar>
          <w:top w:w="0" w:type="dxa"/>
          <w:left w:w="0" w:type="dxa"/>
          <w:bottom w:w="0" w:type="dxa"/>
          <w:right w:w="0" w:type="dxa"/>
        </w:tblCellMar>
      </w:tblPr>
      <w:tblGrid>
        <w:gridCol w:w="509"/>
        <w:gridCol w:w="510"/>
        <w:gridCol w:w="9186"/>
      </w:tblGrid>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9186"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Sales for the Companys </w:t>
            </w:r>
            <w:r>
              <w:rPr>
                <w:rFonts w:ascii="Times New Roman" w:hAnsi="Times New Roman"/>
                <w:b/>
                <w:sz w:val="20"/>
              </w:rPr>
              <w:t>Business-to-Business Group</w:t>
            </w:r>
            <w:r>
              <w:rPr>
                <w:rFonts w:ascii="Times New Roman" w:hAnsi="Times New Roman"/>
                <w:sz w:val="20"/>
              </w:rPr>
              <w:t xml:space="preserve"> were $19,157,000, up 7% for the third quarter, and $54,266,000, up 12% for the nine months.  Group income was $4,295,000, up 18% for the quarter and $11,483,000 up 10% for the nine months.  The Group had increased sales of Pure-Flo bleaching clays, Agsorb carriers and ConditionAde binders. Emphasis on selling higher value product and price increases, contributed positively to Group income.  The Group, however, continues to face higher than expected manufacturing costs due to increased energy and commodity prices.</w:t>
            </w:r>
          </w:p>
        </w:tc>
      </w:tr>
    </w:tbl>
    <w:p>
      <w:pPr>
        <w:pStyle w:val="TextBody"/>
        <w:jc w:val="center"/>
        <w:rPr>
          <w:rFonts w:ascii="Times New Roman" w:hAnsi="Times New Roman"/>
          <w:sz w:val="20"/>
        </w:rPr>
      </w:pPr>
      <w:r>
        <w:rPr>
          <w:rFonts w:ascii="Times New Roman" w:hAnsi="Times New Roman"/>
          <w:sz w:val="20"/>
        </w:rPr>
        <w:t> Continued </w:t>
      </w:r>
    </w:p>
    <w:p>
      <w:pPr>
        <w:pStyle w:val="HorizontalLine"/>
        <w:pBdr>
          <w:bottom w:val="single" w:sz="6" w:space="0" w:color="00000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8"/>
        <w:gridCol w:w="509"/>
        <w:gridCol w:w="9188"/>
      </w:tblGrid>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918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Sales for the Companys </w:t>
            </w:r>
            <w:r>
              <w:rPr>
                <w:rFonts w:ascii="Times New Roman" w:hAnsi="Times New Roman"/>
                <w:b/>
                <w:sz w:val="20"/>
              </w:rPr>
              <w:t>Retail and Wholesale Group</w:t>
            </w:r>
            <w:r>
              <w:rPr>
                <w:rFonts w:ascii="Times New Roman" w:hAnsi="Times New Roman"/>
                <w:sz w:val="20"/>
              </w:rPr>
              <w:t xml:space="preserve"> were $32,607,000, up 7% in the third quarter, and $99,250,000, up 6% for the nine months.  Group income was $1,801,000 down 26% for the quarter and $5,738,000 down 32% for the nine months.  Sales of Cats Pride and Jonny Cat branded scoopable litters were up in the quarter.  Oil-Dri branded floor absorbents and poly-based products had increased sales from higher volume and selling price. Group profitability, however, continues to lag due to higher energy, material and packaging costs.</w:t>
            </w:r>
          </w:p>
        </w:tc>
      </w:tr>
    </w:tbl>
    <w:p>
      <w:pPr>
        <w:pStyle w:val="TextBody"/>
        <w:rPr>
          <w:rFonts w:ascii="Times New Roman" w:hAnsi="Times New Roman"/>
          <w:b/>
          <w:sz w:val="20"/>
        </w:rPr>
      </w:pPr>
      <w:r>
        <w:rPr>
          <w:rFonts w:ascii="Times New Roman" w:hAnsi="Times New Roman"/>
          <w:b/>
          <w:sz w:val="20"/>
        </w:rPr>
        <w:t>F</w:t>
      </w:r>
      <w:r>
        <w:rPr>
          <w:rFonts w:ascii="Times New Roman" w:hAnsi="Times New Roman"/>
          <w:b/>
          <w:sz w:val="14"/>
        </w:rPr>
        <w:t>INANCIAL</w:t>
      </w:r>
      <w:r>
        <w:rPr>
          <w:rFonts w:ascii="Times New Roman" w:hAnsi="Times New Roman"/>
          <w:b/>
          <w:sz w:val="20"/>
        </w:rPr>
        <w:t xml:space="preserve"> H</w:t>
      </w:r>
      <w:r>
        <w:rPr>
          <w:rFonts w:ascii="Times New Roman" w:hAnsi="Times New Roman"/>
          <w:b/>
          <w:sz w:val="14"/>
        </w:rPr>
        <w:t>IGHLIGHTS</w:t>
      </w:r>
    </w:p>
    <w:p>
      <w:pPr>
        <w:pStyle w:val="TextBody"/>
        <w:rPr>
          <w:rFonts w:ascii="Times New Roman" w:hAnsi="Times New Roman"/>
          <w:sz w:val="20"/>
        </w:rPr>
      </w:pPr>
      <w:r>
        <w:rPr>
          <w:rFonts w:ascii="Times New Roman" w:hAnsi="Times New Roman"/>
          <w:sz w:val="20"/>
        </w:rPr>
        <w:t>On March 14, 2006, Oil-Dris Board of Directors declared a regular quarterly cash dividend of $0.12 per share of the Companys Common Stock.  The dividend will be payable June 2, 2006 to stockholders of record at the close of business on May 5, 2006.  At the April 30, 2006 closing price of $22.15 per share and assuming cash dividends continue at the same rate, the annual yield on Common Stock is 2.2%.</w:t>
      </w:r>
    </w:p>
    <w:p>
      <w:pPr>
        <w:pStyle w:val="TextBody"/>
        <w:rPr>
          <w:rFonts w:ascii="Times New Roman" w:hAnsi="Times New Roman"/>
          <w:sz w:val="20"/>
        </w:rPr>
      </w:pPr>
      <w:r>
        <w:rPr>
          <w:rFonts w:ascii="Times New Roman" w:hAnsi="Times New Roman"/>
          <w:sz w:val="20"/>
        </w:rPr>
        <w:t>During the third quarter, the Company repurchased 135,400 shares of Common Stock at an average price of $20.03 per share.  Year to date, the Company has repurchased 237,600 shares of Common Stock at an average price of $19.10 per share.</w:t>
      </w:r>
    </w:p>
    <w:p>
      <w:pPr>
        <w:pStyle w:val="TextBody"/>
        <w:rPr>
          <w:rFonts w:ascii="Times New Roman" w:hAnsi="Times New Roman"/>
          <w:sz w:val="20"/>
        </w:rPr>
      </w:pPr>
      <w:r>
        <w:rPr>
          <w:rFonts w:ascii="Times New Roman" w:hAnsi="Times New Roman"/>
          <w:sz w:val="20"/>
        </w:rPr>
        <w:t xml:space="preserve">Cash, cash equivalents and short-term investments at April 30, 2006, totaled $26,800,000.   Operating cash flow for the nine-month period was $3,374,000.  Capital expenditures for the nine-month period totaled $6,464,000, which is $1,009,000 more than the depreciation and amortization of $5,455,000.  </w:t>
      </w:r>
    </w:p>
    <w:p>
      <w:pPr>
        <w:pStyle w:val="TextBody"/>
        <w:rPr>
          <w:rFonts w:ascii="Times New Roman" w:hAnsi="Times New Roman"/>
          <w:b/>
          <w:sz w:val="20"/>
        </w:rPr>
      </w:pPr>
      <w:r>
        <w:rPr>
          <w:rFonts w:ascii="Times New Roman" w:hAnsi="Times New Roman"/>
          <w:b/>
          <w:sz w:val="20"/>
        </w:rPr>
        <w:t>C</w:t>
      </w:r>
      <w:r>
        <w:rPr>
          <w:rFonts w:ascii="Times New Roman" w:hAnsi="Times New Roman"/>
          <w:b/>
          <w:sz w:val="14"/>
        </w:rPr>
        <w:t>HANGE IN</w:t>
      </w:r>
      <w:r>
        <w:rPr>
          <w:rFonts w:ascii="Times New Roman" w:hAnsi="Times New Roman"/>
          <w:b/>
          <w:sz w:val="20"/>
        </w:rPr>
        <w:t xml:space="preserve"> A</w:t>
      </w:r>
      <w:r>
        <w:rPr>
          <w:rFonts w:ascii="Times New Roman" w:hAnsi="Times New Roman"/>
          <w:b/>
          <w:sz w:val="14"/>
        </w:rPr>
        <w:t>CCOUNTING</w:t>
      </w:r>
      <w:r>
        <w:rPr>
          <w:rFonts w:ascii="Times New Roman" w:hAnsi="Times New Roman"/>
          <w:b/>
          <w:sz w:val="20"/>
        </w:rPr>
        <w:t xml:space="preserve"> P</w:t>
      </w:r>
      <w:r>
        <w:rPr>
          <w:rFonts w:ascii="Times New Roman" w:hAnsi="Times New Roman"/>
          <w:b/>
          <w:sz w:val="14"/>
        </w:rPr>
        <w:t>RINCIPLE FOR</w:t>
      </w:r>
      <w:r>
        <w:rPr>
          <w:rFonts w:ascii="Times New Roman" w:hAnsi="Times New Roman"/>
          <w:b/>
          <w:sz w:val="20"/>
        </w:rPr>
        <w:t xml:space="preserve"> F</w:t>
      </w:r>
      <w:r>
        <w:rPr>
          <w:rFonts w:ascii="Times New Roman" w:hAnsi="Times New Roman"/>
          <w:b/>
          <w:sz w:val="14"/>
        </w:rPr>
        <w:t>ISCAL</w:t>
      </w:r>
      <w:r>
        <w:rPr>
          <w:rFonts w:ascii="Times New Roman" w:hAnsi="Times New Roman"/>
          <w:b/>
          <w:sz w:val="20"/>
        </w:rPr>
        <w:t xml:space="preserve"> 2007 </w:t>
      </w:r>
    </w:p>
    <w:p>
      <w:pPr>
        <w:pStyle w:val="TextBody"/>
        <w:rPr>
          <w:rFonts w:ascii="Times New Roman" w:hAnsi="Times New Roman"/>
          <w:sz w:val="20"/>
        </w:rPr>
      </w:pPr>
      <w:r>
        <w:rPr>
          <w:rFonts w:ascii="Times New Roman" w:hAnsi="Times New Roman"/>
          <w:sz w:val="20"/>
        </w:rPr>
        <w:t>A significant part of the Companys overall mining expense is incurred during the process of removing overburden (non-usable topsoil and other material) from the mine site.  Under generally accepted accounting principles, the Company has previously recorded the cost of overburden removal in a prepaid expense account.  As the usable clay minerals were mined, the Company amortized the prepaid expense. At April 30, 2006, the balance of prepaid overburden removal expense was $1,503,000; however, the quarter-end balance in any particular quarter has varied with the level of the Companys mining activities.</w:t>
      </w:r>
    </w:p>
    <w:p>
      <w:pPr>
        <w:pStyle w:val="TextBody"/>
        <w:rPr>
          <w:rFonts w:ascii="Times New Roman" w:hAnsi="Times New Roman"/>
          <w:sz w:val="20"/>
        </w:rPr>
      </w:pPr>
      <w:r>
        <w:rPr>
          <w:rFonts w:ascii="Times New Roman" w:hAnsi="Times New Roman"/>
          <w:sz w:val="20"/>
        </w:rPr>
        <w:t xml:space="preserve">Recently, the Financial Accounting Standards Board ratified the consensus reached in Emerging Issues Task Force for Issue No. 04-06, Accounting for Stripping Costs in the Mining Industry and, as a result, the Company will be changing the accounting treatment for its overburden removal expense.  Beginning with the first quarter of fiscal 2007, the Company expects to expense the cost of overburden removal as it is incurred; and at August 1, 2006, the Company will take a non-cash charge to the opening retained earnings balance to write off the then-prevailing balance of prepaid overburden removal expense due to a change in accounting principles. </w:t>
      </w:r>
    </w:p>
    <w:p>
      <w:pPr>
        <w:pStyle w:val="TextBody"/>
        <w:rPr>
          <w:rFonts w:ascii="Times New Roman" w:hAnsi="Times New Roman"/>
          <w:b/>
          <w:sz w:val="20"/>
        </w:rPr>
      </w:pPr>
      <w:r>
        <w:rPr>
          <w:rFonts w:ascii="Times New Roman" w:hAnsi="Times New Roman"/>
          <w:b/>
          <w:sz w:val="20"/>
        </w:rPr>
        <w:t>L</w:t>
      </w:r>
      <w:r>
        <w:rPr>
          <w:rFonts w:ascii="Times New Roman" w:hAnsi="Times New Roman"/>
          <w:b/>
          <w:sz w:val="14"/>
        </w:rPr>
        <w:t>OOKING</w:t>
      </w:r>
      <w:r>
        <w:rPr>
          <w:rFonts w:ascii="Times New Roman" w:hAnsi="Times New Roman"/>
          <w:b/>
          <w:sz w:val="20"/>
        </w:rPr>
        <w:t xml:space="preserve"> F</w:t>
      </w:r>
      <w:r>
        <w:rPr>
          <w:rFonts w:ascii="Times New Roman" w:hAnsi="Times New Roman"/>
          <w:b/>
          <w:sz w:val="14"/>
        </w:rPr>
        <w:t>ORWARD</w:t>
      </w:r>
    </w:p>
    <w:p>
      <w:pPr>
        <w:pStyle w:val="TextBody"/>
        <w:rPr>
          <w:rFonts w:ascii="Times New Roman" w:hAnsi="Times New Roman"/>
          <w:sz w:val="20"/>
        </w:rPr>
      </w:pPr>
      <w:r>
        <w:rPr>
          <w:rFonts w:ascii="Times New Roman" w:hAnsi="Times New Roman"/>
          <w:sz w:val="20"/>
        </w:rPr>
        <w:t xml:space="preserve">Jaffee continued, We feel positive about the approach we are taking to absorb the increased energy costs and rebuild our margins, however, we have more work to do. While we are pleased that our volume has grown, we are not pleased with the effects of energy and commodity prices on our income.  Because of this we have announced price increases for both business segments in the fourth quarter.  We are hopeful that increased prices along with internal cost reduction strategies will combat margin erosion.  We very much appreciate our customers support during these very dynamic times. </w:t>
      </w:r>
    </w:p>
    <w:p>
      <w:pPr>
        <w:pStyle w:val="TextBody"/>
        <w:jc w:val="center"/>
        <w:rPr>
          <w:rFonts w:ascii="Times New Roman" w:hAnsi="Times New Roman"/>
          <w:sz w:val="20"/>
        </w:rPr>
      </w:pPr>
      <w:r>
        <w:rPr>
          <w:rFonts w:ascii="Times New Roman" w:hAnsi="Times New Roman"/>
          <w:sz w:val="20"/>
        </w:rPr>
        <w:t> Continued </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The Company will offer a live web cast of its third quarter earnings teleconference on May 26, 2006, at 10a.m. CT.  To listen to the call via the web, please visit www.streetevents.com or www.oildri.com.  An archived recording of the call and written transcripts of all teleconferences are posted on the Oil-Dri web site at www.oildri.com.</w:t>
      </w:r>
    </w:p>
    <w:p>
      <w:pPr>
        <w:pStyle w:val="TextBody"/>
        <w:rPr>
          <w:rFonts w:ascii="Times New Roman" w:hAnsi="Times New Roman"/>
          <w:i/>
          <w:sz w:val="20"/>
        </w:rPr>
      </w:pPr>
      <w:r>
        <w:rPr>
          <w:rFonts w:ascii="Times New Roman" w:hAnsi="Times New Roman"/>
          <w:i/>
          <w:sz w:val="20"/>
        </w:rPr>
        <w:t>Oil-Dri Corporation of America is a leading supplier of specialty sorbent products for agricultural, horticultural, fluids purification, specialty markets, industrial and automotive, and the worlds largest manufacturer of cat litter.</w:t>
      </w:r>
    </w:p>
    <w:p>
      <w:pPr>
        <w:pStyle w:val="TextBody"/>
        <w:rPr>
          <w:rFonts w:ascii="Times New Roman" w:hAnsi="Times New Roman"/>
          <w:i/>
          <w:sz w:val="20"/>
        </w:rPr>
      </w:pPr>
      <w:r>
        <w:rPr>
          <w:rFonts w:ascii="Times New Roman" w:hAnsi="Times New Roman"/>
          <w:i/>
          <w:sz w:val="20"/>
        </w:rPr>
        <w:t>Pure-Flo, Agsorb, ConditionAde, Cats Pride and Jonny Cat are all registered trademarks of the Oil-Dri Corporation of America.</w:t>
      </w:r>
    </w:p>
    <w:p>
      <w:pPr>
        <w:pStyle w:val="TextBody"/>
        <w:rPr>
          <w:rFonts w:ascii="Times New Roman" w:hAnsi="Times New Roman"/>
          <w:i/>
          <w:sz w:val="20"/>
        </w:rPr>
      </w:pPr>
      <w:r>
        <w:rPr>
          <w:rFonts w:ascii="Times New Roman" w:hAnsi="Times New Roman"/>
          <w:i/>
          <w:sz w:val="20"/>
        </w:rPr>
        <w:t>This release contains certain forward-looking statements regarding the companys expected performance for future periods, and actual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pStyle w:val="TextBody"/>
        <w:jc w:val="center"/>
        <w:rPr>
          <w:rFonts w:ascii="Times New Roman" w:hAnsi="Times New Roman"/>
          <w:sz w:val="20"/>
        </w:rPr>
      </w:pPr>
      <w:r>
        <w:rPr>
          <w:rFonts w:ascii="Times New Roman" w:hAnsi="Times New Roman"/>
          <w:sz w:val="20"/>
        </w:rPr>
        <w:t>###</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O I L  -  D R I   C O R P O R A T I O N    O F    A M E R I C A</w:t>
      </w:r>
    </w:p>
    <w:p>
      <w:pPr>
        <w:pStyle w:val="TextBody"/>
        <w:rPr>
          <w:rFonts w:ascii="Times New Roman" w:hAnsi="Times New Roman"/>
          <w:sz w:val="20"/>
        </w:rPr>
      </w:pPr>
      <w:r>
        <w:rPr>
          <w:rFonts w:ascii="Times New Roman" w:hAnsi="Times New Roman"/>
          <w:b/>
          <w:sz w:val="20"/>
        </w:rPr>
        <w:t>Consolidated Statements of Income</w:t>
      </w:r>
      <w:r>
        <w:rPr>
          <w:rFonts w:ascii="Times New Roman" w:hAnsi="Times New Roman"/>
          <w:sz w:val="20"/>
        </w:rPr>
        <w:br/>
        <w:t>(in thousands, except for per share amounts)</w:t>
        <w:br/>
        <w:t>(unaudited)</w:t>
      </w:r>
    </w:p>
    <w:tbl>
      <w:tblPr>
        <w:tblW w:w="4950" w:type="pct"/>
        <w:jc w:val="center"/>
        <w:tblInd w:w="0" w:type="dxa"/>
        <w:tblCellMar>
          <w:top w:w="0" w:type="dxa"/>
          <w:left w:w="0" w:type="dxa"/>
          <w:bottom w:w="0" w:type="dxa"/>
          <w:right w:w="0" w:type="dxa"/>
        </w:tblCellMar>
      </w:tblPr>
      <w:tblGrid>
        <w:gridCol w:w="5458"/>
        <w:gridCol w:w="202"/>
        <w:gridCol w:w="100"/>
        <w:gridCol w:w="808"/>
        <w:gridCol w:w="202"/>
        <w:gridCol w:w="101"/>
        <w:gridCol w:w="808"/>
        <w:gridCol w:w="202"/>
        <w:gridCol w:w="100"/>
        <w:gridCol w:w="808"/>
        <w:gridCol w:w="202"/>
        <w:gridCol w:w="101"/>
        <w:gridCol w:w="808"/>
        <w:gridCol w:w="202"/>
      </w:tblGrid>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240"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Third Quarter Ended April 30,</w:t>
            </w:r>
          </w:p>
        </w:tc>
        <w:tc>
          <w:tcPr>
            <w:tcW w:w="202" w:type="dxa"/>
            <w:tcBorders/>
            <w:shd w:fill="auto" w:val="clear"/>
            <w:vAlign w:val="bottom"/>
          </w:tcPr>
          <w:p>
            <w:pPr>
              <w:pStyle w:val="TableContents"/>
              <w:spacing w:before="0" w:after="283"/>
              <w:jc w:val="center"/>
              <w:rPr/>
            </w:pPr>
            <w:r>
              <w:rPr/>
              <w:t> </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240" w:type="dxa"/>
            <w:gridSpan w:val="11"/>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2" w:type="dxa"/>
            <w:tcBorders/>
            <w:shd w:fill="auto" w:val="clear"/>
            <w:vAlign w:val="bottom"/>
          </w:tcPr>
          <w:p>
            <w:pPr>
              <w:pStyle w:val="TableContents"/>
              <w:spacing w:before="0" w:after="283"/>
              <w:jc w:val="center"/>
              <w:rPr/>
            </w:pPr>
            <w:r>
              <w:rPr/>
              <w:t> </w:t>
            </w:r>
          </w:p>
        </w:tc>
        <w:tc>
          <w:tcPr>
            <w:tcW w:w="90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of Sales</w:t>
            </w:r>
          </w:p>
        </w:tc>
        <w:tc>
          <w:tcPr>
            <w:tcW w:w="202" w:type="dxa"/>
            <w:tcBorders/>
            <w:shd w:fill="auto" w:val="clear"/>
            <w:vAlign w:val="bottom"/>
          </w:tcPr>
          <w:p>
            <w:pPr>
              <w:pStyle w:val="TableContents"/>
              <w:spacing w:before="0" w:after="283"/>
              <w:jc w:val="center"/>
              <w:rPr/>
            </w:pPr>
            <w:r>
              <w:rPr/>
              <w:t> </w:t>
            </w:r>
          </w:p>
        </w:tc>
        <w:tc>
          <w:tcPr>
            <w:tcW w:w="90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2" w:type="dxa"/>
            <w:tcBorders/>
            <w:shd w:fill="auto" w:val="clear"/>
            <w:vAlign w:val="bottom"/>
          </w:tcPr>
          <w:p>
            <w:pPr>
              <w:pStyle w:val="TableContents"/>
              <w:spacing w:before="0" w:after="283"/>
              <w:jc w:val="center"/>
              <w:rPr/>
            </w:pPr>
            <w:r>
              <w:rPr/>
              <w:t> </w:t>
            </w:r>
          </w:p>
        </w:tc>
        <w:tc>
          <w:tcPr>
            <w:tcW w:w="90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of Sales</w:t>
            </w:r>
          </w:p>
        </w:tc>
        <w:tc>
          <w:tcPr>
            <w:tcW w:w="202" w:type="dxa"/>
            <w:tcBorders/>
            <w:shd w:fill="auto" w:val="clear"/>
            <w:vAlign w:val="bottom"/>
          </w:tcPr>
          <w:p>
            <w:pPr>
              <w:pStyle w:val="TableContents"/>
              <w:spacing w:before="0" w:after="283"/>
              <w:jc w:val="center"/>
              <w:rPr/>
            </w:pPr>
            <w:r>
              <w:rPr/>
              <w:t> </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Sales</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51,764</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100.0</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48,249</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100.0</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Cost of Sales</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41,742</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80.6</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38,490</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79.8</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Gross Profit</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10,022</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19.4</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9,759</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20.2</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Operating Expenses</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(7,399</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-14.3</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(6,805</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-14.1</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Operating Income</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2,623</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2,954</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Interest Expense</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(639</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(437</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-0.9</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Other Income</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402</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0.8</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197</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0.4</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2,386</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2,714</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Income Taxes</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1,163</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742</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1,223</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1,972</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18" w:space="0" w:color="000000"/>
              </w:pBdr>
              <w:spacing w:before="0" w:after="283"/>
              <w:rPr/>
            </w:pPr>
            <w:r>
              <w:rPr/>
            </w:r>
          </w:p>
        </w:tc>
        <w:tc>
          <w:tcPr>
            <w:tcW w:w="808" w:type="dxa"/>
            <w:tcBorders/>
            <w:shd w:fill="auto" w:val="clear"/>
          </w:tcPr>
          <w:p>
            <w:pPr>
              <w:pStyle w:val="HorizontalLine"/>
              <w:pBdr>
                <w:bottom w:val="single" w:sz="18" w:space="0" w:color="000000"/>
              </w:pBdr>
              <w:spacing w:before="0" w:after="283"/>
              <w:rPr/>
            </w:pPr>
            <w:r>
              <w:rPr/>
            </w:r>
          </w:p>
        </w:tc>
        <w:tc>
          <w:tcPr>
            <w:tcW w:w="202" w:type="dxa"/>
            <w:tcBorders/>
            <w:shd w:fill="auto" w:val="clear"/>
          </w:tcPr>
          <w:p>
            <w:pPr>
              <w:pStyle w:val="HorizontalLine"/>
              <w:pBdr>
                <w:bottom w:val="single" w:sz="18" w:space="0" w:color="000000"/>
              </w:pBdr>
              <w:spacing w:before="0" w:after="283"/>
              <w:rPr/>
            </w:pPr>
            <w:r>
              <w:rPr/>
            </w:r>
          </w:p>
        </w:tc>
        <w:tc>
          <w:tcPr>
            <w:tcW w:w="101" w:type="dxa"/>
            <w:tcBorders/>
            <w:shd w:fill="auto" w:val="clear"/>
          </w:tcPr>
          <w:p>
            <w:pPr>
              <w:pStyle w:val="HorizontalLine"/>
              <w:pBdr>
                <w:bottom w:val="single" w:sz="18" w:space="0" w:color="000000"/>
              </w:pBdr>
              <w:spacing w:before="0" w:after="283"/>
              <w:rPr/>
            </w:pPr>
            <w:r>
              <w:rPr/>
            </w:r>
          </w:p>
        </w:tc>
        <w:tc>
          <w:tcPr>
            <w:tcW w:w="808" w:type="dxa"/>
            <w:tcBorders/>
            <w:shd w:fill="auto" w:val="clear"/>
          </w:tcPr>
          <w:p>
            <w:pPr>
              <w:pStyle w:val="HorizontalLine"/>
              <w:pBdr>
                <w:bottom w:val="single" w:sz="18" w:space="0" w:color="000000"/>
              </w:pBdr>
              <w:spacing w:before="0" w:after="283"/>
              <w:rPr/>
            </w:pPr>
            <w:r>
              <w:rPr/>
            </w:r>
          </w:p>
        </w:tc>
        <w:tc>
          <w:tcPr>
            <w:tcW w:w="202" w:type="dxa"/>
            <w:tcBorders/>
            <w:shd w:fill="auto" w:val="clear"/>
          </w:tcPr>
          <w:p>
            <w:pPr>
              <w:pStyle w:val="HorizontalLine"/>
              <w:pBdr>
                <w:bottom w:val="single" w:sz="18" w:space="0" w:color="000000"/>
              </w:pBdr>
              <w:spacing w:before="0" w:after="283"/>
              <w:rPr/>
            </w:pPr>
            <w:r>
              <w:rPr/>
            </w:r>
          </w:p>
        </w:tc>
        <w:tc>
          <w:tcPr>
            <w:tcW w:w="100" w:type="dxa"/>
            <w:tcBorders/>
            <w:shd w:fill="auto" w:val="clear"/>
          </w:tcPr>
          <w:p>
            <w:pPr>
              <w:pStyle w:val="HorizontalLine"/>
              <w:pBdr>
                <w:bottom w:val="single" w:sz="18" w:space="0" w:color="000000"/>
              </w:pBdr>
              <w:spacing w:before="0" w:after="283"/>
              <w:rPr/>
            </w:pPr>
            <w:r>
              <w:rPr/>
            </w:r>
          </w:p>
        </w:tc>
        <w:tc>
          <w:tcPr>
            <w:tcW w:w="808" w:type="dxa"/>
            <w:tcBorders/>
            <w:shd w:fill="auto" w:val="clear"/>
          </w:tcPr>
          <w:p>
            <w:pPr>
              <w:pStyle w:val="HorizontalLine"/>
              <w:pBdr>
                <w:bottom w:val="single" w:sz="18" w:space="0" w:color="000000"/>
              </w:pBdr>
              <w:spacing w:before="0" w:after="283"/>
              <w:rPr/>
            </w:pPr>
            <w:r>
              <w:rPr/>
            </w:r>
          </w:p>
        </w:tc>
        <w:tc>
          <w:tcPr>
            <w:tcW w:w="202" w:type="dxa"/>
            <w:tcBorders/>
            <w:shd w:fill="auto" w:val="clear"/>
          </w:tcPr>
          <w:p>
            <w:pPr>
              <w:pStyle w:val="HorizontalLine"/>
              <w:pBdr>
                <w:bottom w:val="single" w:sz="18" w:space="0" w:color="000000"/>
              </w:pBdr>
              <w:spacing w:before="0" w:after="283"/>
              <w:rPr/>
            </w:pPr>
            <w:r>
              <w:rPr/>
            </w:r>
          </w:p>
        </w:tc>
        <w:tc>
          <w:tcPr>
            <w:tcW w:w="101" w:type="dxa"/>
            <w:tcBorders/>
            <w:shd w:fill="auto" w:val="clear"/>
          </w:tcPr>
          <w:p>
            <w:pPr>
              <w:pStyle w:val="HorizontalLine"/>
              <w:pBdr>
                <w:bottom w:val="single" w:sz="18" w:space="0" w:color="000000"/>
              </w:pBdr>
              <w:spacing w:before="0" w:after="283"/>
              <w:rPr/>
            </w:pPr>
            <w:r>
              <w:rPr/>
            </w:r>
          </w:p>
        </w:tc>
        <w:tc>
          <w:tcPr>
            <w:tcW w:w="808" w:type="dxa"/>
            <w:tcBorders/>
            <w:shd w:fill="auto" w:val="clear"/>
          </w:tcPr>
          <w:p>
            <w:pPr>
              <w:pStyle w:val="HorizontalLine"/>
              <w:pBdr>
                <w:bottom w:val="single" w:sz="18" w:space="0" w:color="000000"/>
              </w:pBdr>
              <w:spacing w:before="0" w:after="283"/>
              <w:rPr/>
            </w:pPr>
            <w:r>
              <w:rPr/>
            </w:r>
          </w:p>
        </w:tc>
        <w:tc>
          <w:tcPr>
            <w:tcW w:w="202" w:type="dxa"/>
            <w:tcBorders/>
            <w:shd w:fill="auto" w:val="clear"/>
          </w:tcPr>
          <w:p>
            <w:pPr>
              <w:pStyle w:val="HorizontalLine"/>
              <w:pBdr>
                <w:bottom w:val="single" w:sz="18"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 Per Share:</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0.24</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0.38</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 Common</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0.18</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0.29</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0.21</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0.33</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Average Shares Outstanding:</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4,027</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4,036</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 Common</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1,458</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1,458</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5,798</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5,950</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240" w:type="dxa"/>
            <w:gridSpan w:val="11"/>
            <w:tcBorders/>
            <w:shd w:fill="auto" w:val="clear"/>
            <w:vAlign w:val="bottom"/>
          </w:tcPr>
          <w:p>
            <w:pPr>
              <w:pStyle w:val="TableContents"/>
              <w:spacing w:before="0" w:after="283"/>
              <w:jc w:val="center"/>
              <w:rPr/>
            </w:pPr>
            <w:r>
              <w:rPr/>
              <w:t> </w:t>
            </w:r>
          </w:p>
        </w:tc>
        <w:tc>
          <w:tcPr>
            <w:tcW w:w="202" w:type="dxa"/>
            <w:tcBorders/>
            <w:shd w:fill="auto" w:val="clear"/>
            <w:vAlign w:val="bottom"/>
          </w:tcPr>
          <w:p>
            <w:pPr>
              <w:pStyle w:val="TableContents"/>
              <w:spacing w:before="0" w:after="283"/>
              <w:jc w:val="center"/>
              <w:rPr/>
            </w:pPr>
            <w:r>
              <w:rPr/>
              <w:t> </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240"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Nine Months Ended April 30,</w:t>
            </w:r>
          </w:p>
        </w:tc>
        <w:tc>
          <w:tcPr>
            <w:tcW w:w="202" w:type="dxa"/>
            <w:tcBorders/>
            <w:shd w:fill="auto" w:val="clear"/>
            <w:vAlign w:val="bottom"/>
          </w:tcPr>
          <w:p>
            <w:pPr>
              <w:pStyle w:val="TableContents"/>
              <w:spacing w:before="0" w:after="283"/>
              <w:jc w:val="center"/>
              <w:rPr/>
            </w:pPr>
            <w:r>
              <w:rPr/>
              <w:t> </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2" w:type="dxa"/>
            <w:tcBorders/>
            <w:shd w:fill="auto" w:val="clear"/>
            <w:vAlign w:val="bottom"/>
          </w:tcPr>
          <w:p>
            <w:pPr>
              <w:pStyle w:val="TableContents"/>
              <w:spacing w:before="0" w:after="283"/>
              <w:jc w:val="center"/>
              <w:rPr/>
            </w:pPr>
            <w:r>
              <w:rPr/>
              <w:t> </w:t>
            </w:r>
          </w:p>
        </w:tc>
        <w:tc>
          <w:tcPr>
            <w:tcW w:w="90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of Sales</w:t>
            </w:r>
          </w:p>
        </w:tc>
        <w:tc>
          <w:tcPr>
            <w:tcW w:w="202" w:type="dxa"/>
            <w:tcBorders/>
            <w:shd w:fill="auto" w:val="clear"/>
            <w:vAlign w:val="bottom"/>
          </w:tcPr>
          <w:p>
            <w:pPr>
              <w:pStyle w:val="TableContents"/>
              <w:spacing w:before="0" w:after="283"/>
              <w:jc w:val="center"/>
              <w:rPr/>
            </w:pPr>
            <w:r>
              <w:rPr/>
              <w:t> </w:t>
            </w:r>
          </w:p>
        </w:tc>
        <w:tc>
          <w:tcPr>
            <w:tcW w:w="90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2" w:type="dxa"/>
            <w:tcBorders/>
            <w:shd w:fill="auto" w:val="clear"/>
            <w:vAlign w:val="bottom"/>
          </w:tcPr>
          <w:p>
            <w:pPr>
              <w:pStyle w:val="TableContents"/>
              <w:spacing w:before="0" w:after="283"/>
              <w:jc w:val="center"/>
              <w:rPr/>
            </w:pPr>
            <w:r>
              <w:rPr/>
              <w:t> </w:t>
            </w:r>
          </w:p>
        </w:tc>
        <w:tc>
          <w:tcPr>
            <w:tcW w:w="90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of Sales</w:t>
            </w:r>
          </w:p>
        </w:tc>
        <w:tc>
          <w:tcPr>
            <w:tcW w:w="202" w:type="dxa"/>
            <w:tcBorders/>
            <w:shd w:fill="auto" w:val="clear"/>
            <w:vAlign w:val="bottom"/>
          </w:tcPr>
          <w:p>
            <w:pPr>
              <w:pStyle w:val="TableContents"/>
              <w:spacing w:before="0" w:after="283"/>
              <w:jc w:val="center"/>
              <w:rPr/>
            </w:pPr>
            <w:r>
              <w:rPr/>
              <w:t> </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Sales</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153,516</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100.0</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141,851</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100.0</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Cost of Sales</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124,499</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81.1</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110,845</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78.1</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Gross Profit</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29,017</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18.9</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31,006</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21.9</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Gain on Sale of Long-Lived Assets</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415</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2" w:type="dxa"/>
            <w:tcBorders/>
            <w:shd w:fill="auto" w:val="clear"/>
            <w:vAlign w:val="bottom"/>
          </w:tcPr>
          <w:p>
            <w:pPr>
              <w:pStyle w:val="TableContents"/>
              <w:spacing w:before="0" w:after="283"/>
              <w:rPr/>
            </w:pPr>
            <w:r>
              <w:rPr/>
              <w:t> </w:t>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Operating Expenses</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(22,400</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-14.6</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(22,920</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-16.2</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Operating Income</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7,032</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8,086</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5.7</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Interest Expense</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(1,608</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(1,332</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-0.9</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Other Income</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914</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0.6</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590</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0.4</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6,338</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7,344</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5.2</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Income Taxes</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2,220</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1,946</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0"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c>
          <w:tcPr>
            <w:tcW w:w="101" w:type="dxa"/>
            <w:tcBorders/>
            <w:shd w:fill="auto" w:val="clear"/>
          </w:tcPr>
          <w:p>
            <w:pPr>
              <w:pStyle w:val="HorizontalLine"/>
              <w:pBdr>
                <w:bottom w:val="single" w:sz="6" w:space="0" w:color="000000"/>
              </w:pBdr>
              <w:spacing w:before="0" w:after="283"/>
              <w:rPr/>
            </w:pPr>
            <w:r>
              <w:rPr/>
            </w:r>
          </w:p>
        </w:tc>
        <w:tc>
          <w:tcPr>
            <w:tcW w:w="808" w:type="dxa"/>
            <w:tcBorders/>
            <w:shd w:fill="auto" w:val="clear"/>
          </w:tcPr>
          <w:p>
            <w:pPr>
              <w:pStyle w:val="HorizontalLine"/>
              <w:pBdr>
                <w:bottom w:val="single" w:sz="6" w:space="0" w:color="000000"/>
              </w:pBdr>
              <w:spacing w:before="0" w:after="283"/>
              <w:rPr/>
            </w:pPr>
            <w:r>
              <w:rPr/>
            </w:r>
          </w:p>
        </w:tc>
        <w:tc>
          <w:tcPr>
            <w:tcW w:w="202" w:type="dxa"/>
            <w:tcBorders/>
            <w:shd w:fill="auto" w:val="clear"/>
          </w:tcPr>
          <w:p>
            <w:pPr>
              <w:pStyle w:val="HorizontalLine"/>
              <w:pBdr>
                <w:bottom w:val="single" w:sz="6"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4,118</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5,398</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45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tcPr>
          <w:p>
            <w:pPr>
              <w:pStyle w:val="HorizontalLine"/>
              <w:pBdr>
                <w:bottom w:val="single" w:sz="18" w:space="0" w:color="000000"/>
              </w:pBdr>
              <w:spacing w:before="0" w:after="283"/>
              <w:rPr/>
            </w:pPr>
            <w:r>
              <w:rPr/>
            </w:r>
          </w:p>
        </w:tc>
        <w:tc>
          <w:tcPr>
            <w:tcW w:w="808" w:type="dxa"/>
            <w:tcBorders/>
            <w:shd w:fill="auto" w:val="clear"/>
          </w:tcPr>
          <w:p>
            <w:pPr>
              <w:pStyle w:val="HorizontalLine"/>
              <w:pBdr>
                <w:bottom w:val="single" w:sz="18" w:space="0" w:color="000000"/>
              </w:pBdr>
              <w:spacing w:before="0" w:after="283"/>
              <w:rPr/>
            </w:pPr>
            <w:r>
              <w:rPr/>
            </w:r>
          </w:p>
        </w:tc>
        <w:tc>
          <w:tcPr>
            <w:tcW w:w="202" w:type="dxa"/>
            <w:tcBorders/>
            <w:shd w:fill="auto" w:val="clear"/>
          </w:tcPr>
          <w:p>
            <w:pPr>
              <w:pStyle w:val="HorizontalLine"/>
              <w:pBdr>
                <w:bottom w:val="single" w:sz="18" w:space="0" w:color="000000"/>
              </w:pBdr>
              <w:spacing w:before="0" w:after="283"/>
              <w:rPr/>
            </w:pPr>
            <w:r>
              <w:rPr/>
            </w:r>
          </w:p>
        </w:tc>
        <w:tc>
          <w:tcPr>
            <w:tcW w:w="101" w:type="dxa"/>
            <w:tcBorders/>
            <w:shd w:fill="auto" w:val="clear"/>
          </w:tcPr>
          <w:p>
            <w:pPr>
              <w:pStyle w:val="HorizontalLine"/>
              <w:pBdr>
                <w:bottom w:val="single" w:sz="18" w:space="0" w:color="000000"/>
              </w:pBdr>
              <w:spacing w:before="0" w:after="283"/>
              <w:rPr/>
            </w:pPr>
            <w:r>
              <w:rPr/>
            </w:r>
          </w:p>
        </w:tc>
        <w:tc>
          <w:tcPr>
            <w:tcW w:w="808" w:type="dxa"/>
            <w:tcBorders/>
            <w:shd w:fill="auto" w:val="clear"/>
          </w:tcPr>
          <w:p>
            <w:pPr>
              <w:pStyle w:val="HorizontalLine"/>
              <w:pBdr>
                <w:bottom w:val="single" w:sz="18" w:space="0" w:color="000000"/>
              </w:pBdr>
              <w:spacing w:before="0" w:after="283"/>
              <w:rPr/>
            </w:pPr>
            <w:r>
              <w:rPr/>
            </w:r>
          </w:p>
        </w:tc>
        <w:tc>
          <w:tcPr>
            <w:tcW w:w="202" w:type="dxa"/>
            <w:tcBorders/>
            <w:shd w:fill="auto" w:val="clear"/>
          </w:tcPr>
          <w:p>
            <w:pPr>
              <w:pStyle w:val="HorizontalLine"/>
              <w:pBdr>
                <w:bottom w:val="single" w:sz="18" w:space="0" w:color="000000"/>
              </w:pBdr>
              <w:spacing w:before="0" w:after="283"/>
              <w:rPr/>
            </w:pPr>
            <w:r>
              <w:rPr/>
            </w:r>
          </w:p>
        </w:tc>
        <w:tc>
          <w:tcPr>
            <w:tcW w:w="100" w:type="dxa"/>
            <w:tcBorders/>
            <w:shd w:fill="auto" w:val="clear"/>
          </w:tcPr>
          <w:p>
            <w:pPr>
              <w:pStyle w:val="HorizontalLine"/>
              <w:pBdr>
                <w:bottom w:val="single" w:sz="18" w:space="0" w:color="000000"/>
              </w:pBdr>
              <w:spacing w:before="0" w:after="283"/>
              <w:rPr/>
            </w:pPr>
            <w:r>
              <w:rPr/>
            </w:r>
          </w:p>
        </w:tc>
        <w:tc>
          <w:tcPr>
            <w:tcW w:w="808" w:type="dxa"/>
            <w:tcBorders/>
            <w:shd w:fill="auto" w:val="clear"/>
          </w:tcPr>
          <w:p>
            <w:pPr>
              <w:pStyle w:val="HorizontalLine"/>
              <w:pBdr>
                <w:bottom w:val="single" w:sz="18" w:space="0" w:color="000000"/>
              </w:pBdr>
              <w:spacing w:before="0" w:after="283"/>
              <w:rPr/>
            </w:pPr>
            <w:r>
              <w:rPr/>
            </w:r>
          </w:p>
        </w:tc>
        <w:tc>
          <w:tcPr>
            <w:tcW w:w="202" w:type="dxa"/>
            <w:tcBorders/>
            <w:shd w:fill="auto" w:val="clear"/>
          </w:tcPr>
          <w:p>
            <w:pPr>
              <w:pStyle w:val="HorizontalLine"/>
              <w:pBdr>
                <w:bottom w:val="single" w:sz="18" w:space="0" w:color="000000"/>
              </w:pBdr>
              <w:spacing w:before="0" w:after="283"/>
              <w:rPr/>
            </w:pPr>
            <w:r>
              <w:rPr/>
            </w:r>
          </w:p>
        </w:tc>
        <w:tc>
          <w:tcPr>
            <w:tcW w:w="101" w:type="dxa"/>
            <w:tcBorders/>
            <w:shd w:fill="auto" w:val="clear"/>
          </w:tcPr>
          <w:p>
            <w:pPr>
              <w:pStyle w:val="HorizontalLine"/>
              <w:pBdr>
                <w:bottom w:val="single" w:sz="18" w:space="0" w:color="000000"/>
              </w:pBdr>
              <w:spacing w:before="0" w:after="283"/>
              <w:rPr/>
            </w:pPr>
            <w:r>
              <w:rPr/>
            </w:r>
          </w:p>
        </w:tc>
        <w:tc>
          <w:tcPr>
            <w:tcW w:w="808" w:type="dxa"/>
            <w:tcBorders/>
            <w:shd w:fill="auto" w:val="clear"/>
          </w:tcPr>
          <w:p>
            <w:pPr>
              <w:pStyle w:val="HorizontalLine"/>
              <w:pBdr>
                <w:bottom w:val="single" w:sz="18" w:space="0" w:color="000000"/>
              </w:pBdr>
              <w:spacing w:before="0" w:after="283"/>
              <w:rPr/>
            </w:pPr>
            <w:r>
              <w:rPr/>
            </w:r>
          </w:p>
        </w:tc>
        <w:tc>
          <w:tcPr>
            <w:tcW w:w="202" w:type="dxa"/>
            <w:tcBorders/>
            <w:shd w:fill="auto" w:val="clear"/>
          </w:tcPr>
          <w:p>
            <w:pPr>
              <w:pStyle w:val="HorizontalLine"/>
              <w:pBdr>
                <w:bottom w:val="single" w:sz="18" w:space="0" w:color="000000"/>
              </w:pBdr>
              <w:spacing w:before="0" w:after="283"/>
              <w:rPr/>
            </w:pPr>
            <w:r>
              <w:rPr/>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 Per Share:</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0.81</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1.05</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 Common</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0.60</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0.79</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0.71</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0.91</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Average Shares Outstanding:</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4,011</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4,049</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r>
        <w:trPr/>
        <w:tc>
          <w:tcPr>
            <w:tcW w:w="54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 Common</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1,458</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1,453</w:t>
            </w:r>
          </w:p>
        </w:tc>
        <w:tc>
          <w:tcPr>
            <w:tcW w:w="2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5,805</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5,948</w:t>
            </w:r>
          </w:p>
        </w:tc>
        <w:tc>
          <w:tcPr>
            <w:tcW w:w="202"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O I L  -  D R I   C O R P O R A T I O N    O F    A M E R I C A</w:t>
      </w:r>
    </w:p>
    <w:p>
      <w:pPr>
        <w:pStyle w:val="TextBody"/>
        <w:rPr>
          <w:rFonts w:ascii="Times New Roman" w:hAnsi="Times New Roman"/>
          <w:sz w:val="20"/>
        </w:rPr>
      </w:pPr>
      <w:r>
        <w:rPr>
          <w:rFonts w:ascii="Times New Roman" w:hAnsi="Times New Roman"/>
          <w:b/>
          <w:sz w:val="20"/>
        </w:rPr>
        <w:t>Consolidated Balance Sheets</w:t>
        <w:br/>
      </w:r>
      <w:r>
        <w:rPr>
          <w:rFonts w:ascii="Times New Roman" w:hAnsi="Times New Roman"/>
          <w:sz w:val="20"/>
        </w:rPr>
        <w:t>(in thousands, except for per share amounts)</w:t>
        <w:br/>
        <w:t>(unaudited)</w:t>
      </w:r>
    </w:p>
    <w:tbl>
      <w:tblPr>
        <w:tblW w:w="5000" w:type="pct"/>
        <w:jc w:val="center"/>
        <w:tblInd w:w="0" w:type="dxa"/>
        <w:tblCellMar>
          <w:top w:w="0" w:type="dxa"/>
          <w:left w:w="0" w:type="dxa"/>
          <w:bottom w:w="0" w:type="dxa"/>
          <w:right w:w="0" w:type="dxa"/>
        </w:tblCellMar>
      </w:tblPr>
      <w:tblGrid>
        <w:gridCol w:w="6055"/>
        <w:gridCol w:w="207"/>
        <w:gridCol w:w="252"/>
        <w:gridCol w:w="838"/>
        <w:gridCol w:w="207"/>
        <w:gridCol w:w="147"/>
        <w:gridCol w:w="1007"/>
        <w:gridCol w:w="207"/>
        <w:gridCol w:w="147"/>
        <w:gridCol w:w="1007"/>
        <w:gridCol w:w="131"/>
      </w:tblGrid>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251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As of April 30,</w:t>
            </w:r>
          </w:p>
        </w:tc>
        <w:tc>
          <w:tcPr>
            <w:tcW w:w="131" w:type="dxa"/>
            <w:tcBorders/>
            <w:shd w:fill="auto"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HorizontalLine"/>
              <w:pBdr>
                <w:bottom w:val="single" w:sz="6" w:space="0" w:color="000000"/>
              </w:pBdr>
              <w:spacing w:before="0" w:after="283"/>
              <w:rPr/>
            </w:pPr>
            <w:r>
              <w:rPr/>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000000"/>
              </w:pBdr>
              <w:spacing w:before="0" w:after="283"/>
              <w:rPr/>
            </w:pPr>
            <w:r>
              <w:rPr/>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7"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31" w:type="dxa"/>
            <w:tcBorders/>
            <w:shd w:fill="auto"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HorizontalLine"/>
              <w:pBdr>
                <w:bottom w:val="single" w:sz="6" w:space="0" w:color="000000"/>
              </w:pBdr>
              <w:spacing w:before="0" w:after="283"/>
              <w:rPr/>
            </w:pPr>
            <w:r>
              <w:rPr/>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000000"/>
              </w:pBdr>
              <w:spacing w:before="0" w:after="283"/>
              <w:rPr/>
            </w:pPr>
            <w:r>
              <w:rPr/>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Current Assets</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xml:space="preserve">  </w:t>
            </w:r>
          </w:p>
        </w:tc>
        <w:tc>
          <w:tcPr>
            <w:tcW w:w="100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rPr/>
            </w:pPr>
            <w:r>
              <w:rPr/>
              <w:t xml:space="preserve">  </w:t>
            </w:r>
          </w:p>
        </w:tc>
        <w:tc>
          <w:tcPr>
            <w:tcW w:w="147" w:type="dxa"/>
            <w:tcBorders/>
            <w:shd w:fill="CCEEFF" w:val="clear"/>
            <w:vAlign w:val="bottom"/>
          </w:tcPr>
          <w:p>
            <w:pPr>
              <w:pStyle w:val="TableContents"/>
              <w:spacing w:before="0" w:after="283"/>
              <w:rPr/>
            </w:pPr>
            <w:r>
              <w:rPr/>
              <w:t xml:space="preserve">  </w:t>
            </w:r>
          </w:p>
        </w:tc>
        <w:tc>
          <w:tcPr>
            <w:tcW w:w="1007" w:type="dxa"/>
            <w:tcBorders/>
            <w:shd w:fill="CCEEFF" w:val="clear"/>
            <w:vAlign w:val="bottom"/>
          </w:tcPr>
          <w:p>
            <w:pPr>
              <w:pStyle w:val="TableContents"/>
              <w:spacing w:before="0" w:after="283"/>
              <w:rPr/>
            </w:pPr>
            <w:r>
              <w:rPr/>
              <w:t xml:space="preserve">  </w:t>
            </w:r>
          </w:p>
        </w:tc>
        <w:tc>
          <w:tcPr>
            <w:tcW w:w="131" w:type="dxa"/>
            <w:tcBorders/>
            <w:shd w:fill="CCEEFF" w:val="clear"/>
            <w:vAlign w:val="bottom"/>
          </w:tcPr>
          <w:p>
            <w:pPr>
              <w:pStyle w:val="TableContents"/>
              <w:spacing w:before="0" w:after="283"/>
              <w:rPr/>
            </w:pPr>
            <w:r>
              <w:rPr/>
              <w:t xml:space="preserve">  </w:t>
            </w:r>
          </w:p>
        </w:tc>
      </w:tr>
      <w:tr>
        <w:trPr/>
        <w:tc>
          <w:tcPr>
            <w:tcW w:w="605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Cash, Cash Equivalents and Investments</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26,800</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16,930</w:t>
            </w:r>
          </w:p>
        </w:tc>
        <w:tc>
          <w:tcPr>
            <w:tcW w:w="131" w:type="dxa"/>
            <w:tcBorders/>
            <w:shd w:fill="auto" w:val="clear"/>
            <w:vAlign w:val="bottom"/>
          </w:tcPr>
          <w:p>
            <w:pPr>
              <w:pStyle w:val="TableContents"/>
              <w:spacing w:before="0" w:after="283"/>
              <w:rPr/>
            </w:pPr>
            <w:r>
              <w:rPr/>
              <w:t> </w:t>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Accounts Receivable, net</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25,711</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23,274</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Inventories</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16,081</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13,490</w:t>
            </w:r>
          </w:p>
        </w:tc>
        <w:tc>
          <w:tcPr>
            <w:tcW w:w="131" w:type="dxa"/>
            <w:tcBorders/>
            <w:shd w:fill="auto" w:val="clear"/>
            <w:vAlign w:val="bottom"/>
          </w:tcPr>
          <w:p>
            <w:pPr>
              <w:pStyle w:val="TableContents"/>
              <w:spacing w:before="0" w:after="283"/>
              <w:rPr/>
            </w:pPr>
            <w:r>
              <w:rPr/>
              <w:t> </w:t>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Prepaid Expenses</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8,789</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7,673</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HorizontalLine"/>
              <w:pBdr>
                <w:bottom w:val="single" w:sz="6" w:space="0" w:color="000000"/>
              </w:pBdr>
              <w:spacing w:before="0" w:after="283"/>
              <w:rPr/>
            </w:pPr>
            <w:r>
              <w:rPr/>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000000"/>
              </w:pBdr>
              <w:spacing w:before="0" w:after="283"/>
              <w:rPr/>
            </w:pPr>
            <w:r>
              <w:rPr/>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Current Assets</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77,381</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61,367</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HorizontalLine"/>
              <w:pBdr>
                <w:bottom w:val="single" w:sz="6" w:space="0" w:color="000000"/>
              </w:pBdr>
              <w:spacing w:before="0" w:after="283"/>
              <w:rPr/>
            </w:pPr>
            <w:r>
              <w:rPr/>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000000"/>
              </w:pBdr>
              <w:spacing w:before="0" w:after="283"/>
              <w:rPr/>
            </w:pPr>
            <w:r>
              <w:rPr/>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Property, Plant and Equipment</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48,739</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47,710</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 Assets</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12,990</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12,368</w:t>
            </w:r>
          </w:p>
        </w:tc>
        <w:tc>
          <w:tcPr>
            <w:tcW w:w="131" w:type="dxa"/>
            <w:tcBorders/>
            <w:shd w:fill="auto"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HorizontalLine"/>
              <w:pBdr>
                <w:bottom w:val="single" w:sz="6" w:space="0" w:color="000000"/>
              </w:pBdr>
              <w:spacing w:before="0" w:after="283"/>
              <w:rPr/>
            </w:pPr>
            <w:r>
              <w:rPr/>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000000"/>
              </w:pBdr>
              <w:spacing w:before="0" w:after="283"/>
              <w:rPr/>
            </w:pPr>
            <w:r>
              <w:rPr/>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Assets</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139,110</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121,445</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1007" w:type="dxa"/>
            <w:tcBorders/>
            <w:shd w:fill="auto" w:val="clear"/>
            <w:vAlign w:val="bottom"/>
          </w:tcPr>
          <w:p>
            <w:pPr>
              <w:pStyle w:val="HorizontalLine"/>
              <w:pBdr>
                <w:bottom w:val="single" w:sz="18" w:space="0" w:color="000000"/>
              </w:pBdr>
              <w:spacing w:before="0" w:after="283"/>
              <w:rPr/>
            </w:pPr>
            <w:r>
              <w:rPr/>
            </w:r>
          </w:p>
        </w:tc>
        <w:tc>
          <w:tcPr>
            <w:tcW w:w="207" w:type="dxa"/>
            <w:tcBorders/>
            <w:shd w:fill="auto" w:val="clear"/>
            <w:vAlign w:val="bottom"/>
          </w:tcPr>
          <w:p>
            <w:pPr>
              <w:pStyle w:val="HorizontalLine"/>
              <w:pBdr>
                <w:bottom w:val="single" w:sz="18" w:space="0" w:color="000000"/>
              </w:pBdr>
              <w:spacing w:before="0" w:after="283"/>
              <w:rPr/>
            </w:pPr>
            <w:r>
              <w:rPr/>
            </w:r>
          </w:p>
        </w:tc>
        <w:tc>
          <w:tcPr>
            <w:tcW w:w="147" w:type="dxa"/>
            <w:tcBorders/>
            <w:shd w:fill="auto" w:val="clear"/>
            <w:vAlign w:val="bottom"/>
          </w:tcPr>
          <w:p>
            <w:pPr>
              <w:pStyle w:val="HorizontalLine"/>
              <w:pBdr>
                <w:bottom w:val="single" w:sz="18" w:space="0" w:color="000000"/>
              </w:pBdr>
              <w:spacing w:before="0" w:after="283"/>
              <w:rPr/>
            </w:pPr>
            <w:r>
              <w:rPr/>
            </w:r>
          </w:p>
        </w:tc>
        <w:tc>
          <w:tcPr>
            <w:tcW w:w="1007"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HorizontalLine"/>
              <w:pBdr>
                <w:bottom w:val="single" w:sz="18" w:space="0" w:color="000000"/>
              </w:pBdr>
              <w:spacing w:before="0" w:after="283"/>
              <w:rPr/>
            </w:pPr>
            <w:r>
              <w:rPr/>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Current Liabilities</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Current Maturities of Notes Payable</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3,080</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3,080</w:t>
            </w:r>
          </w:p>
        </w:tc>
        <w:tc>
          <w:tcPr>
            <w:tcW w:w="131" w:type="dxa"/>
            <w:tcBorders/>
            <w:shd w:fill="auto" w:val="clear"/>
            <w:vAlign w:val="bottom"/>
          </w:tcPr>
          <w:p>
            <w:pPr>
              <w:pStyle w:val="TableContents"/>
              <w:spacing w:before="0" w:after="283"/>
              <w:rPr/>
            </w:pPr>
            <w:r>
              <w:rPr/>
              <w:t> </w:t>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Accounts Payable</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5,884</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4,782</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Dividends Payable</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607</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558</w:t>
            </w:r>
          </w:p>
        </w:tc>
        <w:tc>
          <w:tcPr>
            <w:tcW w:w="131" w:type="dxa"/>
            <w:tcBorders/>
            <w:shd w:fill="auto" w:val="clear"/>
            <w:vAlign w:val="bottom"/>
          </w:tcPr>
          <w:p>
            <w:pPr>
              <w:pStyle w:val="TableContents"/>
              <w:spacing w:before="0" w:after="283"/>
              <w:rPr/>
            </w:pPr>
            <w:r>
              <w:rPr/>
              <w:t> </w:t>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Accrued Expenses</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13,794</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12,702</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HorizontalLine"/>
              <w:pBdr>
                <w:bottom w:val="single" w:sz="6" w:space="0" w:color="000000"/>
              </w:pBdr>
              <w:spacing w:before="0" w:after="283"/>
              <w:rPr/>
            </w:pPr>
            <w:r>
              <w:rPr/>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000000"/>
              </w:pBdr>
              <w:spacing w:before="0" w:after="283"/>
              <w:rPr/>
            </w:pPr>
            <w:r>
              <w:rPr/>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Current Liabilities</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23,365</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21,122</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HorizontalLine"/>
              <w:pBdr>
                <w:bottom w:val="single" w:sz="6" w:space="0" w:color="000000"/>
              </w:pBdr>
              <w:spacing w:before="0" w:after="283"/>
              <w:rPr/>
            </w:pPr>
            <w:r>
              <w:rPr/>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000000"/>
              </w:pBdr>
              <w:spacing w:before="0" w:after="283"/>
              <w:rPr/>
            </w:pPr>
            <w:r>
              <w:rPr/>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Long-Term Liabilities</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Notes Payable</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32,160</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20,240</w:t>
            </w:r>
          </w:p>
        </w:tc>
        <w:tc>
          <w:tcPr>
            <w:tcW w:w="131" w:type="dxa"/>
            <w:tcBorders/>
            <w:shd w:fill="auto" w:val="clear"/>
            <w:vAlign w:val="bottom"/>
          </w:tcPr>
          <w:p>
            <w:pPr>
              <w:pStyle w:val="TableContents"/>
              <w:spacing w:before="0" w:after="283"/>
              <w:rPr/>
            </w:pPr>
            <w:r>
              <w:rPr/>
              <w:t> </w:t>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Other Noncurrent Liabilities</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7,738</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6,391</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HorizontalLine"/>
              <w:pBdr>
                <w:bottom w:val="single" w:sz="6" w:space="0" w:color="000000"/>
              </w:pBdr>
              <w:spacing w:before="0" w:after="283"/>
              <w:rPr/>
            </w:pPr>
            <w:r>
              <w:rPr/>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000000"/>
              </w:pBdr>
              <w:spacing w:before="0" w:after="283"/>
              <w:rPr/>
            </w:pPr>
            <w:r>
              <w:rPr/>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Long-Term Liabilities</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39,898</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26,631</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HorizontalLine"/>
              <w:pBdr>
                <w:bottom w:val="single" w:sz="6" w:space="0" w:color="000000"/>
              </w:pBdr>
              <w:spacing w:before="0" w:after="283"/>
              <w:rPr/>
            </w:pPr>
            <w:r>
              <w:rPr/>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000000"/>
              </w:pBdr>
              <w:spacing w:before="0" w:after="283"/>
              <w:rPr/>
            </w:pPr>
            <w:r>
              <w:rPr/>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Stockholders Equity</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75,847</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73,692</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HorizontalLine"/>
              <w:pBdr>
                <w:bottom w:val="single" w:sz="6" w:space="0" w:color="000000"/>
              </w:pBdr>
              <w:spacing w:before="0" w:after="283"/>
              <w:rPr/>
            </w:pPr>
            <w:r>
              <w:rPr/>
            </w:r>
          </w:p>
        </w:tc>
        <w:tc>
          <w:tcPr>
            <w:tcW w:w="147" w:type="dxa"/>
            <w:tcBorders/>
            <w:shd w:fill="auto" w:val="clear"/>
            <w:vAlign w:val="bottom"/>
          </w:tcPr>
          <w:p>
            <w:pPr>
              <w:pStyle w:val="HorizontalLine"/>
              <w:pBdr>
                <w:bottom w:val="single" w:sz="6" w:space="0" w:color="000000"/>
              </w:pBdr>
              <w:spacing w:before="0" w:after="283"/>
              <w:rPr/>
            </w:pPr>
            <w:r>
              <w:rPr/>
            </w:r>
          </w:p>
        </w:tc>
        <w:tc>
          <w:tcPr>
            <w:tcW w:w="100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000000"/>
              </w:pBdr>
              <w:spacing w:before="0" w:after="283"/>
              <w:rPr/>
            </w:pPr>
            <w:r>
              <w:rPr/>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Liabilities and Stockholders Equity</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139,110</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121,445</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1007" w:type="dxa"/>
            <w:tcBorders/>
            <w:shd w:fill="auto" w:val="clear"/>
            <w:vAlign w:val="bottom"/>
          </w:tcPr>
          <w:p>
            <w:pPr>
              <w:pStyle w:val="HorizontalLine"/>
              <w:pBdr>
                <w:bottom w:val="single" w:sz="18" w:space="0" w:color="000000"/>
              </w:pBdr>
              <w:spacing w:before="0" w:after="283"/>
              <w:rPr/>
            </w:pPr>
            <w:r>
              <w:rPr/>
            </w:r>
          </w:p>
        </w:tc>
        <w:tc>
          <w:tcPr>
            <w:tcW w:w="207" w:type="dxa"/>
            <w:tcBorders/>
            <w:shd w:fill="auto" w:val="clear"/>
            <w:vAlign w:val="bottom"/>
          </w:tcPr>
          <w:p>
            <w:pPr>
              <w:pStyle w:val="HorizontalLine"/>
              <w:pBdr>
                <w:bottom w:val="single" w:sz="18" w:space="0" w:color="000000"/>
              </w:pBdr>
              <w:spacing w:before="0" w:after="283"/>
              <w:rPr/>
            </w:pPr>
            <w:r>
              <w:rPr/>
            </w:r>
          </w:p>
        </w:tc>
        <w:tc>
          <w:tcPr>
            <w:tcW w:w="147" w:type="dxa"/>
            <w:tcBorders/>
            <w:shd w:fill="auto" w:val="clear"/>
            <w:vAlign w:val="bottom"/>
          </w:tcPr>
          <w:p>
            <w:pPr>
              <w:pStyle w:val="HorizontalLine"/>
              <w:pBdr>
                <w:bottom w:val="single" w:sz="18" w:space="0" w:color="000000"/>
              </w:pBdr>
              <w:spacing w:before="0" w:after="283"/>
              <w:rPr/>
            </w:pPr>
            <w:r>
              <w:rPr/>
            </w:r>
          </w:p>
        </w:tc>
        <w:tc>
          <w:tcPr>
            <w:tcW w:w="1007"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HorizontalLine"/>
              <w:pBdr>
                <w:bottom w:val="single" w:sz="18" w:space="0" w:color="000000"/>
              </w:pBdr>
              <w:spacing w:before="0" w:after="283"/>
              <w:rPr/>
            </w:pPr>
            <w:r>
              <w:rPr/>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Book Value Per Share Outstanding</w:t>
            </w:r>
          </w:p>
        </w:tc>
        <w:tc>
          <w:tcPr>
            <w:tcW w:w="207"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13.87</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13.39</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Additions to and Acquisitions of</w:t>
            </w:r>
          </w:p>
        </w:tc>
        <w:tc>
          <w:tcPr>
            <w:tcW w:w="20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 </w:t>
            </w:r>
          </w:p>
        </w:tc>
        <w:tc>
          <w:tcPr>
            <w:tcW w:w="131" w:type="dxa"/>
            <w:tcBorders/>
            <w:shd w:fill="auto" w:val="clear"/>
            <w:vAlign w:val="bottom"/>
          </w:tcPr>
          <w:p>
            <w:pPr>
              <w:pStyle w:val="TableContents"/>
              <w:spacing w:before="0" w:after="283"/>
              <w:rPr/>
            </w:pPr>
            <w:r>
              <w:rPr/>
              <w:t> </w:t>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Property, Plant and Equipment</w:t>
            </w:r>
          </w:p>
        </w:tc>
        <w:tc>
          <w:tcPr>
            <w:tcW w:w="207" w:type="dxa"/>
            <w:tcBorders/>
            <w:shd w:fill="CCEEFF" w:val="clear"/>
            <w:vAlign w:val="bottom"/>
          </w:tcPr>
          <w:p>
            <w:pPr>
              <w:pStyle w:val="TableContents"/>
              <w:spacing w:before="0" w:after="283"/>
              <w:rPr/>
            </w:pPr>
            <w:r>
              <w:rPr/>
              <w:t> </w:t>
            </w:r>
          </w:p>
        </w:tc>
        <w:tc>
          <w:tcPr>
            <w:tcW w:w="1090" w:type="dxa"/>
            <w:gridSpan w:val="2"/>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Third Quarter</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1,840</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1,266</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Year to Date</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6,464</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5,230</w:t>
            </w:r>
          </w:p>
        </w:tc>
        <w:tc>
          <w:tcPr>
            <w:tcW w:w="131" w:type="dxa"/>
            <w:tcBorders/>
            <w:shd w:fill="auto" w:val="clear"/>
            <w:vAlign w:val="bottom"/>
          </w:tcPr>
          <w:p>
            <w:pPr>
              <w:pStyle w:val="TableContents"/>
              <w:spacing w:before="0" w:after="283"/>
              <w:rPr/>
            </w:pPr>
            <w:r>
              <w:rPr/>
              <w:t> </w:t>
            </w:r>
          </w:p>
        </w:tc>
      </w:tr>
      <w:tr>
        <w:trPr/>
        <w:tc>
          <w:tcPr>
            <w:tcW w:w="605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Depreciation and Amortization Charges</w:t>
            </w:r>
          </w:p>
        </w:tc>
        <w:tc>
          <w:tcPr>
            <w:tcW w:w="207" w:type="dxa"/>
            <w:tcBorders/>
            <w:shd w:fill="CCEEFF" w:val="clear"/>
            <w:vAlign w:val="bottom"/>
          </w:tcPr>
          <w:p>
            <w:pPr>
              <w:pStyle w:val="TableContents"/>
              <w:spacing w:before="0" w:after="283"/>
              <w:rPr/>
            </w:pPr>
            <w:r>
              <w:rPr/>
              <w:t> </w:t>
            </w:r>
          </w:p>
        </w:tc>
        <w:tc>
          <w:tcPr>
            <w:tcW w:w="1090" w:type="dxa"/>
            <w:gridSpan w:val="2"/>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Third Quarter</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1,848</w:t>
            </w:r>
          </w:p>
        </w:tc>
        <w:tc>
          <w:tcPr>
            <w:tcW w:w="20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1,813</w:t>
            </w:r>
          </w:p>
        </w:tc>
        <w:tc>
          <w:tcPr>
            <w:tcW w:w="13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Year to Date</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5,455</w:t>
            </w:r>
          </w:p>
        </w:tc>
        <w:tc>
          <w:tcPr>
            <w:tcW w:w="20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5,635</w:t>
            </w:r>
          </w:p>
        </w:tc>
        <w:tc>
          <w:tcPr>
            <w:tcW w:w="131" w:type="dxa"/>
            <w:tcBorders/>
            <w:shd w:fill="auto"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b/>
          <w:sz w:val="20"/>
        </w:rPr>
        <w:t>O I L  -  D R I   C O R P O R A T I O N    O F    A M E R I C A</w:t>
        <w:br/>
        <w:br/>
        <w:t>Consolidated Statements of Cash Flows</w:t>
        <w:br/>
      </w:r>
      <w:r>
        <w:rPr>
          <w:rFonts w:ascii="Times New Roman" w:hAnsi="Times New Roman"/>
          <w:sz w:val="20"/>
        </w:rPr>
        <w:t>(in thousands)</w:t>
        <w:br/>
        <w:t>(unaudited)</w:t>
      </w:r>
    </w:p>
    <w:tbl>
      <w:tblPr>
        <w:tblW w:w="5000" w:type="pct"/>
        <w:jc w:val="center"/>
        <w:tblInd w:w="0" w:type="dxa"/>
        <w:tblCellMar>
          <w:top w:w="0" w:type="dxa"/>
          <w:left w:w="0" w:type="dxa"/>
          <w:bottom w:w="0" w:type="dxa"/>
          <w:right w:w="0" w:type="dxa"/>
        </w:tblCellMar>
      </w:tblPr>
      <w:tblGrid>
        <w:gridCol w:w="7836"/>
        <w:gridCol w:w="206"/>
        <w:gridCol w:w="103"/>
        <w:gridCol w:w="824"/>
        <w:gridCol w:w="206"/>
        <w:gridCol w:w="103"/>
        <w:gridCol w:w="824"/>
        <w:gridCol w:w="103"/>
      </w:tblGrid>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0"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Nine Months Ended</w:t>
              <w:br/>
              <w:t>April 30</w:t>
            </w:r>
          </w:p>
        </w:tc>
        <w:tc>
          <w:tcPr>
            <w:tcW w:w="103" w:type="dxa"/>
            <w:tcBorders/>
            <w:shd w:fill="auto"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60" w:type="dxa"/>
            <w:gridSpan w:val="5"/>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r>
      <w:tr>
        <w:trPr/>
        <w:tc>
          <w:tcPr>
            <w:tcW w:w="78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CASH FLOWS FROM OPERATING ACTIVITIES</w:t>
            </w:r>
          </w:p>
        </w:tc>
        <w:tc>
          <w:tcPr>
            <w:tcW w:w="206"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7836" w:type="dxa"/>
            <w:tcBorders/>
            <w:shd w:fill="auto" w:val="clear"/>
          </w:tcPr>
          <w:p>
            <w:pPr>
              <w:pStyle w:val="HorizontalLine"/>
              <w:pBdr>
                <w:bottom w:val="single" w:sz="6" w:space="0" w:color="000000"/>
              </w:pBdr>
              <w:spacing w:before="0" w:after="283"/>
              <w:rPr/>
            </w:pPr>
            <w:r>
              <w:rPr/>
            </w:r>
          </w:p>
        </w:tc>
        <w:tc>
          <w:tcPr>
            <w:tcW w:w="206" w:type="dxa"/>
            <w:tcBorders/>
            <w:shd w:fill="auto" w:val="clear"/>
          </w:tcPr>
          <w:p>
            <w:pPr>
              <w:pStyle w:val="HorizontalLine"/>
              <w:pBdr>
                <w:bottom w:val="single" w:sz="6" w:space="0" w:color="000000"/>
              </w:pBdr>
              <w:spacing w:before="0" w:after="283"/>
              <w:rPr/>
            </w:pPr>
            <w:r>
              <w:rPr/>
            </w:r>
          </w:p>
        </w:tc>
        <w:tc>
          <w:tcPr>
            <w:tcW w:w="927" w:type="dxa"/>
            <w:gridSpan w:val="2"/>
            <w:tcBorders/>
            <w:shd w:fill="auto" w:val="clear"/>
          </w:tcPr>
          <w:p>
            <w:pPr>
              <w:pStyle w:val="HorizontalLine"/>
              <w:pBdr>
                <w:bottom w:val="single" w:sz="6" w:space="0" w:color="000000"/>
              </w:pBdr>
              <w:spacing w:before="0" w:after="283"/>
              <w:rPr/>
            </w:pPr>
            <w:r>
              <w:rPr/>
            </w:r>
          </w:p>
        </w:tc>
        <w:tc>
          <w:tcPr>
            <w:tcW w:w="206" w:type="dxa"/>
            <w:tcBorders/>
            <w:shd w:fill="auto" w:val="clear"/>
          </w:tcPr>
          <w:p>
            <w:pPr>
              <w:pStyle w:val="HorizontalLine"/>
              <w:pBdr>
                <w:bottom w:val="single" w:sz="6" w:space="0" w:color="000000"/>
              </w:pBdr>
              <w:spacing w:before="0" w:after="283"/>
              <w:rPr/>
            </w:pPr>
            <w:r>
              <w:rPr/>
            </w:r>
          </w:p>
        </w:tc>
        <w:tc>
          <w:tcPr>
            <w:tcW w:w="927" w:type="dxa"/>
            <w:gridSpan w:val="2"/>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4,118</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5,398</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Adjustments to reconcile net income to net cash provided by operating activities: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Depreciation and Amortization</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5,455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5,635</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(Increase) Decrease in Accounts Receivable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(2,307</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915</w:t>
            </w:r>
          </w:p>
        </w:tc>
        <w:tc>
          <w:tcPr>
            <w:tcW w:w="103" w:type="dxa"/>
            <w:tcBorders/>
            <w:shd w:fill="auto" w:val="clear"/>
            <w:vAlign w:val="bottom"/>
          </w:tcPr>
          <w:p>
            <w:pPr>
              <w:pStyle w:val="TableContents"/>
              <w:spacing w:before="0" w:after="283"/>
              <w:rPr/>
            </w:pPr>
            <w:r>
              <w:rPr/>
              <w:t> </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(Increase) in Inventories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(3,395</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(1,091</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Increase (Decrease) in Accounts Payable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1,089</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(177</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Increase (Decrease) in Accrued Expenses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(4,040</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(1,713</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1,179</w:t>
            </w:r>
          </w:p>
        </w:tc>
        <w:tc>
          <w:tcPr>
            <w:tcW w:w="103" w:type="dxa"/>
            <w:tcBorders/>
            <w:shd w:fill="auto"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206"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Adjustments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(744</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2,421</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206"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Provided by Operating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3,374</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7,819</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206"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FLOWS FROM INVESTING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Capital Expenditures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(6,464</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(5,230</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Other</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(4,050</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3,916</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206"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Used in Investing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(10,514</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(1,314</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206"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FLOWS FROM FINANCING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Principal payments on Long-Term Debt</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(3,080</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(4,080</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Dividends Paid</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(1,775</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(1,647</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Purchase of Treasury Stock</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(4,538</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(7,082</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Proceeds from Issuance of Long-Term Debt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3,748</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3,909</w:t>
            </w:r>
          </w:p>
        </w:tc>
        <w:tc>
          <w:tcPr>
            <w:tcW w:w="103" w:type="dxa"/>
            <w:tcBorders/>
            <w:shd w:fill="auto"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206"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Provide by (Used in) Financing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9,355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(8,900</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206"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Effect of exchange rate changes on cash and cash equivalents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(335</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Net Increase (Decrease) in Cash and Cash Equivalents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1,880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(2,637</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Beginning of Year</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5,945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6,348</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206"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c>
          <w:tcPr>
            <w:tcW w:w="824" w:type="dxa"/>
            <w:tcBorders/>
            <w:shd w:fill="auto" w:val="clear"/>
          </w:tcPr>
          <w:p>
            <w:pPr>
              <w:pStyle w:val="HorizontalLine"/>
              <w:pBdr>
                <w:bottom w:val="single" w:sz="6" w:space="0" w:color="000000"/>
              </w:pBdr>
              <w:spacing w:before="0" w:after="283"/>
              <w:rPr/>
            </w:pPr>
            <w:r>
              <w:rPr/>
            </w:r>
          </w:p>
        </w:tc>
        <w:tc>
          <w:tcPr>
            <w:tcW w:w="103" w:type="dxa"/>
            <w:tcBorders/>
            <w:shd w:fill="auto" w:val="clear"/>
          </w:tcPr>
          <w:p>
            <w:pPr>
              <w:pStyle w:val="HorizontalLine"/>
              <w:pBdr>
                <w:bottom w:val="single" w:sz="6" w:space="0" w:color="000000"/>
              </w:pBdr>
              <w:spacing w:before="0" w:after="283"/>
              <w:rPr/>
            </w:pPr>
            <w:r>
              <w:rPr/>
            </w:r>
          </w:p>
        </w:tc>
      </w:tr>
      <w:tr>
        <w:trPr/>
        <w:tc>
          <w:tcPr>
            <w:tcW w:w="783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April 30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7,825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3,711</w:t>
            </w:r>
          </w:p>
        </w:tc>
        <w:tc>
          <w:tcPr>
            <w:tcW w:w="103" w:type="dxa"/>
            <w:tcBorders/>
            <w:shd w:fill="CCEEFF" w:val="clear"/>
            <w:vAlign w:val="bottom"/>
          </w:tcPr>
          <w:p>
            <w:pPr>
              <w:pStyle w:val="TableContents"/>
              <w:spacing w:before="0" w:after="283"/>
              <w:rPr/>
            </w:pPr>
            <w:r>
              <w:rPr/>
              <w:t> </w:t>
            </w:r>
          </w:p>
        </w:tc>
      </w:tr>
      <w:tr>
        <w:trPr/>
        <w:tc>
          <w:tcPr>
            <w:tcW w:w="783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tcPr>
          <w:p>
            <w:pPr>
              <w:pStyle w:val="HorizontalLine"/>
              <w:pBdr>
                <w:bottom w:val="single" w:sz="18" w:space="0" w:color="000000"/>
              </w:pBdr>
              <w:spacing w:before="0" w:after="283"/>
              <w:rPr/>
            </w:pPr>
            <w:r>
              <w:rPr/>
            </w:r>
          </w:p>
        </w:tc>
        <w:tc>
          <w:tcPr>
            <w:tcW w:w="824" w:type="dxa"/>
            <w:tcBorders/>
            <w:shd w:fill="auto" w:val="clear"/>
          </w:tcPr>
          <w:p>
            <w:pPr>
              <w:pStyle w:val="HorizontalLine"/>
              <w:pBdr>
                <w:bottom w:val="single" w:sz="18" w:space="0" w:color="000000"/>
              </w:pBdr>
              <w:spacing w:before="0" w:after="283"/>
              <w:rPr/>
            </w:pPr>
            <w:r>
              <w:rPr/>
            </w:r>
          </w:p>
        </w:tc>
        <w:tc>
          <w:tcPr>
            <w:tcW w:w="206" w:type="dxa"/>
            <w:tcBorders/>
            <w:shd w:fill="auto" w:val="clear"/>
          </w:tcPr>
          <w:p>
            <w:pPr>
              <w:pStyle w:val="HorizontalLine"/>
              <w:pBdr>
                <w:bottom w:val="single" w:sz="18" w:space="0" w:color="000000"/>
              </w:pBdr>
              <w:spacing w:before="0" w:after="283"/>
              <w:rPr/>
            </w:pPr>
            <w:r>
              <w:rPr/>
            </w:r>
          </w:p>
        </w:tc>
        <w:tc>
          <w:tcPr>
            <w:tcW w:w="103" w:type="dxa"/>
            <w:tcBorders/>
            <w:shd w:fill="auto" w:val="clear"/>
          </w:tcPr>
          <w:p>
            <w:pPr>
              <w:pStyle w:val="HorizontalLine"/>
              <w:pBdr>
                <w:bottom w:val="single" w:sz="18" w:space="0" w:color="000000"/>
              </w:pBdr>
              <w:spacing w:before="0" w:after="283"/>
              <w:rPr/>
            </w:pPr>
            <w:r>
              <w:rPr/>
            </w:r>
          </w:p>
        </w:tc>
        <w:tc>
          <w:tcPr>
            <w:tcW w:w="824" w:type="dxa"/>
            <w:tcBorders/>
            <w:shd w:fill="auto" w:val="clear"/>
          </w:tcPr>
          <w:p>
            <w:pPr>
              <w:pStyle w:val="HorizontalLine"/>
              <w:pBdr>
                <w:bottom w:val="single" w:sz="18" w:space="0" w:color="000000"/>
              </w:pBdr>
              <w:spacing w:before="0" w:after="283"/>
              <w:rPr/>
            </w:pPr>
            <w:r>
              <w:rPr/>
            </w:r>
          </w:p>
        </w:tc>
        <w:tc>
          <w:tcPr>
            <w:tcW w:w="103" w:type="dxa"/>
            <w:tcBorders/>
            <w:shd w:fill="auto" w:val="clear"/>
          </w:tcPr>
          <w:p>
            <w:pPr>
              <w:pStyle w:val="HorizontalLine"/>
              <w:pBdr>
                <w:bottom w:val="single" w:sz="18" w:space="0" w:color="000000"/>
              </w:pBdr>
              <w:spacing w:before="0" w:after="283"/>
              <w:rPr/>
            </w:pPr>
            <w:r>
              <w:rPr/>
            </w:r>
          </w:p>
        </w:tc>
      </w:tr>
    </w:tbl>
    <w:p>
      <w:pPr>
        <w:pStyle w:val="TextBody"/>
        <w:spacing w:before="0" w:after="0"/>
        <w:rPr/>
      </w:pPr>
      <w:r>
        <w:rPr/>
      </w:r>
    </w:p>
    <w:p>
      <w:pPr>
        <w:pStyle w:val="HorizontalLine"/>
        <w:pBdr>
          <w:bottom w:val="single" w:sz="6" w:space="0" w:color="00000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2431</Words>
  <CharactersWithSpaces>14985</CharactersWithSpaces>
  <Paragraphs>1327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