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6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December 8, 2016</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6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18"/>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(Commission File</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3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incorporation)</w:t>
            </w:r>
          </w:p>
        </w:tc>
        <w:tc>
          <w:tcPr>
            <w:tcW w:w="360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color w:val="auto"/>
              </w:rPr>
              <w:t>Number)</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99"/>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8"/>
        </w:trPr>
        <w:tc>
          <w:tcPr>
            <w:tcW w:w="4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Times New Roman" w:cs="Times New Roman" w:eastAsia="Times New Roman" w:hAnsi="Times New Roman"/>
                <w:sz w:val="18"/>
                <w:szCs w:val="18"/>
                <w:color w:val="auto"/>
              </w:rPr>
              <w:t>(Zip Code)</w:t>
            </w:r>
          </w:p>
        </w:tc>
      </w:tr>
      <w:tr>
        <w:trPr>
          <w:trHeight w:val="621"/>
        </w:trPr>
        <w:tc>
          <w:tcPr>
            <w:tcW w:w="4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24"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420"/>
          </w:cols>
          <w:pgMar w:left="240" w:top="684" w:right="239" w:bottom="1440" w:gutter="0" w:footer="0" w:header="0"/>
        </w:sectPr>
      </w:pPr>
    </w:p>
    <w:bookmarkStart w:id="1" w:name="page2"/>
    <w:bookmarkEnd w:id="1"/>
    <w:p>
      <w:pPr>
        <w:ind w:left="2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8, 2016, Oil-Dri Corporation of America (the “Registrant”) issued a press release announcing its results of operations for its first quarter ended October 31, 2016.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2" w:lineRule="exact"/>
        <w:rPr>
          <w:sz w:val="20"/>
          <w:szCs w:val="20"/>
          <w:color w:val="auto"/>
        </w:rPr>
      </w:pPr>
    </w:p>
    <w:p>
      <w:pPr>
        <w:ind w:left="260"/>
        <w:spacing w:after="0"/>
        <w:tabs>
          <w:tab w:leader="none" w:pos="128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970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Press Release of the Registrant dated December 8, 2016</w:t>
            </w:r>
          </w:p>
        </w:tc>
      </w:tr>
    </w:tbl>
    <w:p>
      <w:pPr>
        <w:sectPr>
          <w:pgSz w:w="11900" w:h="16838" w:orient="portrait"/>
          <w:cols w:equalWidth="0" w:num="1">
            <w:col w:w="11420"/>
          </w:cols>
          <w:pgMar w:left="240" w:top="738" w:right="239" w:bottom="1440" w:gutter="0" w:footer="0" w:header="0"/>
        </w:sectPr>
      </w:pPr>
    </w:p>
    <w:bookmarkStart w:id="2" w:name="page3"/>
    <w:bookmarkEnd w:id="2"/>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2016</w:t>
      </w:r>
    </w:p>
    <w:p>
      <w:pPr>
        <w:sectPr>
          <w:pgSz w:w="11900" w:h="16838" w:orient="portrait"/>
          <w:cols w:equalWidth="0" w:num="1">
            <w:col w:w="10880"/>
          </w:cols>
          <w:pgMar w:left="240" w:top="576"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Press Release of the Registrant dated December 8, 2016</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First Quarter Fiscal 2017 Results</w:t>
      </w:r>
    </w:p>
    <w:p>
      <w:pPr>
        <w:spacing w:after="0" w:line="27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 xml:space="preserve">CHICAGO-(December 8, 2016)-Oil-Dri Corporation of America (NYSE: ODC) today announced net income for the </w:t>
      </w:r>
      <w:r>
        <w:rPr>
          <w:rFonts w:ascii="Times New Roman" w:cs="Times New Roman" w:eastAsia="Times New Roman" w:hAnsi="Times New Roman"/>
          <w:sz w:val="19"/>
          <w:szCs w:val="19"/>
          <w:color w:val="auto"/>
        </w:rPr>
        <w:t>first</w:t>
      </w:r>
      <w:r>
        <w:rPr>
          <w:rFonts w:ascii="Times New Roman" w:cs="Times New Roman" w:eastAsia="Times New Roman" w:hAnsi="Times New Roman"/>
          <w:sz w:val="22"/>
          <w:szCs w:val="22"/>
          <w:color w:val="auto"/>
        </w:rPr>
        <w:t xml:space="preserve"> quarter of fiscal 2017 of $2,009,000 or $0.28 of earnings per diluted share. This compared to net income of $5,423,000, or $0.75 of earnings per diluted share in the same quarter of the prior year. Net sales of $66,612,000 in the quarter decreased by 2% compared to net sales of $67,795,000 in the same quarter of the prior year.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BUSINESS REVIEW</w:t>
      </w:r>
    </w:p>
    <w:p>
      <w:pPr>
        <w:spacing w:after="0" w:line="26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President and Chief Executive Officer, Daniel S. Jaffee said, “While overall results are down, both our business groups have strong positive momentum.</w:t>
      </w:r>
    </w:p>
    <w:p>
      <w:pPr>
        <w:spacing w:after="0" w:line="198"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21"/>
          <w:szCs w:val="21"/>
          <w:color w:val="auto"/>
        </w:rPr>
        <w:t>Third party market research data from the latest twelve-week period (ending November 6, 2016) indicates that scanned sales of Cat’s Pride Fresh &amp; Light Ultimate Care are up 42% over the prior year, leading the growth of the Lightweight litter segment.</w:t>
      </w:r>
    </w:p>
    <w:p>
      <w:pPr>
        <w:spacing w:after="0" w:line="176"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1"/>
          <w:szCs w:val="21"/>
          <w:color w:val="auto"/>
        </w:rPr>
        <w:t>However, the positive market results came with a cost. Our Retail &amp; Wholesale’s segment reported a loss for the quarter due to the $6 million planned promotional spending primarily in support of Fresh &amp; Light Ultimate Care products. In addition, sales of our Retail and Wholesale products were down in the period due to our decision to discontinue business with low margin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420"/>
          </w:cols>
          <w:pgMar w:left="240" w:top="929" w:right="239" w:bottom="1440" w:gutter="0" w:footer="0" w:header="0"/>
        </w:sectPr>
      </w:pPr>
    </w:p>
    <w:bookmarkStart w:id="5" w:name="page6"/>
    <w:bookmarkEnd w:id="5"/>
    <w:p>
      <w:pPr>
        <w:ind w:right="40"/>
        <w:spacing w:after="0" w:line="275" w:lineRule="auto"/>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Our Business to Business products delivered excellent results in the quarter, with sales increasing nearly 6.4% over last year’s first quarter. Amlan International’s value added animal health products performed well and greatly contributed to the period’s gross margin. Product trials of Varium, our new non-antibiotic growth promoter for poultry, have exceeded our expectations thus far.”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BUSINESS TO BUSINESS</w:t>
      </w:r>
    </w:p>
    <w:p>
      <w:pPr>
        <w:spacing w:after="0" w:line="1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31115</wp:posOffset>
            </wp:positionV>
            <wp:extent cx="6457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248"/>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40" w:type="dxa"/>
            <w:vAlign w:val="bottom"/>
            <w:gridSpan w:val="3"/>
          </w:tcPr>
          <w:p>
            <w:pPr>
              <w:jc w:val="right"/>
              <w:ind w:right="145"/>
              <w:spacing w:after="0"/>
              <w:rPr>
                <w:sz w:val="20"/>
                <w:szCs w:val="20"/>
                <w:color w:val="auto"/>
              </w:rPr>
            </w:pPr>
            <w:r>
              <w:rPr>
                <w:rFonts w:ascii="Times New Roman" w:cs="Times New Roman" w:eastAsia="Times New Roman" w:hAnsi="Times New Roman"/>
                <w:sz w:val="19"/>
                <w:szCs w:val="19"/>
                <w:b w:val="1"/>
                <w:bCs w:val="1"/>
                <w:color w:val="auto"/>
              </w:rPr>
              <w:t>Three-Month Period</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gridSpan w:val="3"/>
          </w:tcPr>
          <w:p>
            <w:pPr>
              <w:jc w:val="right"/>
              <w:ind w:right="105"/>
              <w:spacing w:after="0"/>
              <w:rPr>
                <w:sz w:val="20"/>
                <w:szCs w:val="20"/>
                <w:color w:val="auto"/>
              </w:rPr>
            </w:pPr>
            <w:r>
              <w:rPr>
                <w:rFonts w:ascii="Times New Roman" w:cs="Times New Roman" w:eastAsia="Times New Roman" w:hAnsi="Times New Roman"/>
                <w:sz w:val="19"/>
                <w:szCs w:val="19"/>
                <w:b w:val="1"/>
                <w:bCs w:val="1"/>
                <w:color w:val="auto"/>
              </w:rPr>
              <w:t>August 1 - October 31</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9"/>
                <w:szCs w:val="19"/>
                <w:b w:val="1"/>
                <w:bCs w:val="1"/>
                <w:color w:val="auto"/>
              </w:rPr>
              <w:t>Fiscal 2017</w:t>
            </w:r>
          </w:p>
        </w:tc>
        <w:tc>
          <w:tcPr>
            <w:tcW w:w="9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27,473,000</w:t>
            </w:r>
          </w:p>
        </w:tc>
        <w:tc>
          <w:tcPr>
            <w:tcW w:w="300" w:type="dxa"/>
            <w:vAlign w:val="bottom"/>
          </w:tcPr>
          <w:p>
            <w:pPr>
              <w:spacing w:after="0"/>
              <w:rPr>
                <w:sz w:val="20"/>
                <w:szCs w:val="20"/>
                <w:color w:val="auto"/>
              </w:rPr>
            </w:pPr>
          </w:p>
        </w:tc>
        <w:tc>
          <w:tcPr>
            <w:tcW w:w="940" w:type="dxa"/>
            <w:vAlign w:val="bottom"/>
            <w:tcBorders>
              <w:top w:val="single" w:sz="8" w:color="auto"/>
            </w:tcBorders>
          </w:tcPr>
          <w:p>
            <w:pPr>
              <w:jc w:val="right"/>
              <w:ind w:right="725"/>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25,821,000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9,408,000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5"/>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9,169,000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3%</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Net sales of our animal health products increased approximately 53% with higher sales in all of our major international and domestic markets. Net sales of our fluids purification products were up approximately 6%. Higher sales of fluids purification products to edible oil producers, primarily in Europe, were partially offset by lower sales to petroleum oil processors due to normal order timing fluctuations. Net sales of our Agsorb agricultural chemical carriers were down slightly. Sales of co-packaged coarse cat litter were lower as the market for coarse cat litters continued to decline.</w:t>
      </w:r>
    </w:p>
    <w:p>
      <w:pPr>
        <w:spacing w:after="0" w:line="22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Segment income improved due to the higher sales and lower packaging costs, which more than offset increased marketing costs to support the international launch of Amlan International’s non-antibiotic growth promotion products, Varium and NeoPrime.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340"/>
          </w:cols>
          <w:pgMar w:left="240" w:top="1409" w:right="319" w:bottom="1440" w:gutter="0" w:footer="0" w:header="0"/>
        </w:sectPr>
      </w:pPr>
    </w:p>
    <w:bookmarkStart w:id="6" w:name="page7"/>
    <w:bookmarkEnd w:id="6"/>
    <w:p>
      <w:pPr>
        <w:ind w:left="43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b w:val="1"/>
          <w:bCs w:val="1"/>
          <w:color w:val="auto"/>
        </w:rPr>
        <w:t>First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31115</wp:posOffset>
            </wp:positionV>
            <wp:extent cx="6457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9" w:lineRule="exact"/>
        <w:rPr>
          <w:sz w:val="20"/>
          <w:szCs w:val="20"/>
          <w:color w:val="auto"/>
        </w:rPr>
      </w:pPr>
    </w:p>
    <w:tbl>
      <w:tblPr>
        <w:tblLayout w:type="fixed"/>
        <w:tblInd w:w="620" w:type="dxa"/>
        <w:tblCellMar>
          <w:top w:w="0" w:type="dxa"/>
          <w:left w:w="0" w:type="dxa"/>
          <w:bottom w:w="0" w:type="dxa"/>
          <w:right w:w="0" w:type="dxa"/>
        </w:tblCellMar>
      </w:tblPr>
      <w:tr>
        <w:trPr>
          <w:trHeight w:val="248"/>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40" w:type="dxa"/>
            <w:vAlign w:val="bottom"/>
            <w:gridSpan w:val="3"/>
          </w:tcPr>
          <w:p>
            <w:pPr>
              <w:jc w:val="right"/>
              <w:ind w:right="145"/>
              <w:spacing w:after="0"/>
              <w:rPr>
                <w:sz w:val="20"/>
                <w:szCs w:val="20"/>
                <w:color w:val="auto"/>
              </w:rPr>
            </w:pPr>
            <w:r>
              <w:rPr>
                <w:rFonts w:ascii="Times New Roman" w:cs="Times New Roman" w:eastAsia="Times New Roman" w:hAnsi="Times New Roman"/>
                <w:sz w:val="19"/>
                <w:szCs w:val="19"/>
                <w:b w:val="1"/>
                <w:bCs w:val="1"/>
                <w:color w:val="auto"/>
              </w:rPr>
              <w:t>Three-Month Period</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gridSpan w:val="3"/>
          </w:tcPr>
          <w:p>
            <w:pPr>
              <w:jc w:val="right"/>
              <w:ind w:right="105"/>
              <w:spacing w:after="0"/>
              <w:rPr>
                <w:sz w:val="20"/>
                <w:szCs w:val="20"/>
                <w:color w:val="auto"/>
              </w:rPr>
            </w:pPr>
            <w:r>
              <w:rPr>
                <w:rFonts w:ascii="Times New Roman" w:cs="Times New Roman" w:eastAsia="Times New Roman" w:hAnsi="Times New Roman"/>
                <w:sz w:val="19"/>
                <w:szCs w:val="19"/>
                <w:b w:val="1"/>
                <w:bCs w:val="1"/>
                <w:color w:val="auto"/>
              </w:rPr>
              <w:t>August 1 - October 31</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9"/>
                <w:szCs w:val="19"/>
                <w:b w:val="1"/>
                <w:bCs w:val="1"/>
                <w:color w:val="auto"/>
              </w:rPr>
              <w:t>Fiscal 2017</w:t>
            </w:r>
          </w:p>
        </w:tc>
        <w:tc>
          <w:tcPr>
            <w:tcW w:w="9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b w:val="1"/>
                <w:bCs w:val="1"/>
                <w:color w:val="auto"/>
              </w:rPr>
              <w:t>Fiscal 2016</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39,139,000</w:t>
            </w:r>
          </w:p>
        </w:tc>
        <w:tc>
          <w:tcPr>
            <w:tcW w:w="300" w:type="dxa"/>
            <w:vAlign w:val="bottom"/>
          </w:tcPr>
          <w:p>
            <w:pPr>
              <w:spacing w:after="0"/>
              <w:rPr>
                <w:sz w:val="20"/>
                <w:szCs w:val="20"/>
                <w:color w:val="auto"/>
              </w:rPr>
            </w:pPr>
          </w:p>
        </w:tc>
        <w:tc>
          <w:tcPr>
            <w:tcW w:w="940" w:type="dxa"/>
            <w:vAlign w:val="bottom"/>
            <w:tcBorders>
              <w:top w:val="single" w:sz="8" w:color="auto"/>
            </w:tcBorders>
          </w:tcPr>
          <w:p>
            <w:pPr>
              <w:jc w:val="right"/>
              <w:ind w:right="725"/>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9"/>
                <w:szCs w:val="19"/>
                <w:color w:val="auto"/>
              </w:rPr>
              <w:t>41,974,000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9"/>
                <w:szCs w:val="19"/>
                <w:b w:val="1"/>
                <w:bCs w:val="1"/>
                <w:color w:val="auto"/>
              </w:rPr>
              <w:t>Segment (Loss)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9"/>
                <w:szCs w:val="19"/>
                <w:color w:val="auto"/>
              </w:rPr>
              <w:t>(507,000)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5"/>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9"/>
                <w:szCs w:val="19"/>
                <w:color w:val="auto"/>
              </w:rPr>
              <w:t>5,402,000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9"/>
                <w:szCs w:val="19"/>
                <w:color w:val="auto"/>
              </w:rPr>
              <w:t>N/A</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Net sales of both our branded and private label cat litters decreased due to the decision to walk away from low margin cat litter business. We maintained our focus on the lightweight scoopable segment of the cat litter market, as reflected in higher sales of our Cat's Pride Fresh &amp; Light Ultimate Care and private label lightweight scoopable litters. Sales of industrial and automotive absorbent products were lower for the first quarter.</w:t>
      </w:r>
    </w:p>
    <w:p>
      <w:pPr>
        <w:spacing w:after="0" w:line="18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Segment advertising costs increased $5,400,000 in the quarter. These costs were primarily associated with the ongoing marketing campaign to promote our Fresh &amp; Light Ultimate Care lightweight cat litter and drove the segment loss for the first quarter. We plan to continue this campaign throughout the year and we expect advertising expense to be higher for the full year of fiscal 2017 compared to fiscal 2016.</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280"/>
          </w:cols>
          <w:pgMar w:left="240" w:top="1405" w:right="37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FINANCIAL REVIEW</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Cash, cash equivalents, and short-term investments at October 31, 2016 totaled $21,350,000, compared to $24,401,000 a year ago.</w:t>
      </w:r>
    </w:p>
    <w:p>
      <w:pPr>
        <w:spacing w:after="0" w:line="272"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Cash provided by operating activities was $1,325,000 for the three months ended October 31, 2016, which was $7,191,000 lower than the $8,516,000 for the same period last year. This decrease was primarily the result of lower net income and the payout of the prior fiscal year's accrued incentive bonus.</w:t>
      </w:r>
    </w:p>
    <w:p>
      <w:pPr>
        <w:spacing w:after="0" w:line="214"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22"/>
          <w:szCs w:val="22"/>
          <w:color w:val="auto"/>
        </w:rPr>
        <w:t>Capital expenditures for the three months ended October 31, 2016 totaled $4,295,000, which was $1,136,000 more than depreciation and amortization of $3,159,000. By comparison, capital expenditures totaled $1,765,000 in the same period of last year. Capital expenditures in the first quarter of fiscal 2017 included the ongoing implementation of a new enterprise resource planning system and related infrastructure improvements.</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On October 13, 2016, Oil-Dri’s Board of Directors declared quarterly cash dividends of $0.22 per share of outstanding Common Stock and $0.165 per share of outstanding Class B Stock. The dividends were paid on December 2, 2016, to stockholders of record at the close of business on November 18, 2016. At the end of the first quarter, the annualized dividend yield on the Company’s Common Stock was 2.6%, based on the closing stock price on October 31, 2016 of $33.76 per share and the latest quarterly cash dividend of $0.22 per share.</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340"/>
          </w:cols>
          <w:pgMar w:left="240" w:top="1405" w:right="31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LOOKING FORWARD</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President and Chief Executive Officer, Daniel Jaffee continued, “Our second quarter appears to be off to a great start. Our Business to Business products are performing well as we advance our promotional strategy for our value added products in the animal health, fluids purification and agricultural markets.</w:t>
      </w:r>
    </w:p>
    <w:p>
      <w:pPr>
        <w:spacing w:after="0" w:line="21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Within Retail and Wholesale, we will continue to compete for market share by promoting trial and creating brand awareness of Cat’s Pride Fresh &amp; Light Ultimate Care products. Our media campaign will be relatively quiet during our second fiscal quarter and will then begin again during the third quarter.</w:t>
      </w:r>
    </w:p>
    <w:p>
      <w:pPr>
        <w:spacing w:after="0" w:line="21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According to the same third-party, twelve-week report ending November 6, our private label lightweight products are also gaining market share, currently accounting for 70% of total Private Label Lightweight litter.”</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19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6"/>
          <w:szCs w:val="16"/>
          <w:i w:val="1"/>
          <w:iCs w:val="1"/>
          <w:color w:val="auto"/>
        </w:rPr>
        <w:t>Oil-Dri Corporation of America is a leading supplier of specialty sorbent products for crop and horticultural, fluids purification, animal health, sports field, industrial and automotive markets and is a leading manufacturer of cat litter.</w:t>
      </w:r>
    </w:p>
    <w:p>
      <w:pPr>
        <w:spacing w:after="0" w:line="15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color w:val="auto"/>
        </w:rPr>
        <w:t xml:space="preserve">The Company will offer a live webcast of the first quarter earnings teleconference on </w:t>
      </w:r>
      <w:r>
        <w:rPr>
          <w:rFonts w:ascii="Times New Roman" w:cs="Times New Roman" w:eastAsia="Times New Roman" w:hAnsi="Times New Roman"/>
          <w:sz w:val="18"/>
          <w:szCs w:val="18"/>
          <w:b w:val="1"/>
          <w:bCs w:val="1"/>
          <w:color w:val="auto"/>
        </w:rPr>
        <w:t>Friday, December 9, 2016 from 10:00 am to 10:30 am, Central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To listen via the web,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www.streetevents.com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www.oildri.com</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 xml:space="preserve">The Company will host its Annual Meeting of Stockholders on </w:t>
      </w:r>
      <w:r>
        <w:rPr>
          <w:rFonts w:ascii="Times New Roman" w:cs="Times New Roman" w:eastAsia="Times New Roman" w:hAnsi="Times New Roman"/>
          <w:sz w:val="18"/>
          <w:szCs w:val="18"/>
          <w:b w:val="1"/>
          <w:bCs w:val="1"/>
          <w:color w:val="auto"/>
        </w:rPr>
        <w:t>Tuesday, December 13, 2016 starting at 9:30 am, Central Time</w:t>
      </w:r>
      <w:r>
        <w:rPr>
          <w:rFonts w:ascii="Times New Roman" w:cs="Times New Roman" w:eastAsia="Times New Roman" w:hAnsi="Times New Roman"/>
          <w:sz w:val="18"/>
          <w:szCs w:val="18"/>
          <w:color w:val="auto"/>
        </w:rPr>
        <w:t>. The meeting will be held at The Standard Club, 320 South Plymouth Court, Chicago, Illinois 60604. The record date for voting eligibility at the Annual Meeting was October 17, 2016.</w:t>
      </w:r>
    </w:p>
    <w:p>
      <w:pPr>
        <w:spacing w:after="0" w:line="200" w:lineRule="exact"/>
        <w:rPr>
          <w:sz w:val="20"/>
          <w:szCs w:val="20"/>
          <w:color w:val="auto"/>
        </w:rPr>
      </w:pPr>
    </w:p>
    <w:p>
      <w:pPr>
        <w:spacing w:after="0" w:line="205"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16"/>
          <w:szCs w:val="16"/>
          <w:i w:val="1"/>
          <w:iCs w:val="1"/>
          <w:color w:val="auto"/>
        </w:rPr>
        <w:t>“Oil-Dri,” “Cat’s Pride,” “Fresh &amp; Light,” “Fresh &amp; Light Ultimate Care,” “Agsorb” and “Amlan International” are registered trademarks of Oil-Dri Corporation of America. “Varium” and “NeoPrime” are trademarks of Oil-Dri Corporation of America.</w:t>
      </w:r>
    </w:p>
    <w:p>
      <w:pPr>
        <w:spacing w:after="0" w:line="16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420"/>
          </w:cols>
          <w:pgMar w:left="240" w:top="1405" w:right="239" w:bottom="1440" w:gutter="0" w:footer="0" w:header="0"/>
        </w:sectPr>
      </w:pPr>
    </w:p>
    <w:bookmarkStart w:id="9" w:name="page10"/>
    <w:bookmarkEnd w:id="9"/>
    <w:p>
      <w:pPr>
        <w:spacing w:after="0" w:line="251" w:lineRule="auto"/>
        <w:rPr>
          <w:sz w:val="20"/>
          <w:szCs w:val="20"/>
          <w:color w:val="auto"/>
        </w:rPr>
      </w:pPr>
      <w:r>
        <w:rPr>
          <w:rFonts w:ascii="Times New Roman" w:cs="Times New Roman" w:eastAsia="Times New Roman" w:hAnsi="Times New Roman"/>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340"/>
          </w:cols>
          <w:pgMar w:left="240" w:top="1407" w:right="319" w:bottom="1440" w:gutter="0" w:footer="0" w:header="0"/>
        </w:sectPr>
      </w:pPr>
    </w:p>
    <w:bookmarkStart w:id="10" w:name="page11"/>
    <w:bookmarkEnd w:id="10"/>
    <w:p>
      <w:pPr>
        <w:spacing w:after="0" w:line="3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180340</wp:posOffset>
            </wp:positionV>
            <wp:extent cx="39363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3636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First Quarter Ended October 31,</w:t>
            </w:r>
          </w:p>
        </w:tc>
        <w:tc>
          <w:tcPr>
            <w:tcW w:w="146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0"/>
                <w:szCs w:val="20"/>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Sales</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66,612</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67,795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(45,887)</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20,725</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20,653</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3,046</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7,776</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2,679</w:t>
            </w:r>
          </w:p>
        </w:tc>
        <w:tc>
          <w:tcPr>
            <w:tcW w:w="22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7,540</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97"/>
        </w:trPr>
        <w:tc>
          <w:tcPr>
            <w:tcW w:w="50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5,423</w:t>
            </w:r>
          </w:p>
        </w:tc>
        <w:tc>
          <w:tcPr>
            <w:tcW w:w="220" w:type="dxa"/>
            <w:vAlign w:val="bottom"/>
            <w:tcBorders>
              <w:bottom w:val="single" w:sz="8" w:color="CCEEFF"/>
            </w:tcBorders>
          </w:tcPr>
          <w:p>
            <w:pPr>
              <w:spacing w:after="0"/>
              <w:rPr>
                <w:sz w:val="24"/>
                <w:szCs w:val="2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7"/>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0.82</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5,004</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4,975</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2,037</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7,063</w:t>
            </w: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200"/>
          </w:cols>
          <w:pgMar w:left="240" w:top="1440" w:right="459" w:bottom="1440" w:gutter="0" w:footer="0" w:header="0"/>
        </w:sectPr>
      </w:pPr>
    </w:p>
    <w:bookmarkStart w:id="11" w:name="page12"/>
    <w:bookmarkEnd w:id="11"/>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120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15,991</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21,011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3,390</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30,971</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31,889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23,567</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21,486</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10,111</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85,999</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86,117</w:t>
            </w:r>
          </w:p>
        </w:tc>
      </w:tr>
      <w:tr>
        <w:trPr>
          <w:trHeight w:val="237"/>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81,688</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78,801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32,380</w:t>
            </w: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27,029</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200,067</w:t>
            </w:r>
          </w:p>
        </w:tc>
        <w:tc>
          <w:tcPr>
            <w:tcW w:w="34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191,947</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3,083</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6,910</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7,561</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1,406</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15,855</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16,694</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27,327</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28,744</w:t>
            </w:r>
          </w:p>
        </w:tc>
      </w:tr>
      <w:tr>
        <w:trPr>
          <w:trHeight w:val="237"/>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9,140</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12,194</w:t>
            </w:r>
          </w:p>
        </w:tc>
      </w:tr>
      <w:tr>
        <w:trPr>
          <w:trHeight w:val="243"/>
        </w:trPr>
        <w:tc>
          <w:tcPr>
            <w:tcW w:w="4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46,826</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35,783</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55,966</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47,977</w:t>
            </w:r>
          </w:p>
        </w:tc>
      </w:tr>
      <w:tr>
        <w:trPr>
          <w:trHeight w:val="237"/>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116,774</w:t>
            </w:r>
          </w:p>
        </w:tc>
        <w:tc>
          <w:tcPr>
            <w:tcW w:w="3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115,226</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200,067</w:t>
            </w: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191,947</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16.51</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4,295</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4,295</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1,765</w:t>
            </w:r>
          </w:p>
        </w:tc>
      </w:tr>
      <w:tr>
        <w:trPr>
          <w:trHeight w:val="243"/>
        </w:trPr>
        <w:tc>
          <w:tcPr>
            <w:tcW w:w="4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3,159</w:t>
            </w:r>
          </w:p>
        </w:tc>
        <w:tc>
          <w:tcPr>
            <w:tcW w:w="3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3,159</w:t>
            </w: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r>
      <w:tr>
        <w:trPr>
          <w:trHeight w:val="696"/>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8</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3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6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66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66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tcPr>
          <w:p>
            <w:pPr>
              <w:spacing w:after="0"/>
              <w:rPr>
                <w:sz w:val="21"/>
                <w:szCs w:val="21"/>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provided by operating activities, net of acquisition:</w:t>
            </w: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2,939</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Accounts Payable</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(Decrease) Increase in Accrued Expenses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Pension and Postretirement Benefits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7"/>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3,093</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8,516</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Dispositions (Purchase) of Investment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91"/>
        </w:trPr>
        <w:tc>
          <w:tcPr>
            <w:tcW w:w="74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Principal Payments on Long-Term Debt</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Purchase of Treasury Stock</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3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w:t>
            </w:r>
          </w:p>
        </w:tc>
      </w:tr>
      <w:tr>
        <w:trPr>
          <w:trHeight w:val="27"/>
        </w:trPr>
        <w:tc>
          <w:tcPr>
            <w:tcW w:w="74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r>
      <w:tr>
        <w:trPr>
          <w:trHeight w:val="27"/>
        </w:trPr>
        <w:tc>
          <w:tcPr>
            <w:tcW w:w="7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18,629</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20,138</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15,991</w:t>
            </w:r>
          </w:p>
        </w:tc>
        <w:tc>
          <w:tcPr>
            <w:tcW w:w="34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21,011</w:t>
            </w:r>
          </w:p>
        </w:tc>
      </w:tr>
      <w:tr>
        <w:trPr>
          <w:trHeight w:val="20"/>
        </w:trPr>
        <w:tc>
          <w:tcPr>
            <w:tcW w:w="74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002D69"/>
        </w:rPr>
        <w:t>Reagan B. Culbertson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2020-01-22T00:15:50Z</dcterms:created>
  <dcterms:modified xsi:type="dcterms:W3CDTF">2020-01-22T00:15:50Z</dcterms:modified>
</cp:coreProperties>
</file>