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340"/>
              <w:spacing w:after="0"/>
              <w:rPr>
                <w:sz w:val="20"/>
                <w:szCs w:val="20"/>
                <w:color w:val="auto"/>
              </w:rPr>
            </w:pPr>
            <w:r>
              <w:rPr>
                <w:rFonts w:ascii="Arial" w:cs="Arial" w:eastAsia="Arial" w:hAnsi="Arial"/>
                <w:sz w:val="18"/>
                <w:szCs w:val="18"/>
                <w:color w:val="auto"/>
                <w:w w:val="92"/>
              </w:rPr>
              <w:t>March 10, 2017</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10, 2017, Oil-Dri Corporation of America (the “Registrant”) issued a press release announcing its results of operations for its second quarter ended January 31, 2017.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Set forth below is a supplement to the description of the litigation under Item 3, “Legal Proceedings”, in the Annual Report on Form 10-K filed by the Registrant with the Securities and Exchange Commission on October 7, 2016.</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2015, the Registrant brought suit in the United States District Court for the Northern District of Illinois, Eastern Division, against Nestlé Purina PetCare Company (“Nestlé”) seeking monetary damages and injunctive relief based on Nestlé’s alleged infringement of a patent held by the Registrant. In response, Nestlé filed a petition for Inter Partes Review (“IPR”) with the Patent Trial and Appeal Board (“PTAB”) of the United States Patent and Trademark Office to challenge certain of the claims in the Registrant’s patent. Nestlé obtained a stay of the lawsuit in district court until the PTAB agreed to consider Nestle’s petition and issued its substantive decision on the IPR’s patent challenges.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PTAB agreed to consider Nestlé’s petition, and on June 20, 2016, issued an order stating that Nestlé had not shown by a preponderance of the evidence that any of the challenged claims in the Registrant’s patent are unpatentable. In July 2016, Nestlé filed a motion for reconsideration of the PTAB’s decision, which was denied in February 2017 and has since been appealed by Nestlé. The stay of the Registrant’s lawsuit in district court was lifted, but Nestlé is currently seeking another stay until the pending appeal is decided.</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on September 23, 2016, the Registrant brought another suit in the United States District Court for the Northern District of Illinois, Eastern Division, against Nestlé seeking monetary damages and injunctive relief based on Nestlé’s alleged infringement of a patent issued in 2016 to the Registrant.</w:t>
      </w:r>
    </w:p>
    <w:p>
      <w:pPr>
        <w:spacing w:after="0" w:line="282"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March 10, 2017</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2017</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Arial" w:cs="Arial" w:eastAsia="Arial" w:hAnsi="Arial"/>
                <w:sz w:val="18"/>
                <w:szCs w:val="18"/>
                <w:color w:val="auto"/>
              </w:rPr>
              <w:t>Press Release of the Registrant dated March 10, 2017</w:t>
            </w: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86"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Second Quarter and First Six Months of Fiscal 2017 Results</w:t>
      </w:r>
    </w:p>
    <w:p>
      <w:pPr>
        <w:spacing w:after="0" w:line="266" w:lineRule="exact"/>
        <w:rPr>
          <w:sz w:val="20"/>
          <w:szCs w:val="20"/>
          <w:color w:val="auto"/>
        </w:rPr>
      </w:pPr>
    </w:p>
    <w:p>
      <w:pPr>
        <w:jc w:val="both"/>
        <w:ind w:right="80"/>
        <w:spacing w:after="0" w:line="250" w:lineRule="auto"/>
        <w:rPr>
          <w:sz w:val="20"/>
          <w:szCs w:val="20"/>
          <w:color w:val="auto"/>
        </w:rPr>
      </w:pPr>
      <w:r>
        <w:rPr>
          <w:rFonts w:ascii="Arial" w:cs="Arial" w:eastAsia="Arial" w:hAnsi="Arial"/>
          <w:sz w:val="22"/>
          <w:szCs w:val="22"/>
          <w:color w:val="auto"/>
        </w:rPr>
        <w:t>CHICAGO-(March 10, 2017)-Oil-Dri Corporation of America (NYSE: ODC) today announced net income of $4,250,000 or $0.58 of earnings per diluted share for the second quarter of fiscal 2017, an 11% increase compared to net income of $3,821,000 or $0.53 of earnings per diluted share in the same period of the prior year. Net sales for the quarter were $65,174,000 compared to net sales of $65,367,000 in the second quarter of fiscal 2016.</w:t>
      </w:r>
    </w:p>
    <w:p>
      <w:pPr>
        <w:spacing w:after="0" w:line="229" w:lineRule="exact"/>
        <w:rPr>
          <w:sz w:val="20"/>
          <w:szCs w:val="20"/>
          <w:color w:val="auto"/>
        </w:rPr>
      </w:pPr>
    </w:p>
    <w:p>
      <w:pPr>
        <w:ind w:right="80"/>
        <w:spacing w:after="0" w:line="278" w:lineRule="auto"/>
        <w:rPr>
          <w:sz w:val="20"/>
          <w:szCs w:val="20"/>
          <w:color w:val="auto"/>
        </w:rPr>
      </w:pPr>
      <w:r>
        <w:rPr>
          <w:rFonts w:ascii="Arial" w:cs="Arial" w:eastAsia="Arial" w:hAnsi="Arial"/>
          <w:sz w:val="21"/>
          <w:szCs w:val="21"/>
          <w:color w:val="auto"/>
        </w:rPr>
        <w:t>Net income for the first six-months was $6,259,000 or $0.86 of earnings per diluted share, a 33% decrease compared to net income of $9,244,000 or $1.28 of earnings per diluted share in the same period of the prior year. Net sales for the first six-months were $131,786,000 compared to net sales of $133,162,000 in the same period of fiscal 2016.</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ind w:right="480"/>
        <w:spacing w:after="0" w:line="253" w:lineRule="auto"/>
        <w:rPr>
          <w:sz w:val="20"/>
          <w:szCs w:val="20"/>
          <w:color w:val="auto"/>
        </w:rPr>
      </w:pPr>
      <w:r>
        <w:rPr>
          <w:rFonts w:ascii="Arial" w:cs="Arial" w:eastAsia="Arial" w:hAnsi="Arial"/>
          <w:sz w:val="22"/>
          <w:szCs w:val="22"/>
          <w:color w:val="auto"/>
        </w:rPr>
        <w:t>President and Chief Executive Officer, Daniel S. Jaffee said, “Year to date, we are pleased with the continued expansion of the Company’s gross margins as a result of our Amlan International animal health products, fluids purification products and lightweight cat litters.</w:t>
      </w:r>
    </w:p>
    <w:p>
      <w:pPr>
        <w:spacing w:after="0" w:line="175" w:lineRule="exact"/>
        <w:rPr>
          <w:sz w:val="20"/>
          <w:szCs w:val="20"/>
          <w:color w:val="auto"/>
        </w:rPr>
      </w:pPr>
    </w:p>
    <w:p>
      <w:pPr>
        <w:ind w:right="40"/>
        <w:spacing w:after="0" w:line="242" w:lineRule="auto"/>
        <w:rPr>
          <w:sz w:val="20"/>
          <w:szCs w:val="20"/>
          <w:color w:val="auto"/>
        </w:rPr>
      </w:pPr>
      <w:r>
        <w:rPr>
          <w:rFonts w:ascii="Arial" w:cs="Arial" w:eastAsia="Arial" w:hAnsi="Arial"/>
          <w:sz w:val="21"/>
          <w:szCs w:val="21"/>
          <w:color w:val="auto"/>
        </w:rPr>
        <w:t>According to third party market research data for retail sales</w:t>
      </w:r>
      <w:r>
        <w:rPr>
          <w:rFonts w:ascii="Arial" w:cs="Arial" w:eastAsia="Arial" w:hAnsi="Arial"/>
          <w:sz w:val="27"/>
          <w:szCs w:val="27"/>
          <w:color w:val="auto"/>
          <w:vertAlign w:val="superscript"/>
        </w:rPr>
        <w:t>1</w:t>
      </w:r>
      <w:r>
        <w:rPr>
          <w:rFonts w:ascii="Arial" w:cs="Arial" w:eastAsia="Arial" w:hAnsi="Arial"/>
          <w:sz w:val="21"/>
          <w:szCs w:val="21"/>
          <w:color w:val="auto"/>
        </w:rPr>
        <w:t>, total dollar sales of the cat litter category, not including ecommerce sales, for the latest 52-week period ending February 25, 2017, were approximately $2.2 billion, up 1.3% over the prior year. For the latest 12-week period, total dollar sales were $512,342,950, down 0.3% over the prior year.</w:t>
      </w:r>
    </w:p>
    <w:p>
      <w:pPr>
        <w:spacing w:after="0" w:line="197" w:lineRule="exact"/>
        <w:rPr>
          <w:sz w:val="20"/>
          <w:szCs w:val="20"/>
          <w:color w:val="auto"/>
        </w:rPr>
      </w:pPr>
    </w:p>
    <w:p>
      <w:pPr>
        <w:ind w:right="20"/>
        <w:spacing w:after="0" w:line="271" w:lineRule="auto"/>
        <w:rPr>
          <w:sz w:val="20"/>
          <w:szCs w:val="20"/>
          <w:color w:val="auto"/>
        </w:rPr>
      </w:pPr>
      <w:r>
        <w:rPr>
          <w:rFonts w:ascii="Arial" w:cs="Arial" w:eastAsia="Arial" w:hAnsi="Arial"/>
          <w:sz w:val="21"/>
          <w:szCs w:val="21"/>
          <w:color w:val="auto"/>
        </w:rPr>
        <w:t>Total dollar sales of all Oil-Dri lightweight litter, including Cat’s Pride Scoopable, Cat’s Pride Fresh &amp; Light, Cat’s Pride Fresh &amp; Light Ultimate Care and private label lightweight totaled $64,502,518 over the same 52-weeks, up 0.6% over the prior year. For the same 12-week period, total dollar sales were $15,091,818, down 3.8% over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937" w:right="239" w:bottom="1440" w:gutter="0" w:footer="0" w:header="0"/>
        </w:sectPr>
      </w:pPr>
    </w:p>
    <w:bookmarkStart w:id="5" w:name="page6"/>
    <w:bookmarkEnd w:id="5"/>
    <w:p>
      <w:pPr>
        <w:ind w:right="160"/>
        <w:spacing w:after="0" w:line="253"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Our television advertising restarted in January which coincided with shipments of our Cat’s Pride Fresh &amp; Light Ultimate Care products featuring limited edition packaging highlighting our partnership with actress Katherine Heigl and the Jason Debus Heigl Foundation.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In addition to the positive branded activity, we gained new distribution of our private label lightweight products.</w:t>
      </w:r>
    </w:p>
    <w:p>
      <w:pPr>
        <w:spacing w:after="0" w:line="220"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Our Business to Business products performed well in both periods. We received positive customer feedback on Varium, our new non-antibiotic growth promoting product for poultry. Pure-Flo bleaching clay products also achieved increased sales in the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60"/>
          </w:cols>
          <w:pgMar w:left="240" w:top="1415" w:right="299" w:bottom="1440" w:gutter="0" w:footer="0" w:header="0"/>
        </w:sectPr>
      </w:pPr>
    </w:p>
    <w:bookmarkStart w:id="6" w:name="page7"/>
    <w:bookmarkEnd w:id="6"/>
    <w:p>
      <w:pPr>
        <w:ind w:left="47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SEGMENT REVIEW</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BUSINESS TO BUSINESS</w:t>
      </w:r>
    </w:p>
    <w:p>
      <w:pPr>
        <w:spacing w:after="0" w:line="152"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3"/>
              </w:rPr>
              <w:t>Three-Month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0"/>
              </w:rPr>
              <w:t>November 1 - January 31</w:t>
            </w: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23,261,000</w:t>
            </w:r>
          </w:p>
        </w:tc>
        <w:tc>
          <w:tcPr>
            <w:tcW w:w="300" w:type="dxa"/>
            <w:vAlign w:val="bottom"/>
          </w:tcPr>
          <w:p>
            <w:pPr>
              <w:spacing w:after="0"/>
              <w:rPr>
                <w:sz w:val="20"/>
                <w:szCs w:val="20"/>
                <w:color w:val="auto"/>
              </w:rPr>
            </w:pP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22,625,000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94"/>
              </w:rPr>
              <w:t>3%</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7,815,000</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7,576,000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4"/>
              </w:rPr>
              <w:t>3%</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Year-To-Date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gridSpan w:val="3"/>
          </w:tcPr>
          <w:p>
            <w:pPr>
              <w:jc w:val="center"/>
              <w:ind w:left="1105"/>
              <w:spacing w:after="0"/>
              <w:rPr>
                <w:sz w:val="20"/>
                <w:szCs w:val="20"/>
                <w:color w:val="auto"/>
              </w:rPr>
            </w:pPr>
            <w:r>
              <w:rPr>
                <w:rFonts w:ascii="Arial" w:cs="Arial" w:eastAsia="Arial" w:hAnsi="Arial"/>
                <w:sz w:val="19"/>
                <w:szCs w:val="19"/>
                <w:b w:val="1"/>
                <w:bCs w:val="1"/>
                <w:color w:val="auto"/>
                <w:w w:val="92"/>
              </w:rPr>
              <w:t>Six-Month Period</w:t>
            </w: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1"/>
              </w:rPr>
              <w:t>August 1 - January 31</w:t>
            </w: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6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w w:val="88"/>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50,734,000</w:t>
            </w:r>
          </w:p>
        </w:tc>
        <w:tc>
          <w:tcPr>
            <w:tcW w:w="300" w:type="dxa"/>
            <w:vAlign w:val="bottom"/>
          </w:tcPr>
          <w:p>
            <w:pPr>
              <w:spacing w:after="0"/>
              <w:rPr>
                <w:sz w:val="20"/>
                <w:szCs w:val="20"/>
                <w:color w:val="auto"/>
              </w:rPr>
            </w:pPr>
          </w:p>
        </w:tc>
        <w:tc>
          <w:tcPr>
            <w:tcW w:w="600" w:type="dxa"/>
            <w:vAlign w:val="bottom"/>
            <w:tcBorders>
              <w:top w:val="single" w:sz="8" w:color="auto"/>
            </w:tcBorders>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48,446,000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94"/>
              </w:rPr>
              <w:t>5%</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17,223,000</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16,745,000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4"/>
              </w:rPr>
              <w:t>3%</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Net sales of animal health products were up in the United States and Asian markets, aided by sales by </w:t>
      </w:r>
      <w:r>
        <w:rPr>
          <w:rFonts w:ascii="Arial" w:cs="Arial" w:eastAsia="Arial" w:hAnsi="Arial"/>
          <w:sz w:val="22"/>
          <w:szCs w:val="22"/>
          <w:color w:val="002C40"/>
        </w:rPr>
        <w:t>Amlan Trading (Shenzhen)</w:t>
      </w:r>
      <w:r>
        <w:rPr>
          <w:rFonts w:ascii="Arial" w:cs="Arial" w:eastAsia="Arial" w:hAnsi="Arial"/>
          <w:sz w:val="22"/>
          <w:szCs w:val="22"/>
          <w:color w:val="auto"/>
        </w:rPr>
        <w:t xml:space="preserve"> </w:t>
      </w:r>
      <w:r>
        <w:rPr>
          <w:rFonts w:ascii="Arial" w:cs="Arial" w:eastAsia="Arial" w:hAnsi="Arial"/>
          <w:sz w:val="22"/>
          <w:szCs w:val="22"/>
          <w:color w:val="002C40"/>
        </w:rPr>
        <w:t>Company, Ltd.</w:t>
      </w:r>
      <w:r>
        <w:rPr>
          <w:rFonts w:ascii="Arial" w:cs="Arial" w:eastAsia="Arial" w:hAnsi="Arial"/>
          <w:sz w:val="22"/>
          <w:szCs w:val="22"/>
          <w:color w:val="000000"/>
        </w:rPr>
        <w:t>, our Chinese subsidiary. A change in distribution negatively impacted Latin America sales in both periods. We are</w:t>
      </w:r>
      <w:r>
        <w:rPr>
          <w:rFonts w:ascii="Arial" w:cs="Arial" w:eastAsia="Arial" w:hAnsi="Arial"/>
          <w:sz w:val="22"/>
          <w:szCs w:val="22"/>
          <w:color w:val="002C40"/>
        </w:rPr>
        <w:t xml:space="preserve"> </w:t>
      </w:r>
      <w:r>
        <w:rPr>
          <w:rFonts w:ascii="Arial" w:cs="Arial" w:eastAsia="Arial" w:hAnsi="Arial"/>
          <w:sz w:val="22"/>
          <w:szCs w:val="22"/>
          <w:color w:val="000000"/>
        </w:rPr>
        <w:t>optimistic that the change will improve sales and income in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color w:val="auto"/>
        </w:rPr>
        <w:t>Increased net sales of fluids purification products in both periods was driven by sales to the edible oil refining market.</w:t>
      </w:r>
    </w:p>
    <w:p>
      <w:pPr>
        <w:spacing w:after="0" w:line="231" w:lineRule="exact"/>
        <w:rPr>
          <w:sz w:val="20"/>
          <w:szCs w:val="20"/>
          <w:color w:val="auto"/>
        </w:rPr>
      </w:pPr>
    </w:p>
    <w:p>
      <w:pPr>
        <w:ind w:right="820"/>
        <w:spacing w:after="0" w:line="263" w:lineRule="auto"/>
        <w:rPr>
          <w:sz w:val="20"/>
          <w:szCs w:val="20"/>
          <w:color w:val="auto"/>
        </w:rPr>
      </w:pPr>
      <w:r>
        <w:rPr>
          <w:rFonts w:ascii="Arial" w:cs="Arial" w:eastAsia="Arial" w:hAnsi="Arial"/>
          <w:sz w:val="22"/>
          <w:szCs w:val="22"/>
          <w:color w:val="auto"/>
        </w:rPr>
        <w:t>Segment income for the quarter reflected lower marketing costs for animal health products, while lower packaging costs contributed to the increase in segment income for the six-month period.</w:t>
      </w: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220"/>
          </w:cols>
          <w:pgMar w:left="240" w:top="1409" w:right="439" w:bottom="1440" w:gutter="0" w:footer="0" w:header="0"/>
        </w:sectPr>
      </w:pPr>
    </w:p>
    <w:bookmarkStart w:id="7" w:name="page8"/>
    <w:bookmarkEnd w:id="7"/>
    <w:p>
      <w:pPr>
        <w:ind w:left="43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RETAIL AND WHOLESALE</w:t>
      </w:r>
    </w:p>
    <w:p>
      <w:pPr>
        <w:spacing w:after="0" w:line="15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3"/>
              </w:rPr>
              <w:t>Three-Month Period</w:t>
            </w: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0"/>
              </w:rPr>
              <w:t>November 1 - January 31</w:t>
            </w: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41,913,000</w:t>
            </w:r>
          </w:p>
        </w:tc>
        <w:tc>
          <w:tcPr>
            <w:tcW w:w="300" w:type="dxa"/>
            <w:vAlign w:val="bottom"/>
          </w:tcPr>
          <w:p>
            <w:pPr>
              <w:spacing w:after="0"/>
              <w:rPr>
                <w:sz w:val="20"/>
                <w:szCs w:val="20"/>
                <w:color w:val="auto"/>
              </w:rPr>
            </w:pP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42,742,000</w:t>
            </w:r>
          </w:p>
        </w:tc>
        <w:tc>
          <w:tcPr>
            <w:tcW w:w="300" w:type="dxa"/>
            <w:vAlign w:val="bottom"/>
          </w:tcPr>
          <w:p>
            <w:pPr>
              <w:spacing w:after="0"/>
              <w:rPr>
                <w:sz w:val="20"/>
                <w:szCs w:val="20"/>
                <w:color w:val="auto"/>
              </w:rPr>
            </w:pPr>
          </w:p>
        </w:tc>
        <w:tc>
          <w:tcPr>
            <w:tcW w:w="1420" w:type="dxa"/>
            <w:vAlign w:val="bottom"/>
          </w:tcPr>
          <w:p>
            <w:pPr>
              <w:jc w:val="right"/>
              <w:ind w:right="465"/>
              <w:spacing w:after="0"/>
              <w:rPr>
                <w:sz w:val="20"/>
                <w:szCs w:val="20"/>
                <w:color w:val="auto"/>
              </w:rPr>
            </w:pPr>
            <w:r>
              <w:rPr>
                <w:rFonts w:ascii="Arial" w:cs="Arial" w:eastAsia="Arial" w:hAnsi="Arial"/>
                <w:sz w:val="19"/>
                <w:szCs w:val="19"/>
                <w:color w:val="auto"/>
              </w:rPr>
              <w:t>-2%</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4,987,000</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4,295,000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45"/>
              <w:spacing w:after="0"/>
              <w:rPr>
                <w:sz w:val="20"/>
                <w:szCs w:val="20"/>
                <w:color w:val="auto"/>
              </w:rPr>
            </w:pPr>
            <w:r>
              <w:rPr>
                <w:rFonts w:ascii="Arial" w:cs="Arial" w:eastAsia="Arial" w:hAnsi="Arial"/>
                <w:sz w:val="19"/>
                <w:szCs w:val="19"/>
                <w:color w:val="auto"/>
              </w:rPr>
              <w:t>16%</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Year-To-Date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gridSpan w:val="3"/>
          </w:tcPr>
          <w:p>
            <w:pPr>
              <w:jc w:val="center"/>
              <w:ind w:left="1105"/>
              <w:spacing w:after="0"/>
              <w:rPr>
                <w:sz w:val="20"/>
                <w:szCs w:val="20"/>
                <w:color w:val="auto"/>
              </w:rPr>
            </w:pPr>
            <w:r>
              <w:rPr>
                <w:rFonts w:ascii="Arial" w:cs="Arial" w:eastAsia="Arial" w:hAnsi="Arial"/>
                <w:sz w:val="19"/>
                <w:szCs w:val="19"/>
                <w:b w:val="1"/>
                <w:bCs w:val="1"/>
                <w:color w:val="auto"/>
                <w:w w:val="92"/>
              </w:rPr>
              <w:t>Six-Month Period</w:t>
            </w: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520" w:type="dxa"/>
            <w:vAlign w:val="bottom"/>
            <w:gridSpan w:val="5"/>
          </w:tcPr>
          <w:p>
            <w:pPr>
              <w:jc w:val="center"/>
              <w:ind w:right="640"/>
              <w:spacing w:after="0"/>
              <w:rPr>
                <w:sz w:val="20"/>
                <w:szCs w:val="20"/>
                <w:color w:val="auto"/>
              </w:rPr>
            </w:pPr>
            <w:r>
              <w:rPr>
                <w:rFonts w:ascii="Arial" w:cs="Arial" w:eastAsia="Arial" w:hAnsi="Arial"/>
                <w:sz w:val="19"/>
                <w:szCs w:val="19"/>
                <w:b w:val="1"/>
                <w:bCs w:val="1"/>
                <w:color w:val="auto"/>
                <w:w w:val="91"/>
              </w:rPr>
              <w:t>August 1 - January 31</w:t>
            </w: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9"/>
                <w:szCs w:val="19"/>
                <w:b w:val="1"/>
                <w:bCs w:val="1"/>
                <w:color w:val="auto"/>
              </w:rPr>
              <w:t>Fiscal 2017</w:t>
            </w:r>
          </w:p>
        </w:tc>
        <w:tc>
          <w:tcPr>
            <w:tcW w:w="6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25"/>
              <w:spacing w:after="0"/>
              <w:rPr>
                <w:sz w:val="20"/>
                <w:szCs w:val="20"/>
                <w:color w:val="auto"/>
              </w:rPr>
            </w:pPr>
            <w:r>
              <w:rPr>
                <w:rFonts w:ascii="Arial" w:cs="Arial" w:eastAsia="Arial" w:hAnsi="Arial"/>
                <w:sz w:val="19"/>
                <w:szCs w:val="19"/>
                <w:b w:val="1"/>
                <w:bCs w:val="1"/>
                <w:color w:val="auto"/>
                <w:w w:val="88"/>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360" w:type="dxa"/>
            <w:vAlign w:val="bottom"/>
            <w:tcBorders>
              <w:top w:val="single" w:sz="8" w:color="auto"/>
            </w:tcBorders>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81,052,000</w:t>
            </w:r>
          </w:p>
        </w:tc>
        <w:tc>
          <w:tcPr>
            <w:tcW w:w="300" w:type="dxa"/>
            <w:vAlign w:val="bottom"/>
          </w:tcPr>
          <w:p>
            <w:pPr>
              <w:spacing w:after="0"/>
              <w:rPr>
                <w:sz w:val="20"/>
                <w:szCs w:val="20"/>
                <w:color w:val="auto"/>
              </w:rPr>
            </w:pPr>
          </w:p>
        </w:tc>
        <w:tc>
          <w:tcPr>
            <w:tcW w:w="600" w:type="dxa"/>
            <w:vAlign w:val="bottom"/>
            <w:tcBorders>
              <w:top w:val="single" w:sz="8" w:color="auto"/>
            </w:tcBorders>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84,716,000</w:t>
            </w:r>
          </w:p>
        </w:tc>
        <w:tc>
          <w:tcPr>
            <w:tcW w:w="300" w:type="dxa"/>
            <w:vAlign w:val="bottom"/>
          </w:tcPr>
          <w:p>
            <w:pPr>
              <w:spacing w:after="0"/>
              <w:rPr>
                <w:sz w:val="20"/>
                <w:szCs w:val="20"/>
                <w:color w:val="auto"/>
              </w:rPr>
            </w:pPr>
          </w:p>
        </w:tc>
        <w:tc>
          <w:tcPr>
            <w:tcW w:w="1420" w:type="dxa"/>
            <w:vAlign w:val="bottom"/>
          </w:tcPr>
          <w:p>
            <w:pPr>
              <w:jc w:val="right"/>
              <w:ind w:right="465"/>
              <w:spacing w:after="0"/>
              <w:rPr>
                <w:sz w:val="20"/>
                <w:szCs w:val="20"/>
                <w:color w:val="auto"/>
              </w:rPr>
            </w:pPr>
            <w:r>
              <w:rPr>
                <w:rFonts w:ascii="Arial" w:cs="Arial" w:eastAsia="Arial" w:hAnsi="Arial"/>
                <w:sz w:val="19"/>
                <w:szCs w:val="19"/>
                <w:color w:val="auto"/>
              </w:rPr>
              <w:t>-4%</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360" w:type="dxa"/>
            <w:vAlign w:val="bottom"/>
            <w:tcBorders>
              <w:bottom w:val="single" w:sz="8" w:color="CCEEFF"/>
            </w:tcBorders>
            <w:shd w:val="clear" w:color="auto" w:fill="CCEEFF"/>
          </w:tcPr>
          <w:p>
            <w:pPr>
              <w:jc w:val="right"/>
              <w:ind w:right="145"/>
              <w:spacing w:after="0"/>
              <w:rPr>
                <w:sz w:val="20"/>
                <w:szCs w:val="20"/>
                <w:color w:val="auto"/>
              </w:rPr>
            </w:pPr>
            <w:r>
              <w:rPr>
                <w:rFonts w:ascii="Arial" w:cs="Arial" w:eastAsia="Arial" w:hAnsi="Arial"/>
                <w:sz w:val="19"/>
                <w:szCs w:val="19"/>
                <w:color w:val="auto"/>
                <w:w w:val="94"/>
              </w:rPr>
              <w:t>$</w:t>
            </w:r>
          </w:p>
        </w:tc>
        <w:tc>
          <w:tcPr>
            <w:tcW w:w="17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4,480,000</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9,697,000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5"/>
              <w:spacing w:after="0"/>
              <w:rPr>
                <w:sz w:val="20"/>
                <w:szCs w:val="20"/>
                <w:color w:val="auto"/>
              </w:rPr>
            </w:pPr>
            <w:r>
              <w:rPr>
                <w:rFonts w:ascii="Arial" w:cs="Arial" w:eastAsia="Arial" w:hAnsi="Arial"/>
                <w:sz w:val="19"/>
                <w:szCs w:val="19"/>
                <w:color w:val="auto"/>
              </w:rPr>
              <w:t>-54%</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removal of low margin cat litter business resulted in lower net sales of branded and private label cat litters for the second quarter and first six-months of fiscal 2017. The decrease in net sales was partially offset by increased sales of Cat’s Pride Fresh &amp; Light Ultimate Care and private label lightweight scoopable litters. Sales of industrial and automotive absorbent products were 7% higher for the second quarter.</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Improved segment income in the second quarter included an approximate $400,000 reduction in advertising expense compared to the same quarter in the prior year. An approximate $5,000,000 increase in advertising expense in support of Fresh &amp; Light Ultimate Care resulted in reduced segment income for the first six months of fiscal 2017.</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09"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FINANCIAL REVIEW</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(First Six-month Period of Fiscal 2017 Ended January 31, 2017)</w:t>
      </w:r>
    </w:p>
    <w:p>
      <w:pPr>
        <w:spacing w:after="0" w:line="242"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At January 31, 2017, cash, cash equivalents, and short-term investments totaled $24,918,000 compared to $28,919,000 one year ago.</w:t>
      </w:r>
    </w:p>
    <w:p>
      <w:pPr>
        <w:spacing w:after="0" w:line="215" w:lineRule="exact"/>
        <w:rPr>
          <w:sz w:val="20"/>
          <w:szCs w:val="20"/>
          <w:color w:val="auto"/>
        </w:rPr>
      </w:pPr>
    </w:p>
    <w:p>
      <w:pPr>
        <w:jc w:val="both"/>
        <w:ind w:right="200"/>
        <w:spacing w:after="0" w:line="343" w:lineRule="auto"/>
        <w:rPr>
          <w:sz w:val="20"/>
          <w:szCs w:val="20"/>
          <w:color w:val="auto"/>
        </w:rPr>
      </w:pPr>
      <w:r>
        <w:rPr>
          <w:rFonts w:ascii="Arial" w:cs="Arial" w:eastAsia="Arial" w:hAnsi="Arial"/>
          <w:sz w:val="19"/>
          <w:szCs w:val="19"/>
          <w:color w:val="auto"/>
        </w:rPr>
        <w:t>Cash provided by operating activities was $9,093,000, which was $7,958,000 lower than the $17,051,000 for the same period last year. This decrease was primarily the result of lower net income and the payout of the prior fiscal year's accrued incentive bonus.</w:t>
      </w:r>
    </w:p>
    <w:p>
      <w:pPr>
        <w:spacing w:after="0" w:line="14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Capital expenditures for the period totaled $7,279,000 which was $890,000 more than depreciation and amortization of $6,389,000. Capital expenditures included the ongoing implementation and testing of a new enterprise resource planning system and related infrastructure improvements, as well as equipment replacement at our manufacturing facilities. By comparison, capital expenditures totaled $4,795,000 one year ago.</w:t>
      </w:r>
    </w:p>
    <w:p>
      <w:pPr>
        <w:spacing w:after="0" w:line="229"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On December 13, 2016, Oil-Dri’s Board of Directors declared quarterly cash dividends of $0.22 per share of outstanding Common Stock and $0.165 per share of outstanding Class B Stock. The dividends were paid on March 3, 2017, to stockholders of record at the close of business on February 17, 2017. The Company has paid cash dividends continuously since 1974 and has increased dividends annually for each of the last thirteen years. At the end of the second quarter, the annualized dividend yield on the Company’s Common Stock was 2.6%, based on the closing stock price on January 31, 2017 of $33.65 per share and the latest quarterly cash dividend of $0.22 per share.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09"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LOOKING FORWARD</w:t>
      </w:r>
    </w:p>
    <w:p>
      <w:pPr>
        <w:spacing w:after="0" w:line="266" w:lineRule="exact"/>
        <w:rPr>
          <w:sz w:val="20"/>
          <w:szCs w:val="20"/>
          <w:color w:val="auto"/>
        </w:rPr>
      </w:pPr>
    </w:p>
    <w:p>
      <w:pPr>
        <w:jc w:val="both"/>
        <w:ind w:right="420"/>
        <w:spacing w:after="0" w:line="253" w:lineRule="auto"/>
        <w:rPr>
          <w:sz w:val="20"/>
          <w:szCs w:val="20"/>
          <w:color w:val="auto"/>
        </w:rPr>
      </w:pPr>
      <w:r>
        <w:rPr>
          <w:rFonts w:ascii="Arial" w:cs="Arial" w:eastAsia="Arial" w:hAnsi="Arial"/>
          <w:sz w:val="22"/>
          <w:szCs w:val="22"/>
          <w:color w:val="auto"/>
        </w:rPr>
        <w:t>President and Chief Executive Officer, Daniel Jaffee continued, “On the consumer side of the business, we remain focused on driving brand awareness and trial of Cat’s Pride Fresh &amp; Light Ultimate Care products and gaining a larger share of the private label lightweight segment.</w:t>
      </w:r>
    </w:p>
    <w:p>
      <w:pPr>
        <w:spacing w:after="0" w:line="226"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In the back half of the year, we will continue to advertise through television, digital, social, mobile, and video media channels. However, we plan to reallocate some of our anticipated spending, reducing overall advertising and increasing trade promotions. We expect general marketing expense to continue to be significant, but slightly less than the total spend in fiscal 2016.</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Within the Business to Business products group, we look forward to continuing to expand distribution of our newest animal health products, Varium and NeoPrime.</w:t>
      </w:r>
    </w:p>
    <w:p>
      <w:pPr>
        <w:spacing w:after="0" w:line="175" w:lineRule="exact"/>
        <w:rPr>
          <w:sz w:val="20"/>
          <w:szCs w:val="20"/>
          <w:color w:val="auto"/>
        </w:rPr>
      </w:pPr>
    </w:p>
    <w:p>
      <w:pPr>
        <w:ind w:right="380"/>
        <w:spacing w:after="0" w:line="261" w:lineRule="auto"/>
        <w:rPr>
          <w:sz w:val="20"/>
          <w:szCs w:val="20"/>
          <w:color w:val="auto"/>
        </w:rPr>
      </w:pPr>
      <w:r>
        <w:rPr>
          <w:rFonts w:ascii="Arial" w:cs="Arial" w:eastAsia="Arial" w:hAnsi="Arial"/>
          <w:sz w:val="21"/>
          <w:szCs w:val="21"/>
          <w:color w:val="auto"/>
        </w:rPr>
        <w:t>It is well known that there is a global effort to reduce or eliminate the use of antibiotics in livestock production. We continue to believe that Varium will become one of several viable options helping poultry producers in this effort.”</w:t>
      </w:r>
    </w:p>
    <w:p>
      <w:pPr>
        <w:jc w:val="center"/>
        <w:ind w:right="-59"/>
        <w:spacing w:after="0"/>
        <w:rPr>
          <w:sz w:val="20"/>
          <w:szCs w:val="20"/>
          <w:color w:val="auto"/>
        </w:rPr>
      </w:pPr>
      <w:r>
        <w:rPr>
          <w:rFonts w:ascii="Arial" w:cs="Arial" w:eastAsia="Arial" w:hAnsi="Arial"/>
          <w:sz w:val="16"/>
          <w:szCs w:val="16"/>
          <w:color w:val="auto"/>
        </w:rPr>
        <w:t>###</w:t>
      </w:r>
    </w:p>
    <w:p>
      <w:pPr>
        <w:spacing w:after="0" w:line="180"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crop and horticultural, fluids purification, animal health, sports field, industrial and automotive markets and is a leading manufacturer of cat litter.</w:t>
      </w:r>
    </w:p>
    <w:p>
      <w:pPr>
        <w:spacing w:after="0" w:line="16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The Company will offer a live webcast of the second quarter earnings teleconference on </w:t>
      </w:r>
      <w:r>
        <w:rPr>
          <w:rFonts w:ascii="Arial" w:cs="Arial" w:eastAsia="Arial" w:hAnsi="Arial"/>
          <w:sz w:val="18"/>
          <w:szCs w:val="18"/>
          <w:b w:val="1"/>
          <w:bCs w:val="1"/>
          <w:color w:val="auto"/>
        </w:rPr>
        <w:t>Monday, March 13, 2017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Teleconference details will be communicated via web alert approximately one week prior to the call.</w:t>
      </w:r>
    </w:p>
    <w:p>
      <w:pPr>
        <w:spacing w:after="0" w:line="197" w:lineRule="exact"/>
        <w:rPr>
          <w:sz w:val="20"/>
          <w:szCs w:val="20"/>
          <w:color w:val="auto"/>
        </w:rPr>
      </w:pPr>
    </w:p>
    <w:p>
      <w:pPr>
        <w:ind w:right="140"/>
        <w:spacing w:after="0" w:line="223"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6"/>
          <w:szCs w:val="16"/>
          <w:i w:val="1"/>
          <w:iCs w:val="1"/>
          <w:color w:val="auto"/>
        </w:rPr>
        <w:t>Based in part on data reported by Nielsen through its Nielsen Answers Core Service for the Pet Care Category for the 52 and 12 week periods ended February 25, 2017, for the U.S. market. Copyright © 2017 Nielsen.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“Cat’s Pride,” “Fresh &amp; Light,” “Fresh &amp; Light Ultimate Care,” “Pure-Flo” and “Amlan” are registered trademarks of Oil-Dri Corporation of America.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“Varium” and “NeoPrime” are trademarks of Oil-Dri Corporation of America. “The Jason Debus Heigl Foundation” is a trademark of The Jason Debus Heigl Foundation.</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80"/>
          </w:cols>
          <w:pgMar w:left="240" w:top="1409" w:right="279" w:bottom="1440" w:gutter="0" w:footer="0" w:header="0"/>
        </w:sectPr>
      </w:pPr>
    </w:p>
    <w:bookmarkStart w:id="10" w:name="page11"/>
    <w:bookmarkEnd w:id="10"/>
    <w:p>
      <w:pPr>
        <w:spacing w:after="0" w:line="25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286"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13" w:right="259" w:bottom="1440" w:gutter="0" w:footer="0" w:header="0"/>
        </w:sectPr>
      </w:pPr>
    </w:p>
    <w:bookmarkStart w:id="11" w:name="page12"/>
    <w:bookmarkEnd w:id="1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(in thousands, except for per share amounts)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(unaudited)</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200"/>
              <w:spacing w:after="0"/>
              <w:rPr>
                <w:sz w:val="20"/>
                <w:szCs w:val="20"/>
                <w:color w:val="auto"/>
              </w:rPr>
            </w:pPr>
            <w:r>
              <w:rPr>
                <w:rFonts w:ascii="Arial" w:cs="Arial" w:eastAsia="Arial" w:hAnsi="Arial"/>
                <w:sz w:val="18"/>
                <w:szCs w:val="18"/>
                <w:b w:val="1"/>
                <w:bCs w:val="1"/>
                <w:color w:val="auto"/>
                <w:w w:val="99"/>
              </w:rPr>
              <w:t>Second Quarter Ended January 31,</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65,174</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65,367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(46,049)</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(46,305)</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19,125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(13,538)</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(13,662)</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5,400</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5,244</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5,069</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4,250</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3,821</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5,019</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4,982</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7,155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7,096</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162"/>
        </w:trPr>
        <w:tc>
          <w:tcPr>
            <w:tcW w:w="50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380"/>
              <w:spacing w:after="0"/>
              <w:rPr>
                <w:sz w:val="20"/>
                <w:szCs w:val="20"/>
                <w:color w:val="auto"/>
              </w:rPr>
            </w:pPr>
            <w:r>
              <w:rPr>
                <w:rFonts w:ascii="Arial" w:cs="Arial" w:eastAsia="Arial" w:hAnsi="Arial"/>
                <w:sz w:val="18"/>
                <w:szCs w:val="18"/>
                <w:b w:val="1"/>
                <w:bCs w:val="1"/>
                <w:color w:val="auto"/>
              </w:rPr>
              <w:t>Six Months Ended January 31,</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Arial" w:cs="Arial" w:eastAsia="Arial" w:hAnsi="Arial"/>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131,786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133,162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(91,936)</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(93,447)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39,850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39,715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(31,217)</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(26,539)</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8,633</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7,923</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12,609</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6,259</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9,244</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5,011</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4,978</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7,145</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7,074</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2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200"/>
          </w:cols>
          <w:pgMar w:left="240" w:top="1440" w:right="459" w:bottom="1440" w:gutter="0" w:footer="0" w:header="0"/>
        </w:sectPr>
      </w:pPr>
    </w:p>
    <w:bookmarkStart w:id="12" w:name="page13"/>
    <w:bookmarkEnd w:id="1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 January 31,</w:t>
            </w:r>
          </w:p>
        </w:tc>
        <w:tc>
          <w:tcPr>
            <w:tcW w:w="12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17,560</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13,827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7,358</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15,092</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32,047</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30,708</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23,217</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22,949</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12,596</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10,144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92,778</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92,720</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81,498</w:t>
            </w: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79,449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32,298</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26,754</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206,574</w:t>
            </w:r>
          </w:p>
        </w:tc>
        <w:tc>
          <w:tcPr>
            <w:tcW w:w="34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198,923</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7,316</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7,704</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17,614</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19,960</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29,498</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32,154</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9,147</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12,201</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47,424</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36,497</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56,571</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48,698</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120,505</w:t>
            </w: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118,071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206,574</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198,923</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2,984</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3,030</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7,279</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Second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3,230</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2,975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6,389</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5,914</w:t>
            </w:r>
          </w:p>
        </w:tc>
      </w:tr>
      <w:tr>
        <w:trPr>
          <w:trHeight w:val="696"/>
        </w:trPr>
        <w:tc>
          <w:tcPr>
            <w:tcW w:w="4260" w:type="dxa"/>
            <w:vAlign w:val="bottom"/>
          </w:tcPr>
          <w:p>
            <w:pPr>
              <w:spacing w:after="0"/>
              <w:rPr>
                <w:sz w:val="24"/>
                <w:szCs w:val="24"/>
                <w:color w:val="auto"/>
              </w:rPr>
            </w:pPr>
          </w:p>
        </w:tc>
        <w:tc>
          <w:tcPr>
            <w:tcW w:w="3180" w:type="dxa"/>
            <w:vAlign w:val="bottom"/>
          </w:tcPr>
          <w:p>
            <w:pPr>
              <w:ind w:left="1420"/>
              <w:spacing w:after="0"/>
              <w:rPr>
                <w:sz w:val="20"/>
                <w:szCs w:val="20"/>
                <w:color w:val="auto"/>
              </w:rPr>
            </w:pPr>
            <w:r>
              <w:rPr>
                <w:rFonts w:ascii="Arial" w:cs="Arial" w:eastAsia="Arial" w:hAnsi="Arial"/>
                <w:sz w:val="16"/>
                <w:szCs w:val="16"/>
                <w:color w:val="auto"/>
              </w:rPr>
              <w:t>9</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3" w:name="page14"/>
    <w:bookmarkEnd w:id="13"/>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For the Six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January 31,</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6,259</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9,244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5,914</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Receivable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(Increase) in Inventories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(Decrease) in Accounts Payable</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(Decrease) Increase in Accrued Expenses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554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2,834</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7,807</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17,051</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(4,795)</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Dispositions (Purchase) of Investment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(12,900)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(17,446)</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Dividends Paid</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(6,311)</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18,629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17,560</w:t>
            </w:r>
          </w:p>
        </w:tc>
        <w:tc>
          <w:tcPr>
            <w:tcW w:w="3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13,827</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2020-01-16T14:40:09Z</dcterms:created>
  <dcterms:modified xsi:type="dcterms:W3CDTF">2020-01-16T14:40:09Z</dcterms:modified>
</cp:coreProperties>
</file>