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30"/>
        </w:trPr>
        <w:tc>
          <w:tcPr>
            <w:tcW w:w="168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4780" w:type="dxa"/>
            <w:vAlign w:val="bottom"/>
            <w:gridSpan w:val="2"/>
          </w:tcPr>
          <w:p>
            <w:pPr>
              <w:jc w:val="center"/>
              <w:ind w:right="1680"/>
              <w:spacing w:after="0"/>
              <w:rPr>
                <w:sz w:val="20"/>
                <w:szCs w:val="20"/>
                <w:color w:val="auto"/>
              </w:rPr>
            </w:pPr>
            <w:r>
              <w:rPr>
                <w:rFonts w:ascii="Arial" w:cs="Arial" w:eastAsia="Arial" w:hAnsi="Arial"/>
                <w:sz w:val="18"/>
                <w:szCs w:val="18"/>
                <w:color w:val="auto"/>
                <w:w w:val="94"/>
              </w:rPr>
              <w:t>UNITED STATES</w:t>
            </w: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4"/>
                <w:szCs w:val="24"/>
                <w:color w:val="auto"/>
              </w:rPr>
            </w:pPr>
          </w:p>
        </w:tc>
        <w:tc>
          <w:tcPr>
            <w:tcW w:w="7260" w:type="dxa"/>
            <w:vAlign w:val="bottom"/>
            <w:gridSpan w:val="3"/>
          </w:tcPr>
          <w:p>
            <w:pPr>
              <w:jc w:val="center"/>
              <w:ind w:left="730"/>
              <w:spacing w:after="0"/>
              <w:rPr>
                <w:sz w:val="20"/>
                <w:szCs w:val="20"/>
                <w:color w:val="auto"/>
              </w:rPr>
            </w:pPr>
            <w:r>
              <w:rPr>
                <w:rFonts w:ascii="Arial" w:cs="Arial" w:eastAsia="Arial" w:hAnsi="Arial"/>
                <w:sz w:val="18"/>
                <w:szCs w:val="18"/>
                <w:color w:val="auto"/>
                <w:w w:val="96"/>
              </w:rPr>
              <w:t>SECURITIES AND EXCHANGE COMMISSION</w:t>
            </w:r>
          </w:p>
        </w:tc>
        <w:tc>
          <w:tcPr>
            <w:tcW w:w="0" w:type="dxa"/>
            <w:vAlign w:val="bottom"/>
          </w:tcPr>
          <w:p>
            <w:pPr>
              <w:spacing w:after="0"/>
              <w:rPr>
                <w:sz w:val="1"/>
                <w:szCs w:val="1"/>
                <w:color w:val="auto"/>
              </w:rPr>
            </w:pPr>
          </w:p>
        </w:tc>
      </w:tr>
      <w:tr>
        <w:trPr>
          <w:trHeight w:val="338"/>
        </w:trPr>
        <w:tc>
          <w:tcPr>
            <w:tcW w:w="1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780" w:type="dxa"/>
            <w:vAlign w:val="bottom"/>
            <w:gridSpan w:val="2"/>
          </w:tcPr>
          <w:p>
            <w:pPr>
              <w:jc w:val="center"/>
              <w:ind w:right="1680"/>
              <w:spacing w:after="0"/>
              <w:rPr>
                <w:sz w:val="20"/>
                <w:szCs w:val="20"/>
                <w:color w:val="auto"/>
              </w:rPr>
            </w:pPr>
            <w:r>
              <w:rPr>
                <w:rFonts w:ascii="Arial" w:cs="Arial" w:eastAsia="Arial" w:hAnsi="Arial"/>
                <w:sz w:val="18"/>
                <w:szCs w:val="18"/>
                <w:color w:val="auto"/>
                <w:w w:val="90"/>
              </w:rPr>
              <w:t>Washington, D. C. 20549</w:t>
            </w:r>
          </w:p>
        </w:tc>
        <w:tc>
          <w:tcPr>
            <w:tcW w:w="0" w:type="dxa"/>
            <w:vAlign w:val="bottom"/>
          </w:tcPr>
          <w:p>
            <w:pPr>
              <w:spacing w:after="0"/>
              <w:rPr>
                <w:sz w:val="1"/>
                <w:szCs w:val="1"/>
                <w:color w:val="auto"/>
              </w:rPr>
            </w:pPr>
          </w:p>
        </w:tc>
      </w:tr>
      <w:tr>
        <w:trPr>
          <w:trHeight w:val="432"/>
        </w:trPr>
        <w:tc>
          <w:tcPr>
            <w:tcW w:w="1680" w:type="dxa"/>
            <w:vAlign w:val="bottom"/>
            <w:vMerge w:val="restart"/>
          </w:tcPr>
          <w:p>
            <w:pPr>
              <w:spacing w:after="0"/>
              <w:rPr>
                <w:sz w:val="20"/>
                <w:szCs w:val="20"/>
                <w:color w:val="auto"/>
              </w:rPr>
            </w:pPr>
            <w:r>
              <w:rPr>
                <w:rFonts w:ascii="Arial" w:cs="Arial" w:eastAsia="Arial" w:hAnsi="Arial"/>
                <w:sz w:val="18"/>
                <w:szCs w:val="18"/>
                <w:color w:val="auto"/>
              </w:rPr>
              <w:t>(Mark One)</w:t>
            </w:r>
          </w:p>
        </w:tc>
        <w:tc>
          <w:tcPr>
            <w:tcW w:w="2480" w:type="dxa"/>
            <w:vAlign w:val="bottom"/>
          </w:tcPr>
          <w:p>
            <w:pPr>
              <w:spacing w:after="0"/>
              <w:rPr>
                <w:sz w:val="24"/>
                <w:szCs w:val="24"/>
                <w:color w:val="auto"/>
              </w:rPr>
            </w:pPr>
          </w:p>
        </w:tc>
        <w:tc>
          <w:tcPr>
            <w:tcW w:w="4780" w:type="dxa"/>
            <w:vAlign w:val="bottom"/>
            <w:gridSpan w:val="2"/>
          </w:tcPr>
          <w:p>
            <w:pPr>
              <w:jc w:val="center"/>
              <w:ind w:right="1660"/>
              <w:spacing w:after="0"/>
              <w:rPr>
                <w:sz w:val="20"/>
                <w:szCs w:val="20"/>
                <w:color w:val="auto"/>
              </w:rPr>
            </w:pPr>
            <w:r>
              <w:rPr>
                <w:rFonts w:ascii="Arial" w:cs="Arial" w:eastAsia="Arial" w:hAnsi="Arial"/>
                <w:sz w:val="18"/>
                <w:szCs w:val="18"/>
                <w:color w:val="auto"/>
                <w:w w:val="93"/>
              </w:rPr>
              <w:t>FORM 10-Q</w:t>
            </w:r>
          </w:p>
        </w:tc>
        <w:tc>
          <w:tcPr>
            <w:tcW w:w="0" w:type="dxa"/>
            <w:vAlign w:val="bottom"/>
          </w:tcPr>
          <w:p>
            <w:pPr>
              <w:spacing w:after="0"/>
              <w:rPr>
                <w:sz w:val="1"/>
                <w:szCs w:val="1"/>
                <w:color w:val="auto"/>
              </w:rPr>
            </w:pPr>
          </w:p>
        </w:tc>
      </w:tr>
      <w:tr>
        <w:trPr>
          <w:trHeight w:val="216"/>
        </w:trPr>
        <w:tc>
          <w:tcPr>
            <w:tcW w:w="1680" w:type="dxa"/>
            <w:vAlign w:val="bottom"/>
            <w:vMerge w:val="continue"/>
          </w:tcPr>
          <w:p>
            <w:pPr>
              <w:spacing w:after="0"/>
              <w:rPr>
                <w:sz w:val="18"/>
                <w:szCs w:val="18"/>
                <w:color w:val="auto"/>
              </w:rPr>
            </w:pPr>
          </w:p>
        </w:tc>
        <w:tc>
          <w:tcPr>
            <w:tcW w:w="24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1680" w:type="dxa"/>
            <w:vAlign w:val="bottom"/>
          </w:tcPr>
          <w:p>
            <w:pPr>
              <w:ind w:left="40"/>
              <w:spacing w:after="0"/>
              <w:rPr>
                <w:sz w:val="20"/>
                <w:szCs w:val="20"/>
                <w:color w:val="auto"/>
              </w:rPr>
            </w:pPr>
            <w:r>
              <w:rPr>
                <w:rFonts w:ascii="Arial" w:cs="Arial" w:eastAsia="Arial" w:hAnsi="Arial"/>
                <w:sz w:val="18"/>
                <w:szCs w:val="18"/>
                <w:color w:val="auto"/>
              </w:rPr>
              <w:t>x</w:t>
            </w:r>
          </w:p>
        </w:tc>
        <w:tc>
          <w:tcPr>
            <w:tcW w:w="72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Quarterly Report Pursuant to Section 13 or 15(d) of the Securities Exchange Act of 1934</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726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For the Quarterly Period Ended April 30, 2019</w:t>
            </w:r>
          </w:p>
        </w:tc>
        <w:tc>
          <w:tcPr>
            <w:tcW w:w="0" w:type="dxa"/>
            <w:vAlign w:val="bottom"/>
          </w:tcPr>
          <w:p>
            <w:pPr>
              <w:spacing w:after="0"/>
              <w:rPr>
                <w:sz w:val="1"/>
                <w:szCs w:val="1"/>
                <w:color w:val="auto"/>
              </w:rPr>
            </w:pPr>
          </w:p>
        </w:tc>
      </w:tr>
      <w:tr>
        <w:trPr>
          <w:trHeight w:val="243"/>
        </w:trPr>
        <w:tc>
          <w:tcPr>
            <w:tcW w:w="168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4780" w:type="dxa"/>
            <w:vAlign w:val="bottom"/>
            <w:gridSpan w:val="2"/>
          </w:tcPr>
          <w:p>
            <w:pPr>
              <w:jc w:val="center"/>
              <w:ind w:right="1680"/>
              <w:spacing w:after="0"/>
              <w:rPr>
                <w:sz w:val="20"/>
                <w:szCs w:val="20"/>
                <w:color w:val="auto"/>
              </w:rPr>
            </w:pPr>
            <w:r>
              <w:rPr>
                <w:rFonts w:ascii="Arial" w:cs="Arial" w:eastAsia="Arial" w:hAnsi="Arial"/>
                <w:sz w:val="18"/>
                <w:szCs w:val="18"/>
                <w:color w:val="auto"/>
                <w:w w:val="87"/>
              </w:rPr>
              <w:t>or</w:t>
            </w:r>
          </w:p>
        </w:tc>
        <w:tc>
          <w:tcPr>
            <w:tcW w:w="0" w:type="dxa"/>
            <w:vAlign w:val="bottom"/>
          </w:tcPr>
          <w:p>
            <w:pPr>
              <w:spacing w:after="0"/>
              <w:rPr>
                <w:sz w:val="1"/>
                <w:szCs w:val="1"/>
                <w:color w:val="auto"/>
              </w:rPr>
            </w:pPr>
          </w:p>
        </w:tc>
      </w:tr>
      <w:tr>
        <w:trPr>
          <w:trHeight w:val="391"/>
        </w:trPr>
        <w:tc>
          <w:tcPr>
            <w:tcW w:w="1680" w:type="dxa"/>
            <w:vAlign w:val="bottom"/>
          </w:tcPr>
          <w:p>
            <w:pPr>
              <w:ind w:left="40"/>
              <w:spacing w:after="0"/>
              <w:rPr>
                <w:sz w:val="20"/>
                <w:szCs w:val="20"/>
                <w:color w:val="auto"/>
              </w:rPr>
            </w:pPr>
            <w:r>
              <w:rPr>
                <w:rFonts w:ascii="Arial" w:cs="Arial" w:eastAsia="Arial" w:hAnsi="Arial"/>
                <w:sz w:val="18"/>
                <w:szCs w:val="18"/>
                <w:color w:val="auto"/>
              </w:rPr>
              <w:t>o</w:t>
            </w:r>
          </w:p>
        </w:tc>
        <w:tc>
          <w:tcPr>
            <w:tcW w:w="7260" w:type="dxa"/>
            <w:vAlign w:val="bottom"/>
            <w:gridSpan w:val="3"/>
          </w:tcPr>
          <w:p>
            <w:pPr>
              <w:jc w:val="center"/>
              <w:ind w:left="730"/>
              <w:spacing w:after="0"/>
              <w:rPr>
                <w:sz w:val="20"/>
                <w:szCs w:val="20"/>
                <w:color w:val="auto"/>
              </w:rPr>
            </w:pPr>
            <w:r>
              <w:rPr>
                <w:rFonts w:ascii="Arial" w:cs="Arial" w:eastAsia="Arial" w:hAnsi="Arial"/>
                <w:sz w:val="18"/>
                <w:szCs w:val="18"/>
                <w:color w:val="auto"/>
                <w:w w:val="90"/>
              </w:rPr>
              <w:t>Transition Report Pursuant to Section 13 or 15(d) of the Securities Exchange Act of 1934</w:t>
            </w:r>
          </w:p>
        </w:tc>
        <w:tc>
          <w:tcPr>
            <w:tcW w:w="0" w:type="dxa"/>
            <w:vAlign w:val="bottom"/>
          </w:tcPr>
          <w:p>
            <w:pPr>
              <w:spacing w:after="0"/>
              <w:rPr>
                <w:sz w:val="1"/>
                <w:szCs w:val="1"/>
                <w:color w:val="auto"/>
              </w:rPr>
            </w:pPr>
          </w:p>
        </w:tc>
      </w:tr>
      <w:tr>
        <w:trPr>
          <w:trHeight w:val="230"/>
        </w:trPr>
        <w:tc>
          <w:tcPr>
            <w:tcW w:w="1680" w:type="dxa"/>
            <w:vAlign w:val="bottom"/>
          </w:tcPr>
          <w:p>
            <w:pPr>
              <w:spacing w:after="0"/>
              <w:rPr>
                <w:sz w:val="20"/>
                <w:szCs w:val="20"/>
                <w:color w:val="auto"/>
              </w:rPr>
            </w:pPr>
          </w:p>
        </w:tc>
        <w:tc>
          <w:tcPr>
            <w:tcW w:w="7260" w:type="dxa"/>
            <w:vAlign w:val="bottom"/>
            <w:gridSpan w:val="3"/>
          </w:tcPr>
          <w:p>
            <w:pPr>
              <w:jc w:val="center"/>
              <w:ind w:left="730"/>
              <w:spacing w:after="0"/>
              <w:rPr>
                <w:sz w:val="20"/>
                <w:szCs w:val="20"/>
                <w:color w:val="auto"/>
              </w:rPr>
            </w:pPr>
            <w:r>
              <w:rPr>
                <w:rFonts w:ascii="Arial" w:cs="Arial" w:eastAsia="Arial" w:hAnsi="Arial"/>
                <w:sz w:val="18"/>
                <w:szCs w:val="18"/>
                <w:color w:val="auto"/>
                <w:w w:val="91"/>
              </w:rPr>
              <w:t>For the transition period from _____________ to ______________</w:t>
            </w:r>
          </w:p>
        </w:tc>
        <w:tc>
          <w:tcPr>
            <w:tcW w:w="0" w:type="dxa"/>
            <w:vAlign w:val="bottom"/>
          </w:tcPr>
          <w:p>
            <w:pPr>
              <w:spacing w:after="0"/>
              <w:rPr>
                <w:sz w:val="1"/>
                <w:szCs w:val="1"/>
                <w:color w:val="auto"/>
              </w:rPr>
            </w:pPr>
          </w:p>
        </w:tc>
      </w:tr>
      <w:tr>
        <w:trPr>
          <w:trHeight w:val="459"/>
        </w:trPr>
        <w:tc>
          <w:tcPr>
            <w:tcW w:w="1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4780" w:type="dxa"/>
            <w:vAlign w:val="bottom"/>
            <w:gridSpan w:val="2"/>
          </w:tcPr>
          <w:p>
            <w:pPr>
              <w:jc w:val="center"/>
              <w:ind w:right="1680"/>
              <w:spacing w:after="0"/>
              <w:rPr>
                <w:sz w:val="20"/>
                <w:szCs w:val="20"/>
                <w:color w:val="auto"/>
              </w:rPr>
            </w:pPr>
            <w:r>
              <w:rPr>
                <w:rFonts w:ascii="Arial" w:cs="Arial" w:eastAsia="Arial" w:hAnsi="Arial"/>
                <w:sz w:val="18"/>
                <w:szCs w:val="18"/>
                <w:color w:val="auto"/>
                <w:w w:val="92"/>
              </w:rPr>
              <w:t>Commission File Number 001-12622</w:t>
            </w:r>
          </w:p>
        </w:tc>
        <w:tc>
          <w:tcPr>
            <w:tcW w:w="0" w:type="dxa"/>
            <w:vAlign w:val="bottom"/>
          </w:tcPr>
          <w:p>
            <w:pPr>
              <w:spacing w:after="0"/>
              <w:rPr>
                <w:sz w:val="1"/>
                <w:szCs w:val="1"/>
                <w:color w:val="auto"/>
              </w:rPr>
            </w:pPr>
          </w:p>
        </w:tc>
      </w:tr>
      <w:tr>
        <w:trPr>
          <w:trHeight w:val="392"/>
        </w:trPr>
        <w:tc>
          <w:tcPr>
            <w:tcW w:w="16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OIL-DRI CORPORATION OF AMERICA</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680" w:type="dxa"/>
            <w:vAlign w:val="bottom"/>
          </w:tcPr>
          <w:p>
            <w:pPr>
              <w:spacing w:after="0"/>
              <w:rPr>
                <w:sz w:val="20"/>
                <w:szCs w:val="20"/>
                <w:color w:val="auto"/>
              </w:rPr>
            </w:pPr>
          </w:p>
        </w:tc>
        <w:tc>
          <w:tcPr>
            <w:tcW w:w="7260" w:type="dxa"/>
            <w:vAlign w:val="bottom"/>
            <w:gridSpan w:val="3"/>
          </w:tcPr>
          <w:p>
            <w:pPr>
              <w:jc w:val="center"/>
              <w:ind w:left="71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0" w:type="dxa"/>
            <w:vAlign w:val="bottom"/>
          </w:tcPr>
          <w:p>
            <w:pPr>
              <w:spacing w:after="0"/>
              <w:rPr>
                <w:sz w:val="1"/>
                <w:szCs w:val="1"/>
                <w:color w:val="auto"/>
              </w:rPr>
            </w:pPr>
          </w:p>
        </w:tc>
      </w:tr>
    </w:tbl>
    <w:p>
      <w:pPr>
        <w:spacing w:after="0" w:line="13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534670</wp:posOffset>
            </wp:positionV>
            <wp:extent cx="707517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17145"/>
                    </a:xfrm>
                    <a:prstGeom prst="rect">
                      <a:avLst/>
                    </a:prstGeom>
                    <a:noFill/>
                  </pic:spPr>
                </pic:pic>
              </a:graphicData>
            </a:graphic>
          </wp:anchor>
        </w:drawing>
      </w:r>
    </w:p>
    <w:tbl>
      <w:tblPr>
        <w:tblLayout w:type="fixed"/>
        <w:tblInd w:w="940" w:type="dxa"/>
        <w:tblCellMar>
          <w:top w:w="0" w:type="dxa"/>
          <w:left w:w="0" w:type="dxa"/>
          <w:bottom w:w="0" w:type="dxa"/>
          <w:right w:w="0" w:type="dxa"/>
        </w:tblCellMar>
      </w:tblPr>
      <w:tr>
        <w:trPr>
          <w:trHeight w:val="207"/>
        </w:trPr>
        <w:tc>
          <w:tcPr>
            <w:tcW w:w="1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Delaware</w:t>
            </w:r>
          </w:p>
        </w:tc>
        <w:tc>
          <w:tcPr>
            <w:tcW w:w="2980" w:type="dxa"/>
            <w:vAlign w:val="bottom"/>
            <w:gridSpan w:val="2"/>
          </w:tcPr>
          <w:p>
            <w:pPr>
              <w:spacing w:after="0"/>
              <w:rPr>
                <w:sz w:val="17"/>
                <w:szCs w:val="17"/>
                <w:color w:val="auto"/>
              </w:rPr>
            </w:pPr>
          </w:p>
        </w:tc>
        <w:tc>
          <w:tcPr>
            <w:tcW w:w="3800" w:type="dxa"/>
            <w:vAlign w:val="bottom"/>
            <w:gridSpan w:val="3"/>
          </w:tcPr>
          <w:p>
            <w:pPr>
              <w:ind w:left="2060"/>
              <w:spacing w:after="0"/>
              <w:rPr>
                <w:sz w:val="20"/>
                <w:szCs w:val="20"/>
                <w:color w:val="auto"/>
              </w:rPr>
            </w:pPr>
            <w:r>
              <w:rPr>
                <w:rFonts w:ascii="Arial" w:cs="Arial" w:eastAsia="Arial" w:hAnsi="Arial"/>
                <w:sz w:val="18"/>
                <w:szCs w:val="18"/>
                <w:color w:val="auto"/>
              </w:rPr>
              <w:t>36-2048898</w:t>
            </w:r>
          </w:p>
        </w:tc>
      </w:tr>
      <w:tr>
        <w:trPr>
          <w:trHeight w:val="20"/>
        </w:trPr>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880" w:type="dxa"/>
            <w:vAlign w:val="bottom"/>
            <w:tcBorders>
              <w:right w:val="single" w:sz="8" w:color="auto"/>
            </w:tcBorders>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37"/>
        </w:trPr>
        <w:tc>
          <w:tcPr>
            <w:tcW w:w="5480" w:type="dxa"/>
            <w:vAlign w:val="bottom"/>
            <w:gridSpan w:val="5"/>
          </w:tcPr>
          <w:p>
            <w:pPr>
              <w:jc w:val="center"/>
              <w:ind w:right="118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800" w:type="dxa"/>
            <w:vAlign w:val="bottom"/>
            <w:gridSpan w:val="3"/>
          </w:tcPr>
          <w:p>
            <w:pPr>
              <w:jc w:val="center"/>
              <w:ind w:left="1090"/>
              <w:spacing w:after="0"/>
              <w:rPr>
                <w:sz w:val="20"/>
                <w:szCs w:val="20"/>
                <w:color w:val="auto"/>
              </w:rPr>
            </w:pPr>
            <w:r>
              <w:rPr>
                <w:rFonts w:ascii="Arial" w:cs="Arial" w:eastAsia="Arial" w:hAnsi="Arial"/>
                <w:sz w:val="18"/>
                <w:szCs w:val="18"/>
                <w:color w:val="auto"/>
                <w:w w:val="94"/>
              </w:rPr>
              <w:t>(I.R.S. Employer Identification No.)</w:t>
            </w:r>
          </w:p>
        </w:tc>
      </w:tr>
      <w:tr>
        <w:trPr>
          <w:trHeight w:val="230"/>
        </w:trPr>
        <w:tc>
          <w:tcPr>
            <w:tcW w:w="5480" w:type="dxa"/>
            <w:vAlign w:val="bottom"/>
            <w:gridSpan w:val="5"/>
          </w:tcPr>
          <w:p>
            <w:pPr>
              <w:jc w:val="center"/>
              <w:ind w:right="1160"/>
              <w:spacing w:after="0"/>
              <w:rPr>
                <w:sz w:val="20"/>
                <w:szCs w:val="20"/>
                <w:color w:val="auto"/>
              </w:rPr>
            </w:pPr>
            <w:r>
              <w:rPr>
                <w:rFonts w:ascii="Arial" w:cs="Arial" w:eastAsia="Arial" w:hAnsi="Arial"/>
                <w:sz w:val="18"/>
                <w:szCs w:val="18"/>
                <w:color w:val="auto"/>
                <w:w w:val="92"/>
              </w:rPr>
              <w:t>410 North Michigan Avenue, Suite 400</w:t>
            </w:r>
          </w:p>
        </w:tc>
        <w:tc>
          <w:tcPr>
            <w:tcW w:w="2060" w:type="dxa"/>
            <w:vAlign w:val="bottom"/>
          </w:tcPr>
          <w:p>
            <w:pPr>
              <w:spacing w:after="0"/>
              <w:rPr>
                <w:sz w:val="19"/>
                <w:szCs w:val="19"/>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60611-4213</w:t>
            </w:r>
          </w:p>
        </w:tc>
        <w:tc>
          <w:tcPr>
            <w:tcW w:w="860" w:type="dxa"/>
            <w:vAlign w:val="bottom"/>
          </w:tcPr>
          <w:p>
            <w:pPr>
              <w:spacing w:after="0"/>
              <w:rPr>
                <w:sz w:val="19"/>
                <w:szCs w:val="19"/>
                <w:color w:val="auto"/>
              </w:rPr>
            </w:pPr>
          </w:p>
        </w:tc>
      </w:tr>
      <w:tr>
        <w:trPr>
          <w:trHeight w:val="196"/>
        </w:trPr>
        <w:tc>
          <w:tcPr>
            <w:tcW w:w="1560" w:type="dxa"/>
            <w:vAlign w:val="bottom"/>
          </w:tcPr>
          <w:p>
            <w:pPr>
              <w:spacing w:after="0"/>
              <w:rPr>
                <w:sz w:val="17"/>
                <w:szCs w:val="17"/>
                <w:color w:val="auto"/>
              </w:rPr>
            </w:pPr>
          </w:p>
        </w:tc>
        <w:tc>
          <w:tcPr>
            <w:tcW w:w="1200" w:type="dxa"/>
            <w:vAlign w:val="bottom"/>
            <w:tcBorders>
              <w:bottom w:val="single" w:sz="8" w:color="auto"/>
            </w:tcBorders>
            <w:gridSpan w:val="3"/>
          </w:tcPr>
          <w:p>
            <w:pPr>
              <w:jc w:val="center"/>
              <w:spacing w:after="0" w:line="196" w:lineRule="exact"/>
              <w:rPr>
                <w:sz w:val="20"/>
                <w:szCs w:val="20"/>
                <w:color w:val="auto"/>
              </w:rPr>
            </w:pPr>
            <w:r>
              <w:rPr>
                <w:rFonts w:ascii="Arial" w:cs="Arial" w:eastAsia="Arial" w:hAnsi="Arial"/>
                <w:sz w:val="18"/>
                <w:szCs w:val="18"/>
                <w:color w:val="auto"/>
                <w:w w:val="95"/>
              </w:rPr>
              <w:t>Chicago, Illinois</w:t>
            </w:r>
          </w:p>
        </w:tc>
        <w:tc>
          <w:tcPr>
            <w:tcW w:w="27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40" w:type="dxa"/>
            <w:vAlign w:val="bottom"/>
            <w:gridSpan w:val="2"/>
          </w:tcPr>
          <w:p>
            <w:pPr>
              <w:jc w:val="center"/>
              <w:ind w:right="860"/>
              <w:spacing w:after="0" w:line="196" w:lineRule="exact"/>
              <w:rPr>
                <w:sz w:val="20"/>
                <w:szCs w:val="20"/>
                <w:color w:val="auto"/>
              </w:rPr>
            </w:pPr>
            <w:r>
              <w:rPr>
                <w:rFonts w:ascii="Arial" w:cs="Arial" w:eastAsia="Arial" w:hAnsi="Arial"/>
                <w:sz w:val="18"/>
                <w:szCs w:val="18"/>
                <w:color w:val="auto"/>
                <w:w w:val="94"/>
              </w:rPr>
              <w:t>(Zip Code)</w:t>
            </w:r>
          </w:p>
        </w:tc>
      </w:tr>
      <w:tr>
        <w:trPr>
          <w:trHeight w:val="237"/>
        </w:trPr>
        <w:tc>
          <w:tcPr>
            <w:tcW w:w="5480" w:type="dxa"/>
            <w:vAlign w:val="bottom"/>
            <w:gridSpan w:val="5"/>
          </w:tcPr>
          <w:p>
            <w:pPr>
              <w:jc w:val="center"/>
              <w:ind w:right="1180"/>
              <w:spacing w:after="0"/>
              <w:rPr>
                <w:sz w:val="20"/>
                <w:szCs w:val="20"/>
                <w:color w:val="auto"/>
              </w:rPr>
            </w:pPr>
            <w:r>
              <w:rPr>
                <w:rFonts w:ascii="Arial" w:cs="Arial" w:eastAsia="Arial" w:hAnsi="Arial"/>
                <w:sz w:val="18"/>
                <w:szCs w:val="18"/>
                <w:color w:val="auto"/>
                <w:w w:val="92"/>
              </w:rPr>
              <w:t>(Address of principal executive offices)</w:t>
            </w:r>
          </w:p>
        </w:tc>
        <w:tc>
          <w:tcPr>
            <w:tcW w:w="2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60" w:type="dxa"/>
            <w:vAlign w:val="bottom"/>
          </w:tcPr>
          <w:p>
            <w:pPr>
              <w:spacing w:after="0"/>
              <w:rPr>
                <w:sz w:val="20"/>
                <w:szCs w:val="20"/>
                <w:color w:val="auto"/>
              </w:rPr>
            </w:pPr>
          </w:p>
        </w:tc>
      </w:tr>
    </w:tbl>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The registrant's telephone number, including area code: (312) 321-1515</w:t>
      </w:r>
    </w:p>
    <w:p>
      <w:pPr>
        <w:spacing w:after="0" w:line="225" w:lineRule="exact"/>
        <w:rPr>
          <w:sz w:val="24"/>
          <w:szCs w:val="24"/>
          <w:color w:val="auto"/>
        </w:rPr>
      </w:pPr>
    </w:p>
    <w:p>
      <w:pPr>
        <w:ind w:right="440"/>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at least the past 90 days. Yes x No o</w:t>
      </w:r>
    </w:p>
    <w:p>
      <w:pPr>
        <w:spacing w:after="0" w:line="87"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x No o</w:t>
      </w:r>
    </w:p>
    <w:p>
      <w:pPr>
        <w:spacing w:after="0" w:line="87" w:lineRule="exact"/>
        <w:rPr>
          <w:sz w:val="24"/>
          <w:szCs w:val="24"/>
          <w:color w:val="auto"/>
        </w:rPr>
      </w:pPr>
    </w:p>
    <w:p>
      <w:pPr>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27" w:lineRule="exact"/>
        <w:rPr>
          <w:sz w:val="24"/>
          <w:szCs w:val="24"/>
          <w:color w:val="auto"/>
        </w:rPr>
      </w:pPr>
    </w:p>
    <w:p>
      <w:pPr>
        <w:ind w:left="3280" w:right="1720" w:hanging="5307"/>
        <w:spacing w:after="0" w:line="266" w:lineRule="auto"/>
        <w:tabs>
          <w:tab w:leader="none" w:pos="3260" w:val="left"/>
        </w:tabs>
        <w:rPr>
          <w:sz w:val="20"/>
          <w:szCs w:val="20"/>
          <w:color w:val="auto"/>
        </w:rPr>
      </w:pPr>
      <w:r>
        <w:rPr>
          <w:rFonts w:ascii="Arial" w:cs="Arial" w:eastAsia="Arial" w:hAnsi="Arial"/>
          <w:sz w:val="18"/>
          <w:szCs w:val="18"/>
          <w:color w:val="auto"/>
        </w:rPr>
        <w:t>Large accelerated filer o</w:t>
        <w:tab/>
        <w:t>Accelerated filer x Non-accelerated filer o Smaller reporting Emerging growth company x company o</w:t>
      </w:r>
    </w:p>
    <w:p>
      <w:pPr>
        <w:ind w:right="10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Act.o</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380"/>
          </w:cols>
          <w:pgMar w:left="240" w:top="1165" w:right="279" w:bottom="1440" w:gutter="0" w:footer="0" w:header="0"/>
        </w:sectPr>
      </w:pPr>
    </w:p>
    <w:p>
      <w:pPr>
        <w:spacing w:after="0" w:line="167" w:lineRule="exact"/>
        <w:rPr>
          <w:sz w:val="24"/>
          <w:szCs w:val="24"/>
          <w:color w:val="auto"/>
        </w:rPr>
      </w:pPr>
    </w:p>
    <w:p>
      <w:pPr>
        <w:ind w:left="196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4140" w:space="720"/>
            <w:col w:w="1420" w:space="700"/>
            <w:col w:w="4400"/>
          </w:cols>
          <w:pgMar w:left="240" w:top="1165" w:right="279" w:bottom="1440" w:gutter="0" w:footer="0" w:header="0"/>
          <w:type w:val="continuous"/>
        </w:sectPr>
      </w:pPr>
    </w:p>
    <w:p>
      <w:pPr>
        <w:ind w:left="70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ODC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New York Stock Exchange</w:t>
      </w:r>
    </w:p>
    <w:p>
      <w:pPr>
        <w:spacing w:after="0" w:line="211" w:lineRule="exact"/>
        <w:rPr>
          <w:sz w:val="24"/>
          <w:szCs w:val="24"/>
          <w:color w:val="auto"/>
        </w:rPr>
      </w:pPr>
    </w:p>
    <w:p>
      <w:pPr>
        <w:sectPr>
          <w:pgSz w:w="11900" w:h="16838" w:orient="portrait"/>
          <w:cols w:equalWidth="0" w:num="3">
            <w:col w:w="3920" w:space="720"/>
            <w:col w:w="1200" w:space="720"/>
            <w:col w:w="4820"/>
          </w:cols>
          <w:pgMar w:left="240" w:top="1165" w:right="279" w:bottom="1440" w:gutter="0" w:footer="0" w:header="0"/>
          <w:type w:val="continuous"/>
        </w:sectPr>
      </w:pPr>
    </w:p>
    <w:p>
      <w:pPr>
        <w:spacing w:after="0" w:line="64"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April 30, 2019.</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Common Stock – 5,350,575 Shares and Class B Stock – 2,251,738 Shares</w:t>
      </w:r>
    </w:p>
    <w:p>
      <w:pPr>
        <w:sectPr>
          <w:pgSz w:w="11900" w:h="16838" w:orient="portrait"/>
          <w:cols w:equalWidth="0" w:num="1">
            <w:col w:w="11380"/>
          </w:cols>
          <w:pgMar w:left="240" w:top="1165" w:right="27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PART I – FINANCIAL INFORMATION</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Pr>
          <w:p>
            <w:pPr>
              <w:spacing w:after="0"/>
              <w:rPr>
                <w:sz w:val="17"/>
                <w:szCs w:val="17"/>
                <w:color w:val="auto"/>
              </w:rPr>
            </w:pPr>
          </w:p>
        </w:tc>
        <w:tc>
          <w:tcPr>
            <w:tcW w:w="8280" w:type="dxa"/>
            <w:vAlign w:val="bottom"/>
          </w:tcPr>
          <w:p>
            <w:pPr>
              <w:spacing w:after="0"/>
              <w:rPr>
                <w:sz w:val="17"/>
                <w:szCs w:val="17"/>
                <w:color w:val="auto"/>
              </w:rPr>
            </w:pPr>
          </w:p>
        </w:tc>
        <w:tc>
          <w:tcPr>
            <w:tcW w:w="2140" w:type="dxa"/>
            <w:vAlign w:val="bottom"/>
            <w:gridSpan w:val="9"/>
          </w:tcPr>
          <w:p>
            <w:pPr>
              <w:jc w:val="center"/>
              <w:ind w:left="1150"/>
              <w:spacing w:after="0"/>
              <w:rPr>
                <w:sz w:val="20"/>
                <w:szCs w:val="20"/>
                <w:color w:val="auto"/>
              </w:rPr>
            </w:pPr>
            <w:r>
              <w:rPr>
                <w:rFonts w:ascii="Arial" w:cs="Arial" w:eastAsia="Arial" w:hAnsi="Arial"/>
                <w:sz w:val="18"/>
                <w:szCs w:val="18"/>
                <w:b w:val="1"/>
                <w:bCs w:val="1"/>
                <w:color w:val="auto"/>
                <w:w w:val="88"/>
              </w:rPr>
              <w:t>Page</w:t>
            </w:r>
          </w:p>
        </w:tc>
      </w:tr>
      <w:tr>
        <w:trPr>
          <w:trHeight w:val="48"/>
        </w:trPr>
        <w:tc>
          <w:tcPr>
            <w:tcW w:w="880" w:type="dxa"/>
            <w:vAlign w:val="bottom"/>
          </w:tcPr>
          <w:p>
            <w:pPr>
              <w:spacing w:after="0"/>
              <w:rPr>
                <w:sz w:val="4"/>
                <w:szCs w:val="4"/>
                <w:color w:val="auto"/>
              </w:rPr>
            </w:pPr>
          </w:p>
        </w:tc>
        <w:tc>
          <w:tcPr>
            <w:tcW w:w="82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10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20" w:type="dxa"/>
            <w:vAlign w:val="bottom"/>
            <w:tcBorders>
              <w:top w:val="single" w:sz="8" w:color="auto"/>
            </w:tcBorders>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260" w:type="dxa"/>
            <w:vAlign w:val="bottom"/>
          </w:tcPr>
          <w:p>
            <w:pPr>
              <w:spacing w:after="0"/>
              <w:rPr>
                <w:sz w:val="4"/>
                <w:szCs w:val="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
              <w:r>
                <w:rPr>
                  <w:rFonts w:ascii="Arial" w:cs="Arial" w:eastAsia="Arial" w:hAnsi="Arial"/>
                  <w:sz w:val="18"/>
                  <w:szCs w:val="18"/>
                  <w:color w:val="0000FF"/>
                </w:rPr>
                <w:t>Financial Statements</w:t>
              </w:r>
            </w:hyperlink>
          </w:p>
        </w:tc>
        <w:tc>
          <w:tcPr>
            <w:tcW w:w="1780" w:type="dxa"/>
            <w:vAlign w:val="bottom"/>
            <w:gridSpan w:val="6"/>
            <w:shd w:val="clear" w:color="auto" w:fill="CCEEFF"/>
          </w:tcPr>
          <w:p>
            <w:pPr>
              <w:jc w:val="center"/>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1">
              <w:r>
                <w:rPr>
                  <w:rFonts w:ascii="Arial" w:cs="Arial" w:eastAsia="Arial" w:hAnsi="Arial"/>
                  <w:sz w:val="18"/>
                  <w:szCs w:val="18"/>
                  <w:color w:val="0000FF"/>
                </w:rPr>
                <w:t>Management’s Discussion and Analysis of Financial Condition and Results Of Operations</w:t>
              </w:r>
            </w:hyperlink>
          </w:p>
        </w:tc>
        <w:tc>
          <w:tcPr>
            <w:tcW w:w="1880" w:type="dxa"/>
            <w:vAlign w:val="bottom"/>
            <w:gridSpan w:val="8"/>
            <w:shd w:val="clear" w:color="auto" w:fill="CCEEFF"/>
          </w:tcPr>
          <w:p>
            <w:pPr>
              <w:jc w:val="center"/>
              <w:ind w:right="60"/>
              <w:spacing w:after="0" w:line="202" w:lineRule="exact"/>
              <w:rPr>
                <w:rFonts w:ascii="Arial" w:cs="Arial" w:eastAsia="Arial" w:hAnsi="Arial"/>
                <w:sz w:val="18"/>
                <w:szCs w:val="18"/>
                <w:color w:val="0000EE"/>
              </w:rPr>
            </w:pPr>
            <w:hyperlink w:anchor="page21">
              <w:r>
                <w:rPr>
                  <w:rFonts w:ascii="Arial" w:cs="Arial" w:eastAsia="Arial" w:hAnsi="Arial"/>
                  <w:sz w:val="18"/>
                  <w:szCs w:val="18"/>
                  <w:color w:val="0000EE"/>
                </w:rPr>
                <w:t>21</w:t>
              </w:r>
            </w:hyperlink>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10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27">
              <w:r>
                <w:rPr>
                  <w:rFonts w:ascii="Arial" w:cs="Arial" w:eastAsia="Arial" w:hAnsi="Arial"/>
                  <w:sz w:val="18"/>
                  <w:szCs w:val="18"/>
                  <w:color w:val="0000FF"/>
                </w:rPr>
                <w:t>Controls and Procedures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7">
              <w:r>
                <w:rPr>
                  <w:rFonts w:ascii="Arial" w:cs="Arial" w:eastAsia="Arial" w:hAnsi="Arial"/>
                  <w:sz w:val="18"/>
                  <w:szCs w:val="18"/>
                  <w:color w:val="0000FF"/>
                  <w:w w:val="89"/>
                </w:rPr>
                <w:t>27</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tcBorders>
              <w:bottom w:val="single" w:sz="8" w:color="CCEEFF"/>
            </w:tcBorders>
            <w:shd w:val="clear" w:color="auto" w:fill="CCEEFF"/>
          </w:tcPr>
          <w:p>
            <w:pPr>
              <w:spacing w:after="0"/>
              <w:rPr>
                <w:sz w:val="21"/>
                <w:szCs w:val="21"/>
                <w:color w:val="auto"/>
              </w:rPr>
            </w:pPr>
          </w:p>
        </w:tc>
        <w:tc>
          <w:tcPr>
            <w:tcW w:w="8280" w:type="dxa"/>
            <w:vAlign w:val="bottom"/>
            <w:tcBorders>
              <w:bottom w:val="single" w:sz="8" w:color="CCEEFF"/>
            </w:tcBorders>
            <w:shd w:val="clear" w:color="auto" w:fill="CCEEFF"/>
          </w:tcPr>
          <w:p>
            <w:pPr>
              <w:ind w:left="3460"/>
              <w:spacing w:after="0"/>
              <w:rPr>
                <w:sz w:val="20"/>
                <w:szCs w:val="20"/>
                <w:color w:val="auto"/>
              </w:rPr>
            </w:pPr>
            <w:r>
              <w:rPr>
                <w:rFonts w:ascii="Arial" w:cs="Arial" w:eastAsia="Arial" w:hAnsi="Arial"/>
                <w:sz w:val="18"/>
                <w:szCs w:val="18"/>
                <w:b w:val="1"/>
                <w:bCs w:val="1"/>
                <w:color w:val="auto"/>
              </w:rPr>
              <w:t>PART II – OTHER INFORMATION</w:t>
            </w:r>
          </w:p>
        </w:tc>
        <w:tc>
          <w:tcPr>
            <w:tcW w:w="15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r>
      <w:tr>
        <w:trPr>
          <w:trHeight w:val="297"/>
        </w:trPr>
        <w:tc>
          <w:tcPr>
            <w:tcW w:w="880" w:type="dxa"/>
            <w:vAlign w:val="bottom"/>
          </w:tcPr>
          <w:p>
            <w:pPr>
              <w:spacing w:after="0"/>
              <w:rPr>
                <w:sz w:val="24"/>
                <w:szCs w:val="24"/>
                <w:color w:val="auto"/>
              </w:rPr>
            </w:pPr>
          </w:p>
        </w:tc>
        <w:tc>
          <w:tcPr>
            <w:tcW w:w="8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1:</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2:</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Unregistered Sales of Equity Securities and Use of Proceeds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97"/>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spacing w:after="0"/>
              <w:rPr>
                <w:sz w:val="24"/>
                <w:szCs w:val="24"/>
                <w:color w:val="auto"/>
              </w:rPr>
            </w:pP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4:</w:t>
            </w:r>
          </w:p>
        </w:tc>
        <w:tc>
          <w:tcPr>
            <w:tcW w:w="8280" w:type="dxa"/>
            <w:vAlign w:val="bottom"/>
            <w:shd w:val="clear" w:color="auto" w:fill="CCEEFF"/>
          </w:tcPr>
          <w:p>
            <w:pPr>
              <w:ind w:left="280"/>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Mine Safety Disclosures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29">
              <w:r>
                <w:rPr>
                  <w:rFonts w:ascii="Arial" w:cs="Arial" w:eastAsia="Arial" w:hAnsi="Arial"/>
                  <w:sz w:val="18"/>
                  <w:szCs w:val="18"/>
                  <w:color w:val="0000FF"/>
                  <w:w w:val="89"/>
                </w:rPr>
                <w:t>29</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Item 6:</w:t>
            </w: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2">
              <w:r>
                <w:rPr>
                  <w:rFonts w:ascii="Arial" w:cs="Arial" w:eastAsia="Arial" w:hAnsi="Arial"/>
                  <w:sz w:val="18"/>
                  <w:szCs w:val="18"/>
                  <w:color w:val="0000FF"/>
                </w:rPr>
                <w:t>Exhibits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30">
              <w:r>
                <w:rPr>
                  <w:rFonts w:ascii="Arial" w:cs="Arial" w:eastAsia="Arial" w:hAnsi="Arial"/>
                  <w:sz w:val="18"/>
                  <w:szCs w:val="18"/>
                  <w:color w:val="0000FF"/>
                  <w:w w:val="89"/>
                </w:rPr>
                <w:t>30</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270"/>
        </w:trPr>
        <w:tc>
          <w:tcPr>
            <w:tcW w:w="880" w:type="dxa"/>
            <w:vAlign w:val="bottom"/>
            <w:tcBorders>
              <w:top w:val="single" w:sz="8" w:color="CCEEFF"/>
            </w:tcBorders>
          </w:tcPr>
          <w:p>
            <w:pPr>
              <w:spacing w:after="0"/>
              <w:rPr>
                <w:sz w:val="23"/>
                <w:szCs w:val="23"/>
                <w:color w:val="auto"/>
              </w:rPr>
            </w:pPr>
          </w:p>
        </w:tc>
        <w:tc>
          <w:tcPr>
            <w:tcW w:w="8280" w:type="dxa"/>
            <w:vAlign w:val="bottom"/>
            <w:tcBorders>
              <w:top w:val="single" w:sz="8" w:color="CCEEFF"/>
            </w:tcBorders>
          </w:tcPr>
          <w:p>
            <w:pPr>
              <w:spacing w:after="0"/>
              <w:rPr>
                <w:sz w:val="23"/>
                <w:szCs w:val="23"/>
                <w:color w:val="auto"/>
              </w:rPr>
            </w:pPr>
          </w:p>
        </w:tc>
        <w:tc>
          <w:tcPr>
            <w:tcW w:w="1500" w:type="dxa"/>
            <w:vAlign w:val="bottom"/>
            <w:tcBorders>
              <w:top w:val="single" w:sz="8" w:color="CCEEFF"/>
            </w:tcBorders>
          </w:tcPr>
          <w:p>
            <w:pPr>
              <w:spacing w:after="0"/>
              <w:rPr>
                <w:sz w:val="23"/>
                <w:szCs w:val="23"/>
                <w:color w:val="auto"/>
              </w:rPr>
            </w:pPr>
          </w:p>
        </w:tc>
        <w:tc>
          <w:tcPr>
            <w:tcW w:w="100" w:type="dxa"/>
            <w:vAlign w:val="bottom"/>
            <w:tcBorders>
              <w:top w:val="single" w:sz="8" w:color="CCEE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100" w:type="dxa"/>
            <w:vAlign w:val="bottom"/>
            <w:tcBorders>
              <w:top w:val="single" w:sz="8" w:color="0000FF"/>
            </w:tcBorders>
          </w:tcPr>
          <w:p>
            <w:pPr>
              <w:spacing w:after="0"/>
              <w:rPr>
                <w:sz w:val="23"/>
                <w:szCs w:val="23"/>
                <w:color w:val="auto"/>
              </w:rPr>
            </w:pPr>
          </w:p>
        </w:tc>
        <w:tc>
          <w:tcPr>
            <w:tcW w:w="20" w:type="dxa"/>
            <w:vAlign w:val="bottom"/>
            <w:tcBorders>
              <w:top w:val="single" w:sz="8" w:color="0000FF"/>
            </w:tcBorders>
          </w:tcPr>
          <w:p>
            <w:pPr>
              <w:spacing w:after="0"/>
              <w:rPr>
                <w:sz w:val="23"/>
                <w:szCs w:val="23"/>
                <w:color w:val="auto"/>
              </w:rPr>
            </w:pPr>
          </w:p>
        </w:tc>
        <w:tc>
          <w:tcPr>
            <w:tcW w:w="20" w:type="dxa"/>
            <w:vAlign w:val="bottom"/>
            <w:tcBorders>
              <w:top w:val="single" w:sz="8" w:color="CCEEFF"/>
            </w:tcBorders>
          </w:tcPr>
          <w:p>
            <w:pPr>
              <w:spacing w:after="0"/>
              <w:rPr>
                <w:sz w:val="23"/>
                <w:szCs w:val="23"/>
                <w:color w:val="auto"/>
              </w:rPr>
            </w:pPr>
          </w:p>
        </w:tc>
        <w:tc>
          <w:tcPr>
            <w:tcW w:w="80" w:type="dxa"/>
            <w:vAlign w:val="bottom"/>
            <w:tcBorders>
              <w:top w:val="single" w:sz="8" w:color="CCEEFF"/>
            </w:tcBorders>
          </w:tcPr>
          <w:p>
            <w:pPr>
              <w:spacing w:after="0"/>
              <w:rPr>
                <w:sz w:val="23"/>
                <w:szCs w:val="23"/>
                <w:color w:val="auto"/>
              </w:rPr>
            </w:pPr>
          </w:p>
        </w:tc>
        <w:tc>
          <w:tcPr>
            <w:tcW w:w="260" w:type="dxa"/>
            <w:vAlign w:val="bottom"/>
            <w:tcBorders>
              <w:top w:val="single" w:sz="8" w:color="CCEEFF"/>
            </w:tcBorders>
          </w:tcPr>
          <w:p>
            <w:pPr>
              <w:spacing w:after="0"/>
              <w:rPr>
                <w:sz w:val="23"/>
                <w:szCs w:val="23"/>
                <w:color w:val="auto"/>
              </w:rPr>
            </w:pPr>
          </w:p>
        </w:tc>
      </w:tr>
      <w:tr>
        <w:trPr>
          <w:trHeight w:val="250"/>
        </w:trPr>
        <w:tc>
          <w:tcPr>
            <w:tcW w:w="880" w:type="dxa"/>
            <w:vAlign w:val="bottom"/>
            <w:shd w:val="clear" w:color="auto" w:fill="CCEEFF"/>
          </w:tcPr>
          <w:p>
            <w:pPr>
              <w:spacing w:after="0"/>
              <w:rPr>
                <w:sz w:val="21"/>
                <w:szCs w:val="21"/>
                <w:color w:val="auto"/>
              </w:rPr>
            </w:pPr>
          </w:p>
        </w:tc>
        <w:tc>
          <w:tcPr>
            <w:tcW w:w="8280" w:type="dxa"/>
            <w:vAlign w:val="bottom"/>
            <w:shd w:val="clear" w:color="auto" w:fill="CCEEFF"/>
          </w:tcPr>
          <w:p>
            <w:pPr>
              <w:ind w:left="280"/>
              <w:spacing w:after="0" w:line="202" w:lineRule="exact"/>
              <w:rPr>
                <w:rFonts w:ascii="Arial" w:cs="Arial" w:eastAsia="Arial" w:hAnsi="Arial"/>
                <w:sz w:val="18"/>
                <w:szCs w:val="18"/>
                <w:color w:val="0000FF"/>
              </w:rPr>
            </w:pPr>
            <w:hyperlink w:anchor="page31">
              <w:r>
                <w:rPr>
                  <w:rFonts w:ascii="Arial" w:cs="Arial" w:eastAsia="Arial" w:hAnsi="Arial"/>
                  <w:sz w:val="18"/>
                  <w:szCs w:val="18"/>
                  <w:color w:val="0000FF"/>
                </w:rPr>
                <w:t>Signatures</w:t>
              </w:r>
            </w:hyperlink>
          </w:p>
        </w:tc>
        <w:tc>
          <w:tcPr>
            <w:tcW w:w="1780" w:type="dxa"/>
            <w:vAlign w:val="bottom"/>
            <w:gridSpan w:val="6"/>
            <w:shd w:val="clear" w:color="auto" w:fill="CCEEFF"/>
          </w:tcPr>
          <w:p>
            <w:pPr>
              <w:jc w:val="center"/>
              <w:ind w:left="1510"/>
              <w:spacing w:after="0" w:line="202" w:lineRule="exact"/>
              <w:rPr>
                <w:rFonts w:ascii="Arial" w:cs="Arial" w:eastAsia="Arial" w:hAnsi="Arial"/>
                <w:sz w:val="18"/>
                <w:szCs w:val="18"/>
                <w:color w:val="0000FF"/>
                <w:w w:val="89"/>
              </w:rPr>
            </w:pPr>
            <w:hyperlink w:anchor="page31">
              <w:r>
                <w:rPr>
                  <w:rFonts w:ascii="Arial" w:cs="Arial" w:eastAsia="Arial" w:hAnsi="Arial"/>
                  <w:sz w:val="18"/>
                  <w:szCs w:val="18"/>
                  <w:color w:val="0000FF"/>
                  <w:w w:val="89"/>
                </w:rPr>
                <w:t>31</w:t>
              </w:r>
            </w:hyperlink>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r>
      <w:tr>
        <w:trPr>
          <w:trHeight w:val="338"/>
        </w:trPr>
        <w:tc>
          <w:tcPr>
            <w:tcW w:w="880" w:type="dxa"/>
            <w:vAlign w:val="bottom"/>
            <w:tcBorders>
              <w:top w:val="single" w:sz="8" w:color="CCEEFF"/>
            </w:tcBorders>
          </w:tcPr>
          <w:p>
            <w:pPr>
              <w:spacing w:after="0"/>
              <w:rPr>
                <w:sz w:val="24"/>
                <w:szCs w:val="24"/>
                <w:color w:val="auto"/>
              </w:rPr>
            </w:pPr>
          </w:p>
        </w:tc>
        <w:tc>
          <w:tcPr>
            <w:tcW w:w="8280" w:type="dxa"/>
            <w:vAlign w:val="bottom"/>
            <w:tcBorders>
              <w:top w:val="single" w:sz="8" w:color="CCEEFF"/>
            </w:tcBorders>
          </w:tcPr>
          <w:p>
            <w:pPr>
              <w:ind w:left="3600"/>
              <w:spacing w:after="0"/>
              <w:rPr>
                <w:sz w:val="20"/>
                <w:szCs w:val="20"/>
                <w:color w:val="auto"/>
              </w:rPr>
            </w:pPr>
            <w:r>
              <w:rPr>
                <w:rFonts w:ascii="Arial" w:cs="Arial" w:eastAsia="Arial" w:hAnsi="Arial"/>
                <w:sz w:val="18"/>
                <w:szCs w:val="18"/>
                <w:b w:val="1"/>
                <w:bCs w:val="1"/>
                <w:color w:val="auto"/>
              </w:rPr>
              <w:t>FORWARD-LOOKING STATEMENTS</w:t>
            </w:r>
          </w:p>
        </w:tc>
        <w:tc>
          <w:tcPr>
            <w:tcW w:w="150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Certain statements in this report, including, but not limited to, those under the heading “Management’s Discussion and Analysis of Financial Condition and Results of Operations” and those statements elsewhere in this report and other documents that we file with the Securities and Exchange Commission (“SEC”), contain forward-looking statements that are based on current expectations, estimates, forecasts and projections about our future performance, our business, our beliefs and our management’s assumptions. In addition, we, or others on our behalf, may make forward-looking statements in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and variations of such words and similar expressions are intended to identify such forward-looking statements, which are made pursuant to the safe harbor provisions of the Private Securities Litigation Reform Act of 1995.</w:t>
      </w:r>
    </w:p>
    <w:p>
      <w:pPr>
        <w:spacing w:after="0" w:line="16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Such statements are subject to certain risks, uncertainties and assumptions that could cause actual results to differ materially, including, but not limited to, those described in Item 1A, Risk Factors, of our Annual Report on Form 10-K for the fiscal year ended July 31, 2018, which contains, among other risk factors, a description of the issues that may arise with the implementation of our new enterprise resource planning system which became operational on August 1, 2018. Should one or more of these or other risks or uncertainties materialize, or should underlying assumptions prove incorrect, actual results may vary materially from those anticipated, intended, expected, believed, estimated, projected or planned. Investors are cautioned not to place undue reliance on these forward-looking statements, which speak only as of the date hereof. Except to the extent required by law, we do not have any intention or obligation to update publicly any forward-looking statements after the distribution of this report, whether as a result of new information, future events, changes in assumptions or otherwise.</w:t>
      </w:r>
    </w:p>
    <w:p>
      <w:pPr>
        <w:spacing w:after="0" w:line="188"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TRADEMARK NOTICE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Oil-Dri is a registered trademark of Oil-Dri Corporation of America.</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16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120" w:type="dxa"/>
            <w:vAlign w:val="bottom"/>
          </w:tcPr>
          <w:p>
            <w:pPr>
              <w:ind w:left="1500"/>
              <w:spacing w:after="0"/>
              <w:rPr>
                <w:sz w:val="20"/>
                <w:szCs w:val="20"/>
                <w:color w:val="auto"/>
              </w:rPr>
            </w:pPr>
            <w:r>
              <w:rPr>
                <w:rFonts w:ascii="Arial" w:cs="Arial" w:eastAsia="Arial" w:hAnsi="Arial"/>
                <w:sz w:val="18"/>
                <w:szCs w:val="18"/>
                <w:b w:val="1"/>
                <w:bCs w:val="1"/>
                <w:color w:val="auto"/>
              </w:rPr>
              <w:t>ASSETS</w:t>
            </w:r>
          </w:p>
        </w:tc>
        <w:tc>
          <w:tcPr>
            <w:tcW w:w="16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58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580" w:type="dxa"/>
            <w:vAlign w:val="bottom"/>
            <w:gridSpan w:val="5"/>
            <w:vMerge w:val="continue"/>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16,224</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12,757</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7,124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Accounts receivable, less allowance of</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35,906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54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$676 and $817 at April 30, 2019 and July 31,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33,602</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26,738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22,521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Prepaid repairs expense</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4,110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4,111</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3,100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2,899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54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Assets</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86,808</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83,014</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Property, Plant and Equipment</w:t>
            </w: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980" w:type="dxa"/>
            <w:vAlign w:val="bottom"/>
            <w:tcBorders>
              <w:top w:val="single" w:sz="8" w:color="auto"/>
            </w:tcBorders>
            <w:shd w:val="clear" w:color="auto" w:fill="CCEEFF"/>
          </w:tcPr>
          <w:p>
            <w:pPr>
              <w:spacing w:after="0"/>
              <w:rPr>
                <w:sz w:val="4"/>
                <w:szCs w:val="4"/>
                <w:color w:val="auto"/>
              </w:rPr>
            </w:pPr>
          </w:p>
        </w:tc>
        <w:tc>
          <w:tcPr>
            <w:tcW w:w="160" w:type="dxa"/>
            <w:vAlign w:val="bottom"/>
            <w:tcBorders>
              <w:top w:val="single" w:sz="8" w:color="auto"/>
            </w:tcBorders>
            <w:shd w:val="clear" w:color="auto" w:fill="CCEEFF"/>
          </w:tcPr>
          <w:p>
            <w:pPr>
              <w:spacing w:after="0"/>
              <w:rPr>
                <w:sz w:val="4"/>
                <w:szCs w:val="4"/>
                <w:color w:val="auto"/>
              </w:rPr>
            </w:pPr>
          </w:p>
        </w:tc>
        <w:tc>
          <w:tcPr>
            <w:tcW w:w="1280" w:type="dxa"/>
            <w:vAlign w:val="bottom"/>
            <w:tcBorders>
              <w:top w:val="single" w:sz="8" w:color="auto"/>
            </w:tcBorders>
            <w:shd w:val="clear" w:color="auto" w:fill="CCEEFF"/>
          </w:tcPr>
          <w:p>
            <w:pPr>
              <w:spacing w:after="0"/>
              <w:rPr>
                <w:sz w:val="4"/>
                <w:szCs w:val="4"/>
                <w:color w:val="auto"/>
              </w:rPr>
            </w:pPr>
          </w:p>
        </w:tc>
        <w:tc>
          <w:tcPr>
            <w:tcW w:w="61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Cost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244,378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236,091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(157,292)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(149,385)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Property, Plant and Equipment, Net</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87,086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86,706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58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9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280" w:type="dxa"/>
            <w:vAlign w:val="bottom"/>
          </w:tcPr>
          <w:p>
            <w:pPr>
              <w:spacing w:after="0"/>
              <w:rPr>
                <w:sz w:val="4"/>
                <w:szCs w:val="4"/>
                <w:color w:val="auto"/>
              </w:rPr>
            </w:pPr>
          </w:p>
        </w:tc>
        <w:tc>
          <w:tcPr>
            <w:tcW w:w="6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9,262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9,262</w:t>
            </w:r>
          </w:p>
        </w:tc>
        <w:tc>
          <w:tcPr>
            <w:tcW w:w="0" w:type="dxa"/>
            <w:vAlign w:val="bottom"/>
          </w:tcPr>
          <w:p>
            <w:pPr>
              <w:spacing w:after="0"/>
              <w:rPr>
                <w:sz w:val="1"/>
                <w:szCs w:val="1"/>
                <w:color w:val="auto"/>
              </w:rPr>
            </w:pPr>
          </w:p>
        </w:tc>
      </w:tr>
      <w:tr>
        <w:trPr>
          <w:trHeight w:val="229"/>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Trademarks and patents, net of accumulated amortization</w:t>
            </w:r>
          </w:p>
        </w:tc>
        <w:tc>
          <w:tcPr>
            <w:tcW w:w="16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1,356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of $291 and $267 at April 30, 2019 and July 31, 2018, respectively</w:t>
            </w:r>
          </w:p>
        </w:tc>
        <w:tc>
          <w:tcPr>
            <w:tcW w:w="16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1,220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Customer list, net of accumulated amortization</w:t>
            </w:r>
          </w:p>
        </w:tc>
        <w:tc>
          <w:tcPr>
            <w:tcW w:w="16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1,678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of $6,107 and $5,540 at April 30, 2019 and July 31, 2018, respectively</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2,245</w:t>
            </w:r>
          </w:p>
        </w:tc>
        <w:tc>
          <w:tcPr>
            <w:tcW w:w="0" w:type="dxa"/>
            <w:vAlign w:val="bottom"/>
          </w:tcPr>
          <w:p>
            <w:pPr>
              <w:spacing w:after="0"/>
              <w:rPr>
                <w:sz w:val="1"/>
                <w:szCs w:val="1"/>
                <w:color w:val="auto"/>
              </w:rPr>
            </w:pPr>
          </w:p>
        </w:tc>
      </w:tr>
      <w:tr>
        <w:trPr>
          <w:trHeight w:val="243"/>
        </w:trPr>
        <w:tc>
          <w:tcPr>
            <w:tcW w:w="8580" w:type="dxa"/>
            <w:vAlign w:val="bottom"/>
            <w:gridSpan w:val="5"/>
          </w:tcPr>
          <w:p>
            <w:pPr>
              <w:ind w:left="4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7,013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7,349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5,275</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4,886</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54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Other Assets</w:t>
            </w: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24,584</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24,962</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6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6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580" w:type="dxa"/>
            <w:vAlign w:val="bottom"/>
            <w:gridSpan w:val="5"/>
          </w:tcPr>
          <w:p>
            <w:pPr>
              <w:ind w:left="40"/>
              <w:spacing w:after="0"/>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198,478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194,682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Condensed Consolidated Balance Sheet (continued)</w:t>
      </w:r>
    </w:p>
    <w:p>
      <w:pPr>
        <w:spacing w:after="0" w:line="9"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Arial" w:cs="Arial" w:eastAsia="Arial" w:hAnsi="Arial"/>
                <w:sz w:val="18"/>
                <w:szCs w:val="18"/>
                <w:b w:val="1"/>
                <w:bCs w:val="1"/>
                <w:color w:val="auto"/>
              </w:rPr>
              <w:t>(unaudited)</w:t>
            </w: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140"/>
              <w:spacing w:after="0"/>
              <w:rPr>
                <w:sz w:val="20"/>
                <w:szCs w:val="20"/>
                <w:color w:val="auto"/>
              </w:rPr>
            </w:pPr>
            <w:r>
              <w:rPr>
                <w:rFonts w:ascii="Arial" w:cs="Arial" w:eastAsia="Arial" w:hAnsi="Arial"/>
                <w:sz w:val="18"/>
                <w:szCs w:val="18"/>
                <w:b w:val="1"/>
                <w:bCs w:val="1"/>
                <w:color w:val="auto"/>
              </w:rPr>
              <w:t>April 30,</w:t>
            </w:r>
          </w:p>
        </w:tc>
        <w:tc>
          <w:tcPr>
            <w:tcW w:w="240" w:type="dxa"/>
            <w:vAlign w:val="bottom"/>
          </w:tcPr>
          <w:p>
            <w:pPr>
              <w:spacing w:after="0"/>
              <w:rPr>
                <w:sz w:val="18"/>
                <w:szCs w:val="18"/>
                <w:color w:val="auto"/>
              </w:rPr>
            </w:pPr>
          </w:p>
        </w:tc>
        <w:tc>
          <w:tcPr>
            <w:tcW w:w="1120" w:type="dxa"/>
            <w:vAlign w:val="bottom"/>
          </w:tcPr>
          <w:p>
            <w:pPr>
              <w:jc w:val="right"/>
              <w:ind w:right="310"/>
              <w:spacing w:after="0"/>
              <w:rPr>
                <w:sz w:val="20"/>
                <w:szCs w:val="20"/>
                <w:color w:val="auto"/>
              </w:rPr>
            </w:pPr>
            <w:r>
              <w:rPr>
                <w:rFonts w:ascii="Arial" w:cs="Arial" w:eastAsia="Arial" w:hAnsi="Arial"/>
                <w:sz w:val="18"/>
                <w:szCs w:val="18"/>
                <w:b w:val="1"/>
                <w:bCs w:val="1"/>
                <w:color w:val="auto"/>
              </w:rPr>
              <w:t>July 31,</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720" w:type="dxa"/>
            <w:vAlign w:val="bottom"/>
          </w:tcPr>
          <w:p>
            <w:pPr>
              <w:ind w:left="660"/>
              <w:spacing w:after="0"/>
              <w:rPr>
                <w:sz w:val="20"/>
                <w:szCs w:val="20"/>
                <w:color w:val="auto"/>
              </w:rPr>
            </w:pPr>
            <w:r>
              <w:rPr>
                <w:rFonts w:ascii="Arial" w:cs="Arial" w:eastAsia="Arial" w:hAnsi="Arial"/>
                <w:sz w:val="18"/>
                <w:szCs w:val="18"/>
                <w:b w:val="1"/>
                <w:bCs w:val="1"/>
                <w:color w:val="auto"/>
              </w:rPr>
              <w:t>LIABILITIES &amp; STOCKHOLDERS’ EQUITY</w:t>
            </w:r>
          </w:p>
        </w:tc>
        <w:tc>
          <w:tcPr>
            <w:tcW w:w="180" w:type="dxa"/>
            <w:vAlign w:val="bottom"/>
          </w:tcPr>
          <w:p>
            <w:pPr>
              <w:spacing w:after="0"/>
              <w:rPr>
                <w:sz w:val="20"/>
                <w:szCs w:val="20"/>
                <w:color w:val="auto"/>
              </w:rPr>
            </w:pPr>
          </w:p>
        </w:tc>
        <w:tc>
          <w:tcPr>
            <w:tcW w:w="120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460" w:type="dxa"/>
            <w:vAlign w:val="bottom"/>
            <w:gridSpan w:val="5"/>
            <w:vMerge w:val="restart"/>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Current maturities of notes payable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8,608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6,543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Dividends payable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1,689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1,627</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Salaries, wages and commissions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6,487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Trade promotions and advertising</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864</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Freight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3,831</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6,939</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7,675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31,501</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30,949</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Noncurrent Liabilities</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44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80" w:type="dxa"/>
            <w:vAlign w:val="bottom"/>
            <w:tcBorders>
              <w:top w:val="single" w:sz="8" w:color="auto"/>
            </w:tcBorders>
            <w:shd w:val="clear" w:color="auto" w:fill="CCEEFF"/>
          </w:tcPr>
          <w:p>
            <w:pPr>
              <w:spacing w:after="0"/>
              <w:rPr>
                <w:sz w:val="4"/>
                <w:szCs w:val="4"/>
                <w:color w:val="auto"/>
              </w:rPr>
            </w:pPr>
          </w:p>
        </w:tc>
        <w:tc>
          <w:tcPr>
            <w:tcW w:w="67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Notes payable, net of unamortized debt issuance costs</w:t>
            </w:r>
          </w:p>
        </w:tc>
        <w:tc>
          <w:tcPr>
            <w:tcW w:w="18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3,045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of $39 and $60 at April 30, 2019 and July 31, 2018, respectively</w:t>
            </w: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6,107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Deferred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5,679</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6,100</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Pension and postretirement benefits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16,756</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15,906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3,982</w:t>
            </w:r>
          </w:p>
        </w:tc>
        <w:tc>
          <w:tcPr>
            <w:tcW w:w="2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3,735</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Noncurrent Liabilities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29,462</w:t>
            </w:r>
          </w:p>
        </w:tc>
        <w:tc>
          <w:tcPr>
            <w:tcW w:w="2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31,848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78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60,963</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62,797</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67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Stockholders’ Equity</w:t>
            </w: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440" w:type="dxa"/>
            <w:vAlign w:val="bottom"/>
            <w:tcBorders>
              <w:top w:val="single" w:sz="8" w:color="auto"/>
            </w:tcBorders>
          </w:tcPr>
          <w:p>
            <w:pPr>
              <w:spacing w:after="0"/>
              <w:rPr>
                <w:sz w:val="4"/>
                <w:szCs w:val="4"/>
                <w:color w:val="auto"/>
              </w:rPr>
            </w:pPr>
          </w:p>
        </w:tc>
        <w:tc>
          <w:tcPr>
            <w:tcW w:w="180" w:type="dxa"/>
            <w:vAlign w:val="bottom"/>
            <w:tcBorders>
              <w:top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67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8460" w:type="dxa"/>
            <w:vAlign w:val="bottom"/>
            <w:gridSpan w:val="5"/>
            <w:shd w:val="clear" w:color="auto" w:fill="CCEEFF"/>
          </w:tcPr>
          <w:p>
            <w:pPr>
              <w:ind w:left="40"/>
              <w:spacing w:after="0"/>
              <w:rPr>
                <w:sz w:val="20"/>
                <w:szCs w:val="20"/>
                <w:color w:val="auto"/>
              </w:rPr>
            </w:pPr>
            <w:r>
              <w:rPr>
                <w:rFonts w:ascii="Arial" w:cs="Arial" w:eastAsia="Arial" w:hAnsi="Arial"/>
                <w:sz w:val="18"/>
                <w:szCs w:val="18"/>
                <w:color w:val="auto"/>
              </w:rPr>
              <w:t>Common Stock, par value $.10 per share, issued 8,276,949 shares at April 30, 2019</w:t>
            </w:r>
          </w:p>
        </w:tc>
        <w:tc>
          <w:tcPr>
            <w:tcW w:w="180" w:type="dxa"/>
            <w:vAlign w:val="bottom"/>
            <w:shd w:val="clear" w:color="auto" w:fill="CCEEFF"/>
          </w:tcPr>
          <w:p>
            <w:pPr>
              <w:spacing w:after="0"/>
              <w:rPr>
                <w:sz w:val="19"/>
                <w:szCs w:val="19"/>
                <w:color w:val="auto"/>
              </w:rPr>
            </w:pP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828</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Borders>
              <w:bottom w:val="single" w:sz="8" w:color="CCEEFF"/>
            </w:tcBorders>
            <w:shd w:val="clear" w:color="auto" w:fill="CCEEFF"/>
          </w:tcPr>
          <w:p>
            <w:pPr>
              <w:spacing w:after="0"/>
              <w:rPr>
                <w:sz w:val="20"/>
                <w:szCs w:val="20"/>
                <w:color w:val="auto"/>
              </w:rPr>
            </w:pPr>
          </w:p>
        </w:tc>
        <w:tc>
          <w:tcPr>
            <w:tcW w:w="8420" w:type="dxa"/>
            <w:vAlign w:val="bottom"/>
            <w:tcBorders>
              <w:bottom w:val="single" w:sz="8" w:color="CCEEFF"/>
            </w:tcBorders>
            <w:gridSpan w:val="4"/>
            <w:shd w:val="clear" w:color="auto" w:fill="CCEEFF"/>
          </w:tcPr>
          <w:p>
            <w:pPr>
              <w:ind w:left="80"/>
              <w:spacing w:after="0"/>
              <w:rPr>
                <w:sz w:val="20"/>
                <w:szCs w:val="20"/>
                <w:color w:val="auto"/>
              </w:rPr>
            </w:pPr>
            <w:r>
              <w:rPr>
                <w:rFonts w:ascii="Arial" w:cs="Arial" w:eastAsia="Arial" w:hAnsi="Arial"/>
                <w:sz w:val="18"/>
                <w:szCs w:val="18"/>
                <w:color w:val="auto"/>
              </w:rPr>
              <w:t>and 8,086,849 shares at July 31, 2018</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29"/>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Class B Stock, par value $.10 per share, issued 2,576,479 shares at April 30, 2019</w:t>
            </w:r>
          </w:p>
        </w:tc>
        <w:tc>
          <w:tcPr>
            <w:tcW w:w="180" w:type="dxa"/>
            <w:vAlign w:val="bottom"/>
          </w:tcPr>
          <w:p>
            <w:pPr>
              <w:spacing w:after="0"/>
              <w:rPr>
                <w:sz w:val="19"/>
                <w:szCs w:val="19"/>
                <w:color w:val="auto"/>
              </w:rPr>
            </w:pPr>
          </w:p>
        </w:tc>
        <w:tc>
          <w:tcPr>
            <w:tcW w:w="120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257</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80"/>
              <w:spacing w:after="0"/>
              <w:rPr>
                <w:sz w:val="20"/>
                <w:szCs w:val="20"/>
                <w:color w:val="auto"/>
              </w:rPr>
            </w:pPr>
            <w:r>
              <w:rPr>
                <w:rFonts w:ascii="Arial" w:cs="Arial" w:eastAsia="Arial" w:hAnsi="Arial"/>
                <w:sz w:val="18"/>
                <w:szCs w:val="18"/>
                <w:color w:val="auto"/>
              </w:rPr>
              <w:t>and 2,468,979 shares at July 31, 2018</w:t>
            </w: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Additional paid-in capital</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40,487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38,473</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Retained earnings</w:t>
            </w:r>
          </w:p>
        </w:tc>
        <w:tc>
          <w:tcPr>
            <w:tcW w:w="1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b w:val="1"/>
                <w:bCs w:val="1"/>
                <w:color w:val="auto"/>
              </w:rPr>
              <w:t>162,718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158,935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6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140"/>
              <w:spacing w:after="0"/>
              <w:rPr>
                <w:sz w:val="20"/>
                <w:szCs w:val="20"/>
                <w:color w:val="auto"/>
              </w:rPr>
            </w:pPr>
            <w:r>
              <w:rPr>
                <w:rFonts w:ascii="Arial" w:cs="Arial" w:eastAsia="Arial" w:hAnsi="Arial"/>
                <w:sz w:val="18"/>
                <w:szCs w:val="18"/>
                <w:color w:val="auto"/>
              </w:rPr>
              <w:t>Pension and postretirement benefits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(9,947)</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Cumulative translation adjustment</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(238)</w:t>
            </w:r>
          </w:p>
        </w:tc>
        <w:tc>
          <w:tcPr>
            <w:tcW w:w="2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340"/>
              <w:spacing w:after="0"/>
              <w:rPr>
                <w:sz w:val="20"/>
                <w:szCs w:val="20"/>
                <w:color w:val="auto"/>
              </w:rPr>
            </w:pPr>
            <w:r>
              <w:rPr>
                <w:rFonts w:ascii="Arial" w:cs="Arial" w:eastAsia="Arial" w:hAnsi="Arial"/>
                <w:sz w:val="18"/>
                <w:szCs w:val="18"/>
                <w:color w:val="auto"/>
              </w:rPr>
              <w:t>Total Accumulated Other Comprehensive Loss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(10,185)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420" w:type="dxa"/>
            <w:vAlign w:val="bottom"/>
            <w:gridSpan w:val="4"/>
          </w:tcPr>
          <w:p>
            <w:pPr>
              <w:ind w:left="140"/>
              <w:spacing w:after="0"/>
              <w:rPr>
                <w:sz w:val="20"/>
                <w:szCs w:val="20"/>
                <w:color w:val="auto"/>
              </w:rPr>
            </w:pPr>
            <w:r>
              <w:rPr>
                <w:rFonts w:ascii="Arial" w:cs="Arial" w:eastAsia="Arial" w:hAnsi="Arial"/>
                <w:sz w:val="18"/>
                <w:szCs w:val="18"/>
                <w:color w:val="auto"/>
              </w:rPr>
              <w:t>Less Treasury Stock, at cost (2,926,374 Common and 324,741 Class B shares at</w:t>
            </w: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(56,537)</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8420" w:type="dxa"/>
            <w:vAlign w:val="bottom"/>
            <w:gridSpan w:val="4"/>
          </w:tcPr>
          <w:p>
            <w:pPr>
              <w:ind w:left="160"/>
              <w:spacing w:after="0"/>
              <w:rPr>
                <w:sz w:val="20"/>
                <w:szCs w:val="20"/>
                <w:color w:val="auto"/>
              </w:rPr>
            </w:pPr>
            <w:r>
              <w:rPr>
                <w:rFonts w:ascii="Arial" w:cs="Arial" w:eastAsia="Arial" w:hAnsi="Arial"/>
                <w:sz w:val="18"/>
                <w:szCs w:val="18"/>
                <w:color w:val="auto"/>
              </w:rPr>
              <w:t>April 30, 2019 and 2,914,092 Common and 324,741 Class B shares at July 31, 2018)</w:t>
            </w:r>
          </w:p>
        </w:tc>
        <w:tc>
          <w:tcPr>
            <w:tcW w:w="180" w:type="dxa"/>
            <w:vAlign w:val="bottom"/>
          </w:tcPr>
          <w:p>
            <w:pPr>
              <w:spacing w:after="0"/>
              <w:rPr>
                <w:sz w:val="20"/>
                <w:szCs w:val="20"/>
                <w:color w:val="auto"/>
              </w:rPr>
            </w:pPr>
          </w:p>
        </w:tc>
        <w:tc>
          <w:tcPr>
            <w:tcW w:w="12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(55,946)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7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137,515</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131,885</w:t>
            </w:r>
          </w:p>
        </w:tc>
        <w:tc>
          <w:tcPr>
            <w:tcW w:w="0" w:type="dxa"/>
            <w:vAlign w:val="bottom"/>
          </w:tcPr>
          <w:p>
            <w:pPr>
              <w:spacing w:after="0"/>
              <w:rPr>
                <w:sz w:val="1"/>
                <w:szCs w:val="1"/>
                <w:color w:val="auto"/>
              </w:rPr>
            </w:pPr>
          </w:p>
        </w:tc>
      </w:tr>
      <w:tr>
        <w:trPr>
          <w:trHeight w:val="291"/>
        </w:trPr>
        <w:tc>
          <w:tcPr>
            <w:tcW w:w="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7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 &amp; Stockholders’ Equity</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198,478</w:t>
            </w:r>
          </w:p>
        </w:tc>
        <w:tc>
          <w:tcPr>
            <w:tcW w:w="2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194,682</w:t>
            </w:r>
          </w:p>
        </w:tc>
        <w:tc>
          <w:tcPr>
            <w:tcW w:w="0" w:type="dxa"/>
            <w:vAlign w:val="bottom"/>
          </w:tcPr>
          <w:p>
            <w:pPr>
              <w:spacing w:after="0"/>
              <w:rPr>
                <w:sz w:val="1"/>
                <w:szCs w:val="1"/>
                <w:color w:val="auto"/>
              </w:rPr>
            </w:pPr>
          </w:p>
        </w:tc>
      </w:tr>
      <w:tr>
        <w:trPr>
          <w:trHeight w:val="20"/>
        </w:trPr>
        <w:tc>
          <w:tcPr>
            <w:tcW w:w="8460" w:type="dxa"/>
            <w:vAlign w:val="bottom"/>
            <w:gridSpan w:val="5"/>
            <w:vMerge w:val="restart"/>
          </w:tcPr>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460" w:type="dxa"/>
            <w:vAlign w:val="bottom"/>
            <w:gridSpan w:val="5"/>
            <w:vMerge w:val="continue"/>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580"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Nine Months Ended April 30,</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8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206,908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200,387</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 (1)</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(158,660)</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(144,095)</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48,248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56,292</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 (1)</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(42,091)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(43,600)</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6,157</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12,692</w:t>
            </w:r>
          </w:p>
        </w:tc>
      </w:tr>
      <w:tr>
        <w:trPr>
          <w:trHeight w:val="183"/>
        </w:trPr>
        <w:tc>
          <w:tcPr>
            <w:tcW w:w="84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(434)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(549)</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 (1) (2)</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4,504</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(137)</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Income (Expense), Net</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4,219</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183"/>
        </w:trPr>
        <w:tc>
          <w:tcPr>
            <w:tcW w:w="844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10,376</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12,205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 Expense</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(1,599)</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(6,666)</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8,777</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5,539</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8,812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5,539</w:t>
            </w:r>
          </w:p>
        </w:tc>
      </w:tr>
      <w:tr>
        <w:trPr>
          <w:trHeight w:val="189"/>
        </w:trPr>
        <w:tc>
          <w:tcPr>
            <w:tcW w:w="8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Retained Earnings: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Balance at beginning of period</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158,935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154,735</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(5,029)</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(4,676)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Reclassification to retained earnings upon adoption of accounting standard</w:t>
            </w:r>
          </w:p>
        </w:tc>
        <w:tc>
          <w:tcPr>
            <w:tcW w:w="30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2,264</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162,718</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157,862</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176"/>
        </w:trPr>
        <w:tc>
          <w:tcPr>
            <w:tcW w:w="8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1.27</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0.82</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0.95</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1.17</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0.75</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5,108</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5,032</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2,068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2,099</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7,245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7,217</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0.7200</w:t>
            </w:r>
          </w:p>
        </w:tc>
        <w:tc>
          <w:tcPr>
            <w:tcW w:w="2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0.6900</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 Common</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0.5400</w:t>
            </w:r>
          </w:p>
        </w:tc>
        <w:tc>
          <w:tcPr>
            <w:tcW w:w="2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0.5175</w:t>
            </w:r>
          </w:p>
        </w:tc>
      </w:tr>
      <w:tr>
        <w:trPr>
          <w:trHeight w:val="27"/>
        </w:trPr>
        <w:tc>
          <w:tcPr>
            <w:tcW w:w="844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8"/>
        <w:spacing w:after="0" w:line="312" w:lineRule="auto"/>
        <w:tabs>
          <w:tab w:leader="none" w:pos="275"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Prior year amounts have been retrospectively adjusted to conform to the current year presentation of the non-service cost components of net periodic benefit cost required by new guidance under Accounting Standards Codification (“ASC”) 715, </w:t>
      </w:r>
      <w:r>
        <w:rPr>
          <w:rFonts w:ascii="Arial" w:cs="Arial" w:eastAsia="Arial" w:hAnsi="Arial"/>
          <w:sz w:val="16"/>
          <w:szCs w:val="16"/>
          <w:i w:val="1"/>
          <w:iCs w:val="1"/>
          <w:color w:val="auto"/>
        </w:rPr>
        <w:t>Improving the Presentation of Net Periodic Pension Cost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 Periodic Postretirement Benefit Cost. </w:t>
      </w:r>
      <w:r>
        <w:rPr>
          <w:rFonts w:ascii="Arial" w:cs="Arial" w:eastAsia="Arial" w:hAnsi="Arial"/>
          <w:sz w:val="16"/>
          <w:szCs w:val="16"/>
          <w:color w:val="auto"/>
        </w:rPr>
        <w:t>See Note 2 of the Notes to unaudited Condensed Consolidated Financial Statements for details.</w:t>
      </w:r>
    </w:p>
    <w:p>
      <w:pPr>
        <w:spacing w:after="0" w:line="254" w:lineRule="exact"/>
        <w:rPr>
          <w:rFonts w:ascii="Arial" w:cs="Arial" w:eastAsia="Arial" w:hAnsi="Arial"/>
          <w:sz w:val="16"/>
          <w:szCs w:val="16"/>
          <w:color w:val="auto"/>
        </w:rPr>
      </w:pPr>
    </w:p>
    <w:p>
      <w:pPr>
        <w:ind w:firstLine="8"/>
        <w:spacing w:after="0" w:line="277" w:lineRule="auto"/>
        <w:tabs>
          <w:tab w:leader="none" w:pos="265" w:val="left"/>
        </w:tabs>
        <w:numPr>
          <w:ilvl w:val="0"/>
          <w:numId w:val="1"/>
        </w:numPr>
        <w:rPr>
          <w:rFonts w:ascii="Arial" w:cs="Arial" w:eastAsia="Arial" w:hAnsi="Arial"/>
          <w:sz w:val="18"/>
          <w:szCs w:val="18"/>
          <w:color w:val="auto"/>
        </w:rPr>
      </w:pPr>
      <w:r>
        <w:rPr>
          <w:rFonts w:ascii="Arial" w:cs="Arial" w:eastAsia="Arial" w:hAnsi="Arial"/>
          <w:sz w:val="18"/>
          <w:szCs w:val="18"/>
          <w:color w:val="auto"/>
        </w:rPr>
        <w:t>See Note 7 of the Notes to unaudited Condensed Consolidated Financial Statements for further information about amounts included in this line item for the nine months ended April 30,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2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3"/>
              </w:rPr>
              <w:t>For the Nine Months Ended April 30,</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4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8,812</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5,539</w:t>
            </w:r>
          </w:p>
        </w:tc>
      </w:tr>
      <w:tr>
        <w:trPr>
          <w:trHeight w:val="297"/>
        </w:trPr>
        <w:tc>
          <w:tcPr>
            <w:tcW w:w="8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 (1)</w:t>
            </w:r>
          </w:p>
        </w:tc>
        <w:tc>
          <w:tcPr>
            <w:tcW w:w="30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b w:val="1"/>
                <w:bCs w:val="1"/>
                <w:color w:val="auto"/>
              </w:rPr>
              <w:t>437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656</w:t>
            </w:r>
          </w:p>
        </w:tc>
      </w:tr>
      <w:tr>
        <w:trPr>
          <w:trHeight w:val="27"/>
        </w:trPr>
        <w:tc>
          <w:tcPr>
            <w:tcW w:w="8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430</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561</w:t>
            </w:r>
          </w:p>
        </w:tc>
      </w:tr>
      <w:tr>
        <w:trPr>
          <w:trHeight w:val="27"/>
        </w:trPr>
        <w:tc>
          <w:tcPr>
            <w:tcW w:w="84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9,242</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6,100</w:t>
            </w:r>
          </w:p>
        </w:tc>
      </w:tr>
      <w:tr>
        <w:trPr>
          <w:trHeight w:val="20"/>
        </w:trPr>
        <w:tc>
          <w:tcPr>
            <w:tcW w:w="84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540" w:firstLine="8"/>
        <w:spacing w:after="0" w:line="277" w:lineRule="auto"/>
        <w:tabs>
          <w:tab w:leader="none" w:pos="255" w:val="left"/>
        </w:tabs>
        <w:numPr>
          <w:ilvl w:val="0"/>
          <w:numId w:val="2"/>
        </w:numPr>
        <w:rPr>
          <w:rFonts w:ascii="Arial" w:cs="Arial" w:eastAsia="Arial" w:hAnsi="Arial"/>
          <w:sz w:val="18"/>
          <w:szCs w:val="18"/>
          <w:color w:val="auto"/>
        </w:rPr>
      </w:pPr>
      <w:r>
        <w:rPr>
          <w:rFonts w:ascii="Arial" w:cs="Arial" w:eastAsia="Arial" w:hAnsi="Arial"/>
          <w:sz w:val="18"/>
          <w:szCs w:val="18"/>
          <w:color w:val="auto"/>
        </w:rPr>
        <w:t>Prior year amounts have been revised to correct an error in previously issued financial statements. See Note 1 of the Notes to unaudited Condensed Consolidated Financial Statements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80" w:right="2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Income and Retained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amounts)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3"/>
              </w:rPr>
              <w:t>For the Three Months Ended April</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70,885</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64,847</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Cost of Sales (1)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(54,051)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(47,187)</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16,834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17,660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Selling, General and Administrative Expenses (1)</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(14,507)</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(14,366)</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2,327</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3,294</w:t>
            </w:r>
          </w:p>
        </w:tc>
      </w:tr>
      <w:tr>
        <w:trPr>
          <w:trHeight w:val="291"/>
        </w:trPr>
        <w:tc>
          <w:tcPr>
            <w:tcW w:w="8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(141)</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53</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Other, net (1) (2)</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4,465</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70</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b w:val="1"/>
                <w:bCs w:val="1"/>
                <w:color w:val="auto"/>
              </w:rPr>
              <w:t>Total Other Income, Net</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4,377</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91"/>
        </w:trPr>
        <w:tc>
          <w:tcPr>
            <w:tcW w:w="84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6,704</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3,295</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Income Tax (Expense) Benefit</w:t>
            </w: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(1,143)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290</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6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5,561</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3,585</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Net Loss Attributable to Noncontrolling Interest</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(58)</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1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5,619</w:t>
            </w:r>
          </w:p>
        </w:tc>
        <w:tc>
          <w:tcPr>
            <w:tcW w:w="2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3,585</w:t>
            </w:r>
          </w:p>
        </w:tc>
      </w:tr>
      <w:tr>
        <w:trPr>
          <w:trHeight w:val="20"/>
        </w:trPr>
        <w:tc>
          <w:tcPr>
            <w:tcW w:w="8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4"/>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0.81</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0.53</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0.61</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0.40</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0.74</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0.48</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Shares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5,126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5,037</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2,068</w:t>
            </w: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2,102</w:t>
            </w: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Diluted Common</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7,253</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7,222</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Dividends Declared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b w:val="1"/>
                <w:bCs w:val="1"/>
                <w:color w:val="auto"/>
              </w:rPr>
              <w:t>Basic Common</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0.2400</w:t>
            </w:r>
          </w:p>
        </w:tc>
        <w:tc>
          <w:tcPr>
            <w:tcW w:w="6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0.2300</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8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Basic Class B</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0.1800</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0.1725</w:t>
            </w:r>
          </w:p>
        </w:tc>
      </w:tr>
      <w:tr>
        <w:trPr>
          <w:trHeight w:val="27"/>
        </w:trPr>
        <w:tc>
          <w:tcPr>
            <w:tcW w:w="8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8"/>
        <w:spacing w:after="0" w:line="312" w:lineRule="auto"/>
        <w:tabs>
          <w:tab w:leader="none" w:pos="275"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Prior year amounts have been retrospectively adjusted to conform to the current year presentation of the non-service cost components of net periodic benefit cost required by new guidance under Accounting Standards Codification (“ASC”) 715, </w:t>
      </w:r>
      <w:r>
        <w:rPr>
          <w:rFonts w:ascii="Arial" w:cs="Arial" w:eastAsia="Arial" w:hAnsi="Arial"/>
          <w:sz w:val="16"/>
          <w:szCs w:val="16"/>
          <w:i w:val="1"/>
          <w:iCs w:val="1"/>
          <w:color w:val="auto"/>
        </w:rPr>
        <w:t>Improving the Presentation of Net Periodic Pension Cost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Net Periodic Postretirement Benefit Cost. </w:t>
      </w:r>
      <w:r>
        <w:rPr>
          <w:rFonts w:ascii="Arial" w:cs="Arial" w:eastAsia="Arial" w:hAnsi="Arial"/>
          <w:sz w:val="16"/>
          <w:szCs w:val="16"/>
          <w:color w:val="auto"/>
        </w:rPr>
        <w:t>See Note 2 of the Notes to unaudited Condensed Consolidated Financial Statements for details.</w:t>
      </w:r>
    </w:p>
    <w:p>
      <w:pPr>
        <w:spacing w:after="0" w:line="254" w:lineRule="exact"/>
        <w:rPr>
          <w:rFonts w:ascii="Arial" w:cs="Arial" w:eastAsia="Arial" w:hAnsi="Arial"/>
          <w:sz w:val="16"/>
          <w:szCs w:val="16"/>
          <w:color w:val="auto"/>
        </w:rPr>
      </w:pPr>
    </w:p>
    <w:p>
      <w:pPr>
        <w:ind w:firstLine="8"/>
        <w:spacing w:after="0" w:line="277" w:lineRule="auto"/>
        <w:tabs>
          <w:tab w:leader="none" w:pos="265"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Note 7 of the Notes to unaudited Condensed Consolidated Financial Statements for further information about amounts included in this line item for the three months ended April 30, 2019.</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ectPr>
          <w:pgSz w:w="11900" w:h="16838" w:orient="portrait"/>
          <w:cols w:equalWidth="0" w:num="1">
            <w:col w:w="11420"/>
          </w:cols>
          <w:pgMar w:left="240" w:top="580" w:right="239" w:bottom="1440" w:gutter="0" w:footer="0" w:header="0"/>
          <w:type w:val="continuous"/>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1"/>
              </w:rPr>
              <w:t>(unaudited)</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r>
      <w:tr>
        <w:trPr>
          <w:trHeight w:val="218"/>
        </w:trPr>
        <w:tc>
          <w:tcPr>
            <w:tcW w:w="8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40" w:type="dxa"/>
            <w:vAlign w:val="bottom"/>
            <w:gridSpan w:val="4"/>
          </w:tcPr>
          <w:p>
            <w:pPr>
              <w:jc w:val="center"/>
              <w:ind w:right="10"/>
              <w:spacing w:after="0"/>
              <w:rPr>
                <w:sz w:val="20"/>
                <w:szCs w:val="20"/>
                <w:color w:val="auto"/>
              </w:rPr>
            </w:pPr>
            <w:r>
              <w:rPr>
                <w:rFonts w:ascii="Arial" w:cs="Arial" w:eastAsia="Arial" w:hAnsi="Arial"/>
                <w:sz w:val="18"/>
                <w:szCs w:val="18"/>
                <w:b w:val="1"/>
                <w:bCs w:val="1"/>
                <w:color w:val="auto"/>
                <w:w w:val="93"/>
              </w:rPr>
              <w:t>For the Three Months Ended April</w:t>
            </w:r>
          </w:p>
        </w:tc>
      </w:tr>
      <w:tr>
        <w:trPr>
          <w:trHeight w:val="234"/>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7"/>
              </w:rPr>
              <w:t>30,</w:t>
            </w:r>
          </w:p>
        </w:tc>
        <w:tc>
          <w:tcPr>
            <w:tcW w:w="940" w:type="dxa"/>
            <w:vAlign w:val="bottom"/>
          </w:tcPr>
          <w:p>
            <w:pPr>
              <w:spacing w:after="0"/>
              <w:rPr>
                <w:sz w:val="20"/>
                <w:szCs w:val="20"/>
                <w:color w:val="auto"/>
              </w:rPr>
            </w:pP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7"/>
        </w:trPr>
        <w:tc>
          <w:tcPr>
            <w:tcW w:w="8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r>
      <w:tr>
        <w:trPr>
          <w:trHeight w:val="27"/>
        </w:trPr>
        <w:tc>
          <w:tcPr>
            <w:tcW w:w="84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91"/>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Oil-Dri</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5,619</w:t>
            </w:r>
          </w:p>
        </w:tc>
        <w:tc>
          <w:tcPr>
            <w:tcW w:w="6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3,585</w:t>
            </w:r>
          </w:p>
        </w:tc>
      </w:tr>
      <w:tr>
        <w:trPr>
          <w:trHeight w:val="297"/>
        </w:trPr>
        <w:tc>
          <w:tcPr>
            <w:tcW w:w="8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43"/>
        </w:trPr>
        <w:tc>
          <w:tcPr>
            <w:tcW w:w="8440" w:type="dxa"/>
            <w:vAlign w:val="bottom"/>
          </w:tcPr>
          <w:p>
            <w:pPr>
              <w:ind w:left="180"/>
              <w:spacing w:after="0"/>
              <w:rPr>
                <w:sz w:val="20"/>
                <w:szCs w:val="20"/>
                <w:color w:val="auto"/>
              </w:rPr>
            </w:pPr>
            <w:r>
              <w:rPr>
                <w:rFonts w:ascii="Arial" w:cs="Arial" w:eastAsia="Arial" w:hAnsi="Arial"/>
                <w:sz w:val="18"/>
                <w:szCs w:val="18"/>
                <w:color w:val="auto"/>
              </w:rPr>
              <w:t>Pension and postretirement benefits (net of tax) (1)</w:t>
            </w:r>
          </w:p>
        </w:tc>
        <w:tc>
          <w:tcPr>
            <w:tcW w:w="1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b w:val="1"/>
                <w:bCs w:val="1"/>
                <w:color w:val="auto"/>
              </w:rPr>
              <w:t>146</w:t>
            </w: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238</w:t>
            </w:r>
          </w:p>
        </w:tc>
      </w:tr>
      <w:tr>
        <w:trPr>
          <w:trHeight w:val="27"/>
        </w:trPr>
        <w:tc>
          <w:tcPr>
            <w:tcW w:w="8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70"/>
        </w:trPr>
        <w:tc>
          <w:tcPr>
            <w:tcW w:w="8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Cumulative translation adjustment</w:t>
            </w:r>
          </w:p>
        </w:tc>
        <w:tc>
          <w:tcPr>
            <w:tcW w:w="1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w:t>
            </w:r>
          </w:p>
        </w:tc>
        <w:tc>
          <w:tcPr>
            <w:tcW w:w="2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r>
      <w:tr>
        <w:trPr>
          <w:trHeight w:val="237"/>
        </w:trPr>
        <w:tc>
          <w:tcPr>
            <w:tcW w:w="844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175</w:t>
            </w:r>
          </w:p>
        </w:tc>
        <w:tc>
          <w:tcPr>
            <w:tcW w:w="2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73</w:t>
            </w:r>
          </w:p>
        </w:tc>
      </w:tr>
      <w:tr>
        <w:trPr>
          <w:trHeight w:val="27"/>
        </w:trPr>
        <w:tc>
          <w:tcPr>
            <w:tcW w:w="84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5,794</w:t>
            </w:r>
          </w:p>
        </w:tc>
        <w:tc>
          <w:tcPr>
            <w:tcW w:w="6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3,658</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60" w:firstLine="8"/>
        <w:spacing w:after="0" w:line="277" w:lineRule="auto"/>
        <w:tabs>
          <w:tab w:leader="none" w:pos="255"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Prior year amounts have been revised to correct an error in previously issued financial statements. . See Note 1 of the Notes to unaudited Condensed Consolidated Financial Statements for further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0" w:right="25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amounts)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gridSpan w:val="8"/>
          </w:tcPr>
          <w:p>
            <w:pPr>
              <w:ind w:left="380"/>
              <w:spacing w:after="0"/>
              <w:rPr>
                <w:sz w:val="20"/>
                <w:szCs w:val="20"/>
                <w:color w:val="auto"/>
              </w:rPr>
            </w:pPr>
            <w:r>
              <w:rPr>
                <w:rFonts w:ascii="Arial" w:cs="Arial" w:eastAsia="Arial" w:hAnsi="Arial"/>
                <w:sz w:val="13"/>
                <w:szCs w:val="13"/>
                <w:b w:val="1"/>
                <w:bCs w:val="1"/>
                <w:color w:val="auto"/>
              </w:rPr>
              <w:t>For the Three Months Ended April 30</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80"/>
        </w:trPr>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40"/>
              <w:spacing w:after="0"/>
              <w:rPr>
                <w:sz w:val="20"/>
                <w:szCs w:val="20"/>
                <w:color w:val="auto"/>
              </w:rPr>
            </w:pPr>
            <w:r>
              <w:rPr>
                <w:rFonts w:ascii="Arial" w:cs="Arial" w:eastAsia="Arial" w:hAnsi="Arial"/>
                <w:sz w:val="13"/>
                <w:szCs w:val="13"/>
                <w:b w:val="1"/>
                <w:bCs w:val="1"/>
                <w:color w:val="auto"/>
                <w:w w:val="98"/>
              </w:rPr>
              <w:t>(unaudited)</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4"/>
        </w:trPr>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gridSpan w:val="7"/>
          </w:tcPr>
          <w:p>
            <w:pPr>
              <w:ind w:left="400"/>
              <w:spacing w:after="0"/>
              <w:rPr>
                <w:sz w:val="20"/>
                <w:szCs w:val="20"/>
                <w:color w:val="auto"/>
              </w:rPr>
            </w:pPr>
            <w:r>
              <w:rPr>
                <w:rFonts w:ascii="Arial" w:cs="Arial" w:eastAsia="Arial" w:hAnsi="Arial"/>
                <w:sz w:val="13"/>
                <w:szCs w:val="13"/>
                <w:b w:val="1"/>
                <w:bCs w:val="1"/>
                <w:color w:val="auto"/>
              </w:rPr>
              <w:t>Number of Shares</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30"/>
        </w:trPr>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Common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Non-</w:t>
            </w:r>
          </w:p>
        </w:tc>
        <w:tc>
          <w:tcPr>
            <w:tcW w:w="120" w:type="dxa"/>
            <w:vAlign w:val="bottom"/>
          </w:tcPr>
          <w:p>
            <w:pPr>
              <w:spacing w:after="0"/>
              <w:rPr>
                <w:sz w:val="11"/>
                <w:szCs w:val="11"/>
                <w:color w:val="auto"/>
              </w:rPr>
            </w:pP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jc w:val="center"/>
              <w:ind w:right="240"/>
              <w:spacing w:after="0" w:line="135" w:lineRule="exact"/>
              <w:rPr>
                <w:sz w:val="20"/>
                <w:szCs w:val="20"/>
                <w:color w:val="auto"/>
              </w:rPr>
            </w:pPr>
            <w:r>
              <w:rPr>
                <w:rFonts w:ascii="Arial" w:cs="Arial" w:eastAsia="Arial" w:hAnsi="Arial"/>
                <w:sz w:val="13"/>
                <w:szCs w:val="13"/>
                <w:b w:val="1"/>
                <w:bCs w:val="1"/>
                <w:color w:val="auto"/>
                <w:w w:val="88"/>
              </w:rPr>
              <w:t>&amp; Class B</w:t>
            </w:r>
          </w:p>
        </w:tc>
        <w:tc>
          <w:tcPr>
            <w:tcW w:w="100" w:type="dxa"/>
            <w:vAlign w:val="bottom"/>
          </w:tcPr>
          <w:p>
            <w:pPr>
              <w:spacing w:after="0"/>
              <w:rPr>
                <w:sz w:val="11"/>
                <w:szCs w:val="11"/>
                <w:color w:val="auto"/>
              </w:rPr>
            </w:pPr>
          </w:p>
        </w:tc>
        <w:tc>
          <w:tcPr>
            <w:tcW w:w="960" w:type="dxa"/>
            <w:vAlign w:val="bottom"/>
            <w:gridSpan w:val="3"/>
          </w:tcPr>
          <w:p>
            <w:pPr>
              <w:ind w:left="120"/>
              <w:spacing w:after="0" w:line="135" w:lineRule="exact"/>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1"/>
                <w:szCs w:val="11"/>
                <w:color w:val="auto"/>
              </w:rPr>
            </w:pPr>
          </w:p>
        </w:tc>
        <w:tc>
          <w:tcPr>
            <w:tcW w:w="840" w:type="dxa"/>
            <w:vAlign w:val="bottom"/>
            <w:gridSpan w:val="4"/>
          </w:tcPr>
          <w:p>
            <w:pPr>
              <w:jc w:val="center"/>
              <w:ind w:right="220"/>
              <w:spacing w:after="0" w:line="135" w:lineRule="exact"/>
              <w:rPr>
                <w:sz w:val="20"/>
                <w:szCs w:val="20"/>
                <w:color w:val="auto"/>
              </w:rPr>
            </w:pPr>
            <w:r>
              <w:rPr>
                <w:rFonts w:ascii="Arial" w:cs="Arial" w:eastAsia="Arial" w:hAnsi="Arial"/>
                <w:sz w:val="13"/>
                <w:szCs w:val="13"/>
                <w:b w:val="1"/>
                <w:bCs w:val="1"/>
                <w:color w:val="auto"/>
                <w:w w:val="88"/>
              </w:rPr>
              <w:t>&amp; Class B</w:t>
            </w:r>
          </w:p>
        </w:tc>
        <w:tc>
          <w:tcPr>
            <w:tcW w:w="120" w:type="dxa"/>
            <w:vAlign w:val="bottom"/>
          </w:tcPr>
          <w:p>
            <w:pPr>
              <w:spacing w:after="0"/>
              <w:rPr>
                <w:sz w:val="11"/>
                <w:szCs w:val="11"/>
                <w:color w:val="auto"/>
              </w:rPr>
            </w:pPr>
          </w:p>
        </w:tc>
        <w:tc>
          <w:tcPr>
            <w:tcW w:w="920" w:type="dxa"/>
            <w:vAlign w:val="bottom"/>
            <w:gridSpan w:val="2"/>
          </w:tcPr>
          <w:p>
            <w:pPr>
              <w:jc w:val="center"/>
              <w:ind w:right="240"/>
              <w:spacing w:after="0" w:line="135" w:lineRule="exact"/>
              <w:rPr>
                <w:sz w:val="20"/>
                <w:szCs w:val="20"/>
                <w:color w:val="auto"/>
              </w:rPr>
            </w:pPr>
            <w:r>
              <w:rPr>
                <w:rFonts w:ascii="Arial" w:cs="Arial" w:eastAsia="Arial" w:hAnsi="Arial"/>
                <w:sz w:val="13"/>
                <w:szCs w:val="13"/>
                <w:b w:val="1"/>
                <w:bCs w:val="1"/>
                <w:color w:val="auto"/>
                <w:w w:val="92"/>
              </w:rPr>
              <w:t>Paid-In</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10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200"/>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CEEFF"/>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Stock</w:t>
            </w:r>
          </w:p>
        </w:tc>
        <w:tc>
          <w:tcPr>
            <w:tcW w:w="140" w:type="dxa"/>
            <w:vAlign w:val="bottom"/>
            <w:tcBorders>
              <w:bottom w:val="single" w:sz="8" w:color="CCEEFF"/>
            </w:tcBorders>
            <w:gridSpan w:val="2"/>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CCEEFF"/>
            </w:tcBorders>
            <w:gridSpan w:val="2"/>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Equity</w:t>
            </w:r>
          </w:p>
        </w:tc>
      </w:tr>
      <w:tr>
        <w:trPr>
          <w:trHeight w:val="270"/>
        </w:trPr>
        <w:tc>
          <w:tcPr>
            <w:tcW w:w="14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w w:val="88"/>
              </w:rPr>
              <w:t>Balance, January 31, 2018</w:t>
            </w:r>
          </w:p>
        </w:tc>
        <w:tc>
          <w:tcPr>
            <w:tcW w:w="58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10,552,728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(3,235,333)</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1,055</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37,253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153,571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(55,813)</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(9,804)</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126,262</w:t>
            </w: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3,585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3,585</w:t>
            </w:r>
          </w:p>
        </w:tc>
      </w:tr>
      <w:tr>
        <w:trPr>
          <w:trHeight w:val="278"/>
        </w:trPr>
        <w:tc>
          <w:tcPr>
            <w:tcW w:w="20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73</w:t>
            </w:r>
          </w:p>
        </w:tc>
      </w:tr>
      <w:tr>
        <w:trPr>
          <w:trHeight w:val="148"/>
        </w:trPr>
        <w:tc>
          <w:tcPr>
            <w:tcW w:w="1040" w:type="dxa"/>
            <w:vAlign w:val="bottom"/>
          </w:tcPr>
          <w:p>
            <w:pPr>
              <w:ind w:left="40"/>
              <w:spacing w:after="0" w:line="148" w:lineRule="exact"/>
              <w:rPr>
                <w:sz w:val="20"/>
                <w:szCs w:val="20"/>
                <w:color w:val="auto"/>
              </w:rPr>
            </w:pPr>
            <w:r>
              <w:rPr>
                <w:rFonts w:ascii="Arial" w:cs="Arial" w:eastAsia="Arial" w:hAnsi="Arial"/>
                <w:sz w:val="13"/>
                <w:szCs w:val="13"/>
                <w:color w:val="auto"/>
              </w:rPr>
              <w:t>Reclassification</w:t>
            </w:r>
          </w:p>
        </w:tc>
        <w:tc>
          <w:tcPr>
            <w:tcW w:w="440" w:type="dxa"/>
            <w:vAlign w:val="bottom"/>
          </w:tcPr>
          <w:p>
            <w:pPr>
              <w:ind w:left="20"/>
              <w:spacing w:after="0" w:line="148" w:lineRule="exact"/>
              <w:rPr>
                <w:sz w:val="20"/>
                <w:szCs w:val="20"/>
                <w:color w:val="auto"/>
              </w:rPr>
            </w:pPr>
            <w:r>
              <w:rPr>
                <w:rFonts w:ascii="Arial" w:cs="Arial" w:eastAsia="Arial" w:hAnsi="Arial"/>
                <w:sz w:val="13"/>
                <w:szCs w:val="13"/>
                <w:color w:val="auto"/>
              </w:rPr>
              <w:t>upon</w:t>
            </w:r>
          </w:p>
        </w:tc>
        <w:tc>
          <w:tcPr>
            <w:tcW w:w="580" w:type="dxa"/>
            <w:vAlign w:val="bottom"/>
          </w:tcPr>
          <w:p>
            <w:pPr>
              <w:ind w:left="40"/>
              <w:spacing w:after="0" w:line="148" w:lineRule="exact"/>
              <w:rPr>
                <w:sz w:val="20"/>
                <w:szCs w:val="20"/>
                <w:color w:val="auto"/>
              </w:rPr>
            </w:pPr>
            <w:r>
              <w:rPr>
                <w:rFonts w:ascii="Arial" w:cs="Arial" w:eastAsia="Arial" w:hAnsi="Arial"/>
                <w:sz w:val="13"/>
                <w:szCs w:val="13"/>
                <w:color w:val="auto"/>
              </w:rPr>
              <w:t>adoption</w:t>
            </w:r>
          </w:p>
        </w:tc>
        <w:tc>
          <w:tcPr>
            <w:tcW w:w="1300" w:type="dxa"/>
            <w:vAlign w:val="bottom"/>
            <w:gridSpan w:val="5"/>
          </w:tcPr>
          <w:p>
            <w:pPr>
              <w:ind w:left="100"/>
              <w:spacing w:after="0" w:line="148" w:lineRule="exact"/>
              <w:rPr>
                <w:sz w:val="20"/>
                <w:szCs w:val="20"/>
                <w:color w:val="auto"/>
              </w:rPr>
            </w:pPr>
            <w:r>
              <w:rPr>
                <w:rFonts w:ascii="Arial" w:cs="Arial" w:eastAsia="Arial" w:hAnsi="Arial"/>
                <w:sz w:val="13"/>
                <w:szCs w:val="13"/>
                <w:color w:val="auto"/>
              </w:rPr>
              <w:t>of</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8"/>
        </w:trPr>
        <w:tc>
          <w:tcPr>
            <w:tcW w:w="2060" w:type="dxa"/>
            <w:vAlign w:val="bottom"/>
            <w:gridSpan w:val="3"/>
          </w:tcPr>
          <w:p>
            <w:pPr>
              <w:ind w:left="40"/>
              <w:spacing w:after="0"/>
              <w:rPr>
                <w:sz w:val="20"/>
                <w:szCs w:val="20"/>
                <w:color w:val="auto"/>
              </w:rPr>
            </w:pPr>
            <w:r>
              <w:rPr>
                <w:rFonts w:ascii="Arial" w:cs="Arial" w:eastAsia="Arial" w:hAnsi="Arial"/>
                <w:sz w:val="13"/>
                <w:szCs w:val="13"/>
                <w:color w:val="auto"/>
              </w:rPr>
              <w:t>accounting standard (see Note 1)</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8"/>
              </w:rPr>
              <w:t>Dividends declared</w:t>
            </w:r>
          </w:p>
        </w:tc>
        <w:tc>
          <w:tcPr>
            <w:tcW w:w="4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(1,558)</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(1,558)</w:t>
            </w:r>
          </w:p>
        </w:tc>
      </w:tr>
      <w:tr>
        <w:trPr>
          <w:trHeight w:val="262"/>
        </w:trPr>
        <w:tc>
          <w:tcPr>
            <w:tcW w:w="1480" w:type="dxa"/>
            <w:vAlign w:val="bottom"/>
            <w:gridSpan w:val="2"/>
          </w:tcPr>
          <w:p>
            <w:pPr>
              <w:ind w:left="40"/>
              <w:spacing w:after="0"/>
              <w:rPr>
                <w:sz w:val="20"/>
                <w:szCs w:val="20"/>
                <w:color w:val="auto"/>
              </w:rPr>
            </w:pPr>
            <w:r>
              <w:rPr>
                <w:rFonts w:ascii="Arial" w:cs="Arial" w:eastAsia="Arial" w:hAnsi="Arial"/>
                <w:sz w:val="13"/>
                <w:szCs w:val="13"/>
                <w:color w:val="auto"/>
                <w:w w:val="88"/>
              </w:rPr>
              <w:t>Purchases of treasury stock</w:t>
            </w: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3"/>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22"/>
                <w:szCs w:val="22"/>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156"/>
        </w:trPr>
        <w:tc>
          <w:tcPr>
            <w:tcW w:w="20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1"/>
              </w:rPr>
              <w:t>Net issuance of stock under long-term</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6"/>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incentive plans</w:t>
            </w: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rPr>
              <w:t>1,000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(3,000)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359</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(118)</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241</w:t>
            </w:r>
          </w:p>
        </w:tc>
      </w:tr>
      <w:tr>
        <w:trPr>
          <w:trHeight w:val="264"/>
        </w:trPr>
        <w:tc>
          <w:tcPr>
            <w:tcW w:w="206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color w:val="auto"/>
              </w:rPr>
              <w:t>Amortization of restricted stock</w:t>
            </w: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gridSpan w:val="2"/>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410</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410</w:t>
            </w:r>
          </w:p>
        </w:tc>
      </w:tr>
      <w:tr>
        <w:trPr>
          <w:trHeight w:val="255"/>
        </w:trPr>
        <w:tc>
          <w:tcPr>
            <w:tcW w:w="14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Balance, April 30, 2018</w:t>
            </w:r>
          </w:p>
        </w:tc>
        <w:tc>
          <w:tcPr>
            <w:tcW w:w="58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10,553,728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(3,238,333)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1,055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38,022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157,862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(55,931)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(11,995)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129,013</w:t>
            </w:r>
          </w:p>
        </w:tc>
      </w:tr>
      <w:tr>
        <w:trPr>
          <w:trHeight w:val="20"/>
        </w:trPr>
        <w:tc>
          <w:tcPr>
            <w:tcW w:w="148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17"/>
        </w:trPr>
        <w:tc>
          <w:tcPr>
            <w:tcW w:w="148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360" w:type="dxa"/>
            <w:vAlign w:val="bottom"/>
            <w:gridSpan w:val="2"/>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70"/>
        </w:trPr>
        <w:tc>
          <w:tcPr>
            <w:tcW w:w="14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w w:val="88"/>
              </w:rPr>
              <w:t>Balance, January 31, 2019</w:t>
            </w:r>
          </w:p>
        </w:tc>
        <w:tc>
          <w:tcPr>
            <w:tcW w:w="58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10,812,928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(3,249,728)</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1,081</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39,730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158,788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(56,480)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(10,360)</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132,764</w:t>
            </w: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5,619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(58)</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5,561</w:t>
            </w:r>
          </w:p>
        </w:tc>
      </w:tr>
      <w:tr>
        <w:trPr>
          <w:trHeight w:val="278"/>
        </w:trPr>
        <w:tc>
          <w:tcPr>
            <w:tcW w:w="20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175</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175</w:t>
            </w: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w w:val="88"/>
              </w:rPr>
              <w:t>Dividends declared</w:t>
            </w: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4"/>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(1,689)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(1,689)</w:t>
            </w:r>
          </w:p>
        </w:tc>
      </w:tr>
      <w:tr>
        <w:trPr>
          <w:trHeight w:val="278"/>
        </w:trPr>
        <w:tc>
          <w:tcPr>
            <w:tcW w:w="14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8"/>
              </w:rPr>
              <w:t>Purchases of treasury stock</w:t>
            </w: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960" w:type="dxa"/>
            <w:vAlign w:val="bottom"/>
            <w:gridSpan w:val="3"/>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r>
      <w:tr>
        <w:trPr>
          <w:trHeight w:val="148"/>
        </w:trPr>
        <w:tc>
          <w:tcPr>
            <w:tcW w:w="206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1"/>
              </w:rPr>
              <w:t>Net issuance of stock under long-term</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8"/>
        </w:trPr>
        <w:tc>
          <w:tcPr>
            <w:tcW w:w="1040" w:type="dxa"/>
            <w:vAlign w:val="bottom"/>
          </w:tcPr>
          <w:p>
            <w:pPr>
              <w:ind w:left="40"/>
              <w:spacing w:after="0"/>
              <w:rPr>
                <w:sz w:val="20"/>
                <w:szCs w:val="20"/>
                <w:color w:val="auto"/>
              </w:rPr>
            </w:pPr>
            <w:r>
              <w:rPr>
                <w:rFonts w:ascii="Arial" w:cs="Arial" w:eastAsia="Arial" w:hAnsi="Arial"/>
                <w:sz w:val="13"/>
                <w:szCs w:val="13"/>
                <w:color w:val="auto"/>
              </w:rPr>
              <w:t>incentive plans</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3"/>
          </w:tcPr>
          <w:p>
            <w:pPr>
              <w:jc w:val="right"/>
              <w:ind w:right="57"/>
              <w:spacing w:after="0"/>
              <w:rPr>
                <w:sz w:val="20"/>
                <w:szCs w:val="20"/>
                <w:color w:val="auto"/>
              </w:rPr>
            </w:pPr>
            <w:r>
              <w:rPr>
                <w:rFonts w:ascii="Arial" w:cs="Arial" w:eastAsia="Arial" w:hAnsi="Arial"/>
                <w:sz w:val="13"/>
                <w:szCs w:val="13"/>
                <w:color w:val="auto"/>
              </w:rPr>
              <w:t>40,500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right"/>
              <w:ind w:right="17"/>
              <w:spacing w:after="0"/>
              <w:rPr>
                <w:sz w:val="20"/>
                <w:szCs w:val="20"/>
                <w:color w:val="auto"/>
              </w:rPr>
            </w:pPr>
            <w:r>
              <w:rPr>
                <w:rFonts w:ascii="Arial" w:cs="Arial" w:eastAsia="Arial" w:hAnsi="Arial"/>
                <w:sz w:val="13"/>
                <w:szCs w:val="13"/>
                <w:color w:val="auto"/>
              </w:rPr>
              <w:t>(1,387)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37"/>
              <w:spacing w:after="0"/>
              <w:rPr>
                <w:sz w:val="20"/>
                <w:szCs w:val="20"/>
                <w:color w:val="auto"/>
              </w:rPr>
            </w:pPr>
            <w:r>
              <w:rPr>
                <w:rFonts w:ascii="Arial" w:cs="Arial" w:eastAsia="Arial" w:hAnsi="Arial"/>
                <w:sz w:val="13"/>
                <w:szCs w:val="13"/>
                <w:color w:val="auto"/>
              </w:rPr>
              <w:t>4</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47</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(51)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2"/>
        </w:trPr>
        <w:tc>
          <w:tcPr>
            <w:tcW w:w="20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Amortization of restricted stock</w:t>
            </w:r>
          </w:p>
        </w:tc>
        <w:tc>
          <w:tcPr>
            <w:tcW w:w="24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2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710</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710</w:t>
            </w:r>
          </w:p>
        </w:tc>
      </w:tr>
      <w:tr>
        <w:trPr>
          <w:trHeight w:val="255"/>
        </w:trPr>
        <w:tc>
          <w:tcPr>
            <w:tcW w:w="1480" w:type="dxa"/>
            <w:vAlign w:val="bottom"/>
            <w:gridSpan w:val="2"/>
          </w:tcPr>
          <w:p>
            <w:pPr>
              <w:ind w:left="40"/>
              <w:spacing w:after="0"/>
              <w:rPr>
                <w:sz w:val="20"/>
                <w:szCs w:val="20"/>
                <w:color w:val="auto"/>
              </w:rPr>
            </w:pPr>
            <w:r>
              <w:rPr>
                <w:rFonts w:ascii="Arial" w:cs="Arial" w:eastAsia="Arial" w:hAnsi="Arial"/>
                <w:sz w:val="13"/>
                <w:szCs w:val="13"/>
                <w:b w:val="1"/>
                <w:bCs w:val="1"/>
                <w:color w:val="auto"/>
              </w:rPr>
              <w:t>Balance, April 30, 2019</w:t>
            </w: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Borders>
              <w:bottom w:val="single" w:sz="8" w:color="auto"/>
            </w:tcBorders>
            <w:gridSpan w:val="2"/>
          </w:tcPr>
          <w:p>
            <w:pPr>
              <w:jc w:val="right"/>
              <w:ind w:right="57"/>
              <w:spacing w:after="0"/>
              <w:rPr>
                <w:sz w:val="20"/>
                <w:szCs w:val="20"/>
                <w:color w:val="auto"/>
              </w:rPr>
            </w:pPr>
            <w:r>
              <w:rPr>
                <w:rFonts w:ascii="Arial" w:cs="Arial" w:eastAsia="Arial" w:hAnsi="Arial"/>
                <w:sz w:val="13"/>
                <w:szCs w:val="13"/>
                <w:b w:val="1"/>
                <w:bCs w:val="1"/>
                <w:color w:val="auto"/>
              </w:rPr>
              <w:t>10,853,428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3"/>
                <w:szCs w:val="13"/>
                <w:b w:val="1"/>
                <w:bCs w:val="1"/>
                <w:color w:val="auto"/>
              </w:rPr>
              <w:t>(3,251,115)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1,085</w:t>
            </w:r>
          </w:p>
        </w:tc>
        <w:tc>
          <w:tcPr>
            <w:tcW w:w="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40,487</w:t>
            </w:r>
          </w:p>
        </w:tc>
        <w:tc>
          <w:tcPr>
            <w:tcW w:w="12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162,718</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(56,537)</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(10,185)</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(53)</w:t>
            </w:r>
          </w:p>
        </w:tc>
        <w:tc>
          <w:tcPr>
            <w:tcW w:w="100" w:type="dxa"/>
            <w:vAlign w:val="bottom"/>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137,515</w:t>
            </w:r>
          </w:p>
        </w:tc>
      </w:tr>
      <w:tr>
        <w:trPr>
          <w:trHeight w:val="20"/>
        </w:trPr>
        <w:tc>
          <w:tcPr>
            <w:tcW w:w="10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gridSpan w:val="8"/>
          </w:tcPr>
          <w:p>
            <w:pPr>
              <w:ind w:left="460"/>
              <w:spacing w:after="0"/>
              <w:rPr>
                <w:sz w:val="20"/>
                <w:szCs w:val="20"/>
                <w:color w:val="auto"/>
              </w:rPr>
            </w:pPr>
            <w:r>
              <w:rPr>
                <w:rFonts w:ascii="Arial" w:cs="Arial" w:eastAsia="Arial" w:hAnsi="Arial"/>
                <w:sz w:val="13"/>
                <w:szCs w:val="13"/>
                <w:b w:val="1"/>
                <w:bCs w:val="1"/>
                <w:color w:val="auto"/>
              </w:rPr>
              <w:t>For the Nine Months Ended April 30</w:t>
            </w: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80"/>
        </w:trPr>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3"/>
                <w:szCs w:val="13"/>
                <w:b w:val="1"/>
                <w:bCs w:val="1"/>
                <w:color w:val="auto"/>
                <w:w w:val="90"/>
              </w:rPr>
              <w:t>(unaudited)</w:t>
            </w: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r>
        <w:trPr>
          <w:trHeight w:val="264"/>
        </w:trPr>
        <w:tc>
          <w:tcPr>
            <w:tcW w:w="10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0" w:type="dxa"/>
            <w:vAlign w:val="bottom"/>
            <w:gridSpan w:val="7"/>
          </w:tcPr>
          <w:p>
            <w:pPr>
              <w:ind w:left="440"/>
              <w:spacing w:after="0"/>
              <w:rPr>
                <w:sz w:val="20"/>
                <w:szCs w:val="20"/>
                <w:color w:val="auto"/>
              </w:rPr>
            </w:pPr>
            <w:r>
              <w:rPr>
                <w:rFonts w:ascii="Arial" w:cs="Arial" w:eastAsia="Arial" w:hAnsi="Arial"/>
                <w:sz w:val="13"/>
                <w:szCs w:val="13"/>
                <w:b w:val="1"/>
                <w:bCs w:val="1"/>
                <w:color w:val="auto"/>
              </w:rPr>
              <w:t>Number of Shares</w:t>
            </w: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r>
      <w:tr>
        <w:trPr>
          <w:trHeight w:val="130"/>
        </w:trPr>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1" w:lineRule="exact"/>
              <w:rPr>
                <w:sz w:val="20"/>
                <w:szCs w:val="20"/>
                <w:color w:val="auto"/>
              </w:rPr>
            </w:pPr>
            <w:r>
              <w:rPr>
                <w:rFonts w:ascii="Arial" w:cs="Arial" w:eastAsia="Arial" w:hAnsi="Arial"/>
                <w:sz w:val="13"/>
                <w:szCs w:val="13"/>
                <w:b w:val="1"/>
                <w:bCs w:val="1"/>
                <w:color w:val="auto"/>
                <w:w w:val="88"/>
              </w:rPr>
              <w:t>Accumulated</w:t>
            </w: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r>
      <w:tr>
        <w:trPr>
          <w:trHeight w:val="135"/>
        </w:trPr>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200"/>
              <w:spacing w:after="0" w:line="135" w:lineRule="exact"/>
              <w:rPr>
                <w:sz w:val="20"/>
                <w:szCs w:val="20"/>
                <w:color w:val="auto"/>
              </w:rPr>
            </w:pPr>
            <w:r>
              <w:rPr>
                <w:rFonts w:ascii="Arial" w:cs="Arial" w:eastAsia="Arial" w:hAnsi="Arial"/>
                <w:sz w:val="13"/>
                <w:szCs w:val="13"/>
                <w:b w:val="1"/>
                <w:bCs w:val="1"/>
                <w:color w:val="auto"/>
              </w:rPr>
              <w:t>Common</w:t>
            </w: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Common</w:t>
            </w: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Non-</w:t>
            </w:r>
          </w:p>
        </w:tc>
        <w:tc>
          <w:tcPr>
            <w:tcW w:w="120" w:type="dxa"/>
            <w:vAlign w:val="bottom"/>
          </w:tcPr>
          <w:p>
            <w:pPr>
              <w:spacing w:after="0"/>
              <w:rPr>
                <w:sz w:val="11"/>
                <w:szCs w:val="11"/>
                <w:color w:val="auto"/>
              </w:rPr>
            </w:pPr>
          </w:p>
        </w:tc>
        <w:tc>
          <w:tcPr>
            <w:tcW w:w="900" w:type="dxa"/>
            <w:vAlign w:val="bottom"/>
          </w:tcPr>
          <w:p>
            <w:pPr>
              <w:jc w:val="center"/>
              <w:ind w:right="37"/>
              <w:spacing w:after="0" w:line="135" w:lineRule="exact"/>
              <w:rPr>
                <w:sz w:val="20"/>
                <w:szCs w:val="20"/>
                <w:color w:val="auto"/>
              </w:rPr>
            </w:pPr>
            <w:r>
              <w:rPr>
                <w:rFonts w:ascii="Arial" w:cs="Arial" w:eastAsia="Arial" w:hAnsi="Arial"/>
                <w:sz w:val="13"/>
                <w:szCs w:val="13"/>
                <w:b w:val="1"/>
                <w:bCs w:val="1"/>
                <w:color w:val="auto"/>
                <w:w w:val="89"/>
              </w:rPr>
              <w:t>Total</w:t>
            </w:r>
          </w:p>
        </w:tc>
      </w:tr>
      <w:tr>
        <w:trPr>
          <w:trHeight w:val="135"/>
        </w:trPr>
        <w:tc>
          <w:tcPr>
            <w:tcW w:w="10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3"/>
                <w:szCs w:val="13"/>
                <w:b w:val="1"/>
                <w:bCs w:val="1"/>
                <w:color w:val="auto"/>
              </w:rPr>
              <w:t>&amp; Class B</w:t>
            </w:r>
          </w:p>
        </w:tc>
        <w:tc>
          <w:tcPr>
            <w:tcW w:w="100" w:type="dxa"/>
            <w:vAlign w:val="bottom"/>
          </w:tcPr>
          <w:p>
            <w:pPr>
              <w:spacing w:after="0"/>
              <w:rPr>
                <w:sz w:val="11"/>
                <w:szCs w:val="11"/>
                <w:color w:val="auto"/>
              </w:rPr>
            </w:pPr>
          </w:p>
        </w:tc>
        <w:tc>
          <w:tcPr>
            <w:tcW w:w="960" w:type="dxa"/>
            <w:vAlign w:val="bottom"/>
            <w:gridSpan w:val="3"/>
          </w:tcPr>
          <w:p>
            <w:pPr>
              <w:ind w:left="160"/>
              <w:spacing w:after="0" w:line="135" w:lineRule="exact"/>
              <w:rPr>
                <w:sz w:val="20"/>
                <w:szCs w:val="20"/>
                <w:color w:val="auto"/>
              </w:rPr>
            </w:pPr>
            <w:r>
              <w:rPr>
                <w:rFonts w:ascii="Arial" w:cs="Arial" w:eastAsia="Arial" w:hAnsi="Arial"/>
                <w:sz w:val="13"/>
                <w:szCs w:val="13"/>
                <w:b w:val="1"/>
                <w:bCs w:val="1"/>
                <w:color w:val="auto"/>
              </w:rPr>
              <w:t>Treasury</w:t>
            </w:r>
          </w:p>
        </w:tc>
        <w:tc>
          <w:tcPr>
            <w:tcW w:w="100" w:type="dxa"/>
            <w:vAlign w:val="bottom"/>
          </w:tcPr>
          <w:p>
            <w:pPr>
              <w:spacing w:after="0"/>
              <w:rPr>
                <w:sz w:val="11"/>
                <w:szCs w:val="11"/>
                <w:color w:val="auto"/>
              </w:rPr>
            </w:pPr>
          </w:p>
        </w:tc>
        <w:tc>
          <w:tcPr>
            <w:tcW w:w="840" w:type="dxa"/>
            <w:vAlign w:val="bottom"/>
            <w:gridSpan w:val="4"/>
          </w:tcPr>
          <w:p>
            <w:pPr>
              <w:jc w:val="center"/>
              <w:ind w:right="260"/>
              <w:spacing w:after="0" w:line="135" w:lineRule="exact"/>
              <w:rPr>
                <w:sz w:val="20"/>
                <w:szCs w:val="20"/>
                <w:color w:val="auto"/>
              </w:rPr>
            </w:pPr>
            <w:r>
              <w:rPr>
                <w:rFonts w:ascii="Arial" w:cs="Arial" w:eastAsia="Arial" w:hAnsi="Arial"/>
                <w:sz w:val="13"/>
                <w:szCs w:val="13"/>
                <w:b w:val="1"/>
                <w:bCs w:val="1"/>
                <w:color w:val="auto"/>
                <w:w w:val="88"/>
              </w:rPr>
              <w:t>&amp; Class B</w:t>
            </w:r>
          </w:p>
        </w:tc>
        <w:tc>
          <w:tcPr>
            <w:tcW w:w="120" w:type="dxa"/>
            <w:vAlign w:val="bottom"/>
          </w:tcPr>
          <w:p>
            <w:pPr>
              <w:spacing w:after="0"/>
              <w:rPr>
                <w:sz w:val="11"/>
                <w:szCs w:val="11"/>
                <w:color w:val="auto"/>
              </w:rPr>
            </w:pPr>
          </w:p>
        </w:tc>
        <w:tc>
          <w:tcPr>
            <w:tcW w:w="920" w:type="dxa"/>
            <w:vAlign w:val="bottom"/>
            <w:gridSpan w:val="2"/>
          </w:tcPr>
          <w:p>
            <w:pPr>
              <w:jc w:val="center"/>
              <w:ind w:right="260"/>
              <w:spacing w:after="0" w:line="135" w:lineRule="exact"/>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3"/>
                <w:szCs w:val="13"/>
                <w:b w:val="1"/>
                <w:bCs w:val="1"/>
                <w:color w:val="auto"/>
              </w:rPr>
              <w:t>Retained</w:t>
            </w:r>
          </w:p>
        </w:tc>
        <w:tc>
          <w:tcPr>
            <w:tcW w:w="12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7"/>
              </w:rPr>
              <w:t>Treasury</w:t>
            </w:r>
          </w:p>
        </w:tc>
        <w:tc>
          <w:tcPr>
            <w:tcW w:w="120" w:type="dxa"/>
            <w:vAlign w:val="bottom"/>
          </w:tcPr>
          <w:p>
            <w:pPr>
              <w:spacing w:after="0"/>
              <w:rPr>
                <w:sz w:val="11"/>
                <w:szCs w:val="11"/>
                <w:color w:val="auto"/>
              </w:rPr>
            </w:pPr>
          </w:p>
        </w:tc>
        <w:tc>
          <w:tcPr>
            <w:tcW w:w="110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6"/>
              </w:rPr>
              <w:t>Comprehensive</w:t>
            </w:r>
          </w:p>
        </w:tc>
        <w:tc>
          <w:tcPr>
            <w:tcW w:w="120" w:type="dxa"/>
            <w:vAlign w:val="bottom"/>
          </w:tcPr>
          <w:p>
            <w:pPr>
              <w:spacing w:after="0"/>
              <w:rPr>
                <w:sz w:val="11"/>
                <w:szCs w:val="11"/>
                <w:color w:val="auto"/>
              </w:rPr>
            </w:pPr>
          </w:p>
        </w:tc>
        <w:tc>
          <w:tcPr>
            <w:tcW w:w="880" w:type="dxa"/>
            <w:vAlign w:val="bottom"/>
            <w:gridSpan w:val="2"/>
          </w:tcPr>
          <w:p>
            <w:pPr>
              <w:jc w:val="center"/>
              <w:ind w:right="220"/>
              <w:spacing w:after="0" w:line="135" w:lineRule="exact"/>
              <w:rPr>
                <w:sz w:val="20"/>
                <w:szCs w:val="20"/>
                <w:color w:val="auto"/>
              </w:rPr>
            </w:pPr>
            <w:r>
              <w:rPr>
                <w:rFonts w:ascii="Arial" w:cs="Arial" w:eastAsia="Arial" w:hAnsi="Arial"/>
                <w:sz w:val="13"/>
                <w:szCs w:val="13"/>
                <w:b w:val="1"/>
                <w:bCs w:val="1"/>
                <w:color w:val="auto"/>
                <w:w w:val="89"/>
              </w:rPr>
              <w:t>Controlling</w:t>
            </w:r>
          </w:p>
        </w:tc>
        <w:tc>
          <w:tcPr>
            <w:tcW w:w="120" w:type="dxa"/>
            <w:vAlign w:val="bottom"/>
          </w:tcPr>
          <w:p>
            <w:pPr>
              <w:spacing w:after="0"/>
              <w:rPr>
                <w:sz w:val="11"/>
                <w:szCs w:val="11"/>
                <w:color w:val="auto"/>
              </w:rPr>
            </w:pPr>
          </w:p>
        </w:tc>
        <w:tc>
          <w:tcPr>
            <w:tcW w:w="90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86"/>
              </w:rPr>
              <w:t>Stockholders’</w:t>
            </w:r>
          </w:p>
        </w:tc>
      </w:tr>
      <w:tr>
        <w:trPr>
          <w:trHeight w:val="174"/>
        </w:trPr>
        <w:tc>
          <w:tcPr>
            <w:tcW w:w="104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spacing w:after="0"/>
              <w:rPr>
                <w:sz w:val="15"/>
                <w:szCs w:val="15"/>
                <w:color w:val="auto"/>
              </w:rPr>
            </w:pPr>
          </w:p>
        </w:tc>
        <w:tc>
          <w:tcPr>
            <w:tcW w:w="2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gridSpan w:val="2"/>
          </w:tcPr>
          <w:p>
            <w:pPr>
              <w:ind w:left="300"/>
              <w:spacing w:after="0"/>
              <w:rPr>
                <w:sz w:val="20"/>
                <w:szCs w:val="20"/>
                <w:color w:val="auto"/>
              </w:rPr>
            </w:pPr>
            <w:r>
              <w:rPr>
                <w:rFonts w:ascii="Arial" w:cs="Arial" w:eastAsia="Arial" w:hAnsi="Arial"/>
                <w:sz w:val="13"/>
                <w:szCs w:val="13"/>
                <w:b w:val="1"/>
                <w:bCs w:val="1"/>
                <w:color w:val="auto"/>
              </w:rPr>
              <w:t>Stock</w:t>
            </w: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820" w:type="dxa"/>
            <w:vAlign w:val="bottom"/>
            <w:tcBorders>
              <w:bottom w:val="single" w:sz="8" w:color="auto"/>
            </w:tcBorders>
          </w:tcPr>
          <w:p>
            <w:pPr>
              <w:jc w:val="right"/>
              <w:ind w:right="197"/>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4"/>
          </w:tcPr>
          <w:p>
            <w:pPr>
              <w:jc w:val="center"/>
              <w:ind w:right="260"/>
              <w:spacing w:after="0"/>
              <w:rPr>
                <w:sz w:val="20"/>
                <w:szCs w:val="20"/>
                <w:color w:val="auto"/>
              </w:rPr>
            </w:pPr>
            <w:r>
              <w:rPr>
                <w:rFonts w:ascii="Arial" w:cs="Arial" w:eastAsia="Arial" w:hAnsi="Arial"/>
                <w:sz w:val="13"/>
                <w:szCs w:val="13"/>
                <w:b w:val="1"/>
                <w:bCs w:val="1"/>
                <w:color w:val="auto"/>
                <w:w w:val="84"/>
              </w:rPr>
              <w:t>Stock</w:t>
            </w:r>
          </w:p>
        </w:tc>
        <w:tc>
          <w:tcPr>
            <w:tcW w:w="1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Earnings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4"/>
              </w:rPr>
              <w:t>Stock</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78"/>
              </w:rPr>
              <w:t>Loss</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3"/>
                <w:szCs w:val="13"/>
                <w:b w:val="1"/>
                <w:bCs w:val="1"/>
                <w:color w:val="auto"/>
                <w:w w:val="89"/>
              </w:rPr>
              <w:t>Interest</w:t>
            </w: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7"/>
              <w:spacing w:after="0"/>
              <w:rPr>
                <w:sz w:val="20"/>
                <w:szCs w:val="20"/>
                <w:color w:val="auto"/>
              </w:rPr>
            </w:pPr>
            <w:r>
              <w:rPr>
                <w:rFonts w:ascii="Arial" w:cs="Arial" w:eastAsia="Arial" w:hAnsi="Arial"/>
                <w:sz w:val="13"/>
                <w:szCs w:val="13"/>
                <w:b w:val="1"/>
                <w:bCs w:val="1"/>
                <w:color w:val="auto"/>
                <w:w w:val="90"/>
              </w:rPr>
              <w:t>Equity</w:t>
            </w:r>
          </w:p>
        </w:tc>
      </w:tr>
      <w:tr>
        <w:trPr>
          <w:trHeight w:val="270"/>
        </w:trPr>
        <w:tc>
          <w:tcPr>
            <w:tcW w:w="14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Balance, July 31, 2017</w:t>
            </w:r>
          </w:p>
        </w:tc>
        <w:tc>
          <w:tcPr>
            <w:tcW w:w="58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10,528,678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(3,232,111)</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1,053</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36,242</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154,735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(55,701)</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(10,292)</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126,037</w:t>
            </w: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5,539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5,539</w:t>
            </w:r>
          </w:p>
        </w:tc>
      </w:tr>
      <w:tr>
        <w:trPr>
          <w:trHeight w:val="278"/>
        </w:trPr>
        <w:tc>
          <w:tcPr>
            <w:tcW w:w="20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561</w:t>
            </w:r>
          </w:p>
        </w:tc>
      </w:tr>
      <w:tr>
        <w:trPr>
          <w:trHeight w:val="148"/>
        </w:trPr>
        <w:tc>
          <w:tcPr>
            <w:tcW w:w="3360" w:type="dxa"/>
            <w:vAlign w:val="bottom"/>
            <w:gridSpan w:val="8"/>
          </w:tcPr>
          <w:p>
            <w:pPr>
              <w:ind w:left="40"/>
              <w:spacing w:after="0" w:line="148" w:lineRule="exact"/>
              <w:rPr>
                <w:sz w:val="20"/>
                <w:szCs w:val="20"/>
                <w:color w:val="auto"/>
              </w:rPr>
            </w:pPr>
            <w:r>
              <w:rPr>
                <w:rFonts w:ascii="Arial" w:cs="Arial" w:eastAsia="Arial" w:hAnsi="Arial"/>
                <w:sz w:val="13"/>
                <w:szCs w:val="13"/>
                <w:color w:val="auto"/>
              </w:rPr>
              <w:t>Reclassification upon adoption of accounting</w:t>
            </w: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8"/>
        </w:trPr>
        <w:tc>
          <w:tcPr>
            <w:tcW w:w="1480" w:type="dxa"/>
            <w:vAlign w:val="bottom"/>
            <w:gridSpan w:val="2"/>
          </w:tcPr>
          <w:p>
            <w:pPr>
              <w:ind w:left="40"/>
              <w:spacing w:after="0"/>
              <w:rPr>
                <w:sz w:val="20"/>
                <w:szCs w:val="20"/>
                <w:color w:val="auto"/>
              </w:rPr>
            </w:pPr>
            <w:r>
              <w:rPr>
                <w:rFonts w:ascii="Arial" w:cs="Arial" w:eastAsia="Arial" w:hAnsi="Arial"/>
                <w:sz w:val="13"/>
                <w:szCs w:val="13"/>
                <w:color w:val="auto"/>
              </w:rPr>
              <w:t>standard (see Note 1)</w:t>
            </w:r>
          </w:p>
        </w:tc>
        <w:tc>
          <w:tcPr>
            <w:tcW w:w="5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2,264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(2,264)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8"/>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8"/>
              </w:rPr>
              <w:t>Dividends declared</w:t>
            </w:r>
          </w:p>
        </w:tc>
        <w:tc>
          <w:tcPr>
            <w:tcW w:w="4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(4,676)</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(4,676)</w:t>
            </w:r>
          </w:p>
        </w:tc>
      </w:tr>
      <w:tr>
        <w:trPr>
          <w:trHeight w:val="262"/>
        </w:trPr>
        <w:tc>
          <w:tcPr>
            <w:tcW w:w="1480" w:type="dxa"/>
            <w:vAlign w:val="bottom"/>
            <w:gridSpan w:val="2"/>
          </w:tcPr>
          <w:p>
            <w:pPr>
              <w:ind w:left="40"/>
              <w:spacing w:after="0"/>
              <w:rPr>
                <w:sz w:val="20"/>
                <w:szCs w:val="20"/>
                <w:color w:val="auto"/>
              </w:rPr>
            </w:pPr>
            <w:r>
              <w:rPr>
                <w:rFonts w:ascii="Arial" w:cs="Arial" w:eastAsia="Arial" w:hAnsi="Arial"/>
                <w:sz w:val="13"/>
                <w:szCs w:val="13"/>
                <w:color w:val="auto"/>
                <w:w w:val="88"/>
              </w:rPr>
              <w:t>Purchases of treasury stock</w:t>
            </w: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gridSpan w:val="2"/>
          </w:tcPr>
          <w:p>
            <w:pPr>
              <w:jc w:val="right"/>
              <w:ind w:right="17"/>
              <w:spacing w:after="0"/>
              <w:rPr>
                <w:sz w:val="20"/>
                <w:szCs w:val="20"/>
                <w:color w:val="auto"/>
              </w:rPr>
            </w:pPr>
            <w:r>
              <w:rPr>
                <w:rFonts w:ascii="Arial" w:cs="Arial" w:eastAsia="Arial" w:hAnsi="Arial"/>
                <w:sz w:val="13"/>
                <w:szCs w:val="13"/>
                <w:color w:val="auto"/>
              </w:rPr>
              <w:t>(622)</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(27)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(27)</w:t>
            </w:r>
          </w:p>
        </w:tc>
      </w:tr>
      <w:tr>
        <w:trPr>
          <w:trHeight w:val="156"/>
        </w:trPr>
        <w:tc>
          <w:tcPr>
            <w:tcW w:w="20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w w:val="91"/>
              </w:rPr>
              <w:t>Net issuance of stock under long-term</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r>
      <w:tr>
        <w:trPr>
          <w:trHeight w:val="176"/>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incentive plans</w:t>
            </w:r>
          </w:p>
        </w:tc>
        <w:tc>
          <w:tcPr>
            <w:tcW w:w="4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25,050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(5,600)</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2</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442</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(203)</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241</w:t>
            </w:r>
          </w:p>
        </w:tc>
      </w:tr>
      <w:tr>
        <w:trPr>
          <w:trHeight w:val="264"/>
        </w:trPr>
        <w:tc>
          <w:tcPr>
            <w:tcW w:w="2060" w:type="dxa"/>
            <w:vAlign w:val="bottom"/>
            <w:tcBorders>
              <w:bottom w:val="single" w:sz="8" w:color="CCEEFF"/>
            </w:tcBorders>
            <w:gridSpan w:val="3"/>
          </w:tcPr>
          <w:p>
            <w:pPr>
              <w:ind w:left="40"/>
              <w:spacing w:after="0"/>
              <w:rPr>
                <w:sz w:val="20"/>
                <w:szCs w:val="20"/>
                <w:color w:val="auto"/>
              </w:rPr>
            </w:pPr>
            <w:r>
              <w:rPr>
                <w:rFonts w:ascii="Arial" w:cs="Arial" w:eastAsia="Arial" w:hAnsi="Arial"/>
                <w:sz w:val="13"/>
                <w:szCs w:val="13"/>
                <w:color w:val="auto"/>
              </w:rPr>
              <w:t>Amortization of restricted stock</w:t>
            </w:r>
          </w:p>
        </w:tc>
        <w:tc>
          <w:tcPr>
            <w:tcW w:w="2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1,338</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1,338</w:t>
            </w:r>
          </w:p>
        </w:tc>
      </w:tr>
      <w:tr>
        <w:trPr>
          <w:trHeight w:val="255"/>
        </w:trPr>
        <w:tc>
          <w:tcPr>
            <w:tcW w:w="14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Balance, April 30, 2018</w:t>
            </w:r>
          </w:p>
        </w:tc>
        <w:tc>
          <w:tcPr>
            <w:tcW w:w="580" w:type="dxa"/>
            <w:vAlign w:val="bottom"/>
            <w:shd w:val="clear" w:color="auto" w:fill="CCEEFF"/>
          </w:tcPr>
          <w:p>
            <w:pPr>
              <w:spacing w:after="0"/>
              <w:rPr>
                <w:sz w:val="22"/>
                <w:szCs w:val="22"/>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10,553,728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92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(3,238,333)</w:t>
            </w:r>
          </w:p>
        </w:tc>
        <w:tc>
          <w:tcPr>
            <w:tcW w:w="12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1,055</w:t>
            </w: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38,022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157,862</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(55,931)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(11,995)</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129,013</w:t>
            </w:r>
          </w:p>
        </w:tc>
      </w:tr>
      <w:tr>
        <w:trPr>
          <w:trHeight w:val="20"/>
        </w:trPr>
        <w:tc>
          <w:tcPr>
            <w:tcW w:w="1480" w:type="dxa"/>
            <w:vAlign w:val="bottom"/>
            <w:tcBorders>
              <w:top w:val="single" w:sz="8" w:color="CCEEFF"/>
            </w:tcBorders>
            <w:gridSpan w:val="2"/>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gridSpan w:val="2"/>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r>
        <w:trPr>
          <w:trHeight w:val="117"/>
        </w:trPr>
        <w:tc>
          <w:tcPr>
            <w:tcW w:w="1480" w:type="dxa"/>
            <w:vAlign w:val="bottom"/>
            <w:gridSpan w:val="2"/>
          </w:tcPr>
          <w:p>
            <w:pPr>
              <w:spacing w:after="0"/>
              <w:rPr>
                <w:sz w:val="10"/>
                <w:szCs w:val="10"/>
                <w:color w:val="auto"/>
              </w:rPr>
            </w:pPr>
          </w:p>
        </w:tc>
        <w:tc>
          <w:tcPr>
            <w:tcW w:w="580" w:type="dxa"/>
            <w:vAlign w:val="bottom"/>
          </w:tcPr>
          <w:p>
            <w:pPr>
              <w:spacing w:after="0"/>
              <w:rPr>
                <w:sz w:val="10"/>
                <w:szCs w:val="10"/>
                <w:color w:val="auto"/>
              </w:rPr>
            </w:pPr>
          </w:p>
        </w:tc>
        <w:tc>
          <w:tcPr>
            <w:tcW w:w="118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gridSpan w:val="2"/>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r>
      <w:tr>
        <w:trPr>
          <w:trHeight w:val="270"/>
        </w:trPr>
        <w:tc>
          <w:tcPr>
            <w:tcW w:w="1480" w:type="dxa"/>
            <w:vAlign w:val="bottom"/>
            <w:gridSpan w:val="2"/>
            <w:shd w:val="clear" w:color="auto" w:fill="CCEEFF"/>
          </w:tcPr>
          <w:p>
            <w:pPr>
              <w:ind w:left="40"/>
              <w:spacing w:after="0"/>
              <w:rPr>
                <w:sz w:val="20"/>
                <w:szCs w:val="20"/>
                <w:color w:val="auto"/>
              </w:rPr>
            </w:pPr>
            <w:r>
              <w:rPr>
                <w:rFonts w:ascii="Arial" w:cs="Arial" w:eastAsia="Arial" w:hAnsi="Arial"/>
                <w:sz w:val="13"/>
                <w:szCs w:val="13"/>
                <w:b w:val="1"/>
                <w:bCs w:val="1"/>
                <w:color w:val="auto"/>
              </w:rPr>
              <w:t>Balance, July 31, 2018</w:t>
            </w:r>
          </w:p>
        </w:tc>
        <w:tc>
          <w:tcPr>
            <w:tcW w:w="580" w:type="dxa"/>
            <w:vAlign w:val="bottom"/>
            <w:shd w:val="clear" w:color="auto" w:fill="CCEEFF"/>
          </w:tcPr>
          <w:p>
            <w:pPr>
              <w:spacing w:after="0"/>
              <w:rPr>
                <w:sz w:val="23"/>
                <w:szCs w:val="23"/>
                <w:color w:val="auto"/>
              </w:rPr>
            </w:pP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3"/>
                <w:szCs w:val="13"/>
                <w:b w:val="1"/>
                <w:bCs w:val="1"/>
                <w:color w:val="auto"/>
              </w:rPr>
              <w:t>10,555,828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92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(3,238,833)</w:t>
            </w:r>
          </w:p>
        </w:tc>
        <w:tc>
          <w:tcPr>
            <w:tcW w:w="12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1,056</w:t>
            </w: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38,473</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158,935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b w:val="1"/>
                <w:bCs w:val="1"/>
                <w:color w:val="auto"/>
              </w:rPr>
              <w:t>(55,946)</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(10,615)</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(18)</w:t>
            </w: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131,885</w:t>
            </w: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rPr>
              <w:t>Net income</w:t>
            </w: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8,812</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(35)</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tcPr>
          <w:p>
            <w:pPr>
              <w:jc w:val="right"/>
              <w:ind w:right="37"/>
              <w:spacing w:after="0"/>
              <w:rPr>
                <w:sz w:val="20"/>
                <w:szCs w:val="20"/>
                <w:color w:val="auto"/>
              </w:rPr>
            </w:pPr>
            <w:r>
              <w:rPr>
                <w:rFonts w:ascii="Arial" w:cs="Arial" w:eastAsia="Arial" w:hAnsi="Arial"/>
                <w:sz w:val="13"/>
                <w:szCs w:val="13"/>
                <w:color w:val="auto"/>
              </w:rPr>
              <w:t>8,777</w:t>
            </w:r>
          </w:p>
        </w:tc>
      </w:tr>
      <w:tr>
        <w:trPr>
          <w:trHeight w:val="278"/>
        </w:trPr>
        <w:tc>
          <w:tcPr>
            <w:tcW w:w="20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Other comprehensive income</w:t>
            </w: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430</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430</w:t>
            </w:r>
          </w:p>
        </w:tc>
      </w:tr>
      <w:tr>
        <w:trPr>
          <w:trHeight w:val="262"/>
        </w:trPr>
        <w:tc>
          <w:tcPr>
            <w:tcW w:w="1040" w:type="dxa"/>
            <w:vAlign w:val="bottom"/>
          </w:tcPr>
          <w:p>
            <w:pPr>
              <w:ind w:left="40"/>
              <w:spacing w:after="0"/>
              <w:rPr>
                <w:sz w:val="20"/>
                <w:szCs w:val="20"/>
                <w:color w:val="auto"/>
              </w:rPr>
            </w:pPr>
            <w:r>
              <w:rPr>
                <w:rFonts w:ascii="Arial" w:cs="Arial" w:eastAsia="Arial" w:hAnsi="Arial"/>
                <w:sz w:val="13"/>
                <w:szCs w:val="13"/>
                <w:color w:val="auto"/>
                <w:w w:val="88"/>
              </w:rPr>
              <w:t>Dividends declared</w:t>
            </w:r>
          </w:p>
        </w:tc>
        <w:tc>
          <w:tcPr>
            <w:tcW w:w="4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4"/>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(5,029)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22"/>
                <w:szCs w:val="22"/>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(5,029)</w:t>
            </w:r>
          </w:p>
        </w:tc>
      </w:tr>
      <w:tr>
        <w:trPr>
          <w:trHeight w:val="278"/>
        </w:trPr>
        <w:tc>
          <w:tcPr>
            <w:tcW w:w="148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w w:val="88"/>
              </w:rPr>
              <w:t>Purchases of treasury stock</w:t>
            </w:r>
          </w:p>
        </w:tc>
        <w:tc>
          <w:tcPr>
            <w:tcW w:w="5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7"/>
              <w:spacing w:after="0"/>
              <w:rPr>
                <w:sz w:val="20"/>
                <w:szCs w:val="20"/>
                <w:color w:val="auto"/>
              </w:rPr>
            </w:pPr>
            <w:r>
              <w:rPr>
                <w:rFonts w:ascii="Arial" w:cs="Arial" w:eastAsia="Arial" w:hAnsi="Arial"/>
                <w:sz w:val="13"/>
                <w:szCs w:val="13"/>
                <w:color w:val="auto"/>
              </w:rPr>
              <w:t>(4,545)</w:t>
            </w:r>
          </w:p>
        </w:tc>
        <w:tc>
          <w:tcPr>
            <w:tcW w:w="12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gridSpan w:val="4"/>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(141)</w:t>
            </w: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w:t>
            </w:r>
          </w:p>
        </w:tc>
      </w:tr>
      <w:tr>
        <w:trPr>
          <w:trHeight w:val="148"/>
        </w:trPr>
        <w:tc>
          <w:tcPr>
            <w:tcW w:w="2060" w:type="dxa"/>
            <w:vAlign w:val="bottom"/>
            <w:gridSpan w:val="3"/>
          </w:tcPr>
          <w:p>
            <w:pPr>
              <w:ind w:left="40"/>
              <w:spacing w:after="0" w:line="148" w:lineRule="exact"/>
              <w:rPr>
                <w:sz w:val="20"/>
                <w:szCs w:val="20"/>
                <w:color w:val="auto"/>
              </w:rPr>
            </w:pPr>
            <w:r>
              <w:rPr>
                <w:rFonts w:ascii="Arial" w:cs="Arial" w:eastAsia="Arial" w:hAnsi="Arial"/>
                <w:sz w:val="13"/>
                <w:szCs w:val="13"/>
                <w:color w:val="auto"/>
                <w:w w:val="91"/>
              </w:rPr>
              <w:t>Net issuance of stock under long-term</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68"/>
        </w:trPr>
        <w:tc>
          <w:tcPr>
            <w:tcW w:w="1040" w:type="dxa"/>
            <w:vAlign w:val="bottom"/>
          </w:tcPr>
          <w:p>
            <w:pPr>
              <w:ind w:left="40"/>
              <w:spacing w:after="0"/>
              <w:rPr>
                <w:sz w:val="20"/>
                <w:szCs w:val="20"/>
                <w:color w:val="auto"/>
              </w:rPr>
            </w:pPr>
            <w:r>
              <w:rPr>
                <w:rFonts w:ascii="Arial" w:cs="Arial" w:eastAsia="Arial" w:hAnsi="Arial"/>
                <w:sz w:val="13"/>
                <w:szCs w:val="13"/>
                <w:color w:val="auto"/>
              </w:rPr>
              <w:t>incentive plans</w:t>
            </w: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color w:val="auto"/>
              </w:rPr>
              <w:t>297,600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2"/>
          </w:tcPr>
          <w:p>
            <w:pPr>
              <w:jc w:val="right"/>
              <w:ind w:right="17"/>
              <w:spacing w:after="0"/>
              <w:rPr>
                <w:sz w:val="20"/>
                <w:szCs w:val="20"/>
                <w:color w:val="auto"/>
              </w:rPr>
            </w:pPr>
            <w:r>
              <w:rPr>
                <w:rFonts w:ascii="Arial" w:cs="Arial" w:eastAsia="Arial" w:hAnsi="Arial"/>
                <w:sz w:val="13"/>
                <w:szCs w:val="13"/>
                <w:color w:val="auto"/>
              </w:rPr>
              <w:t>(7,737)</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57"/>
              <w:spacing w:after="0"/>
              <w:rPr>
                <w:sz w:val="20"/>
                <w:szCs w:val="20"/>
                <w:color w:val="auto"/>
              </w:rPr>
            </w:pPr>
            <w:r>
              <w:rPr>
                <w:rFonts w:ascii="Arial" w:cs="Arial" w:eastAsia="Arial" w:hAnsi="Arial"/>
                <w:sz w:val="13"/>
                <w:szCs w:val="13"/>
                <w:color w:val="auto"/>
              </w:rPr>
              <w:t>420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(450)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272"/>
        </w:trPr>
        <w:tc>
          <w:tcPr>
            <w:tcW w:w="2060" w:type="dxa"/>
            <w:vAlign w:val="bottom"/>
            <w:gridSpan w:val="3"/>
            <w:shd w:val="clear" w:color="auto" w:fill="CCEEFF"/>
          </w:tcPr>
          <w:p>
            <w:pPr>
              <w:ind w:left="40"/>
              <w:spacing w:after="0"/>
              <w:rPr>
                <w:sz w:val="20"/>
                <w:szCs w:val="20"/>
                <w:color w:val="auto"/>
              </w:rPr>
            </w:pPr>
            <w:r>
              <w:rPr>
                <w:rFonts w:ascii="Arial" w:cs="Arial" w:eastAsia="Arial" w:hAnsi="Arial"/>
                <w:sz w:val="13"/>
                <w:szCs w:val="13"/>
                <w:color w:val="auto"/>
              </w:rPr>
              <w:t>Amortization of restricted stock</w:t>
            </w:r>
          </w:p>
        </w:tc>
        <w:tc>
          <w:tcPr>
            <w:tcW w:w="2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2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7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gridSpan w:val="2"/>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1,594</w:t>
            </w:r>
          </w:p>
        </w:tc>
        <w:tc>
          <w:tcPr>
            <w:tcW w:w="12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20" w:type="dxa"/>
            <w:vAlign w:val="bottom"/>
            <w:tcBorders>
              <w:bottom w:val="single" w:sz="8" w:color="auto"/>
            </w:tcBorders>
            <w:shd w:val="clear" w:color="auto" w:fill="CCEEFF"/>
          </w:tcPr>
          <w:p>
            <w:pPr>
              <w:spacing w:after="0"/>
              <w:rPr>
                <w:sz w:val="23"/>
                <w:szCs w:val="23"/>
                <w:color w:val="auto"/>
              </w:rPr>
            </w:pPr>
          </w:p>
        </w:tc>
        <w:tc>
          <w:tcPr>
            <w:tcW w:w="88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auto"/>
            </w:tcBorders>
            <w:shd w:val="clear" w:color="auto" w:fill="CCEEFF"/>
          </w:tcPr>
          <w:p>
            <w:pPr>
              <w:spacing w:after="0"/>
              <w:rPr>
                <w:sz w:val="23"/>
                <w:szCs w:val="23"/>
                <w:color w:val="auto"/>
              </w:rPr>
            </w:pPr>
          </w:p>
        </w:tc>
        <w:tc>
          <w:tcPr>
            <w:tcW w:w="9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1,594</w:t>
            </w:r>
          </w:p>
        </w:tc>
      </w:tr>
      <w:tr>
        <w:trPr>
          <w:trHeight w:val="254"/>
        </w:trPr>
        <w:tc>
          <w:tcPr>
            <w:tcW w:w="1480" w:type="dxa"/>
            <w:vAlign w:val="bottom"/>
            <w:gridSpan w:val="2"/>
          </w:tcPr>
          <w:p>
            <w:pPr>
              <w:ind w:left="40"/>
              <w:spacing w:after="0"/>
              <w:rPr>
                <w:sz w:val="20"/>
                <w:szCs w:val="20"/>
                <w:color w:val="auto"/>
              </w:rPr>
            </w:pPr>
            <w:r>
              <w:rPr>
                <w:rFonts w:ascii="Arial" w:cs="Arial" w:eastAsia="Arial" w:hAnsi="Arial"/>
                <w:sz w:val="13"/>
                <w:szCs w:val="13"/>
                <w:b w:val="1"/>
                <w:bCs w:val="1"/>
                <w:color w:val="auto"/>
              </w:rPr>
              <w:t>Balance, April 30, 2019</w:t>
            </w:r>
          </w:p>
        </w:tc>
        <w:tc>
          <w:tcPr>
            <w:tcW w:w="580" w:type="dxa"/>
            <w:vAlign w:val="bottom"/>
          </w:tcPr>
          <w:p>
            <w:pPr>
              <w:spacing w:after="0"/>
              <w:rPr>
                <w:sz w:val="22"/>
                <w:szCs w:val="22"/>
                <w:color w:val="auto"/>
              </w:rPr>
            </w:pPr>
          </w:p>
        </w:tc>
        <w:tc>
          <w:tcPr>
            <w:tcW w:w="1180" w:type="dxa"/>
            <w:vAlign w:val="bottom"/>
            <w:gridSpan w:val="3"/>
          </w:tcPr>
          <w:p>
            <w:pPr>
              <w:jc w:val="right"/>
              <w:spacing w:after="0"/>
              <w:rPr>
                <w:sz w:val="20"/>
                <w:szCs w:val="20"/>
                <w:color w:val="auto"/>
              </w:rPr>
            </w:pPr>
            <w:r>
              <w:rPr>
                <w:rFonts w:ascii="Arial" w:cs="Arial" w:eastAsia="Arial" w:hAnsi="Arial"/>
                <w:sz w:val="13"/>
                <w:szCs w:val="13"/>
                <w:b w:val="1"/>
                <w:bCs w:val="1"/>
                <w:color w:val="auto"/>
              </w:rPr>
              <w:t>10,853,428</w:t>
            </w: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2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(3,251,115)</w:t>
            </w: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jc w:val="right"/>
              <w:spacing w:after="0"/>
              <w:rPr>
                <w:sz w:val="20"/>
                <w:szCs w:val="20"/>
                <w:color w:val="auto"/>
              </w:rPr>
            </w:pPr>
            <w:r>
              <w:rPr>
                <w:rFonts w:ascii="Arial" w:cs="Arial" w:eastAsia="Arial" w:hAnsi="Arial"/>
                <w:sz w:val="9"/>
                <w:szCs w:val="9"/>
                <w:b w:val="1"/>
                <w:bCs w:val="1"/>
                <w:color w:val="auto"/>
                <w:w w:val="78"/>
              </w:rPr>
              <w:t>$</w:t>
            </w: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1,085</w:t>
            </w: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800" w:type="dxa"/>
            <w:vAlign w:val="bottom"/>
          </w:tcPr>
          <w:p>
            <w:pPr>
              <w:jc w:val="right"/>
              <w:ind w:right="57"/>
              <w:spacing w:after="0"/>
              <w:rPr>
                <w:sz w:val="20"/>
                <w:szCs w:val="20"/>
                <w:color w:val="auto"/>
              </w:rPr>
            </w:pPr>
            <w:r>
              <w:rPr>
                <w:rFonts w:ascii="Arial" w:cs="Arial" w:eastAsia="Arial" w:hAnsi="Arial"/>
                <w:sz w:val="13"/>
                <w:szCs w:val="13"/>
                <w:b w:val="1"/>
                <w:bCs w:val="1"/>
                <w:color w:val="auto"/>
              </w:rPr>
              <w:t>40,487</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60" w:type="dxa"/>
            <w:vAlign w:val="bottom"/>
          </w:tcPr>
          <w:p>
            <w:pPr>
              <w:jc w:val="right"/>
              <w:ind w:right="37"/>
              <w:spacing w:after="0"/>
              <w:rPr>
                <w:sz w:val="20"/>
                <w:szCs w:val="20"/>
                <w:color w:val="auto"/>
              </w:rPr>
            </w:pPr>
            <w:r>
              <w:rPr>
                <w:rFonts w:ascii="Arial" w:cs="Arial" w:eastAsia="Arial" w:hAnsi="Arial"/>
                <w:sz w:val="13"/>
                <w:szCs w:val="13"/>
                <w:b w:val="1"/>
                <w:bCs w:val="1"/>
                <w:color w:val="auto"/>
              </w:rPr>
              <w:t>162,718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680" w:type="dxa"/>
            <w:vAlign w:val="bottom"/>
          </w:tcPr>
          <w:p>
            <w:pPr>
              <w:jc w:val="right"/>
              <w:ind w:right="17"/>
              <w:spacing w:after="0"/>
              <w:rPr>
                <w:sz w:val="20"/>
                <w:szCs w:val="20"/>
                <w:color w:val="auto"/>
              </w:rPr>
            </w:pPr>
            <w:r>
              <w:rPr>
                <w:rFonts w:ascii="Arial" w:cs="Arial" w:eastAsia="Arial" w:hAnsi="Arial"/>
                <w:sz w:val="13"/>
                <w:szCs w:val="13"/>
                <w:b w:val="1"/>
                <w:bCs w:val="1"/>
                <w:color w:val="auto"/>
              </w:rPr>
              <w:t>(56,537)</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(10,185)</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780" w:type="dxa"/>
            <w:vAlign w:val="bottom"/>
          </w:tcPr>
          <w:p>
            <w:pPr>
              <w:jc w:val="right"/>
              <w:spacing w:after="0"/>
              <w:rPr>
                <w:sz w:val="20"/>
                <w:szCs w:val="20"/>
                <w:color w:val="auto"/>
              </w:rPr>
            </w:pPr>
            <w:r>
              <w:rPr>
                <w:rFonts w:ascii="Arial" w:cs="Arial" w:eastAsia="Arial" w:hAnsi="Arial"/>
                <w:sz w:val="13"/>
                <w:szCs w:val="13"/>
                <w:b w:val="1"/>
                <w:bCs w:val="1"/>
                <w:color w:val="auto"/>
              </w:rPr>
              <w:t>(53)</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900" w:type="dxa"/>
            <w:vAlign w:val="bottom"/>
          </w:tcPr>
          <w:p>
            <w:pPr>
              <w:jc w:val="right"/>
              <w:ind w:right="37"/>
              <w:spacing w:after="0"/>
              <w:rPr>
                <w:sz w:val="20"/>
                <w:szCs w:val="20"/>
                <w:color w:val="auto"/>
              </w:rPr>
            </w:pPr>
            <w:r>
              <w:rPr>
                <w:rFonts w:ascii="Arial" w:cs="Arial" w:eastAsia="Arial" w:hAnsi="Arial"/>
                <w:sz w:val="13"/>
                <w:szCs w:val="13"/>
                <w:b w:val="1"/>
                <w:bCs w:val="1"/>
                <w:color w:val="auto"/>
              </w:rPr>
              <w:t>137,515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1905</wp:posOffset>
            </wp:positionV>
            <wp:extent cx="5720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The accompanying notes are an integral part of the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1531620</wp:posOffset>
            </wp:positionH>
            <wp:positionV relativeFrom="paragraph">
              <wp:posOffset>-93980</wp:posOffset>
            </wp:positionV>
            <wp:extent cx="57200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2008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580"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Nine Months Ended April 30,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460" w:type="dxa"/>
            <w:vAlign w:val="bottom"/>
            <w:gridSpan w:val="5"/>
          </w:tcPr>
          <w:p>
            <w:pPr>
              <w:ind w:left="40"/>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7"/>
                <w:szCs w:val="17"/>
                <w:color w:val="auto"/>
              </w:rPr>
            </w:pPr>
          </w:p>
        </w:tc>
        <w:tc>
          <w:tcPr>
            <w:tcW w:w="106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jc w:val="right"/>
              <w:ind w:right="410"/>
              <w:spacing w:after="0" w:line="196" w:lineRule="exact"/>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48"/>
        </w:trPr>
        <w:tc>
          <w:tcPr>
            <w:tcW w:w="40" w:type="dxa"/>
            <w:vAlign w:val="bottom"/>
            <w:tcBorders>
              <w:bottom w:val="single" w:sz="8" w:color="CCEEFF"/>
            </w:tcBorders>
          </w:tcPr>
          <w:p>
            <w:pPr>
              <w:spacing w:after="0"/>
              <w:rPr>
                <w:sz w:val="4"/>
                <w:szCs w:val="4"/>
                <w:color w:val="auto"/>
              </w:rPr>
            </w:pPr>
          </w:p>
        </w:tc>
        <w:tc>
          <w:tcPr>
            <w:tcW w:w="39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0" w:type="dxa"/>
            <w:vAlign w:val="bottom"/>
            <w:tcBorders>
              <w:top w:val="single" w:sz="8" w:color="auto"/>
              <w:bottom w:val="single" w:sz="8" w:color="CCEEFF"/>
            </w:tcBorders>
          </w:tcPr>
          <w:p>
            <w:pPr>
              <w:spacing w:after="0"/>
              <w:rPr>
                <w:sz w:val="4"/>
                <w:szCs w:val="4"/>
                <w:color w:val="auto"/>
              </w:rPr>
            </w:pPr>
          </w:p>
        </w:tc>
        <w:tc>
          <w:tcPr>
            <w:tcW w:w="440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220" w:type="dxa"/>
            <w:vAlign w:val="bottom"/>
            <w:tcBorders>
              <w:bottom w:val="single" w:sz="8" w:color="CCEEFF"/>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8,777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9,849</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9,577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Amortization of investment net discount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Stock-based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1,590</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1,172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Deferred income taxes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277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6,242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Provision for bad debts and cash discounts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Loss on the sale of fixed assets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Life insurance benefits</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(Increase) Decrease in assets:</w:t>
            </w: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Accounts receivable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(2,185)</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(4,248)</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Other assets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(564)</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Increase (Decrease) in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2,873</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Accrued expenses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(1,762)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Deferred compensation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(421)</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(5,272)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460"/>
              <w:spacing w:after="0"/>
              <w:rPr>
                <w:sz w:val="20"/>
                <w:szCs w:val="20"/>
                <w:color w:val="auto"/>
              </w:rPr>
            </w:pPr>
            <w:r>
              <w:rPr>
                <w:rFonts w:ascii="Arial" w:cs="Arial" w:eastAsia="Arial" w:hAnsi="Arial"/>
                <w:sz w:val="18"/>
                <w:szCs w:val="18"/>
                <w:color w:val="auto"/>
              </w:rPr>
              <w:t>Pension and postretirement benefits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1,287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(11,223)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460"/>
              <w:spacing w:after="0"/>
              <w:rPr>
                <w:sz w:val="20"/>
                <w:szCs w:val="20"/>
                <w:color w:val="auto"/>
              </w:rPr>
            </w:pPr>
            <w:r>
              <w:rPr>
                <w:rFonts w:ascii="Arial" w:cs="Arial" w:eastAsia="Arial" w:hAnsi="Arial"/>
                <w:sz w:val="18"/>
                <w:szCs w:val="18"/>
                <w:color w:val="auto"/>
              </w:rPr>
              <w:t>Other liabilities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249</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780"/>
              <w:spacing w:after="0"/>
              <w:rPr>
                <w:sz w:val="20"/>
                <w:szCs w:val="20"/>
                <w:color w:val="auto"/>
              </w:rPr>
            </w:pPr>
            <w:r>
              <w:rPr>
                <w:rFonts w:ascii="Arial" w:cs="Arial" w:eastAsia="Arial" w:hAnsi="Arial"/>
                <w:sz w:val="18"/>
                <w:szCs w:val="18"/>
                <w:b w:val="1"/>
                <w:bCs w:val="1"/>
                <w:color w:val="auto"/>
              </w:rPr>
              <w:t>Total Adjustments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6,587</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Provided by Operating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15,364</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2,789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3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Capital expenditures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(10,162)</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Proceeds from sale of property, plant and equipment</w:t>
            </w:r>
          </w:p>
        </w:tc>
        <w:tc>
          <w:tcPr>
            <w:tcW w:w="320" w:type="dxa"/>
            <w:vAlign w:val="bottom"/>
          </w:tcPr>
          <w:p>
            <w:pPr>
              <w:spacing w:after="0"/>
              <w:rPr>
                <w:sz w:val="21"/>
                <w:szCs w:val="21"/>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Purchases of short-term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(4,678)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(29,035)</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Dispositions of short-term investments</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11,082</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38,410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CEEFF"/>
            </w:tcBorders>
            <w:shd w:val="clear" w:color="auto" w:fill="CCEEFF"/>
          </w:tcPr>
          <w:p>
            <w:pPr>
              <w:spacing w:after="0"/>
              <w:rPr>
                <w:sz w:val="23"/>
                <w:szCs w:val="23"/>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Proceeds from life insurance</w:t>
            </w: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4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1,747</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(3,758)</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 w:type="dxa"/>
            <w:vAlign w:val="bottom"/>
            <w:shd w:val="clear" w:color="auto" w:fill="CCEEFF"/>
          </w:tcPr>
          <w:p>
            <w:pPr>
              <w:spacing w:after="0"/>
              <w:rPr>
                <w:sz w:val="24"/>
                <w:szCs w:val="24"/>
                <w:color w:val="auto"/>
              </w:rPr>
            </w:pPr>
          </w:p>
        </w:tc>
        <w:tc>
          <w:tcPr>
            <w:tcW w:w="39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44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460" w:type="dxa"/>
            <w:vAlign w:val="bottom"/>
            <w:gridSpan w:val="5"/>
          </w:tcPr>
          <w:p>
            <w:pPr>
              <w:ind w:left="40"/>
              <w:spacing w:after="0" w:line="202" w:lineRule="exact"/>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3940" w:type="dxa"/>
            <w:vAlign w:val="bottom"/>
            <w:tcBorders>
              <w:top w:val="single" w:sz="8" w:color="auto"/>
            </w:tcBorders>
          </w:tcPr>
          <w:p>
            <w:pPr>
              <w:spacing w:after="0"/>
              <w:rPr>
                <w:sz w:val="4"/>
                <w:szCs w:val="4"/>
                <w:color w:val="auto"/>
              </w:rPr>
            </w:pPr>
          </w:p>
        </w:tc>
        <w:tc>
          <w:tcPr>
            <w:tcW w:w="40" w:type="dxa"/>
            <w:vAlign w:val="bottom"/>
            <w:tcBorders>
              <w:top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44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9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Principal payments on notes payable</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(3,083)</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(3,083)</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Dividends paid</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(4,967)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(4,671)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39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color w:val="auto"/>
              </w:rPr>
              <w:t>Purchase of treasury stock</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420" w:type="dxa"/>
            <w:vAlign w:val="bottom"/>
            <w:gridSpan w:val="4"/>
          </w:tcPr>
          <w:p>
            <w:pPr>
              <w:ind w:left="240"/>
              <w:spacing w:after="0"/>
              <w:rPr>
                <w:sz w:val="20"/>
                <w:szCs w:val="20"/>
                <w:color w:val="auto"/>
              </w:rPr>
            </w:pPr>
            <w:r>
              <w:rPr>
                <w:rFonts w:ascii="Arial" w:cs="Arial" w:eastAsia="Arial" w:hAnsi="Arial"/>
                <w:sz w:val="18"/>
                <w:szCs w:val="18"/>
                <w:color w:val="auto"/>
              </w:rPr>
              <w:t>Proceeds from short-term borrowing</w:t>
            </w:r>
          </w:p>
        </w:tc>
        <w:tc>
          <w:tcPr>
            <w:tcW w:w="320" w:type="dxa"/>
            <w:vAlign w:val="bottom"/>
          </w:tcPr>
          <w:p>
            <w:pPr>
              <w:spacing w:after="0"/>
              <w:rPr>
                <w:sz w:val="21"/>
                <w:szCs w:val="21"/>
                <w:color w:val="auto"/>
              </w:rPr>
            </w:pPr>
          </w:p>
        </w:tc>
        <w:tc>
          <w:tcPr>
            <w:tcW w:w="1280" w:type="dxa"/>
            <w:vAlign w:val="bottom"/>
            <w:gridSpan w:val="2"/>
            <w:vMerge w:val="restart"/>
          </w:tcPr>
          <w:p>
            <w:pPr>
              <w:jc w:val="right"/>
              <w:ind w:right="320"/>
              <w:spacing w:after="0"/>
              <w:rPr>
                <w:sz w:val="20"/>
                <w:szCs w:val="20"/>
                <w:color w:val="auto"/>
              </w:rPr>
            </w:pPr>
            <w:r>
              <w:rPr>
                <w:rFonts w:ascii="Arial" w:cs="Arial" w:eastAsia="Arial" w:hAnsi="Arial"/>
                <w:sz w:val="18"/>
                <w:szCs w:val="18"/>
                <w:b w:val="1"/>
                <w:bCs w:val="1"/>
                <w:color w:val="auto"/>
              </w:rPr>
              <w:t>—</w:t>
            </w:r>
          </w:p>
        </w:tc>
        <w:tc>
          <w:tcPr>
            <w:tcW w:w="420" w:type="dxa"/>
            <w:vAlign w:val="bottom"/>
          </w:tcPr>
          <w:p>
            <w:pPr>
              <w:spacing w:after="0"/>
              <w:rPr>
                <w:sz w:val="21"/>
                <w:szCs w:val="21"/>
                <w:color w:val="auto"/>
              </w:rPr>
            </w:pPr>
          </w:p>
        </w:tc>
        <w:tc>
          <w:tcPr>
            <w:tcW w:w="940" w:type="dxa"/>
            <w:vAlign w:val="bottom"/>
            <w:vMerge w:val="restart"/>
          </w:tcPr>
          <w:p>
            <w:pPr>
              <w:jc w:val="right"/>
              <w:ind w:right="10"/>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3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 w:type="dxa"/>
            <w:vAlign w:val="bottom"/>
            <w:tcBorders>
              <w:bottom w:val="single" w:sz="8" w:color="CCEEFF"/>
            </w:tcBorders>
            <w:shd w:val="clear" w:color="auto" w:fill="CCEEFF"/>
          </w:tcPr>
          <w:p>
            <w:pPr>
              <w:spacing w:after="0"/>
              <w:rPr>
                <w:sz w:val="22"/>
                <w:szCs w:val="22"/>
                <w:color w:val="auto"/>
              </w:rPr>
            </w:pPr>
          </w:p>
        </w:tc>
        <w:tc>
          <w:tcPr>
            <w:tcW w:w="8420" w:type="dxa"/>
            <w:vAlign w:val="bottom"/>
            <w:tcBorders>
              <w:bottom w:val="single" w:sz="8" w:color="CCEEFF"/>
            </w:tcBorders>
            <w:gridSpan w:val="4"/>
            <w:shd w:val="clear" w:color="auto" w:fill="CCEEFF"/>
          </w:tcPr>
          <w:p>
            <w:pPr>
              <w:ind w:left="240"/>
              <w:spacing w:after="0"/>
              <w:rPr>
                <w:sz w:val="20"/>
                <w:szCs w:val="20"/>
                <w:color w:val="auto"/>
              </w:rPr>
            </w:pPr>
            <w:r>
              <w:rPr>
                <w:rFonts w:ascii="Arial" w:cs="Arial" w:eastAsia="Arial" w:hAnsi="Arial"/>
                <w:sz w:val="18"/>
                <w:szCs w:val="18"/>
                <w:b w:val="1"/>
                <w:bCs w:val="1"/>
                <w:color w:val="auto"/>
              </w:rPr>
              <w:t>Net Cash Used in Financing Activities</w:t>
            </w:r>
          </w:p>
        </w:tc>
        <w:tc>
          <w:tcPr>
            <w:tcW w:w="3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(8,191)</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37"/>
        </w:trPr>
        <w:tc>
          <w:tcPr>
            <w:tcW w:w="8460" w:type="dxa"/>
            <w:vAlign w:val="bottom"/>
            <w:gridSpan w:val="5"/>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w:t>
            </w:r>
          </w:p>
        </w:tc>
        <w:tc>
          <w:tcPr>
            <w:tcW w:w="220" w:type="dxa"/>
            <w:vAlign w:val="bottom"/>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Net 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3,467</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1,518</w:t>
            </w:r>
          </w:p>
        </w:tc>
        <w:tc>
          <w:tcPr>
            <w:tcW w:w="0" w:type="dxa"/>
            <w:vAlign w:val="bottom"/>
          </w:tcPr>
          <w:p>
            <w:pPr>
              <w:spacing w:after="0"/>
              <w:rPr>
                <w:sz w:val="1"/>
                <w:szCs w:val="1"/>
                <w:color w:val="auto"/>
              </w:rPr>
            </w:pPr>
          </w:p>
        </w:tc>
      </w:tr>
      <w:tr>
        <w:trPr>
          <w:trHeight w:val="243"/>
        </w:trPr>
        <w:tc>
          <w:tcPr>
            <w:tcW w:w="8460" w:type="dxa"/>
            <w:vAlign w:val="bottom"/>
            <w:gridSpan w:val="5"/>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32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12,757</w:t>
            </w: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9,095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39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460" w:type="dxa"/>
            <w:vAlign w:val="bottom"/>
            <w:tcBorders>
              <w:bottom w:val="single" w:sz="8" w:color="CCEEFF"/>
            </w:tcBorders>
            <w:gridSpan w:val="5"/>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16,224</w:t>
            </w:r>
          </w:p>
        </w:tc>
        <w:tc>
          <w:tcPr>
            <w:tcW w:w="2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10,613</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0"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580" w:right="239" w:bottom="1440" w:gutter="0" w:footer="0" w:header="0"/>
          <w:type w:val="continuous"/>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700" w:type="dxa"/>
            <w:vAlign w:val="bottom"/>
            <w:gridSpan w:val="3"/>
          </w:tcPr>
          <w:p>
            <w:pPr>
              <w:jc w:val="right"/>
              <w:spacing w:after="0"/>
              <w:rPr>
                <w:sz w:val="20"/>
                <w:szCs w:val="20"/>
                <w:color w:val="auto"/>
              </w:rPr>
            </w:pPr>
            <w:r>
              <w:rPr>
                <w:rFonts w:ascii="Arial" w:cs="Arial" w:eastAsia="Arial" w:hAnsi="Arial"/>
                <w:sz w:val="18"/>
                <w:szCs w:val="18"/>
                <w:b w:val="1"/>
                <w:bCs w:val="1"/>
                <w:color w:val="auto"/>
              </w:rPr>
              <w:t>(unaudited)</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2960" w:type="dxa"/>
            <w:vAlign w:val="bottom"/>
            <w:tcBorders>
              <w:bottom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296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Nine Months Ended April 30,</w:t>
            </w: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84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46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 expenditures accrued, but not paid</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468</w:t>
            </w:r>
          </w:p>
        </w:tc>
        <w:tc>
          <w:tcPr>
            <w:tcW w:w="2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43"/>
        </w:trPr>
        <w:tc>
          <w:tcPr>
            <w:tcW w:w="8460" w:type="dxa"/>
            <w:vAlign w:val="bottom"/>
          </w:tcPr>
          <w:p>
            <w:pPr>
              <w:ind w:left="280"/>
              <w:spacing w:after="0"/>
              <w:rPr>
                <w:sz w:val="20"/>
                <w:szCs w:val="20"/>
                <w:color w:val="auto"/>
              </w:rPr>
            </w:pPr>
            <w:r>
              <w:rPr>
                <w:rFonts w:ascii="Arial" w:cs="Arial" w:eastAsia="Arial" w:hAnsi="Arial"/>
                <w:sz w:val="18"/>
                <w:szCs w:val="18"/>
                <w:color w:val="auto"/>
              </w:rPr>
              <w:t>Cash dividends declared and accrued, but not paid</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b w:val="1"/>
                <w:bCs w:val="1"/>
                <w:color w:val="auto"/>
              </w:rPr>
              <w:t>1,689</w:t>
            </w:r>
          </w:p>
        </w:tc>
        <w:tc>
          <w:tcPr>
            <w:tcW w:w="22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1,559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96"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right="5100" w:firstLine="8"/>
        <w:spacing w:after="0" w:line="503" w:lineRule="auto"/>
        <w:tabs>
          <w:tab w:leader="none" w:pos="1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 Basis of Presentation</w:t>
      </w:r>
    </w:p>
    <w:p>
      <w:pPr>
        <w:spacing w:after="0" w:line="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of America (“U.S. GAAP”) for interim financial information and in compliance with instructions to Form 10-Q and Article 10 of Regulation S-X. Accordingly, they do not include all of the information and footnotes required by U.S. GAAP for complete financial statements. The financial statements and the related notes are condensed and should be read in conjunction with the Consolidated Financial Statements and related notes for the fiscal year ended July 31, 2018 included in our Annual Report on Form 10-K filed with the SEC.</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unaudited Condensed Consolidated Financial Statements include the accounts of Oil-Dri Corporation of America and its subsidiaries. All significant intercompany transactions are eliminated. Except as otherwise indicated herein or as the context otherwise requires, references to “Oil-Dri,” the “Company,” “we,” “us” or “our” refer to Oil-Dri Corporation of America and its subsidiaries.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The unaudited Condensed Consolidated Financial Statements reflect all adjustments, consisting of normal recurring accruals and reclassifications which are, in the opinion of management, necessary for a fair presentation of the statements contained herein. In addition, certain prior year reclassifications were made to conform to the current year presentation. In accordance with guidance under ASC 220, </w:t>
      </w:r>
      <w:r>
        <w:rPr>
          <w:rFonts w:ascii="Arial" w:cs="Arial" w:eastAsia="Arial" w:hAnsi="Arial"/>
          <w:sz w:val="18"/>
          <w:szCs w:val="18"/>
          <w:i w:val="1"/>
          <w:iCs w:val="1"/>
          <w:color w:val="auto"/>
        </w:rPr>
        <w:t>Reclassification of Certain Tax Effects from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the unaudited Condensed Consolidated Financial Statements for the three and nine months ended April 30, 2018 include a</w:t>
      </w:r>
      <w:r>
        <w:rPr>
          <w:rFonts w:ascii="Arial" w:cs="Arial" w:eastAsia="Arial" w:hAnsi="Arial"/>
          <w:sz w:val="18"/>
          <w:szCs w:val="18"/>
          <w:i w:val="1"/>
          <w:iCs w:val="1"/>
          <w:color w:val="auto"/>
        </w:rPr>
        <w:t xml:space="preserve"> </w:t>
      </w:r>
      <w:r>
        <w:rPr>
          <w:rFonts w:ascii="Arial" w:cs="Arial" w:eastAsia="Arial" w:hAnsi="Arial"/>
          <w:sz w:val="18"/>
          <w:szCs w:val="18"/>
          <w:color w:val="auto"/>
        </w:rPr>
        <w:t>reclassification from accumulated other comprehensive income to retained earnings for the stranded tax effects that resulted from a change in tax rates under the Tax Cuts and Jobs Act (the “2017 Tax Act”).</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Operating results for the three and nine months ended April 30, 2019 are not necessarily an indication of the results that may be expected for the fiscal year ending July 31, 2019.</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Correction of Error</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third quarter of fiscal 2019, we discovered an error in the unaudited Condensed Consolidated Statements of Comprehensive Income for the three and nine months ended April 30, 2018. The reported line item for Other Comprehensive Income: Pension and postretirement benefits (net of tax) improperly included the amount reclassified from accumulated other comprehensive income upon adoption of ASC 220 described above. As a result of this error, Other Comprehensive Income and Total Comprehensive Income were understated by $2,264,000 for the three and nine months ended April 30, 2018. Other Comprehensive Loss from pension and postretirement benefits (net of tax) was previously reported as $2,026,000 and $1,608,000 for the three months and nine months ended April 30, 2018, respectively. Comprehensive Income was properly reported on the financial statements presented in our Form 10-K for fiscal year 2018. We have assessed the materiality of the misstatement both quantitatively and qualitatively and determined that the error was immaterial to prior consolidated interim financial statements taken as a whole. Corrected amounts are included in the comparative periods presented in this Form 10-Q.</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 Use of Estimates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the unaudited Condensed Consolidated Financial Statements in conformity with U.S. GAAP requires the use of estimates and assumptions that affect the reported amounts of assets, liabilities, revenues and expenses during the reporting period, as well as the related disclosures. All of our estimates and assumptions are revised periodically. Actual results could differ from these estimates.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Except as described herein, our significant accounting policies, which are detailed in our Annual Report on Form 10-K for the fiscal year ended July 31, 2018 have not materially changed. However, the unaudited Condensed Consolidated Financial Statements reflect changes required upon adoption of new accounting guidance, as described in Note 2 of the Notes to unaudited Condensed Consolidated Financial Statements. The following is a description of certain of our significant accounting policies.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0" w:right="239" w:bottom="1440" w:gutter="0" w:footer="0" w:header="0"/>
        </w:sectPr>
      </w:pPr>
    </w:p>
    <w:bookmarkStart w:id="12" w:name="page13"/>
    <w:bookmarkEnd w:id="12"/>
    <w:p>
      <w:pPr>
        <w:jc w:val="both"/>
        <w:spacing w:after="0" w:line="303" w:lineRule="auto"/>
        <w:rPr>
          <w:sz w:val="20"/>
          <w:szCs w:val="20"/>
          <w:color w:val="auto"/>
        </w:rPr>
      </w:pPr>
      <w:r>
        <w:rPr>
          <w:rFonts w:ascii="Arial" w:cs="Arial" w:eastAsia="Arial" w:hAnsi="Arial"/>
          <w:sz w:val="16"/>
          <w:szCs w:val="16"/>
          <w:b w:val="1"/>
          <w:bCs w:val="1"/>
          <w:color w:val="auto"/>
        </w:rPr>
        <w:t xml:space="preserve">Revenue Recognition. </w:t>
      </w:r>
      <w:r>
        <w:rPr>
          <w:rFonts w:ascii="Arial" w:cs="Arial" w:eastAsia="Arial" w:hAnsi="Arial"/>
          <w:sz w:val="16"/>
          <w:szCs w:val="16"/>
          <w:color w:val="auto"/>
        </w:rPr>
        <w:t>We recognize revenue when performance obligations under the terms of the contracts with customers are satisfied. Our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generally consists of the promise to sell finished products to wholesalers, distributors and retailers or consumers and our obligations have an original duration of one year or less. Control of the finished products are transferred upon shipment to, or receipt at, customers' locations, as determined by the specific terms of the contract. We have completed our performance obligation when control is transferred and we recognize revenue accordingly.</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an unconditional right to consideration under the payment terms specified in the contract upon completion of the performance obligation. We may require certain customers to provide payment in advance of product shipment. We recorded a liability for these advance payments of $157,000 and $96,000 as of April 30, 2019 and July 31, 2018, respectively. This liability is reported in Other Accrued Expenses on the Condensed Consolidated Balance Sheet. Revenue recognized during the nine months ended April 30, 2019 that was included in the liability for advance payments at the beginning of the period was $96,000.</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We routinely commit to one-time or ongoing trade promotion programs directly with consumers, such as coupon programs, and with customers, such as volume discounts, cooperative marketing and other arrangements. We estimate and accrue the expected costs of these programs. These costs are considered variable consideration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are netted against sales when revenue is recorded. The accruals are based on our best estimate of the amounts necessary to settle future and existing obligations on products sold as of the balance sheet date. To estimate these accruals, we rely on our historical experience of trade spending patterns and that of the industry, current trends and forecasted data.</w:t>
      </w:r>
    </w:p>
    <w:p>
      <w:pPr>
        <w:spacing w:after="0" w:line="154"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Selling, General and Administrative Expenses. </w:t>
      </w:r>
      <w:r>
        <w:rPr>
          <w:rFonts w:ascii="Arial" w:cs="Arial" w:eastAsia="Arial" w:hAnsi="Arial"/>
          <w:sz w:val="18"/>
          <w:szCs w:val="18"/>
          <w:color w:val="auto"/>
        </w:rPr>
        <w:t>Selling, general and administrative expenses (“SG&amp;A”) include salaries, wages and benefits associated</w:t>
      </w:r>
      <w:r>
        <w:rPr>
          <w:rFonts w:ascii="Arial" w:cs="Arial" w:eastAsia="Arial" w:hAnsi="Arial"/>
          <w:sz w:val="18"/>
          <w:szCs w:val="18"/>
          <w:b w:val="1"/>
          <w:bCs w:val="1"/>
          <w:color w:val="auto"/>
        </w:rPr>
        <w:t xml:space="preserve"> </w:t>
      </w:r>
      <w:r>
        <w:rPr>
          <w:rFonts w:ascii="Arial" w:cs="Arial" w:eastAsia="Arial" w:hAnsi="Arial"/>
          <w:sz w:val="18"/>
          <w:szCs w:val="18"/>
          <w:color w:val="auto"/>
        </w:rPr>
        <w:t>with staff outside the manufacturing and distribution functions, all marketing related costs, any miscellaneous trade spending expenses not required to be included in net sales, research and development costs, depreciation and amortization related to assets outside the manufacturing and distribution process and all other non-manufacturing and non-distribution expenses.</w:t>
      </w:r>
    </w:p>
    <w:p>
      <w:pPr>
        <w:spacing w:after="0" w:line="180"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Trade Receivables. </w:t>
      </w:r>
      <w:r>
        <w:rPr>
          <w:rFonts w:ascii="Arial" w:cs="Arial" w:eastAsia="Arial" w:hAnsi="Arial"/>
          <w:sz w:val="18"/>
          <w:szCs w:val="18"/>
          <w:color w:val="auto"/>
        </w:rPr>
        <w:t>We record an allowance for doubtful accounts based on our historical experience and a periodic review of our accounts receivable,</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a review of the overall aging of accounts, consideration of customer credit risk and analysis of facts and circumstances about specific customer accounts. A customer account is determined to be uncollectible when it is probable that a loss will be incurred after we have completed our internal collection procedures, including termination of shipments, direct customer contact and formal demand of payment.</w:t>
      </w:r>
    </w:p>
    <w:p>
      <w:pPr>
        <w:spacing w:after="0" w:line="180"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Overburden Removal and Mining Costs. </w:t>
      </w:r>
      <w:r>
        <w:rPr>
          <w:rFonts w:ascii="Arial" w:cs="Arial" w:eastAsia="Arial" w:hAnsi="Arial"/>
          <w:sz w:val="16"/>
          <w:szCs w:val="16"/>
          <w:color w:val="auto"/>
        </w:rPr>
        <w:t>We mine sorbent materials on property that we either own or lease as part of our overall operations. A significant</w:t>
      </w:r>
      <w:r>
        <w:rPr>
          <w:rFonts w:ascii="Arial" w:cs="Arial" w:eastAsia="Arial" w:hAnsi="Arial"/>
          <w:sz w:val="16"/>
          <w:szCs w:val="16"/>
          <w:b w:val="1"/>
          <w:bCs w:val="1"/>
          <w:color w:val="auto"/>
        </w:rPr>
        <w:t xml:space="preserve"> </w:t>
      </w:r>
      <w:r>
        <w:rPr>
          <w:rFonts w:ascii="Arial" w:cs="Arial" w:eastAsia="Arial" w:hAnsi="Arial"/>
          <w:sz w:val="16"/>
          <w:szCs w:val="16"/>
          <w:color w:val="auto"/>
        </w:rPr>
        <w:t>part of our overall mining cost is incurred during the process of removing the overburden (non-usable material) from the mine site, thus exposing the sorbent material used in a majority of our production processes. These stripping costs are treated as a variable inventory production cost and are included in cost of sales in the period they are incurred. We defer and amortize the pre-production overburden removal costs associated with opening a new mine.</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it is our policy to capitalize the purchase cost of land and mineral rights, including associated legal fees, survey fees and real estate fees. The costs of obtaining mineral patents, including legal fees and drilling expenses, are also capitalized. Pre-production development costs on new mines and any prepaid royalties that may be offset against future royalties due upon extraction of the minerals are also capitalized. All exploration related costs are expensed as incurred.</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perform ongoing reclamation activities during the normal course of our overburden removal. As overburden is removed from a mine site, it is hauled to previously mined sites and is used to refill older sites. This process allows us to continuously reclaim older mine sites and dispose of overburden simultaneously, therefore minimizing the costs associated with the reclamation process.</w:t>
      </w:r>
    </w:p>
    <w:p>
      <w:pPr>
        <w:spacing w:after="0" w:line="177" w:lineRule="exact"/>
        <w:rPr>
          <w:sz w:val="20"/>
          <w:szCs w:val="20"/>
          <w:color w:val="auto"/>
        </w:rPr>
      </w:pPr>
    </w:p>
    <w:p>
      <w:pPr>
        <w:ind w:right="5860" w:firstLine="8"/>
        <w:spacing w:after="0" w:line="503" w:lineRule="auto"/>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NEW ACCOUNTING PRONOUNCEMENTS AND REGULATIONS Recently Issued Pronouncements</w:t>
      </w:r>
    </w:p>
    <w:p>
      <w:pPr>
        <w:spacing w:after="0" w:line="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 xml:space="preserve">In February 2016, the Financial Accounting Standards Board (“FASB”) issued guidance under ASC 842, </w:t>
      </w:r>
      <w:r>
        <w:rPr>
          <w:rFonts w:ascii="Arial" w:cs="Arial" w:eastAsia="Arial" w:hAnsi="Arial"/>
          <w:sz w:val="16"/>
          <w:szCs w:val="16"/>
          <w:i w:val="1"/>
          <w:iCs w:val="1"/>
          <w:color w:val="auto"/>
        </w:rPr>
        <w:t>Leases</w:t>
      </w:r>
      <w:r>
        <w:rPr>
          <w:rFonts w:ascii="Arial" w:cs="Arial" w:eastAsia="Arial" w:hAnsi="Arial"/>
          <w:sz w:val="16"/>
          <w:szCs w:val="16"/>
          <w:color w:val="auto"/>
        </w:rPr>
        <w:t>, which provides that, for leases with a term greater than 12 months, a lessee must recognize in the statement of financial position both a liability to make lease payments and an asset representing its right to use the underlying asset. Other requirements describe expense recognition, as well as financial statement presentation and disclosure. This guidance is effective for our first quarter of fiscal year 2020 using a modified retrospective approach, which includes a number of optional practical expedients. Early adoption is permitted. We are currently evaluating the impact of the adoption of this requirement on our Consolidated Financial Statements.</w:t>
      </w:r>
    </w:p>
    <w:p>
      <w:pPr>
        <w:spacing w:after="0" w:line="14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In June 2016, the FASB issued guidance under ASC 326, </w:t>
      </w:r>
      <w:r>
        <w:rPr>
          <w:rFonts w:ascii="Arial" w:cs="Arial" w:eastAsia="Arial" w:hAnsi="Arial"/>
          <w:sz w:val="18"/>
          <w:szCs w:val="18"/>
          <w:i w:val="1"/>
          <w:iCs w:val="1"/>
          <w:color w:val="auto"/>
        </w:rPr>
        <w:t>Financial Instruments-Credit Losses</w:t>
      </w:r>
      <w:r>
        <w:rPr>
          <w:rFonts w:ascii="Arial" w:cs="Arial" w:eastAsia="Arial" w:hAnsi="Arial"/>
          <w:sz w:val="18"/>
          <w:szCs w:val="18"/>
          <w:color w:val="auto"/>
        </w:rPr>
        <w:t>, which requires companies to utilize an impairment model for most financial assets measured at amortized cost and certain other financial instruments, which include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0" w:right="239" w:bottom="1440" w:gutter="0" w:footer="0" w:header="0"/>
        </w:sectPr>
      </w:pPr>
    </w:p>
    <w:bookmarkStart w:id="13" w:name="page14"/>
    <w:bookmarkEnd w:id="13"/>
    <w:p>
      <w:pPr>
        <w:jc w:val="both"/>
        <w:spacing w:after="0" w:line="257" w:lineRule="auto"/>
        <w:rPr>
          <w:sz w:val="20"/>
          <w:szCs w:val="20"/>
          <w:color w:val="auto"/>
        </w:rPr>
      </w:pPr>
      <w:r>
        <w:rPr>
          <w:rFonts w:ascii="Arial" w:cs="Arial" w:eastAsia="Arial" w:hAnsi="Arial"/>
          <w:sz w:val="18"/>
          <w:szCs w:val="18"/>
          <w:color w:val="auto"/>
        </w:rPr>
        <w:t>trade and other receivables, loans and held-to-maturity debt securities, to record an allowance for credit risk based on expected losses rather than incurred losses. In addition, this new guidance changes the recognition method for credit losses on available-for-sale debt securities, which can occur as a result of market and credit risk, as well as additional disclosures. In general, this guidance will require modified retrospective adoption for all outstanding instruments that fall under this guidance. This guidance is effective for our first quarter of fiscal year 2021. We are currently evaluating the impact of the adoption of this requirement on our Consolidated Financial Statements.</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have been no other accounting pronouncements issued but not yet adopted by us which are expected to have a material impact on our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Pronouncements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 xml:space="preserve">In May 2014, the FASB issued guidance under ASC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and subsequently issued several amendments to further clarify the principles for recognizing revenue. This guidance establishes a single comprehensive revenue recognition model for all contracts with customers and will supersede most existing revenue guidance. The core principle of ASC 606 is that entities should recognize revenue to depict the transfer of promised goods or services to customers in an amount that reflects the consideration to which the entity expects to be entitled to receive in exchange.</w:t>
      </w:r>
    </w:p>
    <w:p>
      <w:pPr>
        <w:spacing w:after="0" w:line="1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Oil-Dri adopted the new guidance on a modified retrospective basis effective August 1, 2018. We applied the practical expedient available under ASC 606 to disregard determining significant financing components if the good is transferred and payment is received within one year. We also adopted the policy election to exclude from the transaction price all amounts collected from customers for sales and other taxes. We do not expect a material impact on our annual Consolidated Financial Statements from the adoption of this guidance. Results for periods beginning on or after August 1, 2018 are recognized and presented in accordance with ASC 606, while prior period amounts have not been adjusted and continue to be reported in accordance with the prior account guidance under ASC 605, </w:t>
      </w: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9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In January 2016, the FASB issued guidance under ASC 825, </w:t>
      </w:r>
      <w:r>
        <w:rPr>
          <w:rFonts w:ascii="Arial" w:cs="Arial" w:eastAsia="Arial" w:hAnsi="Arial"/>
          <w:sz w:val="16"/>
          <w:szCs w:val="16"/>
          <w:i w:val="1"/>
          <w:iCs w:val="1"/>
          <w:color w:val="auto"/>
        </w:rPr>
        <w:t>Recognition and Measurement of Financial Assets and Financial Liabilities.</w:t>
      </w:r>
      <w:r>
        <w:rPr>
          <w:rFonts w:ascii="Arial" w:cs="Arial" w:eastAsia="Arial" w:hAnsi="Arial"/>
          <w:sz w:val="16"/>
          <w:szCs w:val="16"/>
          <w:color w:val="auto"/>
        </w:rPr>
        <w:t xml:space="preserve"> This guidance addresses certain aspects of recognition, measurement, presentation and disclosure of financial instruments. This guidance was effective for our first quarter of fiscal year 2019. The provisions relevant to us relate to fair value disclosures for our notes payable, which are measured at amortized cost on the balance sheet. These provisions require the use of the exit price notion when measuring the fair value of financial instruments for disclosure purposes, as well as eliminate the requirement to disclose the method and significant assumptions used to estimate the fair value in such disclosure. This guidance impacted our disclosures only on a prospective basis and did not have a material impact on our unaudited Condensed Consolidated Financial Statements. See Note 4 of the Notes to unaudited Condensed Consolidated Financial Statements for further information about Fair Value Measurements.</w:t>
      </w:r>
    </w:p>
    <w:p>
      <w:pPr>
        <w:spacing w:after="0" w:line="15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 xml:space="preserve">In March 2017, the FASB issued guidance under ASC 715,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Cost, </w:t>
      </w:r>
      <w:r>
        <w:rPr>
          <w:rFonts w:ascii="Arial" w:cs="Arial" w:eastAsia="Arial" w:hAnsi="Arial"/>
          <w:sz w:val="17"/>
          <w:szCs w:val="17"/>
          <w:color w:val="auto"/>
        </w:rPr>
        <w:t>which requires presenting the service cost component of net periodic benefit cost in the same income statement line item(s) as other employee</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costs arising from services rendered during the period. This standard also requires that other components of the net periodic benefit cost be presented separately from the line items that includes service costs and outside of any subtotal of operating income, if one is presented, on a retrospective basis. We adopted this new guidance in the first quarter of fiscal 2019 and accordingly recorded the non-service cost components of net periodic benefit cost in Other Income (Expense) in the line item Other, net on the unaudited Condensed Consolidated Statements of Income and Retained Earnings. As such, the adoption did not have a material impact on our Consolidated Financial Statements. See Note 6 of the Notes to unaudited Condensed Consolidated Financial Statements for further information about our pension and postretirement health plans.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2018, the SEC adopted a final rule to simplify certain disclosure requirements, </w:t>
      </w:r>
      <w:r>
        <w:rPr>
          <w:rFonts w:ascii="Arial" w:cs="Arial" w:eastAsia="Arial" w:hAnsi="Arial"/>
          <w:sz w:val="16"/>
          <w:szCs w:val="16"/>
          <w:i w:val="1"/>
          <w:iCs w:val="1"/>
          <w:color w:val="auto"/>
        </w:rPr>
        <w:t>Disclosure Update and Simplification (</w:t>
      </w:r>
      <w:r>
        <w:rPr>
          <w:rFonts w:ascii="Arial" w:cs="Arial" w:eastAsia="Arial" w:hAnsi="Arial"/>
          <w:sz w:val="16"/>
          <w:szCs w:val="16"/>
          <w:color w:val="auto"/>
        </w:rPr>
        <w:t>the “Final Rule”)</w:t>
      </w:r>
      <w:r>
        <w:rPr>
          <w:rFonts w:ascii="Arial" w:cs="Arial" w:eastAsia="Arial" w:hAnsi="Arial"/>
          <w:sz w:val="16"/>
          <w:szCs w:val="16"/>
          <w:i w:val="1"/>
          <w:iCs w:val="1"/>
          <w:color w:val="auto"/>
        </w:rPr>
        <w:t>,</w:t>
      </w:r>
      <w:r>
        <w:rPr>
          <w:rFonts w:ascii="Arial" w:cs="Arial" w:eastAsia="Arial" w:hAnsi="Arial"/>
          <w:sz w:val="16"/>
          <w:szCs w:val="16"/>
          <w:color w:val="auto"/>
        </w:rPr>
        <w:t xml:space="preserve"> which removed or modified certain disclosure requirements that require substantially similar information in other SEC disclosure requirements or under U.S. GAAP, as well as information that has become outdated over time. The amendments generally eliminate disclosures, but also include one expanded disclosure related to interim-period changes in stockholders' equity. The Final Rule became effective on November 5, 2018. The SEC staff clarified that a filer's first presentation of the expanded interim disclosure regarding changes in stockholders' equity may be included in its Form 10-Q for the quarter that begins after the effective date. Accordingly, we have included unaudited Statements of Stockholders' Equity in this Form 10-Q for our third quarter ended April 30, 2019.</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87"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6660" w:type="dxa"/>
            <w:vAlign w:val="bottom"/>
            <w:gridSpan w:val="2"/>
          </w:tcPr>
          <w:p>
            <w:pPr>
              <w:spacing w:after="0"/>
              <w:rPr>
                <w:sz w:val="20"/>
                <w:szCs w:val="20"/>
                <w:color w:val="auto"/>
              </w:rPr>
            </w:pPr>
            <w:r>
              <w:rPr>
                <w:rFonts w:ascii="Arial" w:cs="Arial" w:eastAsia="Arial" w:hAnsi="Arial"/>
                <w:sz w:val="18"/>
                <w:szCs w:val="18"/>
                <w:b w:val="1"/>
                <w:bCs w:val="1"/>
                <w:color w:val="auto"/>
              </w:rPr>
              <w:t>3. INVENTORIES</w:t>
            </w: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r>
      <w:tr>
        <w:trPr>
          <w:trHeight w:val="432"/>
        </w:trPr>
        <w:tc>
          <w:tcPr>
            <w:tcW w:w="6660" w:type="dxa"/>
            <w:vAlign w:val="bottom"/>
            <w:gridSpan w:val="2"/>
          </w:tcPr>
          <w:p>
            <w:pPr>
              <w:spacing w:after="0"/>
              <w:rPr>
                <w:sz w:val="20"/>
                <w:szCs w:val="20"/>
                <w:color w:val="auto"/>
              </w:rPr>
            </w:pPr>
            <w:r>
              <w:rPr>
                <w:rFonts w:ascii="Arial" w:cs="Arial" w:eastAsia="Arial" w:hAnsi="Arial"/>
                <w:sz w:val="18"/>
                <w:szCs w:val="18"/>
                <w:color w:val="auto"/>
              </w:rPr>
              <w:t>The composition of inventories is as follows (in thousands):</w:t>
            </w: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60"/>
        </w:trPr>
        <w:tc>
          <w:tcPr>
            <w:tcW w:w="192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b w:val="1"/>
                <w:bCs w:val="1"/>
                <w:color w:val="auto"/>
              </w:rPr>
              <w:t>April 30,</w:t>
            </w:r>
          </w:p>
        </w:tc>
        <w:tc>
          <w:tcPr>
            <w:tcW w:w="220" w:type="dxa"/>
            <w:vAlign w:val="bottom"/>
          </w:tcPr>
          <w:p>
            <w:pPr>
              <w:spacing w:after="0"/>
              <w:rPr>
                <w:sz w:val="24"/>
                <w:szCs w:val="24"/>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b w:val="1"/>
                <w:bCs w:val="1"/>
                <w:color w:val="auto"/>
              </w:rPr>
              <w:t>July 31,</w:t>
            </w:r>
          </w:p>
        </w:tc>
      </w:tr>
      <w:tr>
        <w:trPr>
          <w:trHeight w:val="234"/>
        </w:trPr>
        <w:tc>
          <w:tcPr>
            <w:tcW w:w="192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r>
      <w:tr>
        <w:trPr>
          <w:trHeight w:val="27"/>
        </w:trPr>
        <w:tc>
          <w:tcPr>
            <w:tcW w:w="1920" w:type="dxa"/>
            <w:vAlign w:val="bottom"/>
          </w:tcPr>
          <w:p>
            <w:pPr>
              <w:spacing w:after="0"/>
              <w:rPr>
                <w:sz w:val="2"/>
                <w:szCs w:val="2"/>
                <w:color w:val="auto"/>
              </w:rPr>
            </w:pPr>
          </w:p>
        </w:tc>
        <w:tc>
          <w:tcPr>
            <w:tcW w:w="4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1920" w:type="dxa"/>
            <w:vAlign w:val="bottom"/>
          </w:tcPr>
          <w:p>
            <w:pPr>
              <w:spacing w:after="0"/>
              <w:rPr>
                <w:sz w:val="21"/>
                <w:szCs w:val="21"/>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15,604</w:t>
            </w:r>
          </w:p>
        </w:tc>
        <w:tc>
          <w:tcPr>
            <w:tcW w:w="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14,223</w:t>
            </w:r>
          </w:p>
        </w:tc>
      </w:tr>
      <w:tr>
        <w:trPr>
          <w:trHeight w:val="243"/>
        </w:trPr>
        <w:tc>
          <w:tcPr>
            <w:tcW w:w="1920" w:type="dxa"/>
            <w:vAlign w:val="bottom"/>
          </w:tcPr>
          <w:p>
            <w:pPr>
              <w:spacing w:after="0"/>
              <w:rPr>
                <w:sz w:val="21"/>
                <w:szCs w:val="21"/>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Packaging</w:t>
            </w:r>
          </w:p>
        </w:tc>
        <w:tc>
          <w:tcPr>
            <w:tcW w:w="20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6,722</w:t>
            </w: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5,349</w:t>
            </w:r>
          </w:p>
        </w:tc>
      </w:tr>
      <w:tr>
        <w:trPr>
          <w:trHeight w:val="27"/>
        </w:trPr>
        <w:tc>
          <w:tcPr>
            <w:tcW w:w="1920" w:type="dxa"/>
            <w:vAlign w:val="bottom"/>
          </w:tcPr>
          <w:p>
            <w:pPr>
              <w:spacing w:after="0"/>
              <w:rPr>
                <w:sz w:val="2"/>
                <w:szCs w:val="2"/>
                <w:color w:val="auto"/>
              </w:rPr>
            </w:pPr>
          </w:p>
        </w:tc>
        <w:tc>
          <w:tcPr>
            <w:tcW w:w="4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0"/>
        </w:trPr>
        <w:tc>
          <w:tcPr>
            <w:tcW w:w="1920" w:type="dxa"/>
            <w:vAlign w:val="bottom"/>
          </w:tcPr>
          <w:p>
            <w:pPr>
              <w:spacing w:after="0"/>
              <w:rPr>
                <w:sz w:val="23"/>
                <w:szCs w:val="23"/>
                <w:color w:val="auto"/>
              </w:rPr>
            </w:pPr>
          </w:p>
        </w:tc>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4,412</w:t>
            </w:r>
          </w:p>
        </w:tc>
        <w:tc>
          <w:tcPr>
            <w:tcW w:w="2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2,949</w:t>
            </w:r>
          </w:p>
        </w:tc>
      </w:tr>
      <w:tr>
        <w:trPr>
          <w:trHeight w:val="257"/>
        </w:trPr>
        <w:tc>
          <w:tcPr>
            <w:tcW w:w="1920" w:type="dxa"/>
            <w:vAlign w:val="bottom"/>
          </w:tcPr>
          <w:p>
            <w:pPr>
              <w:spacing w:after="0"/>
              <w:rPr>
                <w:sz w:val="22"/>
                <w:szCs w:val="22"/>
                <w:color w:val="auto"/>
              </w:rPr>
            </w:pPr>
          </w:p>
        </w:tc>
        <w:tc>
          <w:tcPr>
            <w:tcW w:w="4740" w:type="dxa"/>
            <w:vAlign w:val="bottom"/>
          </w:tcPr>
          <w:p>
            <w:pPr>
              <w:ind w:left="2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26,738</w:t>
            </w:r>
          </w:p>
        </w:tc>
        <w:tc>
          <w:tcPr>
            <w:tcW w:w="2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22,521</w:t>
            </w:r>
          </w:p>
        </w:tc>
      </w:tr>
      <w:tr>
        <w:trPr>
          <w:trHeight w:val="20"/>
        </w:trPr>
        <w:tc>
          <w:tcPr>
            <w:tcW w:w="19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Inventories are valued at the lower of cost (first-in, first-out) or net realizable value. Inventory costs include the cost of raw materials, packaging supplies, labor and other overhead costs. We performed a detailed review of our inventory items to determine if an obsolescence reserve adjustment was necessary. The review surveyed all of our operating facilities and sales groups to ensure that both historical issues and new market trends were considered. The obsolescence reserve not only considered specific items, but also took into consideration the overall value of the inventory as of the balance sheet date. The inventory obsolescence reserve values at April 30, 2019 and July 31, 2018 were $931,000 and $1,136,000,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The inputs used to measure fair value are prioritized into categories based on the lowest level of input that is significant to the fair value measurement. The categories in the fair value hierarchy are as follows: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2: Observable market-based inputs for similar assets or liabilities or valuation models whose inputs are observable, directly or indirectly.</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Unobservable inputs.</w:t>
      </w:r>
    </w:p>
    <w:p>
      <w:pPr>
        <w:spacing w:after="0" w:line="21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Cash equivalents of $26,000 and $9,920,000 as of April 30, 2019 and July 31, 2018, respectively, were classified as Level 1. These cash instruments are primarily money market mutual funds and are included in cash and cash equivalents on the unaudited Condensed Consolidated Balance Sheet.</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Short-term investments included U.S. Treasury securities and certificates of deposit. We intend and have the ability to hold our short-term investments to maturity; therefore, these investments were reported at amortized cost, which approximated fair value as of April 30, 2019 and July 31, 2018.</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Balances of accounts receivable and accounts payable approximated their fair values at April 30, 2019 and July 31, 2018 due to the short maturity and nature of those balances.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Notes payable are reported at the face amount of future maturities. The estimated fair value of notes payable, including current maturities, was $6,308,000 and $9,553,000 as of April 30, 2019 and July 31, 2018, respectively, and are classified as Level 2. The fair value as of April 30, 2019, was determined using the exit price notion of fair value required by the adoption of new accounting guidance for fiscal year 2019, as discussed in Note 2 of the Notes to unaudited Condensed Consolidated Financial Statements.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apply fair value techniques on at least an annual basis associated with: (1) valuing potential impairment loss related to goodwill, trademarks and other indefinite-lived intangible assets and (2) valuing potential impairment loss related to long-lived assets. See Note 5 of the Notes to unaudited Condensed Consolidated Financial Statements for further information about goodwill and other intangible assets.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5. GOODWILL AND OTHER INTANGIBLE ASSETS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Intangible amortization expense was $209,000 and $255,000 in the third quarter of fiscal years 2019 and 2018, respectively. Intangible amortization expense was $628,000 and $762,000 in the first nine months of fiscal years 2019 and 2018, respectively. Estimated intangible amortization for the remainder of fiscal year 2019 is $209,000. Estimated intangible amortization for the next five fiscal years is as follows (in thousands):</w:t>
      </w:r>
    </w:p>
    <w:p>
      <w:pPr>
        <w:spacing w:after="0" w:line="99" w:lineRule="exact"/>
        <w:rPr>
          <w:sz w:val="20"/>
          <w:szCs w:val="20"/>
          <w:color w:val="auto"/>
        </w:rPr>
      </w:pPr>
    </w:p>
    <w:tbl>
      <w:tblPr>
        <w:tblLayout w:type="fixed"/>
        <w:tblInd w:w="4480" w:type="dxa"/>
        <w:tblCellMar>
          <w:top w:w="0" w:type="dxa"/>
          <w:left w:w="0" w:type="dxa"/>
          <w:bottom w:w="0" w:type="dxa"/>
          <w:right w:w="0" w:type="dxa"/>
        </w:tblCellMar>
      </w:tblPr>
      <w:tr>
        <w:trPr>
          <w:trHeight w:val="270"/>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2020</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668</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2021</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0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89"/>
              </w:rPr>
              <w:t>2022</w:t>
            </w:r>
          </w:p>
        </w:tc>
        <w:tc>
          <w:tcPr>
            <w:tcW w:w="9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334</w:t>
            </w:r>
          </w:p>
        </w:tc>
      </w:tr>
      <w:tr>
        <w:trPr>
          <w:trHeight w:val="243"/>
        </w:trPr>
        <w:tc>
          <w:tcPr>
            <w:tcW w:w="1000" w:type="dxa"/>
            <w:vAlign w:val="bottom"/>
          </w:tcPr>
          <w:p>
            <w:pPr>
              <w:jc w:val="right"/>
              <w:ind w:right="530"/>
              <w:spacing w:after="0"/>
              <w:rPr>
                <w:sz w:val="20"/>
                <w:szCs w:val="20"/>
                <w:color w:val="auto"/>
              </w:rPr>
            </w:pPr>
            <w:r>
              <w:rPr>
                <w:rFonts w:ascii="Arial" w:cs="Arial" w:eastAsia="Arial" w:hAnsi="Arial"/>
                <w:sz w:val="18"/>
                <w:szCs w:val="18"/>
                <w:color w:val="auto"/>
                <w:w w:val="89"/>
              </w:rPr>
              <w:t>2023</w:t>
            </w:r>
          </w:p>
        </w:tc>
        <w:tc>
          <w:tcPr>
            <w:tcW w:w="9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7"/>
        </w:trPr>
        <w:tc>
          <w:tcPr>
            <w:tcW w:w="10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43"/>
        </w:trPr>
        <w:tc>
          <w:tcPr>
            <w:tcW w:w="1000" w:type="dxa"/>
            <w:vAlign w:val="bottom"/>
            <w:shd w:val="clear" w:color="auto" w:fill="CCEEFF"/>
          </w:tcPr>
          <w:p>
            <w:pPr>
              <w:jc w:val="right"/>
              <w:ind w:right="530"/>
              <w:spacing w:after="0"/>
              <w:rPr>
                <w:sz w:val="20"/>
                <w:szCs w:val="20"/>
                <w:color w:val="auto"/>
              </w:rPr>
            </w:pPr>
            <w:r>
              <w:rPr>
                <w:rFonts w:ascii="Arial" w:cs="Arial" w:eastAsia="Arial" w:hAnsi="Arial"/>
                <w:sz w:val="18"/>
                <w:szCs w:val="18"/>
                <w:color w:val="auto"/>
                <w:w w:val="89"/>
              </w:rPr>
              <w:t>2024</w:t>
            </w:r>
          </w:p>
        </w:tc>
        <w:tc>
          <w:tcPr>
            <w:tcW w:w="9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10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have one acquired trademark recorded at a cost of $376,000 that was determined to have an indefinite life and is not amortized.</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performed our annual goodwill impairment analysis in the fourth quarter of fiscal year 2018 and no impairment was identified. There have been no triggering events that would indicate a new impairment analysis is needed.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PENSION AND OTHER POSTRETIREMENT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net periodic pension and postretirement health benefit costs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6"/>
              </w:rPr>
              <w:t>Pension Benefits</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0"/>
        </w:trPr>
        <w:tc>
          <w:tcPr>
            <w:tcW w:w="4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32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Three Months Ended April 30,</w:t>
            </w:r>
          </w:p>
        </w:tc>
        <w:tc>
          <w:tcPr>
            <w:tcW w:w="140" w:type="dxa"/>
            <w:vAlign w:val="bottom"/>
          </w:tcPr>
          <w:p>
            <w:pPr>
              <w:spacing w:after="0"/>
              <w:rPr>
                <w:sz w:val="20"/>
                <w:szCs w:val="20"/>
                <w:color w:val="auto"/>
              </w:rPr>
            </w:pPr>
          </w:p>
        </w:tc>
        <w:tc>
          <w:tcPr>
            <w:tcW w:w="29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2"/>
              </w:rPr>
              <w:t>For the Nine Months Ended April 30,</w:t>
            </w:r>
          </w:p>
        </w:tc>
      </w:tr>
      <w:tr>
        <w:trPr>
          <w:trHeight w:val="27"/>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46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407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1,220</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1,293</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529</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503</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1,586</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1,517</w:t>
            </w: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(702)</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(2,107)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(1,627)</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Amortization of:</w:t>
            </w:r>
          </w:p>
        </w:tc>
        <w:tc>
          <w:tcPr>
            <w:tcW w:w="9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Prior service costs</w:t>
            </w:r>
          </w:p>
        </w:tc>
        <w:tc>
          <w:tcPr>
            <w:tcW w:w="9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w:t>
            </w: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Other actuarial loss</w:t>
            </w: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192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314</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578</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955</w:t>
            </w:r>
          </w:p>
        </w:tc>
      </w:tr>
      <w:tr>
        <w:trPr>
          <w:trHeight w:val="27"/>
        </w:trPr>
        <w:tc>
          <w:tcPr>
            <w:tcW w:w="46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426</w:t>
            </w:r>
          </w:p>
        </w:tc>
        <w:tc>
          <w:tcPr>
            <w:tcW w:w="2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593</w:t>
            </w:r>
          </w:p>
        </w:tc>
        <w:tc>
          <w:tcPr>
            <w:tcW w:w="2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1,278</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2,140</w:t>
            </w: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92"/>
        </w:trPr>
        <w:tc>
          <w:tcPr>
            <w:tcW w:w="46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90"/>
              </w:rPr>
              <w:t>Postretirement Health Benefits</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70"/>
        </w:trPr>
        <w:tc>
          <w:tcPr>
            <w:tcW w:w="466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3080" w:type="dxa"/>
            <w:vAlign w:val="bottom"/>
            <w:gridSpan w:val="5"/>
          </w:tcPr>
          <w:p>
            <w:pPr>
              <w:jc w:val="center"/>
              <w:ind w:right="460"/>
              <w:spacing w:after="0"/>
              <w:rPr>
                <w:sz w:val="20"/>
                <w:szCs w:val="20"/>
                <w:color w:val="auto"/>
              </w:rPr>
            </w:pPr>
            <w:r>
              <w:rPr>
                <w:rFonts w:ascii="Arial" w:cs="Arial" w:eastAsia="Arial" w:hAnsi="Arial"/>
                <w:sz w:val="18"/>
                <w:szCs w:val="18"/>
                <w:b w:val="1"/>
                <w:bCs w:val="1"/>
                <w:color w:val="auto"/>
                <w:w w:val="88"/>
              </w:rPr>
              <w:t>(in thousands)</w:t>
            </w: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3320" w:type="dxa"/>
            <w:vAlign w:val="bottom"/>
            <w:tcBorders>
              <w:bottom w:val="single" w:sz="8" w:color="auto"/>
            </w:tcBorders>
            <w:gridSpan w:val="6"/>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gridSpan w:val="4"/>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3320" w:type="dxa"/>
            <w:vAlign w:val="bottom"/>
            <w:gridSpan w:val="6"/>
          </w:tcPr>
          <w:p>
            <w:pPr>
              <w:ind w:left="80"/>
              <w:spacing w:after="0"/>
              <w:rPr>
                <w:sz w:val="20"/>
                <w:szCs w:val="20"/>
                <w:color w:val="auto"/>
              </w:rPr>
            </w:pPr>
            <w:r>
              <w:rPr>
                <w:rFonts w:ascii="Arial" w:cs="Arial" w:eastAsia="Arial" w:hAnsi="Arial"/>
                <w:sz w:val="18"/>
                <w:szCs w:val="18"/>
                <w:b w:val="1"/>
                <w:bCs w:val="1"/>
                <w:color w:val="auto"/>
              </w:rPr>
              <w:t>For the Three Months Ended April 30,</w:t>
            </w:r>
          </w:p>
        </w:tc>
        <w:tc>
          <w:tcPr>
            <w:tcW w:w="140" w:type="dxa"/>
            <w:vAlign w:val="bottom"/>
          </w:tcPr>
          <w:p>
            <w:pPr>
              <w:spacing w:after="0"/>
              <w:rPr>
                <w:sz w:val="20"/>
                <w:szCs w:val="20"/>
                <w:color w:val="auto"/>
              </w:rPr>
            </w:pPr>
          </w:p>
        </w:tc>
        <w:tc>
          <w:tcPr>
            <w:tcW w:w="2980" w:type="dxa"/>
            <w:vAlign w:val="bottom"/>
            <w:gridSpan w:val="4"/>
          </w:tcPr>
          <w:p>
            <w:pPr>
              <w:jc w:val="right"/>
              <w:ind w:right="10"/>
              <w:spacing w:after="0"/>
              <w:rPr>
                <w:sz w:val="20"/>
                <w:szCs w:val="20"/>
                <w:color w:val="auto"/>
              </w:rPr>
            </w:pPr>
            <w:r>
              <w:rPr>
                <w:rFonts w:ascii="Arial" w:cs="Arial" w:eastAsia="Arial" w:hAnsi="Arial"/>
                <w:sz w:val="18"/>
                <w:szCs w:val="18"/>
                <w:b w:val="1"/>
                <w:bCs w:val="1"/>
                <w:color w:val="auto"/>
                <w:w w:val="92"/>
              </w:rPr>
              <w:t>For the Nine Months Ended April 30,</w:t>
            </w:r>
          </w:p>
        </w:tc>
      </w:tr>
      <w:tr>
        <w:trPr>
          <w:trHeight w:val="27"/>
        </w:trPr>
        <w:tc>
          <w:tcPr>
            <w:tcW w:w="4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46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27</w:t>
            </w: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79</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80</w:t>
            </w:r>
          </w:p>
        </w:tc>
      </w:tr>
      <w:tr>
        <w:trPr>
          <w:trHeight w:val="243"/>
        </w:trPr>
        <w:tc>
          <w:tcPr>
            <w:tcW w:w="466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960" w:type="dxa"/>
            <w:vAlign w:val="bottom"/>
          </w:tcPr>
          <w:p>
            <w:pPr>
              <w:spacing w:after="0"/>
              <w:rPr>
                <w:sz w:val="21"/>
                <w:szCs w:val="21"/>
                <w:color w:val="auto"/>
              </w:rPr>
            </w:pPr>
          </w:p>
        </w:tc>
        <w:tc>
          <w:tcPr>
            <w:tcW w:w="500" w:type="dxa"/>
            <w:vAlign w:val="bottom"/>
          </w:tcPr>
          <w:p>
            <w:pPr>
              <w:jc w:val="right"/>
              <w:ind w:right="30"/>
              <w:spacing w:after="0"/>
              <w:rPr>
                <w:sz w:val="20"/>
                <w:szCs w:val="20"/>
                <w:color w:val="auto"/>
              </w:rPr>
            </w:pPr>
            <w:r>
              <w:rPr>
                <w:rFonts w:ascii="Arial" w:cs="Arial" w:eastAsia="Arial" w:hAnsi="Arial"/>
                <w:sz w:val="18"/>
                <w:szCs w:val="18"/>
                <w:b w:val="1"/>
                <w:bCs w:val="1"/>
                <w:color w:val="auto"/>
              </w:rPr>
              <w:t>24</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73</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63</w:t>
            </w: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w:t>
            </w: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4660" w:type="dxa"/>
            <w:vAlign w:val="bottom"/>
          </w:tcPr>
          <w:p>
            <w:pPr>
              <w:ind w:left="120"/>
              <w:spacing w:after="0"/>
              <w:rPr>
                <w:sz w:val="20"/>
                <w:szCs w:val="20"/>
                <w:color w:val="auto"/>
              </w:rPr>
            </w:pPr>
            <w:r>
              <w:rPr>
                <w:rFonts w:ascii="Arial" w:cs="Arial" w:eastAsia="Arial" w:hAnsi="Arial"/>
                <w:sz w:val="18"/>
                <w:szCs w:val="18"/>
                <w:color w:val="auto"/>
              </w:rPr>
              <w:t>Prior service costs</w:t>
            </w:r>
          </w:p>
        </w:tc>
        <w:tc>
          <w:tcPr>
            <w:tcW w:w="9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Other actuarial loss</w:t>
            </w:r>
          </w:p>
        </w:tc>
        <w:tc>
          <w:tcPr>
            <w:tcW w:w="9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57"/>
        </w:trPr>
        <w:tc>
          <w:tcPr>
            <w:tcW w:w="4660" w:type="dxa"/>
            <w:vAlign w:val="bottom"/>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960" w:type="dxa"/>
            <w:vAlign w:val="bottom"/>
            <w:tcBorders>
              <w:top w:val="single" w:sz="8" w:color="auto"/>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w w:val="99"/>
              </w:rPr>
              <w:t>$</w:t>
            </w:r>
          </w:p>
        </w:tc>
        <w:tc>
          <w:tcPr>
            <w:tcW w:w="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49</w:t>
            </w:r>
          </w:p>
        </w:tc>
        <w:tc>
          <w:tcPr>
            <w:tcW w:w="2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147</w:t>
            </w:r>
          </w:p>
        </w:tc>
        <w:tc>
          <w:tcPr>
            <w:tcW w:w="2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138</w:t>
            </w:r>
          </w:p>
        </w:tc>
      </w:tr>
      <w:tr>
        <w:trPr>
          <w:trHeight w:val="20"/>
        </w:trPr>
        <w:tc>
          <w:tcPr>
            <w:tcW w:w="46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non-service cost components of net periodic benefit cost are included in Other Income (Expense) in the line item Other, net on the unaudited Condensed Consolidated Statements of Income and Retained Earnings.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pension plan is funded based upon actuarially determined contributions that take into account the amount deductible for income tax purposes, the normal cost and the minimum contribution required and the maximum contribution allowed under applicable regulations. We were not required to make, and did not make, a contribution to the pension plan during the first nine months of fiscal year 2019. We have no minimum funding requirements for the remainder of fiscal year 2019.</w:t>
      </w:r>
    </w:p>
    <w:p>
      <w:pPr>
        <w:sectPr>
          <w:pgSz w:w="11900" w:h="16838" w:orient="portrait"/>
          <w:cols w:equalWidth="0" w:num="1">
            <w:col w:w="11420"/>
          </w:cols>
          <w:pgMar w:left="240" w:top="580" w:right="239" w:bottom="1440" w:gutter="0" w:footer="0" w:header="0"/>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580" w:right="239" w:bottom="1440" w:gutter="0" w:footer="0" w:header="0"/>
          <w:type w:val="continuous"/>
        </w:sectPr>
      </w:pPr>
    </w:p>
    <w:bookmarkStart w:id="16" w:name="page17"/>
    <w:bookmarkEnd w:id="16"/>
    <w:p>
      <w:pPr>
        <w:jc w:val="both"/>
        <w:spacing w:after="0" w:line="259" w:lineRule="auto"/>
        <w:rPr>
          <w:sz w:val="20"/>
          <w:szCs w:val="20"/>
          <w:color w:val="auto"/>
        </w:rPr>
      </w:pPr>
      <w:r>
        <w:rPr>
          <w:rFonts w:ascii="Arial" w:cs="Arial" w:eastAsia="Arial" w:hAnsi="Arial"/>
          <w:sz w:val="18"/>
          <w:szCs w:val="18"/>
          <w:color w:val="auto"/>
        </w:rPr>
        <w:t>We made a significant voluntary contribution to the pension plan in excess of the minimum required contribution in the third quarter of fiscal year 2018. This voluntary contribution improved the plan's funded status and contributed to a lower net periodic benefit expense for the third quarter and the first nine months of fiscal year 2019 compared to the same period in the prior year. The postretirement health plan is an unfunded plan. We pay insurance premiums and claims from our assets.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Assumptions used in the previous calculations were as follows: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40" w:type="dxa"/>
            <w:vAlign w:val="bottom"/>
          </w:tcPr>
          <w:p>
            <w:pPr>
              <w:spacing w:after="0"/>
              <w:rPr>
                <w:sz w:val="20"/>
                <w:szCs w:val="20"/>
                <w:color w:val="auto"/>
              </w:rPr>
            </w:pPr>
          </w:p>
        </w:tc>
        <w:tc>
          <w:tcPr>
            <w:tcW w:w="2960" w:type="dxa"/>
            <w:vAlign w:val="bottom"/>
            <w:gridSpan w:val="4"/>
          </w:tcPr>
          <w:p>
            <w:pPr>
              <w:ind w:left="760"/>
              <w:spacing w:after="0"/>
              <w:rPr>
                <w:sz w:val="20"/>
                <w:szCs w:val="20"/>
                <w:color w:val="auto"/>
              </w:rPr>
            </w:pPr>
            <w:r>
              <w:rPr>
                <w:rFonts w:ascii="Arial" w:cs="Arial" w:eastAsia="Arial" w:hAnsi="Arial"/>
                <w:sz w:val="18"/>
                <w:szCs w:val="18"/>
                <w:b w:val="1"/>
                <w:bCs w:val="1"/>
                <w:color w:val="auto"/>
              </w:rPr>
              <w:t>Pension Benefits</w:t>
            </w:r>
          </w:p>
        </w:tc>
        <w:tc>
          <w:tcPr>
            <w:tcW w:w="280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w w:val="98"/>
              </w:rPr>
              <w:t>Postretirement Health Benefits</w:t>
            </w:r>
          </w:p>
        </w:tc>
      </w:tr>
      <w:tr>
        <w:trPr>
          <w:trHeight w:val="27"/>
        </w:trPr>
        <w:tc>
          <w:tcPr>
            <w:tcW w:w="4540" w:type="dxa"/>
            <w:vAlign w:val="bottom"/>
          </w:tcPr>
          <w:p>
            <w:pPr>
              <w:spacing w:after="0"/>
              <w:rPr>
                <w:sz w:val="2"/>
                <w:szCs w:val="2"/>
                <w:color w:val="auto"/>
              </w:rPr>
            </w:pPr>
          </w:p>
        </w:tc>
        <w:tc>
          <w:tcPr>
            <w:tcW w:w="4840" w:type="dxa"/>
            <w:vAlign w:val="bottom"/>
            <w:tcBorders>
              <w:bottom w:val="single" w:sz="8" w:color="auto"/>
            </w:tcBorders>
            <w:gridSpan w:val="7"/>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4840" w:type="dxa"/>
            <w:vAlign w:val="bottom"/>
            <w:gridSpan w:val="7"/>
          </w:tcPr>
          <w:p>
            <w:pPr>
              <w:ind w:left="1040"/>
              <w:spacing w:after="0"/>
              <w:rPr>
                <w:sz w:val="20"/>
                <w:szCs w:val="20"/>
                <w:color w:val="auto"/>
              </w:rPr>
            </w:pPr>
            <w:r>
              <w:rPr>
                <w:rFonts w:ascii="Arial" w:cs="Arial" w:eastAsia="Arial" w:hAnsi="Arial"/>
                <w:sz w:val="18"/>
                <w:szCs w:val="18"/>
                <w:b w:val="1"/>
                <w:bCs w:val="1"/>
                <w:color w:val="auto"/>
                <w:w w:val="94"/>
              </w:rPr>
              <w:t>For the Three and Nine Months Ended April 30,</w:t>
            </w:r>
          </w:p>
        </w:tc>
        <w:tc>
          <w:tcPr>
            <w:tcW w:w="920" w:type="dxa"/>
            <w:vAlign w:val="bottom"/>
          </w:tcPr>
          <w:p>
            <w:pPr>
              <w:spacing w:after="0"/>
              <w:rPr>
                <w:sz w:val="20"/>
                <w:szCs w:val="20"/>
                <w:color w:val="auto"/>
              </w:rPr>
            </w:pPr>
          </w:p>
        </w:tc>
      </w:tr>
      <w:tr>
        <w:trPr>
          <w:trHeight w:val="27"/>
        </w:trPr>
        <w:tc>
          <w:tcPr>
            <w:tcW w:w="454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4540" w:type="dxa"/>
            <w:vAlign w:val="bottom"/>
          </w:tcPr>
          <w:p>
            <w:pPr>
              <w:spacing w:after="0"/>
              <w:rPr>
                <w:sz w:val="20"/>
                <w:szCs w:val="20"/>
                <w:color w:val="auto"/>
              </w:rPr>
            </w:pPr>
          </w:p>
        </w:tc>
        <w:tc>
          <w:tcPr>
            <w:tcW w:w="1280" w:type="dxa"/>
            <w:vAlign w:val="bottom"/>
          </w:tcPr>
          <w:p>
            <w:pPr>
              <w:ind w:left="46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20"/>
                <w:szCs w:val="20"/>
                <w:color w:val="auto"/>
              </w:rPr>
            </w:pPr>
          </w:p>
        </w:tc>
        <w:tc>
          <w:tcPr>
            <w:tcW w:w="12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2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454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4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Discount rate for net periodic benefit cost</w:t>
            </w:r>
          </w:p>
        </w:tc>
        <w:tc>
          <w:tcPr>
            <w:tcW w:w="1280" w:type="dxa"/>
            <w:vAlign w:val="bottom"/>
            <w:tcBorders>
              <w:bottom w:val="single" w:sz="8" w:color="CCEEFF"/>
            </w:tcBorders>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4.04%</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w:t>
            </w: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Rate of increase in compensation levels</w:t>
            </w:r>
          </w:p>
        </w:tc>
        <w:tc>
          <w:tcPr>
            <w:tcW w:w="1280" w:type="dxa"/>
            <w:vAlign w:val="bottom"/>
          </w:tcPr>
          <w:p>
            <w:pPr>
              <w:ind w:left="760"/>
              <w:spacing w:after="0"/>
              <w:rPr>
                <w:sz w:val="20"/>
                <w:szCs w:val="20"/>
                <w:color w:val="auto"/>
              </w:rPr>
            </w:pPr>
            <w:r>
              <w:rPr>
                <w:rFonts w:ascii="Arial" w:cs="Arial" w:eastAsia="Arial" w:hAnsi="Arial"/>
                <w:sz w:val="18"/>
                <w:szCs w:val="18"/>
                <w:b w:val="1"/>
                <w:bCs w:val="1"/>
                <w:color w:val="auto"/>
                <w:w w:val="97"/>
              </w:rPr>
              <w:t>3.50%</w:t>
            </w: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3.50%</w:t>
            </w:r>
          </w:p>
        </w:tc>
        <w:tc>
          <w:tcPr>
            <w:tcW w:w="200" w:type="dxa"/>
            <w:vAlign w:val="bottom"/>
          </w:tcPr>
          <w:p>
            <w:pPr>
              <w:spacing w:after="0"/>
              <w:rPr>
                <w:sz w:val="21"/>
                <w:szCs w:val="21"/>
                <w:color w:val="auto"/>
              </w:rPr>
            </w:pPr>
          </w:p>
        </w:tc>
        <w:tc>
          <w:tcPr>
            <w:tcW w:w="1880" w:type="dxa"/>
            <w:vAlign w:val="bottom"/>
            <w:gridSpan w:val="3"/>
          </w:tcPr>
          <w:p>
            <w:pPr>
              <w:jc w:val="right"/>
              <w:ind w:right="78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4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Long-term expected rate of return on assets</w:t>
            </w:r>
          </w:p>
        </w:tc>
        <w:tc>
          <w:tcPr>
            <w:tcW w:w="1280" w:type="dxa"/>
            <w:vAlign w:val="bottom"/>
            <w:shd w:val="clear" w:color="auto" w:fill="CCEEFF"/>
          </w:tcPr>
          <w:p>
            <w:pPr>
              <w:ind w:left="760"/>
              <w:spacing w:after="0"/>
              <w:rPr>
                <w:sz w:val="20"/>
                <w:szCs w:val="20"/>
                <w:color w:val="auto"/>
              </w:rPr>
            </w:pPr>
            <w:r>
              <w:rPr>
                <w:rFonts w:ascii="Arial" w:cs="Arial" w:eastAsia="Arial" w:hAnsi="Arial"/>
                <w:sz w:val="18"/>
                <w:szCs w:val="18"/>
                <w:b w:val="1"/>
                <w:bCs w:val="1"/>
                <w:color w:val="auto"/>
                <w:w w:val="97"/>
              </w:rPr>
              <w:t>7.00%</w:t>
            </w: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w:t>
            </w:r>
          </w:p>
        </w:tc>
        <w:tc>
          <w:tcPr>
            <w:tcW w:w="20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54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3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medical cost trend assumption for postretirement health benefits was 7.50%. The graded trend rate is expected to decrease to an ultimate rate of 4.50% in fiscal year 2038.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OPERATING SEGMENTS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have two operating segments: (1) Business to Business Products Group and (2) Retail and Wholesale Products Group. These operating segments are managed separately and each segment's major customers have different characteristics. The Retail and Wholesale Products Group customers include: mass merchandisers; wholesale clubs; drugstore chains; pet specialty retail outlets; dollar stores; retail grocery stores; distributors of industrial cleanup and automotive products; environmental service companies; and sports field product users. The Business to Business Products Group customers include: processors and refiners of edible oils, petroleum-based oils and biodiesel fuel; manufacturers of animal feed and agricultural chemicals; distributors of animal health and nutrition products; and marketers of consumer products. Our operating segments are also our reportable segments. The accounting policies of the segments are the same as those described in Note 1 of the Notes to the Consolidated Financial Statements included in our Annual Report on Form 10-K for the fiscal year ended July 31, 2018.</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0"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color w:val="auto"/>
        </w:rPr>
        <w:t>Net sales for our principal products by segment are as follows (in thousands):</w:t>
      </w:r>
    </w:p>
    <w:p>
      <w:pPr>
        <w:spacing w:after="0" w:line="167" w:lineRule="exact"/>
        <w:rPr>
          <w:sz w:val="20"/>
          <w:szCs w:val="20"/>
          <w:color w:val="auto"/>
        </w:rPr>
      </w:pPr>
    </w:p>
    <w:tbl>
      <w:tblPr>
        <w:tblLayout w:type="fixed"/>
        <w:tblInd w:w="90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5"/>
              </w:rPr>
              <w:t>Business to Business Products</w:t>
            </w:r>
          </w:p>
        </w:tc>
        <w:tc>
          <w:tcPr>
            <w:tcW w:w="140" w:type="dxa"/>
            <w:vAlign w:val="bottom"/>
          </w:tcPr>
          <w:p>
            <w:pPr>
              <w:spacing w:after="0"/>
              <w:rPr>
                <w:sz w:val="18"/>
                <w:szCs w:val="18"/>
                <w:color w:val="auto"/>
              </w:rPr>
            </w:pPr>
          </w:p>
        </w:tc>
        <w:tc>
          <w:tcPr>
            <w:tcW w:w="258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34"/>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7"/>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2"/>
              </w:rPr>
              <w:t>For the Nine Months Ended April 30,</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1720"/>
              <w:spacing w:after="0"/>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Cat Litter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9,943</w:t>
            </w:r>
          </w:p>
        </w:tc>
        <w:tc>
          <w:tcPr>
            <w:tcW w:w="5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10,018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101,754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93,997</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25,509</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25,536</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Agricultural and Horticultural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18,320</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38,116</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37,639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1,820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1,628</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Animal Health and Nutrition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11,446</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13,387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77,825</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79,226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129,083</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121,161</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r>
      <w:tr>
        <w:trPr>
          <w:trHeight w:val="387"/>
        </w:trPr>
        <w:tc>
          <w:tcPr>
            <w:tcW w:w="4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5"/>
          </w:tcPr>
          <w:p>
            <w:pPr>
              <w:jc w:val="center"/>
              <w:ind w:right="260"/>
              <w:spacing w:after="0"/>
              <w:rPr>
                <w:sz w:val="20"/>
                <w:szCs w:val="20"/>
                <w:color w:val="auto"/>
              </w:rPr>
            </w:pPr>
            <w:r>
              <w:rPr>
                <w:rFonts w:ascii="Arial" w:cs="Arial" w:eastAsia="Arial" w:hAnsi="Arial"/>
                <w:sz w:val="18"/>
                <w:szCs w:val="18"/>
                <w:b w:val="1"/>
                <w:bCs w:val="1"/>
                <w:color w:val="auto"/>
                <w:w w:val="85"/>
              </w:rPr>
              <w:t>Business to Business Products</w:t>
            </w:r>
          </w:p>
        </w:tc>
        <w:tc>
          <w:tcPr>
            <w:tcW w:w="140" w:type="dxa"/>
            <w:vAlign w:val="bottom"/>
          </w:tcPr>
          <w:p>
            <w:pPr>
              <w:spacing w:after="0"/>
              <w:rPr>
                <w:sz w:val="24"/>
                <w:szCs w:val="24"/>
                <w:color w:val="auto"/>
              </w:rPr>
            </w:pPr>
          </w:p>
        </w:tc>
        <w:tc>
          <w:tcPr>
            <w:tcW w:w="2580" w:type="dxa"/>
            <w:vAlign w:val="bottom"/>
            <w:gridSpan w:val="4"/>
          </w:tcPr>
          <w:p>
            <w:pPr>
              <w:jc w:val="center"/>
              <w:ind w:right="50"/>
              <w:spacing w:after="0"/>
              <w:rPr>
                <w:sz w:val="20"/>
                <w:szCs w:val="20"/>
                <w:color w:val="auto"/>
              </w:rPr>
            </w:pPr>
            <w:r>
              <w:rPr>
                <w:rFonts w:ascii="Arial" w:cs="Arial" w:eastAsia="Arial" w:hAnsi="Arial"/>
                <w:sz w:val="18"/>
                <w:szCs w:val="18"/>
                <w:b w:val="1"/>
                <w:bCs w:val="1"/>
                <w:color w:val="auto"/>
                <w:w w:val="89"/>
              </w:rPr>
              <w:t>Retail and Wholesale Products</w:t>
            </w:r>
          </w:p>
        </w:tc>
      </w:tr>
      <w:tr>
        <w:trPr>
          <w:trHeight w:val="234"/>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3"/>
          </w:tcPr>
          <w:p>
            <w:pPr>
              <w:jc w:val="center"/>
              <w:ind w:left="73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gridSpan w:val="3"/>
          </w:tcPr>
          <w:p>
            <w:pPr>
              <w:jc w:val="center"/>
              <w:ind w:left="750"/>
              <w:spacing w:after="0"/>
              <w:rPr>
                <w:sz w:val="20"/>
                <w:szCs w:val="20"/>
                <w:color w:val="auto"/>
              </w:rPr>
            </w:pPr>
            <w:r>
              <w:rPr>
                <w:rFonts w:ascii="Arial" w:cs="Arial" w:eastAsia="Arial" w:hAnsi="Arial"/>
                <w:sz w:val="18"/>
                <w:szCs w:val="18"/>
                <w:b w:val="1"/>
                <w:bCs w:val="1"/>
                <w:color w:val="auto"/>
                <w:w w:val="92"/>
              </w:rPr>
              <w:t>Group</w:t>
            </w: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gridSpan w:val="7"/>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040" w:type="dxa"/>
            <w:vAlign w:val="bottom"/>
            <w:gridSpan w:val="7"/>
          </w:tcPr>
          <w:p>
            <w:pPr>
              <w:jc w:val="center"/>
              <w:spacing w:after="0"/>
              <w:rPr>
                <w:sz w:val="20"/>
                <w:szCs w:val="20"/>
                <w:color w:val="auto"/>
              </w:rPr>
            </w:pPr>
            <w:r>
              <w:rPr>
                <w:rFonts w:ascii="Arial" w:cs="Arial" w:eastAsia="Arial" w:hAnsi="Arial"/>
                <w:sz w:val="18"/>
                <w:szCs w:val="18"/>
                <w:b w:val="1"/>
                <w:bCs w:val="1"/>
                <w:color w:val="auto"/>
                <w:w w:val="93"/>
              </w:rPr>
              <w:t>For the Three Months Ended April 30,</w:t>
            </w: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4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4080" w:type="dxa"/>
            <w:vAlign w:val="bottom"/>
          </w:tcPr>
          <w:p>
            <w:pPr>
              <w:ind w:left="1720"/>
              <w:spacing w:after="0"/>
              <w:rPr>
                <w:sz w:val="20"/>
                <w:szCs w:val="20"/>
                <w:color w:val="auto"/>
              </w:rPr>
            </w:pPr>
            <w:r>
              <w:rPr>
                <w:rFonts w:ascii="Arial" w:cs="Arial" w:eastAsia="Arial" w:hAnsi="Arial"/>
                <w:sz w:val="18"/>
                <w:szCs w:val="18"/>
                <w:b w:val="1"/>
                <w:bCs w:val="1"/>
                <w:color w:val="auto"/>
              </w:rPr>
              <w:t>Product</w:t>
            </w:r>
          </w:p>
        </w:tc>
        <w:tc>
          <w:tcPr>
            <w:tcW w:w="160" w:type="dxa"/>
            <w:vAlign w:val="bottom"/>
          </w:tcPr>
          <w:p>
            <w:pPr>
              <w:spacing w:after="0"/>
              <w:rPr>
                <w:sz w:val="20"/>
                <w:szCs w:val="20"/>
                <w:color w:val="auto"/>
              </w:rPr>
            </w:pPr>
          </w:p>
        </w:tc>
        <w:tc>
          <w:tcPr>
            <w:tcW w:w="110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370"/>
              <w:spacing w:after="0"/>
              <w:rPr>
                <w:sz w:val="20"/>
                <w:szCs w:val="20"/>
                <w:color w:val="auto"/>
              </w:rPr>
            </w:pPr>
            <w:r>
              <w:rPr>
                <w:rFonts w:ascii="Arial" w:cs="Arial" w:eastAsia="Arial" w:hAnsi="Arial"/>
                <w:sz w:val="18"/>
                <w:szCs w:val="18"/>
                <w:b w:val="1"/>
                <w:bCs w:val="1"/>
                <w:color w:val="auto"/>
              </w:rPr>
              <w:t>2018</w:t>
            </w: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Cat Litter</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3,441</w:t>
            </w:r>
          </w:p>
        </w:tc>
        <w:tc>
          <w:tcPr>
            <w:tcW w:w="500" w:type="dxa"/>
            <w:vAlign w:val="bottom"/>
            <w:tcBorders>
              <w:bottom w:val="single" w:sz="8" w:color="CCEEFF"/>
            </w:tcBorders>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34,141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29,711</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Industrial and Sports</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10,080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9,850</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Agricultural and Horticultural</w:t>
            </w: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5,622</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080" w:type="dxa"/>
            <w:vAlign w:val="bottom"/>
          </w:tcPr>
          <w:p>
            <w:pPr>
              <w:ind w:left="20"/>
              <w:spacing w:after="0"/>
              <w:rPr>
                <w:sz w:val="20"/>
                <w:szCs w:val="20"/>
                <w:color w:val="auto"/>
              </w:rPr>
            </w:pPr>
            <w:r>
              <w:rPr>
                <w:rFonts w:ascii="Arial" w:cs="Arial" w:eastAsia="Arial" w:hAnsi="Arial"/>
                <w:sz w:val="18"/>
                <w:szCs w:val="18"/>
                <w:color w:val="auto"/>
              </w:rPr>
              <w:t>Bleaching Clay and Fluids Purification</w:t>
            </w:r>
          </w:p>
        </w:tc>
        <w:tc>
          <w:tcPr>
            <w:tcW w:w="16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b w:val="1"/>
                <w:bCs w:val="1"/>
                <w:color w:val="auto"/>
              </w:rPr>
              <w:t>13,662</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12,094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b w:val="1"/>
                <w:bCs w:val="1"/>
                <w:color w:val="auto"/>
              </w:rPr>
              <w:t>623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502</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Animal Health and Nutrition</w:t>
            </w: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3,316</w:t>
            </w:r>
          </w:p>
        </w:tc>
        <w:tc>
          <w:tcPr>
            <w:tcW w:w="2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4,542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4080" w:type="dxa"/>
            <w:vAlign w:val="bottom"/>
          </w:tcPr>
          <w:p>
            <w:pPr>
              <w:ind w:left="20"/>
              <w:spacing w:after="0"/>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26,041</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24,784</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44,844</w:t>
            </w:r>
          </w:p>
        </w:tc>
        <w:tc>
          <w:tcPr>
            <w:tcW w:w="2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40,063</w:t>
            </w: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do not rely on any segment asset allocations and we do not consider them meaningful because of the shared nature of our production facilities; however, we have estimated the segment asset allocations below for those assets for which we can reasonably determine. The unallocated asset category is the remainder of our total assets. The asset allocation is estimated and is not a measure used by our chief operating decision maker about allocating resources to the operating segments or in assessing their performance.</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60" w:type="dxa"/>
            <w:vAlign w:val="bottom"/>
            <w:gridSpan w:val="4"/>
          </w:tcPr>
          <w:p>
            <w:pPr>
              <w:jc w:val="right"/>
              <w:ind w:right="950"/>
              <w:spacing w:after="0"/>
              <w:rPr>
                <w:sz w:val="20"/>
                <w:szCs w:val="20"/>
                <w:color w:val="auto"/>
              </w:rPr>
            </w:pPr>
            <w:r>
              <w:rPr>
                <w:rFonts w:ascii="Arial" w:cs="Arial" w:eastAsia="Arial" w:hAnsi="Arial"/>
                <w:sz w:val="18"/>
                <w:szCs w:val="18"/>
                <w:b w:val="1"/>
                <w:bCs w:val="1"/>
                <w:color w:val="auto"/>
              </w:rPr>
              <w:t>Assets</w:t>
            </w:r>
          </w:p>
        </w:tc>
      </w:tr>
      <w:tr>
        <w:trPr>
          <w:trHeight w:val="27"/>
        </w:trPr>
        <w:tc>
          <w:tcPr>
            <w:tcW w:w="8660" w:type="dxa"/>
            <w:vAlign w:val="bottom"/>
          </w:tcPr>
          <w:p>
            <w:pPr>
              <w:spacing w:after="0"/>
              <w:rPr>
                <w:sz w:val="2"/>
                <w:szCs w:val="2"/>
                <w:color w:val="auto"/>
              </w:rPr>
            </w:pPr>
          </w:p>
        </w:tc>
        <w:tc>
          <w:tcPr>
            <w:tcW w:w="14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8660" w:type="dxa"/>
            <w:vAlign w:val="bottom"/>
          </w:tcPr>
          <w:p>
            <w:pPr>
              <w:spacing w:after="0"/>
              <w:rPr>
                <w:sz w:val="20"/>
                <w:szCs w:val="20"/>
                <w:color w:val="auto"/>
              </w:rPr>
            </w:pPr>
          </w:p>
        </w:tc>
        <w:tc>
          <w:tcPr>
            <w:tcW w:w="1460" w:type="dxa"/>
            <w:vAlign w:val="bottom"/>
            <w:gridSpan w:val="3"/>
          </w:tcPr>
          <w:p>
            <w:pPr>
              <w:ind w:left="180"/>
              <w:spacing w:after="0"/>
              <w:rPr>
                <w:sz w:val="20"/>
                <w:szCs w:val="20"/>
                <w:color w:val="auto"/>
              </w:rPr>
            </w:pPr>
            <w:r>
              <w:rPr>
                <w:rFonts w:ascii="Arial" w:cs="Arial" w:eastAsia="Arial" w:hAnsi="Arial"/>
                <w:sz w:val="18"/>
                <w:szCs w:val="18"/>
                <w:b w:val="1"/>
                <w:bCs w:val="1"/>
                <w:color w:val="auto"/>
              </w:rPr>
              <w:t>April 30, 2019</w:t>
            </w:r>
          </w:p>
        </w:tc>
        <w:tc>
          <w:tcPr>
            <w:tcW w:w="100" w:type="dxa"/>
            <w:vAlign w:val="bottom"/>
          </w:tcPr>
          <w:p>
            <w:pPr>
              <w:spacing w:after="0"/>
              <w:rPr>
                <w:sz w:val="20"/>
                <w:szCs w:val="20"/>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b w:val="1"/>
                <w:bCs w:val="1"/>
                <w:color w:val="auto"/>
                <w:w w:val="89"/>
              </w:rPr>
              <w:t>July 31, 2018</w:t>
            </w:r>
          </w:p>
        </w:tc>
      </w:tr>
      <w:tr>
        <w:trPr>
          <w:trHeight w:val="27"/>
        </w:trPr>
        <w:tc>
          <w:tcPr>
            <w:tcW w:w="86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4"/>
          </w:tcPr>
          <w:p>
            <w:pPr>
              <w:spacing w:after="0"/>
              <w:rPr>
                <w:sz w:val="2"/>
                <w:szCs w:val="2"/>
                <w:color w:val="auto"/>
              </w:rPr>
            </w:pPr>
          </w:p>
        </w:tc>
      </w:tr>
      <w:tr>
        <w:trPr>
          <w:trHeight w:val="237"/>
        </w:trPr>
        <w:tc>
          <w:tcPr>
            <w:tcW w:w="86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6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(in thousands)</w:t>
            </w:r>
          </w:p>
        </w:tc>
      </w:tr>
      <w:tr>
        <w:trPr>
          <w:trHeight w:val="27"/>
        </w:trPr>
        <w:tc>
          <w:tcPr>
            <w:tcW w:w="8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Business to Business Products Group</w:t>
            </w:r>
          </w:p>
        </w:tc>
        <w:tc>
          <w:tcPr>
            <w:tcW w:w="4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64,544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65,143</w:t>
            </w:r>
          </w:p>
        </w:tc>
      </w:tr>
      <w:tr>
        <w:trPr>
          <w:trHeight w:val="243"/>
        </w:trPr>
        <w:tc>
          <w:tcPr>
            <w:tcW w:w="8660" w:type="dxa"/>
            <w:vAlign w:val="bottom"/>
          </w:tcPr>
          <w:p>
            <w:pPr>
              <w:ind w:left="20"/>
              <w:spacing w:after="0"/>
              <w:rPr>
                <w:sz w:val="20"/>
                <w:szCs w:val="20"/>
                <w:color w:val="auto"/>
              </w:rPr>
            </w:pPr>
            <w:r>
              <w:rPr>
                <w:rFonts w:ascii="Arial" w:cs="Arial" w:eastAsia="Arial" w:hAnsi="Arial"/>
                <w:sz w:val="18"/>
                <w:szCs w:val="18"/>
                <w:color w:val="auto"/>
              </w:rPr>
              <w:t>Retail and Wholesale Products Group</w:t>
            </w:r>
          </w:p>
        </w:tc>
        <w:tc>
          <w:tcPr>
            <w:tcW w:w="4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b w:val="1"/>
                <w:bCs w:val="1"/>
                <w:color w:val="auto"/>
              </w:rPr>
              <w:t>90,859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89,623</w:t>
            </w:r>
          </w:p>
        </w:tc>
      </w:tr>
      <w:tr>
        <w:trPr>
          <w:trHeight w:val="27"/>
        </w:trPr>
        <w:tc>
          <w:tcPr>
            <w:tcW w:w="86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Assets</w:t>
            </w:r>
          </w:p>
        </w:tc>
        <w:tc>
          <w:tcPr>
            <w:tcW w:w="4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43,075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39,916</w:t>
            </w:r>
          </w:p>
        </w:tc>
      </w:tr>
      <w:tr>
        <w:trPr>
          <w:trHeight w:val="257"/>
        </w:trPr>
        <w:tc>
          <w:tcPr>
            <w:tcW w:w="8660" w:type="dxa"/>
            <w:vAlign w:val="bottom"/>
          </w:tcPr>
          <w:p>
            <w:pPr>
              <w:ind w:left="20"/>
              <w:spacing w:after="0"/>
              <w:rPr>
                <w:sz w:val="20"/>
                <w:szCs w:val="20"/>
                <w:color w:val="auto"/>
              </w:rPr>
            </w:pPr>
            <w:r>
              <w:rPr>
                <w:rFonts w:ascii="Arial" w:cs="Arial" w:eastAsia="Arial" w:hAnsi="Arial"/>
                <w:sz w:val="18"/>
                <w:szCs w:val="18"/>
                <w:b w:val="1"/>
                <w:bCs w:val="1"/>
                <w:color w:val="auto"/>
              </w:rPr>
              <w:t>Total Assets</w:t>
            </w:r>
          </w:p>
        </w:tc>
        <w:tc>
          <w:tcPr>
            <w:tcW w:w="4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9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198,478</w:t>
            </w:r>
          </w:p>
        </w:tc>
        <w:tc>
          <w:tcPr>
            <w:tcW w:w="12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194,682</w:t>
            </w:r>
          </w:p>
        </w:tc>
      </w:tr>
      <w:tr>
        <w:trPr>
          <w:trHeight w:val="20"/>
        </w:trPr>
        <w:tc>
          <w:tcPr>
            <w:tcW w:w="8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Net sales and operating income for each segment are provided below. The corporate expenses line includes certain unallocated expenses, including primarily salaries, wages and benefits, purchased services, rent, utilities and depreciation and amortization associated with corporate functions such as research and development, information systems, finance, legal, human resources and customer service. Corporate expenses also include the estimated annual incentive plan bonus accrual. Other income for the third quarter and the first nine months of fiscal year 2019 included net proceeds upon resolution of legal proceedings. The amount received under a confidential agreement resolving such legal proceedings was material to our financial results for the period.</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Business to Business Products Group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Retail and Wholesale Products Group</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Corporate Expenses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from Operations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Income (Expense), Net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before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 Expense</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Income</w:t>
      </w:r>
    </w:p>
    <w:p>
      <w:pPr>
        <w:spacing w:after="0" w:line="77" w:lineRule="exact"/>
        <w:rPr>
          <w:sz w:val="20"/>
          <w:szCs w:val="20"/>
          <w:color w:val="auto"/>
        </w:rPr>
      </w:pPr>
    </w:p>
    <w:p>
      <w:pPr>
        <w:ind w:left="40" w:right="1600"/>
        <w:spacing w:after="0" w:line="376" w:lineRule="auto"/>
        <w:rPr>
          <w:sz w:val="20"/>
          <w:szCs w:val="20"/>
          <w:color w:val="auto"/>
        </w:rPr>
      </w:pPr>
      <w:r>
        <w:rPr>
          <w:rFonts w:ascii="Arial" w:cs="Arial" w:eastAsia="Arial" w:hAnsi="Arial"/>
          <w:sz w:val="18"/>
          <w:szCs w:val="18"/>
          <w:b w:val="1"/>
          <w:bCs w:val="1"/>
          <w:color w:val="auto"/>
        </w:rPr>
        <w:t>Net Loss Attributable to Noncontrolling Interest Net Income Attributable to Oil-Dri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Business to Business Products Group</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Retail and Wholesale Products Group</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Sales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Corporate Expenses</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from Operations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Income, Net</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before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Income Tax (Expense) Benefit</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Income</w:t>
      </w:r>
    </w:p>
    <w:p>
      <w:pPr>
        <w:spacing w:after="0" w:line="77" w:lineRule="exact"/>
        <w:rPr>
          <w:sz w:val="20"/>
          <w:szCs w:val="20"/>
          <w:color w:val="auto"/>
        </w:rPr>
      </w:pPr>
    </w:p>
    <w:p>
      <w:pPr>
        <w:ind w:left="40" w:right="1600"/>
        <w:spacing w:after="0" w:line="376" w:lineRule="auto"/>
        <w:rPr>
          <w:sz w:val="20"/>
          <w:szCs w:val="20"/>
          <w:color w:val="auto"/>
        </w:rPr>
      </w:pPr>
      <w:r>
        <w:rPr>
          <w:rFonts w:ascii="Arial" w:cs="Arial" w:eastAsia="Arial" w:hAnsi="Arial"/>
          <w:sz w:val="18"/>
          <w:szCs w:val="18"/>
          <w:b w:val="1"/>
          <w:bCs w:val="1"/>
          <w:color w:val="auto"/>
        </w:rPr>
        <w:t>Net Loss Attributable to Noncontrolling Interest Net Income Attributable to Oil-Dri</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20" w:lineRule="exact"/>
        <w:rPr>
          <w:sz w:val="20"/>
          <w:szCs w:val="20"/>
          <w:color w:val="auto"/>
        </w:rPr>
      </w:pPr>
      <w:r>
        <w:rPr>
          <w:sz w:val="20"/>
          <w:szCs w:val="20"/>
          <w:color w:val="auto"/>
        </w:rPr>
        <w:br w:type="column"/>
      </w:r>
    </w:p>
    <w:p>
      <w:pPr>
        <w:ind w:left="1260"/>
        <w:spacing w:after="0"/>
        <w:rPr>
          <w:sz w:val="20"/>
          <w:szCs w:val="20"/>
          <w:color w:val="auto"/>
        </w:rPr>
      </w:pPr>
      <w:r>
        <w:rPr>
          <w:rFonts w:ascii="Arial" w:cs="Arial" w:eastAsia="Arial" w:hAnsi="Arial"/>
          <w:sz w:val="18"/>
          <w:szCs w:val="18"/>
          <w:b w:val="1"/>
          <w:bCs w:val="1"/>
          <w:color w:val="auto"/>
        </w:rPr>
        <w:t>For the Nine Months Ended April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34048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ind w:left="40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77,825</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79,226</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21,758</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26,191</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129,083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121,161</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6,823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7,010</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206,908</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200,387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(22,424)</w:t>
            </w: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(20,509)</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6,157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12,692</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4,219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10,376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12,205</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(1,599)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(6,666)</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8,777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8,812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gridSpan w:val="5"/>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gridSpan w:val="5"/>
          </w:tcPr>
          <w:p>
            <w:pPr>
              <w:spacing w:after="0" w:line="20" w:lineRule="exact"/>
              <w:rPr>
                <w:sz w:val="1"/>
                <w:szCs w:val="1"/>
                <w:color w:val="auto"/>
              </w:rPr>
            </w:pPr>
          </w:p>
        </w:tc>
        <w:tc>
          <w:tcPr>
            <w:tcW w:w="12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80" w:type="dxa"/>
            <w:vAlign w:val="bottom"/>
            <w:gridSpan w:val="9"/>
          </w:tcPr>
          <w:p>
            <w:pPr>
              <w:jc w:val="right"/>
              <w:ind w:right="190"/>
              <w:spacing w:after="0"/>
              <w:rPr>
                <w:sz w:val="20"/>
                <w:szCs w:val="20"/>
                <w:color w:val="auto"/>
              </w:rPr>
            </w:pPr>
            <w:r>
              <w:rPr>
                <w:rFonts w:ascii="Arial" w:cs="Arial" w:eastAsia="Arial" w:hAnsi="Arial"/>
                <w:sz w:val="18"/>
                <w:szCs w:val="18"/>
                <w:b w:val="1"/>
                <w:bCs w:val="1"/>
                <w:color w:val="auto"/>
                <w:w w:val="93"/>
              </w:rPr>
              <w:t>For the Three Months Ended April 30,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4"/>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1480" w:type="dxa"/>
            <w:vAlign w:val="bottom"/>
            <w:gridSpan w:val="4"/>
          </w:tcPr>
          <w:p>
            <w:pPr>
              <w:jc w:val="right"/>
              <w:ind w:right="80"/>
              <w:spacing w:after="0"/>
              <w:rPr>
                <w:sz w:val="20"/>
                <w:szCs w:val="20"/>
                <w:color w:val="auto"/>
              </w:rPr>
            </w:pPr>
            <w:r>
              <w:rPr>
                <w:rFonts w:ascii="Arial" w:cs="Arial" w:eastAsia="Arial" w:hAnsi="Arial"/>
                <w:sz w:val="18"/>
                <w:szCs w:val="18"/>
                <w:b w:val="1"/>
                <w:bCs w:val="1"/>
                <w:color w:val="auto"/>
              </w:rPr>
              <w:t>Net Sales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rPr>
              <w:t>Income</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jc w:val="right"/>
              <w:ind w:right="37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gridSpan w:val="5"/>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340" w:type="dxa"/>
            <w:vAlign w:val="bottom"/>
            <w:gridSpan w:val="5"/>
          </w:tcPr>
          <w:p>
            <w:pPr>
              <w:ind w:left="400"/>
              <w:spacing w:after="0"/>
              <w:rPr>
                <w:sz w:val="20"/>
                <w:szCs w:val="20"/>
                <w:color w:val="auto"/>
              </w:rPr>
            </w:pPr>
            <w:r>
              <w:rPr>
                <w:rFonts w:ascii="Arial" w:cs="Arial" w:eastAsia="Arial" w:hAnsi="Arial"/>
                <w:sz w:val="18"/>
                <w:szCs w:val="18"/>
                <w:b w:val="1"/>
                <w:bCs w:val="1"/>
                <w:color w:val="auto"/>
              </w:rPr>
              <w:t>(in thousands)</w:t>
            </w: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26,041</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24,784</w:t>
            </w:r>
          </w:p>
        </w:tc>
        <w:tc>
          <w:tcPr>
            <w:tcW w:w="100" w:type="dxa"/>
            <w:vAlign w:val="bottom"/>
          </w:tcPr>
          <w:p>
            <w:pPr>
              <w:spacing w:after="0"/>
              <w:rPr>
                <w:sz w:val="23"/>
                <w:szCs w:val="23"/>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7,454</w:t>
            </w:r>
          </w:p>
        </w:tc>
        <w:tc>
          <w:tcPr>
            <w:tcW w:w="100" w:type="dxa"/>
            <w:vAlign w:val="bottom"/>
          </w:tcPr>
          <w:p>
            <w:pPr>
              <w:spacing w:after="0"/>
              <w:rPr>
                <w:sz w:val="23"/>
                <w:szCs w:val="23"/>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7,556</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44,844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40,063</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4,161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70,885</w:t>
            </w:r>
          </w:p>
        </w:tc>
        <w:tc>
          <w:tcPr>
            <w:tcW w:w="58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64,847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(9,288)</w:t>
            </w: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900" w:type="dxa"/>
            <w:vAlign w:val="bottom"/>
            <w:vMerge w:val="restart"/>
          </w:tcPr>
          <w:p>
            <w:pPr>
              <w:jc w:val="right"/>
              <w:spacing w:after="0"/>
              <w:rPr>
                <w:sz w:val="20"/>
                <w:szCs w:val="20"/>
                <w:color w:val="auto"/>
              </w:rPr>
            </w:pPr>
            <w:r>
              <w:rPr>
                <w:rFonts w:ascii="Arial" w:cs="Arial" w:eastAsia="Arial" w:hAnsi="Arial"/>
                <w:sz w:val="18"/>
                <w:szCs w:val="18"/>
                <w:color w:val="auto"/>
              </w:rPr>
              <w:t>(6,485)</w:t>
            </w: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2,327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3,294</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4,377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6,704</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3,295</w:t>
            </w:r>
          </w:p>
        </w:tc>
        <w:tc>
          <w:tcPr>
            <w:tcW w:w="0" w:type="dxa"/>
            <w:vAlign w:val="bottom"/>
          </w:tcPr>
          <w:p>
            <w:pPr>
              <w:spacing w:after="0"/>
              <w:rPr>
                <w:sz w:val="1"/>
                <w:szCs w:val="1"/>
                <w:color w:val="auto"/>
              </w:rPr>
            </w:pPr>
          </w:p>
        </w:tc>
      </w:tr>
      <w:tr>
        <w:trPr>
          <w:trHeight w:val="270"/>
        </w:trPr>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(1,143)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5,561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b w:val="1"/>
                <w:bCs w:val="1"/>
                <w:color w:val="auto"/>
              </w:rPr>
              <w:t>5,619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3,585</w:t>
            </w:r>
          </w:p>
        </w:tc>
        <w:tc>
          <w:tcPr>
            <w:tcW w:w="0" w:type="dxa"/>
            <w:vAlign w:val="bottom"/>
          </w:tcPr>
          <w:p>
            <w:pPr>
              <w:spacing w:after="0"/>
              <w:rPr>
                <w:sz w:val="1"/>
                <w:szCs w:val="1"/>
                <w:color w:val="auto"/>
              </w:rPr>
            </w:pPr>
          </w:p>
        </w:tc>
      </w:tr>
      <w:tr>
        <w:trPr>
          <w:trHeight w:val="27"/>
        </w:trPr>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-3842385</wp:posOffset>
            </wp:positionH>
            <wp:positionV relativeFrom="paragraph">
              <wp:posOffset>-5050790</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-4707255</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-4356100</wp:posOffset>
            </wp:positionV>
            <wp:extent cx="7246620" cy="1803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-4004310</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-3652520</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-3292475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-1963420</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-1619885</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-1268730</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-916940</wp:posOffset>
            </wp:positionV>
            <wp:extent cx="7246620" cy="1803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-565150</wp:posOffset>
            </wp:positionV>
            <wp:extent cx="7246620" cy="1803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-3842385</wp:posOffset>
            </wp:positionH>
            <wp:positionV relativeFrom="paragraph">
              <wp:posOffset>-205105</wp:posOffset>
            </wp:positionV>
            <wp:extent cx="7246620" cy="1885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5340" w:space="720"/>
            <w:col w:w="5360"/>
          </w:cols>
          <w:pgMar w:left="240" w:top="742" w:right="239" w:bottom="1440" w:gutter="0" w:footer="0" w:header="0"/>
        </w:sectPr>
      </w:pPr>
    </w:p>
    <w:p>
      <w:pPr>
        <w:spacing w:after="0" w:line="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Oil-Dri Corporation of America 2006 Long Term Incentive Plan (the “2006 Plan”) permits the grant of stock options, stock appreciation rights, restricted stock, restricted stock units, performance awards and other stock-based and cash-based awards. Our employees and outside directors are eligible to receive grants under the 2006 Plan. The total number of shares of stock subject to grants under the 2006 Plan may not exceed 937,500.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of our non-vested restricted stock as of April 30, 2019 was issued under the 2006 Plan with vesting periods generally between two years and five years. We determined the fair value of restricted stock as of the grant date. We recognize the related compensation expense over the period from the date of grant to the date the shares vest.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were 41,000 and 1,000 restricted shares of Common Stock granted during the third quarter of fiscal year 2019 and 2018, respectively. Stock-based compensation expense related to non-vested restricted stock was $710,000 and $410,000 for the third quarter of fiscal years 2019 and 2018, respectively. Stock-based compensation expense related to non-vested restricted stock was $1,599,000 and $1,338,000 for the first nine months of fiscal years 2019 and 2018, respectively.</w:t>
      </w:r>
    </w:p>
    <w:p>
      <w:pPr>
        <w:sectPr>
          <w:pgSz w:w="11900" w:h="16838" w:orient="portrait"/>
          <w:cols w:equalWidth="0" w:num="1">
            <w:col w:w="11420"/>
          </w:cols>
          <w:pgMar w:left="240" w:top="742" w:right="239" w:bottom="1440" w:gutter="0" w:footer="0" w:header="0"/>
          <w:type w:val="continuous"/>
        </w:sect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742" w:right="2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r>
              <w:rPr>
                <w:rFonts w:ascii="Arial" w:cs="Arial" w:eastAsia="Arial" w:hAnsi="Arial"/>
                <w:sz w:val="18"/>
                <w:szCs w:val="18"/>
                <w:color w:val="auto"/>
              </w:rPr>
              <w:t>A summary of restricted stock transactions is shown below:</w:t>
            </w:r>
          </w:p>
        </w:tc>
        <w:tc>
          <w:tcPr>
            <w:tcW w:w="1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0"/>
        </w:trPr>
        <w:tc>
          <w:tcPr>
            <w:tcW w:w="81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Weighted</w:t>
            </w:r>
          </w:p>
        </w:tc>
      </w:tr>
      <w:tr>
        <w:trPr>
          <w:trHeight w:val="216"/>
        </w:trPr>
        <w:tc>
          <w:tcPr>
            <w:tcW w:w="816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b w:val="1"/>
                <w:bCs w:val="1"/>
                <w:color w:val="auto"/>
                <w:w w:val="92"/>
              </w:rPr>
              <w:t>Restricted Shares</w:t>
            </w:r>
          </w:p>
        </w:tc>
        <w:tc>
          <w:tcPr>
            <w:tcW w:w="1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Average Grant</w:t>
            </w:r>
          </w:p>
        </w:tc>
      </w:tr>
      <w:tr>
        <w:trPr>
          <w:trHeight w:val="234"/>
        </w:trPr>
        <w:tc>
          <w:tcPr>
            <w:tcW w:w="8160" w:type="dxa"/>
            <w:vAlign w:val="bottom"/>
          </w:tcPr>
          <w:p>
            <w:pPr>
              <w:spacing w:after="0"/>
              <w:rPr>
                <w:sz w:val="20"/>
                <w:szCs w:val="20"/>
                <w:color w:val="auto"/>
              </w:rPr>
            </w:pPr>
          </w:p>
        </w:tc>
        <w:tc>
          <w:tcPr>
            <w:tcW w:w="1540" w:type="dxa"/>
            <w:vAlign w:val="bottom"/>
          </w:tcPr>
          <w:p>
            <w:pPr>
              <w:jc w:val="right"/>
              <w:ind w:right="130"/>
              <w:spacing w:after="0"/>
              <w:rPr>
                <w:sz w:val="20"/>
                <w:szCs w:val="20"/>
                <w:color w:val="auto"/>
              </w:rPr>
            </w:pPr>
            <w:r>
              <w:rPr>
                <w:rFonts w:ascii="Arial" w:cs="Arial" w:eastAsia="Arial" w:hAnsi="Arial"/>
                <w:sz w:val="18"/>
                <w:szCs w:val="18"/>
                <w:b w:val="1"/>
                <w:bCs w:val="1"/>
                <w:color w:val="auto"/>
              </w:rPr>
              <w:t>(in thousands)</w:t>
            </w:r>
          </w:p>
        </w:tc>
        <w:tc>
          <w:tcPr>
            <w:tcW w:w="120" w:type="dxa"/>
            <w:vAlign w:val="bottom"/>
          </w:tcPr>
          <w:p>
            <w:pPr>
              <w:spacing w:after="0"/>
              <w:rPr>
                <w:sz w:val="20"/>
                <w:szCs w:val="20"/>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Date Fair Value</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July 31, 2018</w:t>
            </w:r>
          </w:p>
        </w:tc>
        <w:tc>
          <w:tcPr>
            <w:tcW w:w="1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32.74</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Granted</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314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32.93</w:t>
            </w:r>
          </w:p>
        </w:tc>
      </w:tr>
      <w:tr>
        <w:trPr>
          <w:trHeight w:val="27"/>
        </w:trPr>
        <w:tc>
          <w:tcPr>
            <w:tcW w:w="8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31.86</w:t>
            </w:r>
          </w:p>
        </w:tc>
      </w:tr>
      <w:tr>
        <w:trPr>
          <w:trHeight w:val="243"/>
        </w:trPr>
        <w:tc>
          <w:tcPr>
            <w:tcW w:w="8160" w:type="dxa"/>
            <w:vAlign w:val="bottom"/>
          </w:tcPr>
          <w:p>
            <w:pPr>
              <w:ind w:left="40"/>
              <w:spacing w:after="0"/>
              <w:rPr>
                <w:sz w:val="20"/>
                <w:szCs w:val="20"/>
                <w:color w:val="auto"/>
              </w:rPr>
            </w:pPr>
            <w:r>
              <w:rPr>
                <w:rFonts w:ascii="Arial" w:cs="Arial" w:eastAsia="Arial" w:hAnsi="Arial"/>
                <w:sz w:val="18"/>
                <w:szCs w:val="18"/>
                <w:color w:val="auto"/>
              </w:rPr>
              <w:t>Forfeitures</w:t>
            </w: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30.85</w:t>
            </w:r>
          </w:p>
        </w:tc>
      </w:tr>
      <w:tr>
        <w:trPr>
          <w:trHeight w:val="27"/>
        </w:trPr>
        <w:tc>
          <w:tcPr>
            <w:tcW w:w="816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r>
      <w:tr>
        <w:trPr>
          <w:trHeight w:val="257"/>
        </w:trPr>
        <w:tc>
          <w:tcPr>
            <w:tcW w:w="8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restricted stock outstanding at April 30, 2019</w:t>
            </w:r>
          </w:p>
        </w:tc>
        <w:tc>
          <w:tcPr>
            <w:tcW w:w="15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408</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33.13</w:t>
            </w:r>
          </w:p>
        </w:tc>
      </w:tr>
      <w:tr>
        <w:trPr>
          <w:trHeight w:val="20"/>
        </w:trPr>
        <w:tc>
          <w:tcPr>
            <w:tcW w:w="81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(LOSS) INCOME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changes in accumulated other comprehensive (loss) income by component as of April 30, 2019 (in thousands):</w:t>
      </w:r>
    </w:p>
    <w:p>
      <w:pPr>
        <w:spacing w:after="0" w:line="395"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0"/>
              </w:rPr>
              <w:t>Total Accumulated</w:t>
            </w:r>
          </w:p>
        </w:tc>
      </w:t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Pension and</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Cumulative</w:t>
            </w:r>
          </w:p>
        </w:tc>
        <w:tc>
          <w:tcPr>
            <w:tcW w:w="18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5"/>
              </w:rPr>
              <w:t>Other</w:t>
            </w:r>
          </w:p>
        </w:tc>
      </w:tr>
      <w:tr>
        <w:trPr>
          <w:trHeight w:val="216"/>
        </w:trPr>
        <w:tc>
          <w:tcPr>
            <w:tcW w:w="4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Postretirement</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Translation</w:t>
            </w:r>
          </w:p>
        </w:tc>
        <w:tc>
          <w:tcPr>
            <w:tcW w:w="180" w:type="dxa"/>
            <w:vAlign w:val="bottom"/>
          </w:tcPr>
          <w:p>
            <w:pPr>
              <w:spacing w:after="0"/>
              <w:rPr>
                <w:sz w:val="18"/>
                <w:szCs w:val="18"/>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Comprehensive</w:t>
            </w:r>
          </w:p>
        </w:tc>
      </w:tr>
      <w:tr>
        <w:trPr>
          <w:trHeight w:val="234"/>
        </w:trPr>
        <w:tc>
          <w:tcPr>
            <w:tcW w:w="4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Health Benefits</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gridSpan w:val="2"/>
          </w:tcPr>
          <w:p>
            <w:pPr>
              <w:ind w:left="100"/>
              <w:spacing w:after="0"/>
              <w:rPr>
                <w:sz w:val="20"/>
                <w:szCs w:val="20"/>
                <w:color w:val="auto"/>
              </w:rPr>
            </w:pPr>
            <w:r>
              <w:rPr>
                <w:rFonts w:ascii="Arial" w:cs="Arial" w:eastAsia="Arial" w:hAnsi="Arial"/>
                <w:sz w:val="18"/>
                <w:szCs w:val="18"/>
                <w:b w:val="1"/>
                <w:bCs w:val="1"/>
                <w:color w:val="auto"/>
              </w:rPr>
              <w:t>Adjustment</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(Loss) Income</w:t>
            </w:r>
          </w:p>
        </w:tc>
      </w:tr>
      <w:tr>
        <w:trPr>
          <w:trHeight w:val="27"/>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July 31, 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(10,384)</w:t>
            </w: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(10,615)</w:t>
            </w: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w w:val="91"/>
              </w:rPr>
              <w:t>Other comprehensive loss before reclassifications, net of</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spacing w:after="0"/>
              <w:rPr>
                <w:sz w:val="19"/>
                <w:szCs w:val="19"/>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tax</w:t>
            </w: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4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Amounts reclassified from accumulated other</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5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net of tax</w:t>
            </w: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c>
          <w:tcPr>
            <w:tcW w:w="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(a)</w:t>
            </w:r>
          </w:p>
        </w:tc>
        <w:tc>
          <w:tcPr>
            <w:tcW w:w="160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w:t>
            </w:r>
          </w:p>
        </w:tc>
      </w:tr>
      <w:tr>
        <w:trPr>
          <w:trHeight w:val="209"/>
        </w:trPr>
        <w:tc>
          <w:tcPr>
            <w:tcW w:w="4180" w:type="dxa"/>
            <w:vAlign w:val="bottom"/>
          </w:tcPr>
          <w:p>
            <w:pPr>
              <w:ind w:left="20"/>
              <w:spacing w:after="0"/>
              <w:rPr>
                <w:sz w:val="20"/>
                <w:szCs w:val="20"/>
                <w:color w:val="auto"/>
              </w:rPr>
            </w:pPr>
            <w:r>
              <w:rPr>
                <w:rFonts w:ascii="Arial" w:cs="Arial" w:eastAsia="Arial" w:hAnsi="Arial"/>
                <w:sz w:val="18"/>
                <w:szCs w:val="18"/>
                <w:color w:val="auto"/>
                <w:w w:val="95"/>
              </w:rPr>
              <w:t>Net current-period other comprehensive income (loss),</w:t>
            </w:r>
          </w:p>
        </w:tc>
        <w:tc>
          <w:tcPr>
            <w:tcW w:w="160" w:type="dxa"/>
            <w:vAlign w:val="bottom"/>
            <w:tcBorders>
              <w:top w:val="single" w:sz="8" w:color="auto"/>
            </w:tcBorders>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net of tax</w:t>
            </w:r>
          </w:p>
        </w:tc>
        <w:tc>
          <w:tcPr>
            <w:tcW w:w="160" w:type="dxa"/>
            <w:vAlign w:val="bottom"/>
          </w:tcPr>
          <w:p>
            <w:pPr>
              <w:spacing w:after="0"/>
              <w:rPr>
                <w:sz w:val="20"/>
                <w:szCs w:val="20"/>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430</w:t>
            </w:r>
          </w:p>
        </w:tc>
      </w:tr>
      <w:tr>
        <w:trPr>
          <w:trHeight w:val="27"/>
        </w:trPr>
        <w:tc>
          <w:tcPr>
            <w:tcW w:w="41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as of April 30, 2019</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(9,947)</w:t>
            </w:r>
          </w:p>
        </w:tc>
        <w:tc>
          <w:tcPr>
            <w:tcW w:w="6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8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(10,185)</w:t>
            </w:r>
          </w:p>
        </w:tc>
      </w:tr>
      <w:tr>
        <w:trPr>
          <w:trHeight w:val="20"/>
        </w:trPr>
        <w:tc>
          <w:tcPr>
            <w:tcW w:w="4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8"/>
        <w:spacing w:after="0" w:line="277" w:lineRule="auto"/>
        <w:tabs>
          <w:tab w:leader="none" w:pos="257" w:val="left"/>
        </w:tabs>
        <w:numPr>
          <w:ilvl w:val="0"/>
          <w:numId w:val="7"/>
        </w:numPr>
        <w:rPr>
          <w:rFonts w:ascii="Arial" w:cs="Arial" w:eastAsia="Arial" w:hAnsi="Arial"/>
          <w:sz w:val="18"/>
          <w:szCs w:val="18"/>
          <w:color w:val="auto"/>
        </w:rPr>
      </w:pPr>
      <w:r>
        <w:rPr>
          <w:rFonts w:ascii="Arial" w:cs="Arial" w:eastAsia="Arial" w:hAnsi="Arial"/>
          <w:sz w:val="18"/>
          <w:szCs w:val="18"/>
          <w:color w:val="auto"/>
        </w:rPr>
        <w:t>Amount is net of tax expense of $137,000. Amount is included in the components of net periodic benefit cost for the pension and postretirement health plans. See Note 6 of the Notes to unaudited Condensed Consolidated Financial Statements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One member of our Board of Directors and our Lead Independent Director is the President and Chief Executive Officer of a customer of ours. That customer was a customer of ours before the board member joined that customer and before he became a member of our Board of Directors. Total net sales to that customer, including sales to subsidiaries of that customer, were $158,000 and $150,000 for the third quarters of fiscal years 2019 and 2018, respectively, and were $360,000 and $313,000 for the first nine months of fiscal years 2019 and 2018, respectively. Outstanding accounts receivable from that customer, and its subsidiaries, were $34,000 and $14,000 as of April 30, 2019 and July 31, 2018, respectively.</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One member of our Board of Directors, and of the Compensation Committee of our Board of Directors, is the President and Chief Executive Officer as well as a director and shareholder of a law firm that regularly provides services to us. Total payments to that vendor for fees and cost reimbursements were $140,000 and $67,000 for the third quarters of fiscal years 2019 and 2018, respectively, and were $237,000 and $183,000 for the first nine months of fiscal years 2019 and 2018, respectively. There were no outstanding accounts payable to that vendor as of April 30, 2019 or July 31, 2018.</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80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The following discussion and analysis of our financial condition and results of operations should be read together with the financial statements and the related notes included herein and our Consolidated Financial Statements, accompanying notes and Management’s Discussion and Analysis of Financial Condition and Results of Operations contained in our Annual Report on Form 10-K for the fiscal year ended July 31, 2018. This discussion contains forward-looking statements that involve risks and uncertainties. Our actual results may differ materially from the results discussed in the forward-looking statements. Factors that might cause a difference include, but are not limited to, those discussed under “Forward-Looking Statements” and Item 1A, Risk Factors, of our Annual Report on Form 10-K for the fiscal year ended July 31, 2018, which contained, among other risk factors, a description of the issues that may arise with the implementation of our new enterprise resource planning system which became operational on August 1, 2018.</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develop, mine, manufacture and market sorbent products principally produced from clay minerals and, to a lesser extent, other clay-like sorbent materials. Our principal products include agricultural and horticultural chemical carriers, animal health and nutrition products, bleaching clay and fluid purification aids, cat litter, industrial and automotive floor absorbents and sports field products. Our products are sold to two primary customer groups, including customers who resell our products as originally produced to the end consumer and those who use our products as part of their production process or use them as an ingredient in their final finished product. We have two reportable operating segments based on the different characteristics of our two primary customer groups: Retail and Wholesale Products Group and Business to Business Products Group, as described in Note 7 of the Notes to unaudited Condensed Consolidated Financial Statements.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2019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APRIL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Consolidated net sales for the nine months ended April 30, 2019 were $206,908,000, compared to net sales of $200,387,000 for the nine months ended April 30, 2018. Net sales were up for our Retail and Wholesale Products Group and were down for our Business to Business Products Group. Both groups reported lower operating income, as discussed further below.</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Consolidated gross profit for the first nine months of fiscal year 2019 was $48,248,000, or 23.3% of net sales, compared to $56,292,000, or 28.1% of net sales, for the first nine months of fiscal year 2018. Gross profit was negatively impacted by higher freight, manufacturing and packaging costs. Freight costs per ton were up approximately 17% compared to the first nine months of fiscal year 2018. A shortage of truck drivers that reduced truck availability and new government regulations in the trucking industry increased year-to-date freight costs, particularly in the first two quarters of fiscal year 2019. In addition, higher freight costs resulted from an increased number of product transfers between our plants and warehouses to support customer service during the implementation of our new enterprise resource planning (“ERP”) system on August 1, 2018, and during disruptions due to Hurricane Michael in the first quarter of fiscal year 2019. Our overall freight costs also vary depending on the mix of products sold and the geographic distribution of our customers. Non-fuel manufacturing costs per ton produced were up approximately 9% compared to the first nine months in the prior fiscal year. An increase in the number of tons produced contributed to higher costs for labor, hauling services, warehouse rental, and product transfers. Repairs expense also increased for routine mining equipment and preventative maintenance. In addition, during the first quarter of fiscal 2019 some processing interruptions occurred at our plants due to the ERP system implementation and one plant lost electricity for three days after Hurricane Michael. Finally, the cost of natural gas used to operate kilns that dry our clay was approximately 9% higher per manufactured ton in the first nine months of fiscal year 2019 compared to the first nine months of fiscal year 2018. Packaging costs per ton were approximately 13% higher compared to the first nine months of the prior fiscal year. Many of our contracts for packaging purchases are subject to periodic price adjustments, which trail changes in underlying commodity prices. Costs in the first nine months of fiscal year 2019 for both our resin and paper-based packaging reflected higher prices in their respective commodity prices compared to the prior year. Recent declines in commodity prices are expected to positively impact packaging costs for the fourth quarter of fiscal year 2019. In addition, during this period of higher costs in fiscal year 2019, we purchased more packaging in anticipation of increased sales and for safety stock during the ERP implementation. We continue to evaluate our packaging purchase needs throughout the year.</w:t>
      </w:r>
    </w:p>
    <w:p>
      <w:pPr>
        <w:spacing w:after="0" w:line="39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SG&amp;A expenses were 3% lower for the first nine months of fiscal year 2019 compared to the first nine months of fiscal year 2018. The discussion of the segments' operating incomes below describes the changes in SG&amp;A expenses that were allocated to</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1" w:name="page22"/>
    <w:bookmarkEnd w:id="21"/>
    <w:p>
      <w:pPr>
        <w:jc w:val="both"/>
        <w:spacing w:after="0" w:line="264" w:lineRule="auto"/>
        <w:rPr>
          <w:sz w:val="20"/>
          <w:szCs w:val="20"/>
          <w:color w:val="auto"/>
        </w:rPr>
      </w:pPr>
      <w:r>
        <w:rPr>
          <w:rFonts w:ascii="Arial" w:cs="Arial" w:eastAsia="Arial" w:hAnsi="Arial"/>
          <w:sz w:val="18"/>
          <w:szCs w:val="18"/>
          <w:color w:val="auto"/>
        </w:rPr>
        <w:t>the operating segments. The remaining unallocated corporate expenses included a lower estimated annual incentive bonus accrual. The incentive bonus accruals were based on performance targets established for each fiscal year. The lower bonus expense was p</w:t>
      </w:r>
      <w:r>
        <w:rPr>
          <w:rFonts w:ascii="Arial" w:cs="Arial" w:eastAsia="Arial" w:hAnsi="Arial"/>
          <w:sz w:val="18"/>
          <w:szCs w:val="18"/>
          <w:color w:val="222222"/>
        </w:rPr>
        <w:t>artially offset by additional expenses</w:t>
      </w:r>
      <w:r>
        <w:rPr>
          <w:rFonts w:ascii="Arial" w:cs="Arial" w:eastAsia="Arial" w:hAnsi="Arial"/>
          <w:sz w:val="18"/>
          <w:szCs w:val="18"/>
          <w:color w:val="auto"/>
        </w:rPr>
        <w:t xml:space="preserve"> related to the new ERP system implementation and costs associated with </w:t>
      </w:r>
      <w:r>
        <w:rPr>
          <w:rFonts w:ascii="Arial" w:cs="Arial" w:eastAsia="Arial" w:hAnsi="Arial"/>
          <w:sz w:val="18"/>
          <w:szCs w:val="18"/>
          <w:color w:val="222222"/>
        </w:rPr>
        <w:t>executive personnel changes.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income of $4,219,000 for the first nine months of fiscal year 2019 included net proceeds upon resolution of legal proceedings. The amount received under a confidential agreement resolving such legal proceedings was material to our financial results for the period.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net income before taxes for the first nine months of fiscal year 2019 was $10,376,000, a 15% decrease from net income before taxes of $12,205,000 for the first nine months of fiscal year 2018. Results for the first nine months of fiscal year 2019 were impacted by higher freight, packaging and manufacturing costs, which more than offset the increase in other income and lower SG&amp;A expenses in that period.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Tax expense for the first nine months of fiscal year 2019 was $1,599,000, compared to $6,666,000 for the first nine months of fiscal year 2018. Tax expense for the first nine months of fiscal year 2018 included a net adjustment of $3,996,000 for the impact on deferred income tax assets under the 2017 Tax Act, which was enacted in December 2017. Excluding this adjustment, the effective tax rate for the first nine months of fiscal year 2018 would have been 22%. The 2017 Tax Act also lowered the U.S. federal corporate tax rate, as reflected in our effective tax rate of 15% for the first nine months of fiscal year 2019. We used an estimated annual effective tax rate in determining our quarterly provision for income taxes, which is based on expected annual taxable income and the assessment of various tax deductions, including depletion.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Diluted net income per share was $1.17 for the first nine months of fiscal year 2019, compared to $0.75 for the first nine months of fiscal year 2018. The tax expense adjustment for the impact of the 2017 Tax Act discussed above effectively reduced diluted net income per share by $0.54 for the first nine months of fiscal year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Net sales of the Business to Business Products Group for the first nine months of fiscal year 2019 were $77,825,000, a decrease of $1,401,000, or 2%, from net sales of $79,226,000 for the first nine months of fiscal year 2018. Net sales of our animal health and nutrition products decreased approximately 14% compared to the first nine months of the prior year. A swine virus outbreak in China that started in August of 2018 is impacting the pork market and has weakened sales of our products in Asia, including for our subsidiary in China discussed in “Foreign Operations” below. A delay in product registrations further negatively impacted sales to customers in Africa. Net sales of our co-packaged coarse cat litter were down slightly compared to the first nine months of the prior year. These declines were partially offset by approximately 1% higher sales of our fluids purification products. Domestic sales of these products to edible oil processors were higher based on the characteristics of recent crops. In contrast, price competition due to the strength of the U.S. Dollar resulted in a loss of international sales to local suppliers, particularly in Europe and Brazil. Net sales of agricultural and horticultural chemical carrier products increased approximately 1%, driven by higher sales of our engineered granules.</w:t>
      </w:r>
    </w:p>
    <w:p>
      <w:pPr>
        <w:spacing w:after="0" w:line="18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expenses for the Business to Business Products Group were 6% lower for the first nine months of fiscal year 2019 compared to the same period of the prior year, including lower net compensation-related costs that resulted from employee turnover and lower marketing costs.</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Business to Business Products Group’s operating income for the first nine months of fiscal year 2019 was $21,758,000, a decrease of $4,433,000, or 17%, from operating income of $26,191,000 for the first nine months of fiscal year 2018. The operating income decline was driven by the lower sales, discussed above, combined with higher freight, packaging and manufacturing costs. See “Consolidated Results” above for further discussion of these costs.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Net sales of the Retail and Wholesale Products Group for the first nine months of fiscal year 2019 were $129,083,000, an increase of $7,922,000, or 7%, from net sales of $121,161,000 for the first nine months of fiscal year 2018. Total cat litter net sales were approximately 8% higher compared to the first nine months of the prior year. Private label litters drove the sales increase. Two customers expanded their selection of our private label scoopable products and ran store-sponsored promotions. Private label coarse litter sales increased to our largest customer and new customers were added during the year. Our branded cat litter sales were essentially even with the same period in the prior year.</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2" w:name="page23"/>
    <w:bookmarkEnd w:id="22"/>
    <w:p>
      <w:pPr>
        <w:jc w:val="both"/>
        <w:spacing w:after="0" w:line="264" w:lineRule="auto"/>
        <w:rPr>
          <w:sz w:val="20"/>
          <w:szCs w:val="20"/>
          <w:color w:val="auto"/>
        </w:rPr>
      </w:pPr>
      <w:r>
        <w:rPr>
          <w:rFonts w:ascii="Arial" w:cs="Arial" w:eastAsia="Arial" w:hAnsi="Arial"/>
          <w:sz w:val="18"/>
          <w:szCs w:val="18"/>
          <w:color w:val="auto"/>
        </w:rPr>
        <w:t>Net sales of industrial and automotive absorbent products were flat compared to the first nine months of fiscal year 2018. Nine month sales for our subsidiaries in the United Kingdom and Canada were slightly higher than in the prior year. See “Foreign Operations” below for further discussion about the sales and types of products sold by our foreign subsidiaries.</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SG&amp;A expenses for the Retail and Wholesale Products Group were 19% lower compared to the first nine months of fiscal year 2018. The decrease was driven by about $3,000,000 lower advertising expense. Our advertising costs have been reduced by focusing on targeted regional markets and increased use of digital media. We expect advertising expense for the full year of fiscal 2019 to be lower than in fiscal 2018.</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Retail and Wholesale Products Group's operating income for the first nine months of fiscal year 2019 was $6,823,000, a decrease of $187,000, or 3%, from operating income of $7,010,000 for the first nine months of fiscal year 2018. Higher freight, packaging and manufacturing costs more than offset the benefits of increased sales and lower SG&amp;A expenses. See “Consolidated Results” above for further discussion of freight, packaging and manufacturing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Foreign operations included our subsidiaries in Canada and the United Kingdom, which are reported in the Retail and Wholesale Products Group, and our subsidiaries in China and Mexico, which are reported in the Business to Business Products Group. Net sales by our foreign subsidiaries during the first nine months of fiscal year 2019 were $10,008,000, an increase of $1,187,000, or 13%, compared to net sales of $8,821,000 during the first nine months of fiscal year 2018. Our subsidiary in Mexico was acquired in the fourth quarter of fiscal year 2018 and provided incremental sales in the first nine months of fiscal year 2019. In addition, net sales were up for floor absorbents sold by our United Kingdom subsidiary. Sales for our Canada subsidiary increased due to a new private label cat litter customer. These sales increases were partially offset by a 24% decline in sales of animal health and nutrition products by our subsidiary in China attributed to the outbreak of swine fever in Asia. Net sales by our foreign subsidiaries represented 5% and 4% of our consolidated net sales during the first nine months of fiscal years 2019 and 2018, respectively.</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foreign subsidiaries reported net income of $343,000 for the first nine months of fiscal 2019, compared to net income of $553,000 for the first nine months of fiscal 2018. Net income declined due to weaker exchange rates for the British Pound and Canadian Dollar and lower sales by our subsidiary in China.</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Identifiable assets of our foreign subsidiaries as of April 30, 2019 were $9,566,000, compared to $8,312,000 as of April 30, 2018. The increase was attributed primarily to the addition of our subsidiary in Mexico.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2019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APRIL 30,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CONSOLIDATED RESULTS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Consolidated net sales for the three months ended April 30, 2019 were $70,885,000, compared to $64,847,000 for the three months ended April 30, 2018. Net sales were up for both the Retail and Wholesale Products Group and for the Business to Business Products Group.</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Consolidated gross profit for the three months ended April 30, 2019 was $16,834,000, or 23.7% of net sales, compared to $17,660,000, or 27.2% of net sales for the third quarter of fiscal year 2018. Gross profit was negatively impacted by higher manufacturing costs, including natural gas, as well as packaging and freight costs. Non-fuel manufacturing costs per ton produced were up approximately 12% compared to the third quarter in the prior fiscal year. An increase in tons produced contributed to higher costs for hauling services, warehouse rental and product transfers. Repairs expense also increased for routine mining equipment and preventative maintenance. The cost of natural gas used to operate kilns that dry our clay was approximately 3% higher per manufactured ton. Freight costs per ton were up approximately 7% over the same quarter of the prior fiscal year. The rise in freight costs reported in prior periods due to a reduced truck availability began to moderate in the third quarter of fiscal year 2019, however rates remained higher compared to the same period in the prior year. Our overall freight costs also vary depending on the mix of products sold and the geographic distribution of our customers. Packaging costs per ton were approximately 13% higher compared to the third quarter of the prior fiscal year. Many of our contracts for packaging purchases are subject to periodic price adjustments, which trail changes in underlying commodity prices. Costs in the third quarter of fiscal year 2019 for both our resin and paper-based packaging reflected higher prices in their respective commodity prices compared to the prior year. Recent declines in commodity prices are expected to positively impact packaging costs for the fourth quarter of fiscal year 2019. In addition, during this period of higher costs in fiscal year 2019, we purchased more packaging in anticipation of increased sales and for safety stock during the ERP implementation. We continue to evaluate our packaging purchase needs throughout the year.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84" w:right="239" w:bottom="1440" w:gutter="0" w:footer="0" w:header="0"/>
        </w:sectPr>
      </w:pPr>
    </w:p>
    <w:bookmarkStart w:id="23" w:name="page24"/>
    <w:bookmarkEnd w:id="23"/>
    <w:p>
      <w:pPr>
        <w:jc w:val="both"/>
        <w:spacing w:after="0" w:line="259" w:lineRule="auto"/>
        <w:rPr>
          <w:sz w:val="20"/>
          <w:szCs w:val="20"/>
          <w:color w:val="auto"/>
        </w:rPr>
      </w:pPr>
      <w:r>
        <w:rPr>
          <w:rFonts w:ascii="Arial" w:cs="Arial" w:eastAsia="Arial" w:hAnsi="Arial"/>
          <w:sz w:val="18"/>
          <w:szCs w:val="18"/>
          <w:color w:val="auto"/>
        </w:rPr>
        <w:t xml:space="preserve">Total SG&amp;A expenses were approximately 1% higher for the third quarter of fiscal year 2019 compared to the third quarter of fiscal year 2018. The discussion below describes the SG&amp;A expenses allocated to the operating segments. The remaining unallocated corporate expenses included a higher estimated annual incentive bonus accrual and </w:t>
      </w:r>
      <w:r>
        <w:rPr>
          <w:rFonts w:ascii="Arial" w:cs="Arial" w:eastAsia="Arial" w:hAnsi="Arial"/>
          <w:sz w:val="18"/>
          <w:szCs w:val="18"/>
          <w:color w:val="222222"/>
        </w:rPr>
        <w:t>additional expenses</w:t>
      </w:r>
      <w:r>
        <w:rPr>
          <w:rFonts w:ascii="Arial" w:cs="Arial" w:eastAsia="Arial" w:hAnsi="Arial"/>
          <w:sz w:val="18"/>
          <w:szCs w:val="18"/>
          <w:color w:val="auto"/>
        </w:rPr>
        <w:t xml:space="preserve"> related to the new ERP system implementation. The incentive bonus accruals were based on performance targets established for each fiscal year.</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income of $4,377,000 for the third quarter of fiscal year 2019 included net proceeds upon resolution of legal proceedings. The amount received under a confidential agreement resolving such legal proceedings was material to our financial results for the period.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Consolidated net income before taxes for the third quarter of fiscal year 2019 was $6,704,000, compared to net income before taxes of $3,295,000 for the third quarter of fiscal year 2018. Net income for the third quarter of fiscal year 2019 benefited from the increase in other income, but this increase was partially offset by higher manufacturing, freight and packaging costs in that period.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Tax expense was $1,143,000 for the third quarter of fiscal year 2019, compared to a tax benefit of $290,000 for the third quarter of fiscal year 2018. A $1,095,000 reduction in tax expense was recognized in the third quarter of fiscal year 2018, primarily due to the benefit of a $12,000,000 tax deductible contribution we made to our pension plan. Excluding this adjustment, the effective tax rate for the third quarter of fiscal year 2018 would have been 24%. The effective tax rate of 17% for the third quarter of fiscal year 2019 reflected a lower U.S. federal corporate tax rate under The 2017 Tax Act. We used an estimated annual effective tax rate in determining our quarterly provision for income taxes, which is based on expected annual taxable income and the assessment of various tax deductions, including depletion.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Diluted net earnings per share were $0.74 for the third quarter of fiscal year 2019, compared to diluted net income per share of $0.48 for the third quarter of fiscal year 2018. The tax expense adjustment discussed above effectively increased diluted net income per share by $0.15 for the third quarter of fiscal year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BUSINESS TO BUSINESS PRODUCTS GROUP</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sales of the Business to Business Products Group for the third quarter of fiscal year 2019 were $26,041,000, an increase of $1,257,000, or 5%, from net sales of $24,784,000 for the third quarter of fiscal year 2018. Net sales of our fluids purification products increased approximately 13%. Domestic sales of these products to edible oil processors were higher based on the characteristics of recent crops. Net sales of our agricultural and horticultural chemical carrier products increased 8%, driven by higher sales of our engineered granules. Net sales of our co-packaged coarse cat litter for the third quarter were also higher compared to the third quarter of the prior year. Conversely, net sales of our animal health and nutrition products were approximately 27% lower than the third quarter of the prior year. A swine virus outbreak in China that started in August of 2018 is impacting the pork market and has continued to weaken sales of our products in Asia, including for our subsidiary in China discussed in “Foreign Operations” below. A delay in product registrations further negatively impacted sales to customers in Africa.</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SG&amp;A expenses for the Business to Business Products Group were 12% lower compared to the third quarter of fiscal year 2018, including lower marketing costs.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Business to Business Products Group’s operating income for the third quarter of fiscal year 2019 was $7,454,000, a decrease of $102,000, or 1%, from operating income of $7,556,000 in the third quarter of fiscal year 2018. Increased manufacturing, freight and packaging costs more than offset the higher sales and lower SG&amp;A expenses. See “Consolidated Results” above for further discussion of manufacturing, freight and packaging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RETAIL AND WHOLESALE PRODUCTS GROUP</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Net sales of the Retail and Wholesale Products Group for the third quarter of fiscal year 2019 were $44,844,000, an increase of $4,781,000, or 12%, from net sales of $40,063,000 for the third quarter of fiscal year 2018. Total cat litter net sales were 15% higher compared to the third quarter of fiscal year 2018, driven by increased sales of both private label and branded litters. Two customers expanded their selection of our private label scoopable products and ran store-sponsored promotions. New customers contributed to the increase in private label coarse litter sales. Branded coarse litter sales to our largest customer were also higher compared to the third quarter of the prior year. Net sales of industrial and automotive absorbent products were up slightly compared to the third quarter of fiscal year 2018.</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4" w:name="page25"/>
    <w:bookmarkEnd w:id="24"/>
    <w:p>
      <w:pPr>
        <w:jc w:val="both"/>
        <w:spacing w:after="0" w:line="286" w:lineRule="auto"/>
        <w:rPr>
          <w:sz w:val="20"/>
          <w:szCs w:val="20"/>
          <w:color w:val="auto"/>
        </w:rPr>
      </w:pPr>
      <w:r>
        <w:rPr>
          <w:rFonts w:ascii="Arial" w:cs="Arial" w:eastAsia="Arial" w:hAnsi="Arial"/>
          <w:sz w:val="17"/>
          <w:szCs w:val="17"/>
          <w:color w:val="auto"/>
        </w:rPr>
        <w:t>SG&amp;A expenses for the Retail and Wholesale Products Group were approximately 45% lower compared to the third quarter of fiscal year 2018. The decrease was driven by about $2,000,000 lower advertising expense. Our advertising costs have been reduced by focusing on targeted regional markets and increased use of digital media. We expect advertising expense for the full year of fiscal 2019 to be lower than in fiscal 2018.</w:t>
      </w:r>
    </w:p>
    <w:p>
      <w:pPr>
        <w:spacing w:after="0" w:line="16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For the third quarter of fiscal year 2019, the Retail and Wholesale Products Group reported operating income of $4,161,000, an increase of $1,938,000, compared to operating income of $2,223,000 for the third quarter of fiscal year 2018. The increased sales and lower SG&amp;A expenses, as discussed above, more than offset higher manufacturing, freight and packaging costs. See “Consolidated Results” above for further discussion of freight, packaging and manufacturing costs.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FOREIGN OPERATIONS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Foreign operations included our subsidiaries in Canada and the United Kingdom, which are reported in the Retail and Wholesale Products Group, and our subsidiaries in China and Mexico, which are reported in the Business to Business Products Group. Net sales by our foreign subsidiaries during the third quarter of fiscal year 2019 were $3,526,000, a 27% increase compared to net sales of $2,774,000 in the third quarter of fiscal year 2018. Our subsidiary in Mexico was acquired in the fourth quarter of fiscal year 2018 and provided incremental sales in the third quarter of fiscal year 2019. In addition, net sales were up for floor absorbents sold by our United Kingdom subsidiary. Sales for our Canada subsidiary increased due to a new private label cat litter customer. These sales increases were partially offset by a 19% decline in sales of animal health and nutrition products by our subsidiary in China attributed to the outbreak of swine fever in Asia. Our foreign subsidiaries' net sales represented approximately 5% and 4% of consolidated net sales during the third quarters of fiscal years 2019 and 2018, respectively.</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foreign subsidiaries reported net income attributable to Oil-Dri of $28,000 for the third quarter of fiscal year 2019, compared to a net loss of $82,000 for the third quarter of fiscal year 2018. The increase in reported net income was due primarily to the higher sales discussed above.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principal capital requirements include: funding working capital needs; purchasing and upgrading equipment, facilities, information systems and real estate; supporting new product development; investing in infrastructure; repurchasing stock; paying dividends; making pension contributions; and business acquisitions. During the first nine months of fiscal year 2019, we principally used cash generated from operations to fund these requirements.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elements of our unaudited Condensed Consolidated Statements of Cash Flows (in thousands):</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234"/>
        </w:trPr>
        <w:tc>
          <w:tcPr>
            <w:tcW w:w="6560" w:type="dxa"/>
            <w:vAlign w:val="bottom"/>
          </w:tcPr>
          <w:p>
            <w:pPr>
              <w:spacing w:after="0"/>
              <w:rPr>
                <w:sz w:val="20"/>
                <w:szCs w:val="20"/>
                <w:color w:val="auto"/>
              </w:rPr>
            </w:pPr>
          </w:p>
        </w:tc>
        <w:tc>
          <w:tcPr>
            <w:tcW w:w="3020" w:type="dxa"/>
            <w:vAlign w:val="bottom"/>
            <w:gridSpan w:val="5"/>
          </w:tcPr>
          <w:p>
            <w:pPr>
              <w:jc w:val="right"/>
              <w:spacing w:after="0"/>
              <w:rPr>
                <w:sz w:val="20"/>
                <w:szCs w:val="20"/>
                <w:color w:val="auto"/>
              </w:rPr>
            </w:pPr>
            <w:r>
              <w:rPr>
                <w:rFonts w:ascii="Arial" w:cs="Arial" w:eastAsia="Arial" w:hAnsi="Arial"/>
                <w:sz w:val="18"/>
                <w:szCs w:val="18"/>
                <w:b w:val="1"/>
                <w:bCs w:val="1"/>
                <w:color w:val="auto"/>
                <w:w w:val="94"/>
              </w:rPr>
              <w:t>For the Nine Months Ended April 30,</w:t>
            </w:r>
          </w:p>
        </w:tc>
      </w:tr>
      <w:tr>
        <w:trPr>
          <w:trHeight w:val="27"/>
        </w:trPr>
        <w:tc>
          <w:tcPr>
            <w:tcW w:w="65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15,364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2,789</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(3,758)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608</w:t>
            </w:r>
          </w:p>
        </w:tc>
      </w:tr>
      <w:tr>
        <w:trPr>
          <w:trHeight w:val="27"/>
        </w:trPr>
        <w:tc>
          <w:tcPr>
            <w:tcW w:w="65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(8,191)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r>
      <w:tr>
        <w:trPr>
          <w:trHeight w:val="243"/>
        </w:trPr>
        <w:tc>
          <w:tcPr>
            <w:tcW w:w="656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b w:val="1"/>
                <w:bCs w:val="1"/>
                <w:color w:val="auto"/>
              </w:rPr>
              <w:t>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w:t>
            </w:r>
          </w:p>
        </w:tc>
      </w:tr>
      <w:tr>
        <w:trPr>
          <w:trHeight w:val="27"/>
        </w:trPr>
        <w:tc>
          <w:tcPr>
            <w:tcW w:w="65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3,467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1,518</w:t>
            </w:r>
          </w:p>
        </w:tc>
      </w:tr>
      <w:tr>
        <w:trPr>
          <w:trHeight w:val="20"/>
        </w:trPr>
        <w:tc>
          <w:tcPr>
            <w:tcW w:w="6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provided by operating activities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net income, as adjusted for depreciation and amortization and other non-cash operating activities, the primary sources and uses of operating cash flows for the first nine months of fiscal years 2019 and 2018 were as follows: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Accounts receivable, less allowance for doubtful accounts, increased $2,336,000 in the first nine months of fiscal year 2019 compared to a decrease of $220,000 in the first nine months of fiscal year 2018. Higher sales in the third quarter of fiscal year 2019 contributed to the increase in the quarter-end accounts receivable balance. The variation in accounts receivable balances also reflected differences in the level and timing of collections as well as the payment terms provided to various customers.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Inventory increased $4,248,000 in the first nine months of fiscal year 2019 compared to an increase of $783,000 in the first nine months of fiscal year 2018. Finished goods, packaging and other raw materials inventories were higher due to anticipated sales requirements and as safety stock during the ERP system implementation in fiscal year 2019. Higher costs also increased the inventory value as of April 30, 2019.</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5" w:name="page26"/>
    <w:bookmarkEnd w:id="25"/>
    <w:p>
      <w:pPr>
        <w:jc w:val="both"/>
        <w:spacing w:after="0" w:line="259" w:lineRule="auto"/>
        <w:rPr>
          <w:sz w:val="20"/>
          <w:szCs w:val="20"/>
          <w:color w:val="auto"/>
        </w:rPr>
      </w:pPr>
      <w:r>
        <w:rPr>
          <w:rFonts w:ascii="Arial" w:cs="Arial" w:eastAsia="Arial" w:hAnsi="Arial"/>
          <w:sz w:val="18"/>
          <w:szCs w:val="18"/>
          <w:color w:val="auto"/>
        </w:rPr>
        <w:t>Accounts payable increased $2,873,000 in the first nine months of fiscal year 2019 compared to a decrease of $888,000 in the first nine months of fiscal year 2018. Higher costs for freight, packaging and other operating expenses contributed to the increase in accounts payable at the end of the third quarter of fiscal year 2019. Trade and freight payables varied in both periods due to the timing of payments, fluctuations in the cost of goods and services we purchased, production volume levels and vendor payment terms.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Accrued expenses decreased $1,762,000 in the first nine months of fiscal year 2019 compared to a decrease of $1,198,000 in the first nine months of fiscal year 2018. The payout of the prior fiscal year's discretionary incentive bonus reduced accrued salaries in both fiscal years. In addition, the bonus accrual at the end of the third quarter of fiscal year 2019 was less than as of the same period in the prior fiscal year. Higher accrued freight in the first nine months of fiscal year 2019 partially offset the lower bonus accrual. Accrued plant expenses also fluctuated due to timing of payments, changes in the cost of goods and services we purchased, production volume levels and vendor payment terms.</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Pension and postretirement benefits increased $1,287,000 in the first nine months of fiscal year 2019 compared to a decrease of $11,223,000 in the first nine months of fiscal year 2018. The decrease in fiscal year 2018 was due primarily to an $11,500,000 voluntary contribution in excess of the minimum amount required. See Note 6 of Notes to Condensed Consolidated Financial Statements for further information about our pension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provided by investing activities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Cash used in investing activities was $3,758,000 in the first nine months of fiscal year 2019 compared to cash provided by investing activities of $608,000 in the first nine months of fiscal year 2018. Purchases and dispositions of investment securities in both periods were impacted by variations in the timing of investment maturities, the operating cash needs of the Company and the availability of investment options. Cash proceeds from net dispositions of short-term investments in the first nine months of fiscal year 2018 were used in part to fund the voluntary contribution to our pension plan. In addition, cash proceeds were received in the first nine months of fiscal year 2018 from the closing of a life insurance policy on a former key employee.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cash used in financing activities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Cash used in financing activities of $8,191,000 in the first nine months of fiscal year 2019 was higher than cash used in financing activities of $1,781,000 in the first nine months of fiscal year 2018. A short term borrowing in the first nine months of fiscal year 2018 under our credit agreement with BMO Harris provided $6,000,000 that was used to fund the voluntary contribution to our pension plan.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Total cash and investment balances held by our foreign subsidiaries of $1,972,000 as of April 30, 2019 were slightly higher than the April 30, 2018 balances of $1,849,000. See further discussion in “Foreign Operations” above.</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January 31, 2019, we signed a fifth amendment to our credit agreement with BMO Harris Bank N.A. (“BMO Harris”), which was scheduled to expire on December 4, 2019. The new agreement will expire on January 31, 2024 and provides for a $45,000,000 unsecured revolving credit agreement, including a maximum of $10,000,000 for letters of credit. The remaining terms are substantially unchanged from our previous agreement with BMO Harris, including the provision that we may select a variable interest rate based on either the BMO Harris prime rate or a LIBOR-based rate, plus a margin that varies depending on our debt to earnings ratio, or a fixed rate as agreed between us and BMO Harris. As of April 30, 2019, the variable rates would have been 5.75% for the BMO Harris prime-based rate or 3.83% for the LIBOR-based rate. The credit agreement contains restrictive covenants that, among other things and under various conditions, limit our ability to incur additional indebtedness or to dispose of assets. The agreement also requires us to maintain a minimum fixed coverage ratio and a minimum consolidated net worth. As of April 30, 2019 and 2018 we were in compliance with the covenants. There were no borrowings during the first nine months of fiscal year 2019. We borrowed $6,000,000 at a weighted average interest rate of 2.96% under the credit agreement with BMO Harris during the third quarter of fiscal year 2018, which was repaid in the fourth quarter of the same fiscal year. The proceeds from the borrowing were used to make a voluntary contribution to our pension plan. There were no other borrowings during the first nine months of fiscal year 2018.</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April 30, 2019, we had remaining authority to repurchase 1,046,090 shares of Common Stock under a repurchase plan approved by our Board of Directors (the “Board”), including 750,000 shares of Common Stock the Board authorized on March 12, 2019. In addition, on March 21, 2018, the Board authorized the repurchase of 300,000 shares of Class B Stock; however, there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00" w:right="239" w:bottom="1440" w:gutter="0" w:footer="0" w:header="0"/>
        </w:sectPr>
      </w:pPr>
    </w:p>
    <w:bookmarkStart w:id="26" w:name="page27"/>
    <w:bookmarkEnd w:id="26"/>
    <w:p>
      <w:pPr>
        <w:jc w:val="both"/>
        <w:spacing w:after="0" w:line="277" w:lineRule="auto"/>
        <w:rPr>
          <w:sz w:val="20"/>
          <w:szCs w:val="20"/>
          <w:color w:val="auto"/>
        </w:rPr>
      </w:pPr>
      <w:r>
        <w:rPr>
          <w:rFonts w:ascii="Arial" w:cs="Arial" w:eastAsia="Arial" w:hAnsi="Arial"/>
          <w:sz w:val="18"/>
          <w:szCs w:val="18"/>
          <w:color w:val="auto"/>
        </w:rPr>
        <w:t>have been no repurchases of Class B Stock. Repurchases may be made on the open market (pursuant to Rule 10b5-1 plans or otherwise) or in negotiated transactions. The timing and number of shares repurchased will be determined by our management.</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We believe that cash flow from operations, availability under our revolving credit facility, current cash and investment balances and our ability to obtain other financing, if necessary, will provide adequate cash funds for foreseeable working capital needs, capital expenditures at existing facilities, deferred compensation payouts, dividend payments and debt service obligations for at least the next 12 months. We plan to continue promoting our lightweight cat litter products; however, we expect advertising expense in fiscal year 2019 to be lower than in fiscal year 2018. </w:t>
      </w:r>
      <w:r>
        <w:rPr>
          <w:rFonts w:ascii="Arial" w:cs="Arial" w:eastAsia="Arial" w:hAnsi="Arial"/>
          <w:sz w:val="18"/>
          <w:szCs w:val="18"/>
          <w:color w:val="222222"/>
        </w:rPr>
        <w:t>We do not believe that these increased cash</w:t>
      </w:r>
      <w:r>
        <w:rPr>
          <w:rFonts w:ascii="Arial" w:cs="Arial" w:eastAsia="Arial" w:hAnsi="Arial"/>
          <w:sz w:val="18"/>
          <w:szCs w:val="18"/>
          <w:color w:val="auto"/>
        </w:rPr>
        <w:t xml:space="preserve"> </w:t>
      </w:r>
      <w:r>
        <w:rPr>
          <w:rFonts w:ascii="Arial" w:cs="Arial" w:eastAsia="Arial" w:hAnsi="Arial"/>
          <w:sz w:val="18"/>
          <w:szCs w:val="18"/>
          <w:color w:val="222222"/>
        </w:rPr>
        <w:t>outflows will dramatically impact our cash position; however our cash requirements are subject to change as business conditions warrant and opportunities arise.</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continually evaluate our liquidity position and anticipated cash needs, as well as the financing options available to obtain additional cash reserves. Our ability to fund operations, to make planned capital expenditures, to make scheduled debt payments and to remain in compliance with all financial covenants under debt agreements, including, but not limited to, the current credit agreement, depends on our future operating performance, which, in turn, is subject to prevailing economic conditions and to financial, business and other factors. The timing and size of any new business ventures or acquisitions that we complete may also impact our cash requirements.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CRITICAL ACCOUNTING POLICIES AND ESTIMATES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This discussion and analysis of financial condition and results of operations is based on our unaudited Condensed Consolidated Financial Statements, which have been prepared in accordance with U.S. GAAP for interim financial information and in compliance with instructions to Form 10-Q and Article 10 of Regulation S-X. The preparation of these financial statements requires the use of estimates and assumptions related to the reporting of assets, liabilities, revenues, expenses and related disclosures. In preparing these financial statements, we have made our best estimates and judgments of certain amounts included in the financial statements. Estimates and assumptions are revised periodically. Actual results could differ from these estimates. See the information concerning our critical accounting policies included under “Management’s Discussion of Financial Condition and Results of Operations” in our Annual Report on Form 10-K for the fiscal year ended July 31,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Management conducted an evaluation of the effectiveness of the design and operation of our disclosure controls and procedures (as defined in Rule 13a-15(e) under the Securities Exchange Act of 1934 (the “Exchange Act”)) as of the end of the period covered by this Quarterly Report on Form 10-Q. The controls evaluation was conducted under the supervision and with the participation of management, including our Chief Executive Officer (“CEO”) and Chief Financial Officer (“CFO”). Based upon the controls evaluation, our CEO and CFO have concluded that, as of the end of the period covered by this report, our disclosure controls and procedures were effective to provide reasonable assurance that information required to be disclosed in our Exchange Act reports is recorded, processed, summarized and reported within the time periods specified by the SEC, and that such information is accumulated and communicated to management, including the CEO and CFO, as appropriate to allow timely decisions regarding required disclosure.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is engaged in a multi-year implementation of a new ERP system designed to upgrade our technology and improve our financial and operational information. While the Company believes that this new system and related changes to internal controls will ultimately strengthen its internal control over financial reporting, there are inherent risks in implementing a new ERP system. The Company has appropriately considered these changes in its design of and testing for effectiveness of internal controls over financial reporting and concluded, as part of the evaluation described in the above paragraph, that the implementation of the new ERP in these circumstances has not materially changed the effectiveness of its internal control over financial reporting.</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There were no changes, other than those described herein, in our internal control over financial reporting (as defined in Rule 13a-15(f) under the Exchange Act) that occurred during the fiscal quarter ended April 30, 2019 that have materially affected, or are reasonably likely to materially affect, our internal control over financial reporting.</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Inherent Limitations on Effectiveness of Controls</w:t>
      </w:r>
    </w:p>
    <w:p>
      <w:pPr>
        <w:spacing w:after="0" w:line="22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management, including the CEO and CFO, do not expect that our disclosure controls and procedures or our internal control over financial reporting will prevent or detect all errors and all fraud. A control system, no matter how well 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within the Company have been detected. These inherent limitations include the realities that judgments in decision-making can be faulty and that breakdowns can occur because of simple error or mistake. Controls can also be circumvented by the individual acts of some persons, by collusion of two or more people, or by management override of the controls. The design of any system of controls is based in part on certain assumptions about the likelihood of future events, and there can be no assurance that any design will succeed in achieving its stated goals under all potential future conditions. Projections of any evaluation of controls effectiveness to future periods are subject to risks. Over time, controls may become inadequate because of changes in conditions or deterioration in the degree of compliance with policies or procedures.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Items 1A, 3 and 5 of this Part II are either inapplicable or are answered in the negative and are omitted pursuant to the instructions to Part II.</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party to various legal actions from time to time that are ordinary in nature and incidental to the operation of our business. While it is not possible at this time to determine with certainty the ultimate outcome of these lawsuits, we believe that none of the pending proceedings will have a material adverse effect on our business, financial condition, results of operations or cash flows; however, some proceedings, particularly the matters described below, could have a more significant impact than others.</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3, 2015, we brought suit in the United States District Court for the Northern District of Illinois, Eastern Division, against Nestlé Purina PetCare Company (“Nestlé”) seeking monetary damages and injunctive relief based on Nestlé’s alleged infringement of a patent held by us. The case was stayed for approximately two years, pending the Inter Partes Review (“IPR”) discussed immediately below; the stay was lifted in March 2017, and fact discovery and expert discovery completed. The Court provided the parties with a claim construction decision on September 5, 2018.</w:t>
      </w:r>
    </w:p>
    <w:p>
      <w:pPr>
        <w:spacing w:after="0" w:line="17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February 14, 2015, Nestlé filed a petition for the IPR with the Patent Trial and Appeal Board (“PTAB”) of the United States Patent and Trademark Office to challenge certain of the claims in our patent. The PTAB agreed to consider Nestlé’s petition, but on June 20, 2016, issued an order stating that Nestlé had not shown by a preponderance of the evidence that any of the challenged claims in our patent are unpatentable. In July 2016, Nestlé filed a motion for reconsideration of the PTAB’s decision, which was denied in February 2017. Nestlé timely filed an appeal of the PTAB’s decision to the U.S. Court of Appeals for the Federal Circuit. In November 2017, Nestlé filed a motion in that Court to remand the case to the PTAB for consideration of additional evidence that it claims should have been provided to the PTAB. On June 11, 2018, the Federal Circuit remanded the case back to the Board based on the agreement of the parties to consider an expanded record, as well as for the Board to consider the previously non-instituted grounds set forth in Nestle’s IPR Petition.</w:t>
      </w:r>
    </w:p>
    <w:p>
      <w:pPr>
        <w:spacing w:after="0" w:line="19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case was tried before a jury in the United States District Court for the Northern District of Illinois, Eastern Division in March 2019. The jury returned a verdict in our favor on March 26, 2019 and the parties subsequently came to agreement on the resolution of all post-trial motions including the IPR</w:t>
      </w:r>
      <w:r>
        <w:rPr>
          <w:rFonts w:ascii="Arial" w:cs="Arial" w:eastAsia="Arial" w:hAnsi="Arial"/>
          <w:sz w:val="17"/>
          <w:szCs w:val="17"/>
          <w:b w:val="1"/>
          <w:bCs w:val="1"/>
          <w:color w:val="auto"/>
        </w:rPr>
        <w: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58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During the three months ended April 30, 2019, we did not sell any securities which were not registered under the Securities Act of 1933. The following chart summarizes our Common Stock purchases during this period.</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xml:space="preserve">ISSUER PURCHASES OF EQUITY SECURITIES </w:t>
      </w:r>
      <w:r>
        <w:rPr>
          <w:rFonts w:ascii="Arial" w:cs="Arial" w:eastAsia="Arial" w:hAnsi="Arial"/>
          <w:sz w:val="25"/>
          <w:szCs w:val="25"/>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-15875</wp:posOffset>
            </wp:positionV>
            <wp:extent cx="722947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29475" cy="889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(b)</w:t>
            </w:r>
          </w:p>
        </w:tc>
        <w:tc>
          <w:tcPr>
            <w:tcW w:w="2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(c)</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5"/>
              </w:rPr>
              <w:t>(d)</w:t>
            </w:r>
          </w:p>
        </w:tc>
      </w:tr>
      <w:tr>
        <w:trPr>
          <w:trHeight w:val="232"/>
        </w:trPr>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Total Number of Shares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94"/>
              </w:rPr>
              <w:t>Maximum Number of</w:t>
            </w:r>
          </w:p>
        </w:tc>
      </w:tr>
      <w:tr>
        <w:trPr>
          <w:trHeight w:val="216"/>
        </w:trPr>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Purchased as Part of</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8"/>
              </w:rPr>
              <w:t>Shares that may yet be</w:t>
            </w:r>
          </w:p>
        </w:tc>
      </w:tr>
      <w:tr>
        <w:trPr>
          <w:trHeight w:val="216"/>
        </w:trPr>
        <w:tc>
          <w:tcPr>
            <w:tcW w:w="2060" w:type="dxa"/>
            <w:vAlign w:val="bottom"/>
            <w:gridSpan w:val="2"/>
          </w:tcPr>
          <w:p>
            <w:pPr>
              <w:ind w:left="120"/>
              <w:spacing w:after="0"/>
              <w:rPr>
                <w:sz w:val="20"/>
                <w:szCs w:val="20"/>
                <w:color w:val="auto"/>
              </w:rPr>
            </w:pPr>
            <w:r>
              <w:rPr>
                <w:rFonts w:ascii="Arial" w:cs="Arial" w:eastAsia="Arial" w:hAnsi="Arial"/>
                <w:sz w:val="18"/>
                <w:szCs w:val="18"/>
                <w:b w:val="1"/>
                <w:bCs w:val="1"/>
                <w:color w:val="auto"/>
              </w:rPr>
              <w:t>For the Three Months</w:t>
            </w:r>
          </w:p>
        </w:tc>
        <w:tc>
          <w:tcPr>
            <w:tcW w:w="24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Total Number of Shares</w:t>
            </w:r>
          </w:p>
        </w:tc>
        <w:tc>
          <w:tcPr>
            <w:tcW w:w="23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Average Price Paid per</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Publicly Announced Plans</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w w:val="89"/>
              </w:rPr>
              <w:t>Purchased Under Plans or</w:t>
            </w:r>
          </w:p>
        </w:tc>
      </w:tr>
      <w:tr>
        <w:trPr>
          <w:trHeight w:val="261"/>
        </w:trPr>
        <w:tc>
          <w:tcPr>
            <w:tcW w:w="19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w w:val="99"/>
              </w:rPr>
              <w:t>Ended April 30, 2019</w:t>
            </w:r>
          </w:p>
        </w:tc>
        <w:tc>
          <w:tcPr>
            <w:tcW w:w="120" w:type="dxa"/>
            <w:vAlign w:val="bottom"/>
            <w:tcBorders>
              <w:bottom w:val="single" w:sz="8" w:color="CCEEFF"/>
            </w:tcBorders>
          </w:tcPr>
          <w:p>
            <w:pPr>
              <w:spacing w:after="0"/>
              <w:rPr>
                <w:sz w:val="22"/>
                <w:szCs w:val="22"/>
                <w:color w:val="auto"/>
              </w:rPr>
            </w:pP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Purchased</w:t>
            </w:r>
          </w:p>
        </w:tc>
        <w:tc>
          <w:tcPr>
            <w:tcW w:w="24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Share</w:t>
            </w:r>
          </w:p>
        </w:tc>
        <w:tc>
          <w:tcPr>
            <w:tcW w:w="20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or Programs</w:t>
            </w:r>
          </w:p>
        </w:tc>
        <w:tc>
          <w:tcPr>
            <w:tcW w:w="220" w:type="dxa"/>
            <w:vAlign w:val="bottom"/>
            <w:tcBorders>
              <w:bottom w:val="single" w:sz="8" w:color="CCEEFF"/>
            </w:tcBorders>
          </w:tcPr>
          <w:p>
            <w:pPr>
              <w:spacing w:after="0"/>
              <w:rPr>
                <w:sz w:val="22"/>
                <w:szCs w:val="22"/>
                <w:color w:val="auto"/>
              </w:rPr>
            </w:pPr>
          </w:p>
        </w:tc>
        <w:tc>
          <w:tcPr>
            <w:tcW w:w="2160" w:type="dxa"/>
            <w:vAlign w:val="bottom"/>
            <w:tcBorders>
              <w:bottom w:val="single" w:sz="8" w:color="auto"/>
            </w:tcBorders>
          </w:tcPr>
          <w:p>
            <w:pPr>
              <w:jc w:val="center"/>
              <w:spacing w:after="0" w:line="262" w:lineRule="exact"/>
              <w:rPr>
                <w:sz w:val="20"/>
                <w:szCs w:val="20"/>
                <w:color w:val="auto"/>
              </w:rPr>
            </w:pPr>
            <w:r>
              <w:rPr>
                <w:rFonts w:ascii="Arial" w:cs="Arial" w:eastAsia="Arial" w:hAnsi="Arial"/>
                <w:sz w:val="18"/>
                <w:szCs w:val="18"/>
                <w:b w:val="1"/>
                <w:bCs w:val="1"/>
                <w:color w:val="auto"/>
                <w:w w:val="87"/>
              </w:rPr>
              <w:t>Programs</w:t>
            </w:r>
            <w:r>
              <w:rPr>
                <w:rFonts w:ascii="Arial" w:cs="Arial" w:eastAsia="Arial" w:hAnsi="Arial"/>
                <w:sz w:val="25"/>
                <w:szCs w:val="25"/>
                <w:b w:val="1"/>
                <w:bCs w:val="1"/>
                <w:color w:val="auto"/>
                <w:w w:val="87"/>
                <w:vertAlign w:val="superscript"/>
              </w:rPr>
              <w:t>2</w:t>
            </w:r>
          </w:p>
        </w:tc>
      </w:tr>
      <w:tr>
        <w:trPr>
          <w:trHeight w:val="222"/>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 2019 to</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7"/>
        </w:trPr>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February 28, 2019</w:t>
            </w:r>
          </w:p>
        </w:tc>
        <w:tc>
          <w:tcPr>
            <w:tcW w:w="2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100</w:t>
            </w:r>
          </w:p>
        </w:tc>
        <w:tc>
          <w:tcPr>
            <w:tcW w:w="24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$26.54</w:t>
            </w:r>
          </w:p>
        </w:tc>
        <w:tc>
          <w:tcPr>
            <w:tcW w:w="200" w:type="dxa"/>
            <w:vAlign w:val="bottom"/>
            <w:tcBorders>
              <w:bottom w:val="single" w:sz="8" w:color="CCEEFF"/>
            </w:tcBorders>
            <w:shd w:val="clear" w:color="auto" w:fill="CCEEFF"/>
          </w:tcPr>
          <w:p>
            <w:pPr>
              <w:spacing w:after="0"/>
              <w:rPr>
                <w:sz w:val="20"/>
                <w:szCs w:val="20"/>
                <w:color w:val="auto"/>
              </w:rPr>
            </w:pPr>
          </w:p>
        </w:tc>
        <w:tc>
          <w:tcPr>
            <w:tcW w:w="2380" w:type="dxa"/>
            <w:vAlign w:val="bottom"/>
            <w:tcBorders>
              <w:bottom w:val="single" w:sz="8" w:color="CCEEFF"/>
            </w:tcBorders>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296,177</w:t>
            </w:r>
          </w:p>
        </w:tc>
      </w:tr>
      <w:tr>
        <w:trPr>
          <w:trHeight w:val="229"/>
        </w:trPr>
        <w:tc>
          <w:tcPr>
            <w:tcW w:w="2060" w:type="dxa"/>
            <w:vAlign w:val="bottom"/>
            <w:gridSpan w:val="2"/>
          </w:tcPr>
          <w:p>
            <w:pPr>
              <w:ind w:left="20"/>
              <w:spacing w:after="0"/>
              <w:rPr>
                <w:sz w:val="20"/>
                <w:szCs w:val="20"/>
                <w:color w:val="auto"/>
              </w:rPr>
            </w:pPr>
            <w:r>
              <w:rPr>
                <w:rFonts w:ascii="Arial" w:cs="Arial" w:eastAsia="Arial" w:hAnsi="Arial"/>
                <w:sz w:val="18"/>
                <w:szCs w:val="18"/>
                <w:color w:val="auto"/>
              </w:rPr>
              <w:t>March 1, 2019 to March</w:t>
            </w:r>
          </w:p>
        </w:tc>
        <w:tc>
          <w:tcPr>
            <w:tcW w:w="2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1940" w:type="dxa"/>
            <w:vAlign w:val="bottom"/>
          </w:tcPr>
          <w:p>
            <w:pPr>
              <w:ind w:left="20"/>
              <w:spacing w:after="0"/>
              <w:rPr>
                <w:sz w:val="20"/>
                <w:szCs w:val="20"/>
                <w:color w:val="auto"/>
              </w:rPr>
            </w:pPr>
            <w:r>
              <w:rPr>
                <w:rFonts w:ascii="Arial" w:cs="Arial" w:eastAsia="Arial" w:hAnsi="Arial"/>
                <w:sz w:val="18"/>
                <w:szCs w:val="18"/>
                <w:color w:val="auto"/>
              </w:rPr>
              <w:t>31, 2019</w:t>
            </w:r>
          </w:p>
        </w:tc>
        <w:tc>
          <w:tcPr>
            <w:tcW w:w="12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9"/>
              </w:rPr>
              <w:t>87</w:t>
            </w:r>
          </w:p>
        </w:tc>
        <w:tc>
          <w:tcPr>
            <w:tcW w:w="2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Arial" w:cs="Arial" w:eastAsia="Arial" w:hAnsi="Arial"/>
                <w:sz w:val="18"/>
                <w:szCs w:val="18"/>
                <w:color w:val="auto"/>
                <w:w w:val="90"/>
              </w:rPr>
              <w:t>$30.60</w:t>
            </w:r>
          </w:p>
        </w:tc>
        <w:tc>
          <w:tcPr>
            <w:tcW w:w="200" w:type="dxa"/>
            <w:vAlign w:val="bottom"/>
          </w:tcPr>
          <w:p>
            <w:pPr>
              <w:spacing w:after="0"/>
              <w:rPr>
                <w:sz w:val="20"/>
                <w:szCs w:val="20"/>
                <w:color w:val="auto"/>
              </w:rPr>
            </w:pP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center"/>
              <w:spacing w:after="0"/>
              <w:rPr>
                <w:sz w:val="20"/>
                <w:szCs w:val="20"/>
                <w:color w:val="auto"/>
              </w:rPr>
            </w:pPr>
            <w:r>
              <w:rPr>
                <w:rFonts w:ascii="Arial" w:cs="Arial" w:eastAsia="Arial" w:hAnsi="Arial"/>
                <w:sz w:val="18"/>
                <w:szCs w:val="18"/>
                <w:color w:val="auto"/>
                <w:w w:val="89"/>
              </w:rPr>
              <w:t>1,046,090</w:t>
            </w:r>
          </w:p>
        </w:tc>
      </w:tr>
      <w:tr>
        <w:trPr>
          <w:trHeight w:val="27"/>
        </w:trPr>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29"/>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1, 2019 to</w:t>
            </w:r>
          </w:p>
        </w:tc>
        <w:tc>
          <w:tcPr>
            <w:tcW w:w="21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60" w:type="dxa"/>
            <w:vAlign w:val="bottom"/>
            <w:shd w:val="clear" w:color="auto" w:fill="CCEEFF"/>
          </w:tcPr>
          <w:p>
            <w:pPr>
              <w:spacing w:after="0"/>
              <w:rPr>
                <w:sz w:val="19"/>
                <w:szCs w:val="19"/>
                <w:color w:val="auto"/>
              </w:rPr>
            </w:pPr>
          </w:p>
        </w:tc>
      </w:tr>
      <w:tr>
        <w:trPr>
          <w:trHeight w:val="230"/>
        </w:trPr>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April 30, 2019</w:t>
            </w:r>
          </w:p>
        </w:tc>
        <w:tc>
          <w:tcPr>
            <w:tcW w:w="24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236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2"/>
              </w:rPr>
              <w:t>$—</w:t>
            </w:r>
          </w:p>
        </w:tc>
        <w:tc>
          <w:tcPr>
            <w:tcW w:w="238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1,046,090</w:t>
            </w:r>
          </w:p>
        </w:tc>
      </w:tr>
      <w:tr>
        <w:trPr>
          <w:trHeight w:val="27"/>
        </w:trPr>
        <w:tc>
          <w:tcPr>
            <w:tcW w:w="1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1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8"/>
        <w:spacing w:after="0" w:line="235" w:lineRule="auto"/>
        <w:tabs>
          <w:tab w:leader="none" w:pos="143"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table summarizes repurchases of (and remaining authority to repurchase) shares of our Common Stock. Our Board of Directors authorized the repurchase of 300,000 shares of Class B Stock on March 12, 2018, however there have been no repurchases of Class B Stock as of April 30, 2019, and the authorized Class B Stock is not included in the table above. No shares of our Class A Common Stock are currently outstanding. Descriptions of our Common Stock, Class B Stock and Class A Common Stock are contained in the Notes to the Consolidated Financial Statements included in our Annual Report on Form 10-K for the fiscal year ended July 31, 2018 filed with the SEC.</w:t>
      </w:r>
    </w:p>
    <w:p>
      <w:pPr>
        <w:spacing w:after="0" w:line="204" w:lineRule="exact"/>
        <w:rPr>
          <w:sz w:val="20"/>
          <w:szCs w:val="20"/>
          <w:color w:val="auto"/>
        </w:rPr>
      </w:pPr>
    </w:p>
    <w:p>
      <w:pPr>
        <w:jc w:val="both"/>
        <w:ind w:firstLine="8"/>
        <w:spacing w:after="0" w:line="226" w:lineRule="auto"/>
        <w:tabs>
          <w:tab w:leader="none" w:pos="115"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Our Board of Directors authorized repurchase of 250,000 shares of Common Stock on March 11, 2011, an additional 250,000 shares on June 14, 2012 and an additional 750,000 shares on March 12, 2019. These authorizations do not have a stated expiration date. The share numbers in this column indicate the number of shares of Common Stock that may yet be repurchased under these authorizations.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mining operations are subject to regulation by the Mine Safety and Health Administration under authority of the Federal Mine Safety and Health Act of 1977, as amended. Information concerning mine safety violations or other regulatory matters required by section 1503(a) of the Dodd-Frank Wall Street Reform and Consumer Protection Act and Item 104 of Regulation S-K is included in Exhibit 95 to this Quarterly Report on Form 10-Q.</w:t>
      </w:r>
    </w:p>
    <w:p>
      <w:pPr>
        <w:sectPr>
          <w:pgSz w:w="11900" w:h="16838" w:orient="portrait"/>
          <w:cols w:equalWidth="0" w:num="1">
            <w:col w:w="11420"/>
          </w:cols>
          <w:pgMar w:left="240" w:top="36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8120" w:type="dxa"/>
            <w:vAlign w:val="bottom"/>
            <w:gridSpan w:val="9"/>
          </w:tcPr>
          <w:p>
            <w:pPr>
              <w:spacing w:after="0"/>
              <w:rPr>
                <w:sz w:val="20"/>
                <w:szCs w:val="20"/>
                <w:color w:val="auto"/>
              </w:rPr>
            </w:pPr>
            <w:r>
              <w:rPr>
                <w:rFonts w:ascii="Arial" w:cs="Arial" w:eastAsia="Arial" w:hAnsi="Arial"/>
                <w:sz w:val="18"/>
                <w:szCs w:val="18"/>
                <w:b w:val="1"/>
                <w:bCs w:val="1"/>
                <w:color w:val="auto"/>
              </w:rPr>
              <w:t>ITEM 6. EXHIBITS</w:t>
            </w:r>
          </w:p>
        </w:tc>
        <w:tc>
          <w:tcPr>
            <w:tcW w:w="3300" w:type="dxa"/>
            <w:vAlign w:val="bottom"/>
          </w:tcPr>
          <w:p>
            <w:pPr>
              <w:spacing w:after="0"/>
              <w:rPr>
                <w:sz w:val="20"/>
                <w:szCs w:val="20"/>
                <w:color w:val="auto"/>
              </w:rPr>
            </w:pPr>
          </w:p>
        </w:tc>
      </w:tr>
      <w:tr>
        <w:trPr>
          <w:trHeight w:val="580"/>
        </w:trPr>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r>
        <w:trPr>
          <w:trHeight w:val="230"/>
        </w:trPr>
        <w:tc>
          <w:tcPr>
            <w:tcW w:w="1160" w:type="dxa"/>
            <w:vAlign w:val="bottom"/>
            <w:gridSpan w:val="2"/>
          </w:tcPr>
          <w:p>
            <w:pPr>
              <w:jc w:val="right"/>
              <w:ind w:right="500"/>
              <w:spacing w:after="0"/>
              <w:rPr>
                <w:sz w:val="20"/>
                <w:szCs w:val="20"/>
                <w:color w:val="auto"/>
              </w:rPr>
            </w:pPr>
            <w:r>
              <w:rPr>
                <w:rFonts w:ascii="Arial" w:cs="Arial" w:eastAsia="Arial" w:hAnsi="Arial"/>
                <w:sz w:val="18"/>
                <w:szCs w:val="18"/>
                <w:color w:val="auto"/>
              </w:rPr>
              <w:t>No.</w:t>
            </w:r>
          </w:p>
        </w:tc>
        <w:tc>
          <w:tcPr>
            <w:tcW w:w="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5160" w:type="dxa"/>
            <w:vAlign w:val="bottom"/>
            <w:gridSpan w:val="5"/>
          </w:tcPr>
          <w:p>
            <w:pPr>
              <w:ind w:left="1200"/>
              <w:spacing w:after="0"/>
              <w:rPr>
                <w:sz w:val="20"/>
                <w:szCs w:val="20"/>
                <w:color w:val="auto"/>
              </w:rPr>
            </w:pPr>
            <w:r>
              <w:rPr>
                <w:rFonts w:ascii="Arial" w:cs="Arial" w:eastAsia="Arial" w:hAnsi="Arial"/>
                <w:sz w:val="18"/>
                <w:szCs w:val="18"/>
                <w:color w:val="auto"/>
              </w:rPr>
              <w:t>Description</w:t>
            </w:r>
          </w:p>
        </w:tc>
        <w:tc>
          <w:tcPr>
            <w:tcW w:w="3300" w:type="dxa"/>
            <w:vAlign w:val="bottom"/>
          </w:tcPr>
          <w:p>
            <w:pPr>
              <w:ind w:left="700"/>
              <w:spacing w:after="0"/>
              <w:rPr>
                <w:sz w:val="20"/>
                <w:szCs w:val="20"/>
                <w:color w:val="auto"/>
              </w:rPr>
            </w:pPr>
            <w:r>
              <w:rPr>
                <w:rFonts w:ascii="Arial" w:cs="Arial" w:eastAsia="Arial" w:hAnsi="Arial"/>
                <w:sz w:val="18"/>
                <w:szCs w:val="18"/>
                <w:color w:val="auto"/>
              </w:rPr>
              <w:t>SEC Document Reference</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r>
      <w:tr>
        <w:trPr>
          <w:trHeight w:val="196"/>
        </w:trPr>
        <w:tc>
          <w:tcPr>
            <w:tcW w:w="104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0" w:type="dxa"/>
            <w:vAlign w:val="bottom"/>
            <w:tcBorders>
              <w:bottom w:val="single" w:sz="8" w:color="0000FF"/>
            </w:tcBorders>
            <w:gridSpan w:val="3"/>
          </w:tcPr>
          <w:p>
            <w:pPr>
              <w:spacing w:after="0" w:line="196" w:lineRule="exact"/>
              <w:rPr>
                <w:sz w:val="20"/>
                <w:szCs w:val="20"/>
                <w:color w:val="auto"/>
              </w:rPr>
            </w:pPr>
            <w:r>
              <w:rPr>
                <w:rFonts w:ascii="Arial" w:cs="Arial" w:eastAsia="Arial" w:hAnsi="Arial"/>
                <w:sz w:val="18"/>
                <w:szCs w:val="18"/>
                <w:color w:val="0000FF"/>
                <w:w w:val="89"/>
              </w:rPr>
              <w:t>Statement re: Computation of Earnings per Share.</w:t>
            </w:r>
          </w:p>
        </w:tc>
        <w:tc>
          <w:tcPr>
            <w:tcW w:w="3340" w:type="dxa"/>
            <w:vAlign w:val="bottom"/>
            <w:gridSpan w:val="3"/>
          </w:tcPr>
          <w:p>
            <w:pPr>
              <w:spacing w:after="0"/>
              <w:rPr>
                <w:sz w:val="17"/>
                <w:szCs w:val="17"/>
                <w:color w:val="auto"/>
              </w:rPr>
            </w:pPr>
          </w:p>
        </w:tc>
        <w:tc>
          <w:tcPr>
            <w:tcW w:w="3300" w:type="dxa"/>
            <w:vAlign w:val="bottom"/>
          </w:tcPr>
          <w:p>
            <w:pPr>
              <w:ind w:left="20"/>
              <w:spacing w:after="0" w:line="196" w:lineRule="exact"/>
              <w:rPr>
                <w:sz w:val="20"/>
                <w:szCs w:val="20"/>
                <w:color w:val="auto"/>
              </w:rPr>
            </w:pPr>
            <w:r>
              <w:rPr>
                <w:rFonts w:ascii="Arial" w:cs="Arial" w:eastAsia="Arial" w:hAnsi="Arial"/>
                <w:sz w:val="18"/>
                <w:szCs w:val="18"/>
                <w:color w:val="auto"/>
              </w:rPr>
              <w:t>Filed herewith.</w:t>
            </w:r>
          </w:p>
        </w:tc>
      </w:tr>
      <w:tr>
        <w:trPr>
          <w:trHeight w:val="520"/>
        </w:trPr>
        <w:tc>
          <w:tcPr>
            <w:tcW w:w="104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4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w w:val="90"/>
              </w:rPr>
              <w:t>Certifications pursuant to Rule 13a–14(a).</w:t>
            </w:r>
          </w:p>
        </w:tc>
        <w:tc>
          <w:tcPr>
            <w:tcW w:w="3900" w:type="dxa"/>
            <w:vAlign w:val="bottom"/>
            <w:gridSpan w:val="4"/>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520"/>
        </w:trPr>
        <w:tc>
          <w:tcPr>
            <w:tcW w:w="104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0000FF"/>
              </w:rPr>
              <w:t>Certifications pursuant to Section 1350 of the Sarbanes-Oxley Act of 2002</w:t>
            </w:r>
            <w:r>
              <w:rPr>
                <w:rFonts w:ascii="Arial" w:cs="Arial" w:eastAsia="Arial" w:hAnsi="Arial"/>
                <w:sz w:val="18"/>
                <w:szCs w:val="18"/>
                <w:color w:val="000000"/>
              </w:rPr>
              <w:t>.</w:t>
            </w:r>
          </w:p>
        </w:tc>
        <w:tc>
          <w:tcPr>
            <w:tcW w:w="3300" w:type="dxa"/>
            <w:vAlign w:val="bottom"/>
          </w:tcPr>
          <w:p>
            <w:pPr>
              <w:ind w:left="20"/>
              <w:spacing w:after="0"/>
              <w:rPr>
                <w:sz w:val="20"/>
                <w:szCs w:val="20"/>
                <w:color w:val="auto"/>
              </w:rPr>
            </w:pPr>
            <w:r>
              <w:rPr>
                <w:rFonts w:ascii="Arial" w:cs="Arial" w:eastAsia="Arial" w:hAnsi="Arial"/>
                <w:sz w:val="18"/>
                <w:szCs w:val="18"/>
                <w:color w:val="auto"/>
              </w:rPr>
              <w:t>Furnished herewith.</w:t>
            </w:r>
          </w:p>
        </w:tc>
      </w:tr>
      <w:tr>
        <w:trPr>
          <w:trHeight w:val="520"/>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95</w:t>
            </w:r>
          </w:p>
        </w:tc>
        <w:tc>
          <w:tcPr>
            <w:tcW w:w="20" w:type="dxa"/>
            <w:vAlign w:val="bottom"/>
          </w:tcPr>
          <w:p>
            <w:pPr>
              <w:spacing w:after="0"/>
              <w:rPr>
                <w:sz w:val="24"/>
                <w:szCs w:val="24"/>
                <w:color w:val="auto"/>
              </w:rPr>
            </w:pPr>
          </w:p>
        </w:tc>
        <w:tc>
          <w:tcPr>
            <w:tcW w:w="1780" w:type="dxa"/>
            <w:vAlign w:val="bottom"/>
            <w:tcBorders>
              <w:top w:val="single" w:sz="8" w:color="0000FF"/>
              <w:bottom w:val="single" w:sz="8" w:color="0000FF"/>
            </w:tcBorders>
          </w:tcPr>
          <w:p>
            <w:pPr>
              <w:spacing w:after="0"/>
              <w:rPr>
                <w:sz w:val="20"/>
                <w:szCs w:val="20"/>
                <w:color w:val="auto"/>
              </w:rPr>
            </w:pPr>
            <w:r>
              <w:rPr>
                <w:rFonts w:ascii="Arial" w:cs="Arial" w:eastAsia="Arial" w:hAnsi="Arial"/>
                <w:sz w:val="18"/>
                <w:szCs w:val="18"/>
                <w:color w:val="0000FF"/>
                <w:w w:val="91"/>
              </w:rPr>
              <w:t>Mine Safety Disclosures</w:t>
            </w:r>
          </w:p>
        </w:tc>
        <w:tc>
          <w:tcPr>
            <w:tcW w:w="3600" w:type="dxa"/>
            <w:vAlign w:val="bottom"/>
            <w:tcBorders>
              <w:top w:val="single" w:sz="8" w:color="0000FF"/>
            </w:tcBorders>
            <w:gridSpan w:val="3"/>
          </w:tcPr>
          <w:p>
            <w:pPr>
              <w:spacing w:after="0"/>
              <w:rPr>
                <w:sz w:val="24"/>
                <w:szCs w:val="24"/>
                <w:color w:val="auto"/>
              </w:rPr>
            </w:pPr>
          </w:p>
        </w:tc>
        <w:tc>
          <w:tcPr>
            <w:tcW w:w="1560" w:type="dxa"/>
            <w:vAlign w:val="bottom"/>
            <w:gridSpan w:val="2"/>
          </w:tcPr>
          <w:p>
            <w:pPr>
              <w:spacing w:after="0"/>
              <w:rPr>
                <w:sz w:val="24"/>
                <w:szCs w:val="24"/>
                <w:color w:val="auto"/>
              </w:rPr>
            </w:pP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41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Instance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Extension Schema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Extension Labels Linkbase Document</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392"/>
        </w:trPr>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6940" w:type="dxa"/>
            <w:vAlign w:val="bottom"/>
            <w:gridSpan w:val="6"/>
          </w:tcPr>
          <w:p>
            <w:pPr>
              <w:spacing w:after="0"/>
              <w:rPr>
                <w:sz w:val="20"/>
                <w:szCs w:val="20"/>
                <w:color w:val="auto"/>
              </w:rPr>
            </w:pPr>
            <w:r>
              <w:rPr>
                <w:rFonts w:ascii="Arial" w:cs="Arial" w:eastAsia="Arial" w:hAnsi="Arial"/>
                <w:sz w:val="18"/>
                <w:szCs w:val="18"/>
                <w:color w:val="auto"/>
              </w:rPr>
              <w:t>XBRL Taxonomy Extension Presentation Linkbase</w:t>
            </w:r>
          </w:p>
        </w:tc>
        <w:tc>
          <w:tcPr>
            <w:tcW w:w="3300" w:type="dxa"/>
            <w:vAlign w:val="bottom"/>
          </w:tcPr>
          <w:p>
            <w:pPr>
              <w:ind w:left="20"/>
              <w:spacing w:after="0"/>
              <w:rPr>
                <w:sz w:val="20"/>
                <w:szCs w:val="20"/>
                <w:color w:val="auto"/>
              </w:rPr>
            </w:pPr>
            <w:r>
              <w:rPr>
                <w:rFonts w:ascii="Arial" w:cs="Arial" w:eastAsia="Arial" w:hAnsi="Arial"/>
                <w:sz w:val="18"/>
                <w:szCs w:val="18"/>
                <w:color w:val="auto"/>
              </w:rPr>
              <w:t>Filed herewith.</w:t>
            </w:r>
          </w:p>
        </w:tc>
      </w:tr>
      <w:tr>
        <w:trPr>
          <w:trHeight w:val="91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0" w:type="dxa"/>
            <w:vAlign w:val="bottom"/>
            <w:gridSpan w:val="5"/>
          </w:tcPr>
          <w:p>
            <w:pPr>
              <w:jc w:val="right"/>
              <w:ind w:right="760"/>
              <w:spacing w:after="0"/>
              <w:rPr>
                <w:sz w:val="20"/>
                <w:szCs w:val="20"/>
                <w:color w:val="auto"/>
              </w:rPr>
            </w:pPr>
            <w:r>
              <w:rPr>
                <w:rFonts w:ascii="Arial" w:cs="Arial" w:eastAsia="Arial" w:hAnsi="Arial"/>
                <w:sz w:val="18"/>
                <w:szCs w:val="18"/>
                <w:color w:val="auto"/>
              </w:rPr>
              <w:t>30</w:t>
            </w: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3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auto"/>
        </w:rPr>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OIL-DRI CORPORATION OF AMERICA</w:t>
      </w:r>
    </w:p>
    <w:p>
      <w:pPr>
        <w:spacing w:after="0" w:line="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60401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604010"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Daniel S. Jaffee</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Chairman, President and Chief Executive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BY /s/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182245</wp:posOffset>
            </wp:positionH>
            <wp:positionV relativeFrom="paragraph">
              <wp:posOffset>-10160</wp:posOffset>
            </wp:positionV>
            <wp:extent cx="15398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539875" cy="8890"/>
                    </a:xfrm>
                    <a:prstGeom prst="rect">
                      <a:avLst/>
                    </a:prstGeom>
                    <a:noFill/>
                  </pic:spPr>
                </pic:pic>
              </a:graphicData>
            </a:graphic>
          </wp:anchor>
        </w:drawing>
      </w:r>
    </w:p>
    <w:p>
      <w:pPr>
        <w:spacing w:after="0" w:line="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Susan M. Kreh</w:t>
      </w:r>
    </w:p>
    <w:p>
      <w:pPr>
        <w:spacing w:after="0" w:line="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Dated: June 7, 2019</w:t>
      </w:r>
    </w:p>
    <w:p>
      <w:pPr>
        <w:spacing w:after="0" w:line="25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0320"/>
          </w:cols>
          <w:pgMar w:left="580" w:top="584" w:right="99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EXHIBITS</w:t>
      </w:r>
    </w:p>
    <w:p>
      <w:pPr>
        <w:spacing w:after="0" w:line="391" w:lineRule="exact"/>
        <w:rPr>
          <w:sz w:val="20"/>
          <w:szCs w:val="20"/>
          <w:color w:val="auto"/>
        </w:rPr>
      </w:pPr>
    </w:p>
    <w:p>
      <w:pPr>
        <w:ind w:left="420"/>
        <w:spacing w:after="0"/>
        <w:tabs>
          <w:tab w:leader="none" w:pos="592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31750</wp:posOffset>
            </wp:positionV>
            <wp:extent cx="688657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86575" cy="17145"/>
                    </a:xfrm>
                    <a:prstGeom prst="rect">
                      <a:avLst/>
                    </a:prstGeom>
                    <a:noFill/>
                  </pic:spPr>
                </pic:pic>
              </a:graphicData>
            </a:graphic>
          </wp:anchor>
        </w:drawing>
      </w:r>
    </w:p>
    <w:p>
      <w:pPr>
        <w:spacing w:after="0" w:line="70" w:lineRule="exact"/>
        <w:rPr>
          <w:sz w:val="20"/>
          <w:szCs w:val="20"/>
          <w:color w:val="auto"/>
        </w:rPr>
      </w:pPr>
    </w:p>
    <w:p>
      <w:pPr>
        <w:ind w:left="1620" w:hanging="516"/>
        <w:spacing w:after="0"/>
        <w:tabs>
          <w:tab w:leader="none" w:pos="1620" w:val="left"/>
        </w:tabs>
        <w:numPr>
          <w:ilvl w:val="0"/>
          <w:numId w:val="10"/>
        </w:numPr>
        <w:rPr>
          <w:rFonts w:ascii="Arial" w:cs="Arial" w:eastAsia="Arial" w:hAnsi="Arial"/>
          <w:sz w:val="18"/>
          <w:szCs w:val="18"/>
          <w:color w:val="auto"/>
        </w:rPr>
      </w:pPr>
      <w:r>
        <w:rPr>
          <w:rFonts w:ascii="Arial" w:cs="Arial" w:eastAsia="Arial" w:hAnsi="Arial"/>
          <w:sz w:val="18"/>
          <w:szCs w:val="18"/>
          <w:u w:val="single" w:color="auto"/>
          <w:color w:val="0000FF"/>
        </w:rPr>
        <w:t>Statement re: Computation of Earnings per Share.</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FF"/>
        </w:rPr>
        <w:t>Certifications pursuant to Rule 13a–14(a).</w:t>
      </w:r>
    </w:p>
    <w:p>
      <w:pPr>
        <w:spacing w:after="0" w:line="333" w:lineRule="exact"/>
        <w:rPr>
          <w:rFonts w:ascii="Arial" w:cs="Arial" w:eastAsia="Arial" w:hAnsi="Arial"/>
          <w:sz w:val="18"/>
          <w:szCs w:val="18"/>
          <w:color w:val="auto"/>
        </w:rPr>
      </w:pPr>
    </w:p>
    <w:p>
      <w:pPr>
        <w:ind w:left="1620" w:hanging="522"/>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u w:val="single" w:color="auto"/>
          <w:color w:val="0000FF"/>
        </w:rPr>
        <w:t>Certifications pursuant to Section 1350 of the Sarbanes-Oxley Act of 2002.</w:t>
      </w:r>
    </w:p>
    <w:p>
      <w:pPr>
        <w:spacing w:after="0" w:line="333" w:lineRule="exact"/>
        <w:rPr>
          <w:sz w:val="20"/>
          <w:szCs w:val="20"/>
          <w:color w:val="auto"/>
        </w:rPr>
      </w:pPr>
    </w:p>
    <w:p>
      <w:pPr>
        <w:ind w:left="1620" w:hanging="522"/>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0000FF"/>
        </w:rPr>
        <w:t>Mine Safety Disclosures</w:t>
      </w:r>
    </w:p>
    <w:p>
      <w:pPr>
        <w:spacing w:after="0" w:line="185" w:lineRule="exact"/>
        <w:rPr>
          <w:sz w:val="20"/>
          <w:szCs w:val="20"/>
          <w:color w:val="auto"/>
        </w:rPr>
      </w:pPr>
    </w:p>
    <w:tbl>
      <w:tblPr>
        <w:tblLayout w:type="fixed"/>
        <w:tblInd w:w="600" w:type="dxa"/>
        <w:tblCellMar>
          <w:top w:w="0" w:type="dxa"/>
          <w:left w:w="0" w:type="dxa"/>
          <w:bottom w:w="0" w:type="dxa"/>
          <w:right w:w="0" w:type="dxa"/>
        </w:tblCellMar>
      </w:tblPr>
      <w:tr>
        <w:trPr>
          <w:trHeight w:val="230"/>
        </w:trPr>
        <w:tc>
          <w:tcPr>
            <w:tcW w:w="860" w:type="dxa"/>
            <w:vAlign w:val="bottom"/>
          </w:tcPr>
          <w:p>
            <w:pPr>
              <w:jc w:val="right"/>
              <w:ind w:right="90"/>
              <w:spacing w:after="0"/>
              <w:rPr>
                <w:sz w:val="20"/>
                <w:szCs w:val="20"/>
                <w:color w:val="auto"/>
              </w:rPr>
            </w:pPr>
            <w:r>
              <w:rPr>
                <w:rFonts w:ascii="Arial" w:cs="Arial" w:eastAsia="Arial" w:hAnsi="Arial"/>
                <w:sz w:val="18"/>
                <w:szCs w:val="18"/>
                <w:color w:val="auto"/>
              </w:rPr>
              <w:t>101.INS</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Instance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0"/>
              </w:rPr>
              <w:t>101.SCH</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4"/>
              </w:rPr>
              <w:t>101.CAL</w:t>
            </w:r>
          </w:p>
        </w:tc>
        <w:tc>
          <w:tcPr>
            <w:tcW w:w="4600" w:type="dxa"/>
            <w:vAlign w:val="bottom"/>
          </w:tcPr>
          <w:p>
            <w:pPr>
              <w:ind w:left="160"/>
              <w:spacing w:after="0"/>
              <w:rPr>
                <w:sz w:val="20"/>
                <w:szCs w:val="20"/>
                <w:color w:val="auto"/>
              </w:rPr>
            </w:pPr>
            <w:r>
              <w:rPr>
                <w:rFonts w:ascii="Arial" w:cs="Arial" w:eastAsia="Arial" w:hAnsi="Arial"/>
                <w:sz w:val="18"/>
                <w:szCs w:val="18"/>
                <w:color w:val="auto"/>
                <w:w w:val="92"/>
              </w:rPr>
              <w:t>XBRL Taxonomy Extension Calculation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2"/>
              </w:rPr>
              <w:t>101.DEF</w:t>
            </w:r>
          </w:p>
        </w:tc>
        <w:tc>
          <w:tcPr>
            <w:tcW w:w="4600" w:type="dxa"/>
            <w:vAlign w:val="bottom"/>
          </w:tcPr>
          <w:p>
            <w:pPr>
              <w:ind w:left="160"/>
              <w:spacing w:after="0"/>
              <w:rPr>
                <w:sz w:val="20"/>
                <w:szCs w:val="20"/>
                <w:color w:val="auto"/>
              </w:rPr>
            </w:pPr>
            <w:r>
              <w:rPr>
                <w:rFonts w:ascii="Arial" w:cs="Arial" w:eastAsia="Arial" w:hAnsi="Arial"/>
                <w:sz w:val="18"/>
                <w:szCs w:val="18"/>
                <w:color w:val="auto"/>
                <w:w w:val="95"/>
              </w:rPr>
              <w:t>XBRL Taxonomy Extension Definition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5"/>
              </w:rPr>
              <w:t>101.LAB</w:t>
            </w:r>
          </w:p>
        </w:tc>
        <w:tc>
          <w:tcPr>
            <w:tcW w:w="4600" w:type="dxa"/>
            <w:vAlign w:val="bottom"/>
          </w:tcPr>
          <w:p>
            <w:pPr>
              <w:ind w:left="160"/>
              <w:spacing w:after="0"/>
              <w:rPr>
                <w:sz w:val="20"/>
                <w:szCs w:val="20"/>
                <w:color w:val="auto"/>
              </w:rPr>
            </w:pPr>
            <w:r>
              <w:rPr>
                <w:rFonts w:ascii="Arial" w:cs="Arial" w:eastAsia="Arial" w:hAnsi="Arial"/>
                <w:sz w:val="18"/>
                <w:szCs w:val="18"/>
                <w:color w:val="auto"/>
                <w:w w:val="99"/>
              </w:rPr>
              <w:t>XBRL Taxonomy Extension Labels Linkbase Document</w:t>
            </w:r>
          </w:p>
        </w:tc>
      </w:tr>
      <w:tr>
        <w:trPr>
          <w:trHeight w:val="392"/>
        </w:trPr>
        <w:tc>
          <w:tcPr>
            <w:tcW w:w="860" w:type="dxa"/>
            <w:vAlign w:val="bottom"/>
          </w:tcPr>
          <w:p>
            <w:pPr>
              <w:jc w:val="right"/>
              <w:ind w:right="90"/>
              <w:spacing w:after="0"/>
              <w:rPr>
                <w:sz w:val="20"/>
                <w:szCs w:val="20"/>
                <w:color w:val="auto"/>
              </w:rPr>
            </w:pPr>
            <w:r>
              <w:rPr>
                <w:rFonts w:ascii="Arial" w:cs="Arial" w:eastAsia="Arial" w:hAnsi="Arial"/>
                <w:sz w:val="18"/>
                <w:szCs w:val="18"/>
                <w:color w:val="auto"/>
                <w:w w:val="91"/>
              </w:rPr>
              <w:t>101.PRE</w:t>
            </w:r>
          </w:p>
        </w:tc>
        <w:tc>
          <w:tcPr>
            <w:tcW w:w="4600" w:type="dxa"/>
            <w:vAlign w:val="bottom"/>
          </w:tcPr>
          <w:p>
            <w:pPr>
              <w:ind w:left="160"/>
              <w:spacing w:after="0"/>
              <w:rPr>
                <w:sz w:val="20"/>
                <w:szCs w:val="20"/>
                <w:color w:val="auto"/>
              </w:rPr>
            </w:pPr>
            <w:r>
              <w:rPr>
                <w:rFonts w:ascii="Arial" w:cs="Arial" w:eastAsia="Arial" w:hAnsi="Arial"/>
                <w:sz w:val="18"/>
                <w:szCs w:val="18"/>
                <w:color w:val="auto"/>
              </w:rPr>
              <w:t>XBRL Taxonomy Extension Presentation Linkbase</w:t>
            </w:r>
          </w:p>
        </w:tc>
      </w:tr>
    </w:tbl>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Note: Stockholders may receive copies of the above listed exhibits, without fee, by written request to Investor Relations, Oil-Dri Corporation of America, 410 North Michigan Avenue, Suite 400, Chicago, Illinois 60611-4213, by telephone at (312) 321-1515 or by e-mail to info@oildri.com.</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580" w:right="25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11:</w:t>
      </w:r>
    </w:p>
    <w:p>
      <w:pPr>
        <w:spacing w:after="0" w:line="200" w:lineRule="exact"/>
        <w:rPr>
          <w:sz w:val="20"/>
          <w:szCs w:val="20"/>
          <w:color w:val="auto"/>
        </w:rPr>
      </w:pPr>
    </w:p>
    <w:p>
      <w:pPr>
        <w:spacing w:after="0" w:line="241" w:lineRule="exact"/>
        <w:rPr>
          <w:sz w:val="20"/>
          <w:szCs w:val="20"/>
          <w:color w:val="auto"/>
        </w:rPr>
      </w:pPr>
    </w:p>
    <w:p>
      <w:pPr>
        <w:jc w:val="right"/>
        <w:ind w:right="4280"/>
        <w:spacing w:after="0"/>
        <w:rPr>
          <w:sz w:val="20"/>
          <w:szCs w:val="20"/>
          <w:color w:val="auto"/>
        </w:rPr>
      </w:pPr>
      <w:r>
        <w:rPr>
          <w:rFonts w:ascii="Arial" w:cs="Arial" w:eastAsia="Arial" w:hAnsi="Arial"/>
          <w:sz w:val="18"/>
          <w:szCs w:val="18"/>
          <w:b w:val="1"/>
          <w:bCs w:val="1"/>
          <w:color w:val="auto"/>
        </w:rPr>
        <w:t>OIL-DRI CORPORATION OF AMERICA AND SUBSIDIARIES</w:t>
      </w:r>
    </w:p>
    <w:p>
      <w:pPr>
        <w:spacing w:after="0" w:line="27" w:lineRule="exact"/>
        <w:rPr>
          <w:sz w:val="20"/>
          <w:szCs w:val="20"/>
          <w:color w:val="auto"/>
        </w:rPr>
      </w:pPr>
    </w:p>
    <w:p>
      <w:pPr>
        <w:jc w:val="right"/>
        <w:ind w:right="4220"/>
        <w:spacing w:after="0"/>
        <w:rPr>
          <w:sz w:val="20"/>
          <w:szCs w:val="20"/>
          <w:color w:val="auto"/>
        </w:rPr>
      </w:pPr>
      <w:r>
        <w:rPr>
          <w:rFonts w:ascii="Arial" w:cs="Arial" w:eastAsia="Arial" w:hAnsi="Arial"/>
          <w:sz w:val="18"/>
          <w:szCs w:val="18"/>
          <w:b w:val="1"/>
          <w:bCs w:val="1"/>
          <w:color w:val="auto"/>
        </w:rPr>
        <w:t>Computation of Earnings Per Share</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0" w:lineRule="exact"/>
        <w:rPr>
          <w:sz w:val="20"/>
          <w:szCs w:val="20"/>
          <w:color w:val="auto"/>
        </w:rPr>
      </w:pPr>
    </w:p>
    <w:p>
      <w:pPr>
        <w:spacing w:after="0" w:line="385"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4"/>
          </w:tcPr>
          <w:p>
            <w:pPr>
              <w:ind w:left="60"/>
              <w:spacing w:after="0"/>
              <w:rPr>
                <w:sz w:val="20"/>
                <w:szCs w:val="20"/>
                <w:color w:val="auto"/>
              </w:rPr>
            </w:pPr>
            <w:r>
              <w:rPr>
                <w:rFonts w:ascii="Arial" w:cs="Arial" w:eastAsia="Arial" w:hAnsi="Arial"/>
                <w:sz w:val="18"/>
                <w:szCs w:val="18"/>
                <w:b w:val="1"/>
                <w:bCs w:val="1"/>
                <w:color w:val="auto"/>
              </w:rPr>
              <w:t>For the Three Months Ended</w:t>
            </w:r>
          </w:p>
        </w:tc>
        <w:tc>
          <w:tcPr>
            <w:tcW w:w="2700" w:type="dxa"/>
            <w:vAlign w:val="bottom"/>
            <w:gridSpan w:val="4"/>
          </w:tcPr>
          <w:p>
            <w:pPr>
              <w:jc w:val="right"/>
              <w:spacing w:after="0"/>
              <w:rPr>
                <w:sz w:val="20"/>
                <w:szCs w:val="20"/>
                <w:color w:val="auto"/>
              </w:rPr>
            </w:pPr>
            <w:r>
              <w:rPr>
                <w:rFonts w:ascii="Arial" w:cs="Arial" w:eastAsia="Arial" w:hAnsi="Arial"/>
                <w:sz w:val="18"/>
                <w:szCs w:val="18"/>
                <w:b w:val="1"/>
                <w:bCs w:val="1"/>
                <w:color w:val="auto"/>
                <w:w w:val="94"/>
              </w:rPr>
              <w:t>For the Nine Months Ended April</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b w:val="1"/>
                <w:bCs w:val="1"/>
                <w:color w:val="auto"/>
              </w:rPr>
              <w:t>April 30,</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0" w:type="dxa"/>
            <w:vAlign w:val="bottom"/>
          </w:tcPr>
          <w:p>
            <w:pPr>
              <w:jc w:val="right"/>
              <w:ind w:right="90"/>
              <w:spacing w:after="0"/>
              <w:rPr>
                <w:sz w:val="20"/>
                <w:szCs w:val="20"/>
                <w:color w:val="auto"/>
              </w:rPr>
            </w:pPr>
            <w:r>
              <w:rPr>
                <w:rFonts w:ascii="Arial" w:cs="Arial" w:eastAsia="Arial" w:hAnsi="Arial"/>
                <w:sz w:val="18"/>
                <w:szCs w:val="18"/>
                <w:b w:val="1"/>
                <w:bCs w:val="1"/>
                <w:color w:val="auto"/>
                <w:w w:val="79"/>
              </w:rPr>
              <w:t>30,</w:t>
            </w: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9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400" w:type="dxa"/>
            <w:vAlign w:val="bottom"/>
          </w:tcPr>
          <w:p>
            <w:pPr>
              <w:spacing w:after="0"/>
              <w:rPr>
                <w:sz w:val="20"/>
                <w:szCs w:val="20"/>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available to stockholders</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5,619</w:t>
            </w:r>
          </w:p>
        </w:tc>
        <w:tc>
          <w:tcPr>
            <w:tcW w:w="4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8,812</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Less: Distributed and undistributed earnings allocated</w:t>
            </w:r>
          </w:p>
        </w:tc>
        <w:tc>
          <w:tcPr>
            <w:tcW w:w="8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(219)</w:t>
            </w: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vMerge w:val="restart"/>
          </w:tcPr>
          <w:p>
            <w:pPr>
              <w:jc w:val="right"/>
              <w:ind w:right="270"/>
              <w:spacing w:after="0"/>
              <w:rPr>
                <w:sz w:val="20"/>
                <w:szCs w:val="20"/>
                <w:color w:val="auto"/>
              </w:rPr>
            </w:pPr>
            <w:r>
              <w:rPr>
                <w:rFonts w:ascii="Arial" w:cs="Arial" w:eastAsia="Arial" w:hAnsi="Arial"/>
                <w:sz w:val="18"/>
                <w:szCs w:val="18"/>
                <w:b w:val="1"/>
                <w:bCs w:val="1"/>
                <w:color w:val="auto"/>
              </w:rPr>
              <w:t>(331)</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gridSpan w:val="2"/>
          </w:tcPr>
          <w:p>
            <w:pPr>
              <w:ind w:left="60"/>
              <w:spacing w:after="0"/>
              <w:rPr>
                <w:sz w:val="20"/>
                <w:szCs w:val="20"/>
                <w:color w:val="auto"/>
              </w:rPr>
            </w:pPr>
            <w:r>
              <w:rPr>
                <w:rFonts w:ascii="Arial" w:cs="Arial" w:eastAsia="Arial" w:hAnsi="Arial"/>
                <w:sz w:val="18"/>
                <w:szCs w:val="18"/>
                <w:color w:val="auto"/>
              </w:rPr>
              <w:t>to non-vested restricted stock</w:t>
            </w: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vMerge w:val="continue"/>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2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available to common shareholders</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5,400</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3,501</w:t>
            </w:r>
          </w:p>
        </w:tc>
        <w:tc>
          <w:tcPr>
            <w:tcW w:w="2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8,481</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5,409</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472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color w:val="auto"/>
              </w:rPr>
              <w:t>Shares Calculation</w:t>
            </w: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Pr>
          <w:p>
            <w:pPr>
              <w:spacing w:after="0"/>
              <w:rPr>
                <w:sz w:val="16"/>
                <w:szCs w:val="16"/>
                <w:color w:val="auto"/>
              </w:rPr>
            </w:pPr>
          </w:p>
        </w:tc>
        <w:tc>
          <w:tcPr>
            <w:tcW w:w="472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360" w:type="dxa"/>
            <w:vAlign w:val="bottom"/>
            <w:tcBorders>
              <w:top w:val="single" w:sz="8" w:color="auto"/>
            </w:tcBorders>
          </w:tcPr>
          <w:p>
            <w:pPr>
              <w:spacing w:after="0"/>
              <w:rPr>
                <w:sz w:val="4"/>
                <w:szCs w:val="4"/>
                <w:color w:val="auto"/>
              </w:rPr>
            </w:pPr>
          </w:p>
        </w:tc>
        <w:tc>
          <w:tcPr>
            <w:tcW w:w="3360" w:type="dxa"/>
            <w:vAlign w:val="bottom"/>
          </w:tcPr>
          <w:p>
            <w:pPr>
              <w:spacing w:after="0"/>
              <w:rPr>
                <w:sz w:val="4"/>
                <w:szCs w:val="4"/>
                <w:color w:val="auto"/>
              </w:rPr>
            </w:pPr>
          </w:p>
        </w:tc>
        <w:tc>
          <w:tcPr>
            <w:tcW w:w="86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440" w:type="dxa"/>
            <w:vAlign w:val="bottom"/>
          </w:tcPr>
          <w:p>
            <w:pPr>
              <w:spacing w:after="0"/>
              <w:rPr>
                <w:sz w:val="4"/>
                <w:szCs w:val="4"/>
                <w:color w:val="auto"/>
              </w:rPr>
            </w:pPr>
          </w:p>
        </w:tc>
        <w:tc>
          <w:tcPr>
            <w:tcW w:w="92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9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Average shares outstanding - Basic Common</w:t>
            </w: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5,126</w:t>
            </w:r>
          </w:p>
        </w:tc>
        <w:tc>
          <w:tcPr>
            <w:tcW w:w="4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5,037</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5,108</w:t>
            </w:r>
          </w:p>
        </w:tc>
        <w:tc>
          <w:tcPr>
            <w:tcW w:w="4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720" w:type="dxa"/>
            <w:vAlign w:val="bottom"/>
            <w:gridSpan w:val="2"/>
          </w:tcPr>
          <w:p>
            <w:pPr>
              <w:spacing w:after="0"/>
              <w:rPr>
                <w:sz w:val="20"/>
                <w:szCs w:val="20"/>
                <w:color w:val="auto"/>
              </w:rPr>
            </w:pPr>
            <w:r>
              <w:rPr>
                <w:rFonts w:ascii="Arial" w:cs="Arial" w:eastAsia="Arial" w:hAnsi="Arial"/>
                <w:sz w:val="18"/>
                <w:szCs w:val="18"/>
                <w:color w:val="auto"/>
              </w:rPr>
              <w:t>Average shares outstanding - Basic Class B Common</w:t>
            </w:r>
          </w:p>
        </w:tc>
        <w:tc>
          <w:tcPr>
            <w:tcW w:w="8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b w:val="1"/>
                <w:bCs w:val="1"/>
                <w:color w:val="auto"/>
              </w:rPr>
              <w:t>2,068</w:t>
            </w:r>
          </w:p>
        </w:tc>
        <w:tc>
          <w:tcPr>
            <w:tcW w:w="4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2,102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2,068</w:t>
            </w:r>
          </w:p>
        </w:tc>
        <w:tc>
          <w:tcPr>
            <w:tcW w:w="4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3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Potential Common Stock relating to stock options and</w:t>
            </w:r>
          </w:p>
        </w:tc>
        <w:tc>
          <w:tcPr>
            <w:tcW w:w="8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59</w:t>
            </w: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69</w:t>
            </w: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472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8"/>
                <w:szCs w:val="18"/>
                <w:color w:val="auto"/>
              </w:rPr>
              <w:t>non-vested restricted stock</w:t>
            </w:r>
          </w:p>
        </w:tc>
        <w:tc>
          <w:tcPr>
            <w:tcW w:w="86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vMerge w:val="continue"/>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2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vMerge w:val="continue"/>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97"/>
        </w:trPr>
        <w:tc>
          <w:tcPr>
            <w:tcW w:w="20" w:type="dxa"/>
            <w:vAlign w:val="bottom"/>
            <w:tcBorders>
              <w:bottom w:val="single" w:sz="8" w:color="CCEEFF"/>
            </w:tcBorders>
          </w:tcPr>
          <w:p>
            <w:pPr>
              <w:spacing w:after="0"/>
              <w:rPr>
                <w:sz w:val="24"/>
                <w:szCs w:val="24"/>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Average shares outstanding - Assuming dilution</w:t>
            </w:r>
          </w:p>
        </w:tc>
        <w:tc>
          <w:tcPr>
            <w:tcW w:w="86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7,253</w:t>
            </w:r>
          </w:p>
        </w:tc>
        <w:tc>
          <w:tcPr>
            <w:tcW w:w="4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7,222</w:t>
            </w:r>
          </w:p>
        </w:tc>
        <w:tc>
          <w:tcPr>
            <w:tcW w:w="2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7,245</w:t>
            </w:r>
          </w:p>
        </w:tc>
        <w:tc>
          <w:tcPr>
            <w:tcW w:w="4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51"/>
        </w:trPr>
        <w:tc>
          <w:tcPr>
            <w:tcW w:w="20" w:type="dxa"/>
            <w:vAlign w:val="bottom"/>
            <w:tcBorders>
              <w:bottom w:val="single" w:sz="8" w:color="CCEEFF"/>
            </w:tcBorders>
            <w:shd w:val="clear" w:color="auto" w:fill="CCEEFF"/>
          </w:tcPr>
          <w:p>
            <w:pPr>
              <w:spacing w:after="0"/>
              <w:rPr>
                <w:sz w:val="21"/>
                <w:szCs w:val="21"/>
                <w:color w:val="auto"/>
              </w:rPr>
            </w:pPr>
          </w:p>
        </w:tc>
        <w:tc>
          <w:tcPr>
            <w:tcW w:w="47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 Per Share: Basic Common</w:t>
            </w:r>
          </w:p>
        </w:tc>
        <w:tc>
          <w:tcPr>
            <w:tcW w:w="8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0.81</w:t>
            </w:r>
          </w:p>
        </w:tc>
        <w:tc>
          <w:tcPr>
            <w:tcW w:w="4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0.53</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0" w:type="dxa"/>
            <w:vAlign w:val="bottom"/>
            <w:tcBorders>
              <w:bottom w:val="single" w:sz="8" w:color="CCEEFF"/>
            </w:tcBorders>
          </w:tcPr>
          <w:p>
            <w:pPr>
              <w:spacing w:after="0"/>
              <w:rPr>
                <w:sz w:val="24"/>
                <w:szCs w:val="24"/>
                <w:color w:val="auto"/>
              </w:rPr>
            </w:pPr>
          </w:p>
        </w:tc>
        <w:tc>
          <w:tcPr>
            <w:tcW w:w="472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Net Income Per Share: Basic Class B Common</w:t>
            </w:r>
          </w:p>
        </w:tc>
        <w:tc>
          <w:tcPr>
            <w:tcW w:w="86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0.61</w:t>
            </w:r>
          </w:p>
        </w:tc>
        <w:tc>
          <w:tcPr>
            <w:tcW w:w="44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0.40</w:t>
            </w:r>
          </w:p>
        </w:tc>
        <w:tc>
          <w:tcPr>
            <w:tcW w:w="2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0.95</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0.62</w:t>
            </w:r>
          </w:p>
        </w:tc>
        <w:tc>
          <w:tcPr>
            <w:tcW w:w="0" w:type="dxa"/>
            <w:vAlign w:val="bottom"/>
          </w:tcPr>
          <w:p>
            <w:pPr>
              <w:spacing w:after="0"/>
              <w:rPr>
                <w:sz w:val="1"/>
                <w:szCs w:val="1"/>
                <w:color w:val="auto"/>
              </w:rPr>
            </w:pPr>
          </w:p>
        </w:tc>
      </w:tr>
      <w:tr>
        <w:trPr>
          <w:trHeight w:val="251"/>
        </w:trPr>
        <w:tc>
          <w:tcPr>
            <w:tcW w:w="20" w:type="dxa"/>
            <w:vAlign w:val="bottom"/>
            <w:shd w:val="clear" w:color="auto" w:fill="CCEEFF"/>
          </w:tcPr>
          <w:p>
            <w:pPr>
              <w:spacing w:after="0"/>
              <w:rPr>
                <w:sz w:val="21"/>
                <w:szCs w:val="21"/>
                <w:color w:val="auto"/>
              </w:rPr>
            </w:pPr>
          </w:p>
        </w:tc>
        <w:tc>
          <w:tcPr>
            <w:tcW w:w="4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 Diluted Common</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0.74</w:t>
            </w:r>
          </w:p>
        </w:tc>
        <w:tc>
          <w:tcPr>
            <w:tcW w:w="4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0.48</w:t>
            </w: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w:t>
            </w:r>
          </w:p>
        </w:tc>
        <w:tc>
          <w:tcPr>
            <w:tcW w:w="4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04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1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580"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b w:val="1"/>
          <w:bCs w:val="1"/>
          <w:color w:val="auto"/>
        </w:rPr>
        <w:t>Exhibit 31:</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RULE 13A -14(A) UNDER THE SECURITIES EXCHANGE ACT OF 1934, AS AMENDED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Daniel S. Jaffee,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3"/>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3"/>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33"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4540" w:type="dxa"/>
            <w:vAlign w:val="bottom"/>
          </w:tcPr>
          <w:p>
            <w:pPr>
              <w:ind w:left="20"/>
              <w:spacing w:after="0"/>
              <w:rPr>
                <w:sz w:val="20"/>
                <w:szCs w:val="20"/>
                <w:color w:val="auto"/>
              </w:rPr>
            </w:pPr>
            <w:r>
              <w:rPr>
                <w:rFonts w:ascii="Arial" w:cs="Arial" w:eastAsia="Arial" w:hAnsi="Arial"/>
                <w:sz w:val="18"/>
                <w:szCs w:val="18"/>
                <w:color w:val="auto"/>
              </w:rPr>
              <w:t>June 7, 2019</w:t>
            </w:r>
          </w:p>
        </w:tc>
      </w:tr>
      <w:tr>
        <w:trPr>
          <w:trHeight w:val="27"/>
        </w:trPr>
        <w:tc>
          <w:tcPr>
            <w:tcW w:w="9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4540" w:type="dxa"/>
            <w:vAlign w:val="bottom"/>
          </w:tcPr>
          <w:p>
            <w:pPr>
              <w:ind w:left="20"/>
              <w:spacing w:after="0"/>
              <w:rPr>
                <w:sz w:val="20"/>
                <w:szCs w:val="20"/>
                <w:color w:val="auto"/>
              </w:rPr>
            </w:pPr>
            <w:r>
              <w:rPr>
                <w:rFonts w:ascii="Arial" w:cs="Arial" w:eastAsia="Arial" w:hAnsi="Arial"/>
                <w:sz w:val="18"/>
                <w:szCs w:val="18"/>
                <w:color w:val="auto"/>
              </w:rPr>
              <w:t>/s/ Daniel S. Jaffee</w:t>
            </w:r>
          </w:p>
        </w:tc>
      </w:tr>
      <w:tr>
        <w:trPr>
          <w:trHeight w:val="27"/>
        </w:trPr>
        <w:tc>
          <w:tcPr>
            <w:tcW w:w="920" w:type="dxa"/>
            <w:vAlign w:val="bottom"/>
          </w:tcPr>
          <w:p>
            <w:pPr>
              <w:spacing w:after="0"/>
              <w:rPr>
                <w:sz w:val="2"/>
                <w:szCs w:val="2"/>
                <w:color w:val="auto"/>
              </w:rPr>
            </w:pPr>
          </w:p>
        </w:tc>
        <w:tc>
          <w:tcPr>
            <w:tcW w:w="454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Daniel S. Jaffee</w:t>
            </w:r>
          </w:p>
        </w:tc>
      </w:tr>
      <w:tr>
        <w:trPr>
          <w:trHeight w:val="378"/>
        </w:trPr>
        <w:tc>
          <w:tcPr>
            <w:tcW w:w="920" w:type="dxa"/>
            <w:vAlign w:val="bottom"/>
          </w:tcPr>
          <w:p>
            <w:pPr>
              <w:spacing w:after="0"/>
              <w:rPr>
                <w:sz w:val="24"/>
                <w:szCs w:val="24"/>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Chairman, President and Chief Executive Officer</w:t>
            </w: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5" w:right="239" w:bottom="1440" w:gutter="0" w:footer="0" w:header="0"/>
        </w:sectPr>
      </w:pPr>
    </w:p>
    <w:bookmarkStart w:id="34" w:name="page35"/>
    <w:bookmarkEnd w:id="34"/>
    <w:p>
      <w:pPr>
        <w:spacing w:after="0"/>
        <w:rPr>
          <w:sz w:val="20"/>
          <w:szCs w:val="20"/>
          <w:color w:val="auto"/>
        </w:rPr>
      </w:pPr>
      <w:r>
        <w:rPr>
          <w:rFonts w:ascii="Arial" w:cs="Arial" w:eastAsia="Arial" w:hAnsi="Arial"/>
          <w:sz w:val="16"/>
          <w:szCs w:val="16"/>
          <w:b w:val="1"/>
          <w:bCs w:val="1"/>
          <w:color w:val="auto"/>
        </w:rPr>
        <w:t>Exhibit 31 (continued):</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a Principal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00" w:lineRule="exact"/>
        <w:rPr>
          <w:sz w:val="20"/>
          <w:szCs w:val="20"/>
          <w:color w:val="auto"/>
        </w:rPr>
      </w:pPr>
    </w:p>
    <w:p>
      <w:pPr>
        <w:spacing w:after="0" w:line="335"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Susan M. Kreh, certify that:</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Oil-Dri Corporation of America (the “registrant”);</w:t>
      </w:r>
    </w:p>
    <w:p>
      <w:pPr>
        <w:spacing w:after="0" w:line="171"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1300" w:right="20" w:hanging="320"/>
        <w:spacing w:after="0" w:line="342" w:lineRule="auto"/>
        <w:tabs>
          <w:tab w:leader="none" w:pos="1300" w:val="left"/>
        </w:tabs>
        <w:numPr>
          <w:ilvl w:val="1"/>
          <w:numId w:val="1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Arial" w:cs="Arial" w:eastAsia="Arial" w:hAnsi="Arial"/>
          <w:sz w:val="17"/>
          <w:szCs w:val="17"/>
          <w:color w:val="auto"/>
        </w:rPr>
      </w:pPr>
    </w:p>
    <w:p>
      <w:pPr>
        <w:jc w:val="both"/>
        <w:ind w:left="1960" w:right="20" w:hanging="331"/>
        <w:spacing w:after="0" w:line="264" w:lineRule="auto"/>
        <w:tabs>
          <w:tab w:leader="none" w:pos="19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960" w:hanging="331"/>
        <w:spacing w:after="0" w:line="264" w:lineRule="auto"/>
        <w:tabs>
          <w:tab w:leader="none" w:pos="19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7" w:lineRule="exact"/>
        <w:rPr>
          <w:rFonts w:ascii="Arial" w:cs="Arial" w:eastAsia="Arial" w:hAnsi="Arial"/>
          <w:sz w:val="18"/>
          <w:szCs w:val="18"/>
          <w:color w:val="auto"/>
        </w:rPr>
      </w:pPr>
    </w:p>
    <w:p>
      <w:pPr>
        <w:jc w:val="both"/>
        <w:ind w:left="1960" w:hanging="331"/>
        <w:spacing w:after="0" w:line="286" w:lineRule="auto"/>
        <w:tabs>
          <w:tab w:leader="none" w:pos="1960" w:val="left"/>
        </w:tabs>
        <w:numPr>
          <w:ilvl w:val="2"/>
          <w:numId w:val="14"/>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Arial" w:cs="Arial" w:eastAsia="Arial" w:hAnsi="Arial"/>
          <w:sz w:val="17"/>
          <w:szCs w:val="17"/>
          <w:color w:val="auto"/>
        </w:rPr>
      </w:pPr>
    </w:p>
    <w:p>
      <w:pPr>
        <w:jc w:val="both"/>
        <w:ind w:left="1300" w:hanging="320"/>
        <w:spacing w:after="0" w:line="264" w:lineRule="auto"/>
        <w:tabs>
          <w:tab w:leader="none" w:pos="1300" w:val="left"/>
        </w:tabs>
        <w:numPr>
          <w:ilvl w:val="1"/>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7" w:lineRule="exact"/>
        <w:rPr>
          <w:rFonts w:ascii="Arial" w:cs="Arial" w:eastAsia="Arial" w:hAnsi="Arial"/>
          <w:sz w:val="18"/>
          <w:szCs w:val="18"/>
          <w:color w:val="auto"/>
        </w:rPr>
      </w:pPr>
    </w:p>
    <w:p>
      <w:pPr>
        <w:ind w:left="1960" w:hanging="331"/>
        <w:spacing w:after="0" w:line="342" w:lineRule="auto"/>
        <w:tabs>
          <w:tab w:leader="none" w:pos="1960" w:val="left"/>
        </w:tabs>
        <w:numPr>
          <w:ilvl w:val="2"/>
          <w:numId w:val="1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960" w:hanging="331"/>
        <w:spacing w:after="0" w:line="277" w:lineRule="auto"/>
        <w:tabs>
          <w:tab w:leader="none" w:pos="1960" w:val="left"/>
        </w:tabs>
        <w:numPr>
          <w:ilvl w:val="2"/>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Date:</w:t>
            </w:r>
          </w:p>
        </w:tc>
        <w:tc>
          <w:tcPr>
            <w:tcW w:w="5000" w:type="dxa"/>
            <w:vAlign w:val="bottom"/>
          </w:tcPr>
          <w:p>
            <w:pPr>
              <w:ind w:left="40"/>
              <w:spacing w:after="0"/>
              <w:rPr>
                <w:sz w:val="20"/>
                <w:szCs w:val="20"/>
                <w:color w:val="auto"/>
              </w:rPr>
            </w:pPr>
            <w:r>
              <w:rPr>
                <w:rFonts w:ascii="Arial" w:cs="Arial" w:eastAsia="Arial" w:hAnsi="Arial"/>
                <w:sz w:val="18"/>
                <w:szCs w:val="18"/>
                <w:color w:val="auto"/>
              </w:rPr>
              <w:t>June 7, 2019</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r>
              <w:rPr>
                <w:rFonts w:ascii="Arial" w:cs="Arial" w:eastAsia="Arial" w:hAnsi="Arial"/>
                <w:sz w:val="18"/>
                <w:szCs w:val="18"/>
                <w:color w:val="auto"/>
              </w:rPr>
              <w:t>By:</w:t>
            </w:r>
          </w:p>
        </w:tc>
        <w:tc>
          <w:tcPr>
            <w:tcW w:w="5000" w:type="dxa"/>
            <w:vAlign w:val="bottom"/>
          </w:tcPr>
          <w:p>
            <w:pPr>
              <w:ind w:left="40"/>
              <w:spacing w:after="0"/>
              <w:rPr>
                <w:sz w:val="20"/>
                <w:szCs w:val="20"/>
                <w:color w:val="auto"/>
              </w:rPr>
            </w:pPr>
            <w:r>
              <w:rPr>
                <w:rFonts w:ascii="Arial" w:cs="Arial" w:eastAsia="Arial" w:hAnsi="Arial"/>
                <w:sz w:val="18"/>
                <w:szCs w:val="18"/>
                <w:color w:val="auto"/>
              </w:rPr>
              <w:t>/s/ Susan M. Kreh</w:t>
            </w:r>
          </w:p>
        </w:tc>
      </w:tr>
      <w:tr>
        <w:trPr>
          <w:trHeight w:val="27"/>
        </w:trPr>
        <w:tc>
          <w:tcPr>
            <w:tcW w:w="920" w:type="dxa"/>
            <w:vAlign w:val="bottom"/>
          </w:tcPr>
          <w:p>
            <w:pPr>
              <w:spacing w:after="0"/>
              <w:rPr>
                <w:sz w:val="2"/>
                <w:szCs w:val="2"/>
                <w:color w:val="auto"/>
              </w:rPr>
            </w:pPr>
          </w:p>
        </w:tc>
        <w:tc>
          <w:tcPr>
            <w:tcW w:w="5000" w:type="dxa"/>
            <w:vAlign w:val="bottom"/>
            <w:tcBorders>
              <w:bottom w:val="single" w:sz="8" w:color="auto"/>
            </w:tcBorders>
          </w:tcPr>
          <w:p>
            <w:pPr>
              <w:spacing w:after="0"/>
              <w:rPr>
                <w:sz w:val="2"/>
                <w:szCs w:val="2"/>
                <w:color w:val="auto"/>
              </w:rPr>
            </w:pPr>
          </w:p>
        </w:tc>
      </w:tr>
      <w:tr>
        <w:trPr>
          <w:trHeight w:val="237"/>
        </w:trPr>
        <w:tc>
          <w:tcPr>
            <w:tcW w:w="920" w:type="dxa"/>
            <w:vAlign w:val="bottom"/>
          </w:tcPr>
          <w:p>
            <w:pPr>
              <w:spacing w:after="0"/>
              <w:rPr>
                <w:sz w:val="20"/>
                <w:szCs w:val="20"/>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Susan M. Kreh</w:t>
            </w:r>
          </w:p>
        </w:tc>
      </w:tr>
      <w:tr>
        <w:trPr>
          <w:trHeight w:val="378"/>
        </w:trPr>
        <w:tc>
          <w:tcPr>
            <w:tcW w:w="920" w:type="dxa"/>
            <w:vAlign w:val="bottom"/>
          </w:tcPr>
          <w:p>
            <w:pPr>
              <w:spacing w:after="0"/>
              <w:rPr>
                <w:sz w:val="24"/>
                <w:szCs w:val="24"/>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26" w:right="2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Exhibit 32:</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 18 U.S.C. SECTION 1350 AS ADOPTED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 CERTIFICATION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2019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June 7, 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Daniel S. Jaffee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Daniel S. Jaffee</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Chairman, President and Chief Executive Officer</w:t>
      </w:r>
    </w:p>
    <w:p>
      <w:pPr>
        <w:spacing w:after="0" w:line="23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Pursuant to 18 U.S.C. Section 1350, the undersigned officer of Oil-Dri Corporation of America (the “Company”) hereby certifies that to the best of my knowledge the Company’s Quarterly Report on Form 10-Q for the quarter ended April 30, 2019 (the “Report”) fully complies with the requirements of Section 13(a) or 15(d), as applicable, of the Securities Exchange Act of 1934 and that the information contained in the Report fairly presents, in all material respects, the financial condition and results of operation of the Company.</w:t>
      </w:r>
    </w:p>
    <w:p>
      <w:pPr>
        <w:spacing w:after="0" w:line="349" w:lineRule="exact"/>
        <w:rPr>
          <w:sz w:val="20"/>
          <w:szCs w:val="20"/>
          <w:color w:val="auto"/>
        </w:rPr>
      </w:pPr>
    </w:p>
    <w:p>
      <w:pPr>
        <w:ind w:left="40"/>
        <w:spacing w:after="0"/>
        <w:tabs>
          <w:tab w:leader="none" w:pos="78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June 7, 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Susan M. Kreh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36449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Name: Susan M. Kreh</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Title: Chief Financial Officer</w:t>
      </w:r>
    </w:p>
    <w:p>
      <w:pPr>
        <w:spacing w:after="0" w:line="23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foregoing certification is being furnished solely pursuant to Section 906 of the Sarbanes-Oxley Act of 2002 (Section 1350, Chapter 63 of Title 18, United States Code) and is not being filed as part of the Report or as a separate disclosure document.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814"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Exhibit 95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Under section 1503(a) of the Dodd-Frank Wall Street Reform and Consumer Protection Act and Item 104 of Regulation S-K, each operator of a coal or other mine is required to include certain mine safety information in its periodic reports filed with the Securities and Exchange Commission. The table below includes this mine safety information for each mine facility owned and operated by Oil-Dri Corporation of America, or its subsidiaries, for the quarter ended April 30, 2019. Due to timing and other factors, our data may not agree with the mine data retrieval system maintained by the Mine Safety and Health Administration (“MSHA”). The columns in the table represent the total number of, and the proposed dollar assessment for, violations, citations and orders issued by MSHA during the period upon periodic inspection of our mine facilities in accordance with the referenced sections of the Federal Mine Safety and Health Act of 1977, as amended (the “Mine Act”), described as follows:</w:t>
      </w:r>
    </w:p>
    <w:p>
      <w:pPr>
        <w:spacing w:after="0" w:line="178"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104 Significant and Substantial Violations: Total number of violations of mandatory health or safety standards that could significantly and substantially contribute to the cause and effect of a coal or other mine safety or health hazard.</w:t>
      </w:r>
    </w:p>
    <w:p>
      <w:pPr>
        <w:spacing w:after="0" w:line="170" w:lineRule="exact"/>
        <w:rPr>
          <w:sz w:val="20"/>
          <w:szCs w:val="20"/>
          <w:color w:val="auto"/>
        </w:rPr>
      </w:pPr>
    </w:p>
    <w:p>
      <w:pPr>
        <w:jc w:val="both"/>
        <w:ind w:left="120"/>
        <w:spacing w:after="0" w:line="342" w:lineRule="auto"/>
        <w:rPr>
          <w:sz w:val="20"/>
          <w:szCs w:val="20"/>
          <w:color w:val="auto"/>
        </w:rPr>
      </w:pPr>
      <w:r>
        <w:rPr>
          <w:rFonts w:ascii="Arial" w:cs="Arial" w:eastAsia="Arial" w:hAnsi="Arial"/>
          <w:sz w:val="16"/>
          <w:szCs w:val="16"/>
          <w:color w:val="auto"/>
        </w:rPr>
        <w:t>Section 104(b) Orders: Total number of orders issued due to a failure to totally abate, within the time period prescribed by MSHA, a violation previously cited under section 104, which results in the issuance of an order requiring the mine operator to immediately withdraw all persons from the mine.</w:t>
      </w:r>
    </w:p>
    <w:p>
      <w:pPr>
        <w:spacing w:after="0" w:line="124"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104(d) Citations and Orders: Total number of citations and orders issued for unwarrantable failure of the mine operator to comply with mandatory health and safety standards. The violation could significantly and substantially contribute to the cause and effect of a safety and health hazard, but the conditions do not cause imminent danger.</w:t>
      </w:r>
    </w:p>
    <w:p>
      <w:pPr>
        <w:spacing w:after="0" w:line="181" w:lineRule="exact"/>
        <w:rPr>
          <w:sz w:val="20"/>
          <w:szCs w:val="20"/>
          <w:color w:val="auto"/>
        </w:rPr>
      </w:pPr>
    </w:p>
    <w:p>
      <w:pPr>
        <w:jc w:val="both"/>
        <w:ind w:left="120"/>
        <w:spacing w:after="0" w:line="264" w:lineRule="auto"/>
        <w:rPr>
          <w:sz w:val="20"/>
          <w:szCs w:val="20"/>
          <w:color w:val="auto"/>
        </w:rPr>
      </w:pPr>
      <w:r>
        <w:rPr>
          <w:rFonts w:ascii="Arial" w:cs="Arial" w:eastAsia="Arial" w:hAnsi="Arial"/>
          <w:sz w:val="18"/>
          <w:szCs w:val="18"/>
          <w:color w:val="auto"/>
        </w:rPr>
        <w:t>Section 110(b)(2) Flagrant Violations: Total number of flagrant violations defined as a reckless or repeated failure to make reasonable efforts to eliminate a known violation of a mandatory health or safety standard that substantially and proximately caused, or reasonably could have been expected to cause, death or serious bodily injury.</w:t>
      </w:r>
    </w:p>
    <w:p>
      <w:pPr>
        <w:spacing w:after="0" w:line="181"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Section 107(a) Imminent Danger Orders: Total number of orders issued when an imminent danger is identified which requires all persons to be withdrawn from area(s) in the mine until the imminent danger and the conditions that caused it cease to exist.</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Total Dollar Value of Proposed MSHA Assessments: Each issuance of a citation or order by MSHA results in the assessment of a monetary penalty. The total dollar value presented includes any contested penalties.</w:t>
      </w:r>
    </w:p>
    <w:p>
      <w:pPr>
        <w:spacing w:after="0" w:line="170" w:lineRule="exact"/>
        <w:rPr>
          <w:sz w:val="20"/>
          <w:szCs w:val="20"/>
          <w:color w:val="auto"/>
        </w:rPr>
      </w:pPr>
    </w:p>
    <w:p>
      <w:pPr>
        <w:jc w:val="both"/>
        <w:ind w:left="120"/>
        <w:spacing w:after="0" w:line="277" w:lineRule="auto"/>
        <w:rPr>
          <w:sz w:val="20"/>
          <w:szCs w:val="20"/>
          <w:color w:val="auto"/>
        </w:rPr>
      </w:pPr>
      <w:r>
        <w:rPr>
          <w:rFonts w:ascii="Arial" w:cs="Arial" w:eastAsia="Arial" w:hAnsi="Arial"/>
          <w:sz w:val="18"/>
          <w:szCs w:val="18"/>
          <w:color w:val="auto"/>
        </w:rPr>
        <w:t>Legal Actions Pending, Initiated or Resolved: Total number of cases pending legal action before the Federal Mine Safety and Health Review Commission as of the last day of the reporting period or the number of such cases initiated or resolved during the reporting period.</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15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2220" w:type="dxa"/>
            <w:vAlign w:val="bottom"/>
            <w:gridSpan w:val="2"/>
          </w:tcPr>
          <w:p>
            <w:pPr>
              <w:ind w:left="1080"/>
              <w:spacing w:after="0"/>
              <w:rPr>
                <w:sz w:val="20"/>
                <w:szCs w:val="20"/>
                <w:color w:val="auto"/>
              </w:rPr>
            </w:pPr>
            <w:r>
              <w:rPr>
                <w:rFonts w:ascii="Arial" w:cs="Arial" w:eastAsia="Arial" w:hAnsi="Arial"/>
                <w:sz w:val="18"/>
                <w:szCs w:val="18"/>
                <w:color w:val="auto"/>
              </w:rPr>
              <w:t>Legal Actions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89"/>
              </w:rPr>
              <w:t>Section</w:t>
            </w:r>
          </w:p>
        </w:tc>
        <w:tc>
          <w:tcPr>
            <w:tcW w:w="14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5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Section 104</w:t>
            </w:r>
          </w:p>
        </w:tc>
        <w:tc>
          <w:tcPr>
            <w:tcW w:w="70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18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8"/>
              </w:rPr>
              <w:t>107(a)</w:t>
            </w:r>
          </w:p>
        </w:tc>
        <w:tc>
          <w:tcPr>
            <w:tcW w:w="1400" w:type="dxa"/>
            <w:vAlign w:val="bottom"/>
          </w:tcPr>
          <w:p>
            <w:pPr>
              <w:jc w:val="center"/>
              <w:ind w:left="10"/>
              <w:spacing w:after="0"/>
              <w:rPr>
                <w:sz w:val="20"/>
                <w:szCs w:val="20"/>
                <w:color w:val="auto"/>
              </w:rPr>
            </w:pPr>
            <w:r>
              <w:rPr>
                <w:rFonts w:ascii="Arial" w:cs="Arial" w:eastAsia="Arial" w:hAnsi="Arial"/>
                <w:sz w:val="18"/>
                <w:szCs w:val="18"/>
                <w:color w:val="auto"/>
                <w:w w:val="93"/>
              </w:rPr>
              <w:t>Total Dollar</w:t>
            </w:r>
          </w:p>
        </w:tc>
        <w:tc>
          <w:tcPr>
            <w:tcW w:w="1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5"/>
              </w:rPr>
              <w:t>“Significant and</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Section</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104(d)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Section 110(b)</w:t>
            </w:r>
          </w:p>
        </w:tc>
        <w:tc>
          <w:tcPr>
            <w:tcW w:w="900" w:type="dxa"/>
            <w:vAlign w:val="bottom"/>
          </w:tcPr>
          <w:p>
            <w:pPr>
              <w:jc w:val="center"/>
              <w:spacing w:after="0"/>
              <w:rPr>
                <w:sz w:val="20"/>
                <w:szCs w:val="20"/>
                <w:color w:val="auto"/>
              </w:rPr>
            </w:pPr>
            <w:r>
              <w:rPr>
                <w:rFonts w:ascii="Arial" w:cs="Arial" w:eastAsia="Arial" w:hAnsi="Arial"/>
                <w:sz w:val="18"/>
                <w:szCs w:val="18"/>
                <w:color w:val="auto"/>
                <w:w w:val="94"/>
              </w:rPr>
              <w:t>Imminent</w:t>
            </w:r>
          </w:p>
        </w:tc>
        <w:tc>
          <w:tcPr>
            <w:tcW w:w="1400" w:type="dxa"/>
            <w:vAlign w:val="bottom"/>
          </w:tcPr>
          <w:p>
            <w:pPr>
              <w:jc w:val="center"/>
              <w:spacing w:after="0"/>
              <w:rPr>
                <w:sz w:val="20"/>
                <w:szCs w:val="20"/>
                <w:color w:val="auto"/>
              </w:rPr>
            </w:pPr>
            <w:r>
              <w:rPr>
                <w:rFonts w:ascii="Arial" w:cs="Arial" w:eastAsia="Arial" w:hAnsi="Arial"/>
                <w:sz w:val="18"/>
                <w:szCs w:val="18"/>
                <w:color w:val="auto"/>
                <w:w w:val="93"/>
              </w:rPr>
              <w:t>Value of</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Pending as of</w:t>
            </w:r>
          </w:p>
        </w:tc>
        <w:tc>
          <w:tcPr>
            <w:tcW w:w="1020" w:type="dxa"/>
            <w:vAlign w:val="bottom"/>
          </w:tcPr>
          <w:p>
            <w:pPr>
              <w:jc w:val="center"/>
              <w:ind w:right="50"/>
              <w:spacing w:after="0"/>
              <w:rPr>
                <w:sz w:val="20"/>
                <w:szCs w:val="20"/>
                <w:color w:val="auto"/>
              </w:rPr>
            </w:pPr>
            <w:r>
              <w:rPr>
                <w:rFonts w:ascii="Arial" w:cs="Arial" w:eastAsia="Arial" w:hAnsi="Arial"/>
                <w:sz w:val="18"/>
                <w:szCs w:val="18"/>
                <w:color w:val="auto"/>
                <w:w w:val="95"/>
              </w:rPr>
              <w:t>Initiated</w:t>
            </w:r>
          </w:p>
        </w:tc>
        <w:tc>
          <w:tcPr>
            <w:tcW w:w="940" w:type="dxa"/>
            <w:vAlign w:val="bottom"/>
          </w:tcPr>
          <w:p>
            <w:pPr>
              <w:jc w:val="center"/>
              <w:spacing w:after="0"/>
              <w:rPr>
                <w:sz w:val="20"/>
                <w:szCs w:val="20"/>
                <w:color w:val="auto"/>
              </w:rPr>
            </w:pPr>
            <w:r>
              <w:rPr>
                <w:rFonts w:ascii="Arial" w:cs="Arial" w:eastAsia="Arial" w:hAnsi="Arial"/>
                <w:sz w:val="18"/>
                <w:szCs w:val="18"/>
                <w:color w:val="auto"/>
                <w:w w:val="87"/>
              </w:rPr>
              <w:t>Resolved</w:t>
            </w:r>
          </w:p>
        </w:tc>
        <w:tc>
          <w:tcPr>
            <w:tcW w:w="0" w:type="dxa"/>
            <w:vAlign w:val="bottom"/>
          </w:tcPr>
          <w:p>
            <w:pPr>
              <w:spacing w:after="0"/>
              <w:rPr>
                <w:sz w:val="1"/>
                <w:szCs w:val="1"/>
                <w:color w:val="auto"/>
              </w:rPr>
            </w:pPr>
          </w:p>
        </w:tc>
      </w:tr>
      <w:tr>
        <w:trPr>
          <w:trHeight w:val="216"/>
        </w:trPr>
        <w:tc>
          <w:tcPr>
            <w:tcW w:w="1580" w:type="dxa"/>
            <w:vAlign w:val="bottom"/>
          </w:tcPr>
          <w:p>
            <w:pPr>
              <w:spacing w:after="0"/>
              <w:rPr>
                <w:sz w:val="18"/>
                <w:szCs w:val="18"/>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2"/>
              </w:rPr>
              <w:t>Substantial”</w:t>
            </w:r>
          </w:p>
        </w:tc>
        <w:tc>
          <w:tcPr>
            <w:tcW w:w="700" w:type="dxa"/>
            <w:vAlign w:val="bottom"/>
          </w:tcPr>
          <w:p>
            <w:pPr>
              <w:jc w:val="center"/>
              <w:spacing w:after="0"/>
              <w:rPr>
                <w:sz w:val="20"/>
                <w:szCs w:val="20"/>
                <w:color w:val="auto"/>
              </w:rPr>
            </w:pPr>
            <w:r>
              <w:rPr>
                <w:rFonts w:ascii="Arial" w:cs="Arial" w:eastAsia="Arial" w:hAnsi="Arial"/>
                <w:sz w:val="18"/>
                <w:szCs w:val="18"/>
                <w:color w:val="auto"/>
                <w:w w:val="92"/>
              </w:rPr>
              <w:t>104(b)</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Citations and</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(2)Flagrant</w:t>
            </w:r>
          </w:p>
        </w:tc>
        <w:tc>
          <w:tcPr>
            <w:tcW w:w="900" w:type="dxa"/>
            <w:vAlign w:val="bottom"/>
          </w:tcPr>
          <w:p>
            <w:pPr>
              <w:jc w:val="center"/>
              <w:spacing w:after="0"/>
              <w:rPr>
                <w:sz w:val="20"/>
                <w:szCs w:val="20"/>
                <w:color w:val="auto"/>
              </w:rPr>
            </w:pPr>
            <w:r>
              <w:rPr>
                <w:rFonts w:ascii="Arial" w:cs="Arial" w:eastAsia="Arial" w:hAnsi="Arial"/>
                <w:sz w:val="18"/>
                <w:szCs w:val="18"/>
                <w:color w:val="auto"/>
                <w:w w:val="91"/>
              </w:rPr>
              <w:t>Danger</w:t>
            </w:r>
          </w:p>
        </w:tc>
        <w:tc>
          <w:tcPr>
            <w:tcW w:w="1400" w:type="dxa"/>
            <w:vAlign w:val="bottom"/>
          </w:tcPr>
          <w:p>
            <w:pPr>
              <w:jc w:val="center"/>
              <w:spacing w:after="0"/>
              <w:rPr>
                <w:sz w:val="20"/>
                <w:szCs w:val="20"/>
                <w:color w:val="auto"/>
              </w:rPr>
            </w:pPr>
            <w:r>
              <w:rPr>
                <w:rFonts w:ascii="Arial" w:cs="Arial" w:eastAsia="Arial" w:hAnsi="Arial"/>
                <w:sz w:val="18"/>
                <w:szCs w:val="18"/>
                <w:color w:val="auto"/>
                <w:w w:val="90"/>
              </w:rPr>
              <w:t>Proposed MSHA</w:t>
            </w:r>
          </w:p>
        </w:tc>
        <w:tc>
          <w:tcPr>
            <w:tcW w:w="1200" w:type="dxa"/>
            <w:vAlign w:val="bottom"/>
          </w:tcPr>
          <w:p>
            <w:pPr>
              <w:jc w:val="center"/>
              <w:spacing w:after="0"/>
              <w:rPr>
                <w:sz w:val="20"/>
                <w:szCs w:val="20"/>
                <w:color w:val="auto"/>
              </w:rPr>
            </w:pPr>
            <w:r>
              <w:rPr>
                <w:rFonts w:ascii="Arial" w:cs="Arial" w:eastAsia="Arial" w:hAnsi="Arial"/>
                <w:sz w:val="18"/>
                <w:szCs w:val="18"/>
                <w:color w:val="auto"/>
                <w:w w:val="94"/>
              </w:rPr>
              <w:t>Last Day of</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4"/>
              </w:rPr>
              <w:t>During</w:t>
            </w:r>
          </w:p>
        </w:tc>
        <w:tc>
          <w:tcPr>
            <w:tcW w:w="940" w:type="dxa"/>
            <w:vAlign w:val="bottom"/>
          </w:tcPr>
          <w:p>
            <w:pPr>
              <w:jc w:val="center"/>
              <w:spacing w:after="0"/>
              <w:rPr>
                <w:sz w:val="20"/>
                <w:szCs w:val="20"/>
                <w:color w:val="auto"/>
              </w:rPr>
            </w:pPr>
            <w:r>
              <w:rPr>
                <w:rFonts w:ascii="Arial" w:cs="Arial" w:eastAsia="Arial" w:hAnsi="Arial"/>
                <w:sz w:val="18"/>
                <w:szCs w:val="18"/>
                <w:color w:val="auto"/>
                <w:w w:val="94"/>
              </w:rPr>
              <w:t>During</w:t>
            </w:r>
          </w:p>
        </w:tc>
        <w:tc>
          <w:tcPr>
            <w:tcW w:w="0" w:type="dxa"/>
            <w:vAlign w:val="bottom"/>
          </w:tcPr>
          <w:p>
            <w:pPr>
              <w:spacing w:after="0"/>
              <w:rPr>
                <w:sz w:val="1"/>
                <w:szCs w:val="1"/>
                <w:color w:val="auto"/>
              </w:rPr>
            </w:pPr>
          </w:p>
        </w:tc>
      </w:tr>
      <w:tr>
        <w:trPr>
          <w:trHeight w:val="230"/>
        </w:trPr>
        <w:tc>
          <w:tcPr>
            <w:tcW w:w="1580" w:type="dxa"/>
            <w:vAlign w:val="bottom"/>
          </w:tcPr>
          <w:p>
            <w:pPr>
              <w:ind w:left="280"/>
              <w:spacing w:after="0"/>
              <w:rPr>
                <w:sz w:val="20"/>
                <w:szCs w:val="20"/>
                <w:color w:val="auto"/>
              </w:rPr>
            </w:pPr>
            <w:r>
              <w:rPr>
                <w:rFonts w:ascii="Arial" w:cs="Arial" w:eastAsia="Arial" w:hAnsi="Arial"/>
                <w:sz w:val="18"/>
                <w:szCs w:val="18"/>
                <w:color w:val="auto"/>
              </w:rPr>
              <w:t>Mine location</w:t>
            </w:r>
          </w:p>
        </w:tc>
        <w:tc>
          <w:tcPr>
            <w:tcW w:w="12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700" w:type="dxa"/>
            <w:vAlign w:val="bottom"/>
          </w:tcPr>
          <w:p>
            <w:pPr>
              <w:jc w:val="center"/>
              <w:spacing w:after="0"/>
              <w:rPr>
                <w:sz w:val="20"/>
                <w:szCs w:val="20"/>
                <w:color w:val="auto"/>
              </w:rPr>
            </w:pPr>
            <w:r>
              <w:rPr>
                <w:rFonts w:ascii="Arial" w:cs="Arial" w:eastAsia="Arial" w:hAnsi="Arial"/>
                <w:sz w:val="18"/>
                <w:szCs w:val="18"/>
                <w:color w:val="auto"/>
                <w:w w:val="87"/>
              </w:rPr>
              <w:t>Orders</w:t>
            </w: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Violations</w:t>
            </w: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Orders</w:t>
            </w:r>
          </w:p>
        </w:tc>
        <w:tc>
          <w:tcPr>
            <w:tcW w:w="1400" w:type="dxa"/>
            <w:vAlign w:val="bottom"/>
          </w:tcPr>
          <w:p>
            <w:pPr>
              <w:jc w:val="center"/>
              <w:spacing w:after="0"/>
              <w:rPr>
                <w:sz w:val="20"/>
                <w:szCs w:val="20"/>
                <w:color w:val="auto"/>
              </w:rPr>
            </w:pPr>
            <w:r>
              <w:rPr>
                <w:rFonts w:ascii="Arial" w:cs="Arial" w:eastAsia="Arial" w:hAnsi="Arial"/>
                <w:sz w:val="18"/>
                <w:szCs w:val="18"/>
                <w:color w:val="auto"/>
                <w:w w:val="85"/>
              </w:rPr>
              <w:t>Assessments</w:t>
            </w:r>
          </w:p>
        </w:tc>
        <w:tc>
          <w:tcPr>
            <w:tcW w:w="120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88"/>
              </w:rPr>
              <w:t>Period</w:t>
            </w:r>
          </w:p>
        </w:tc>
        <w:tc>
          <w:tcPr>
            <w:tcW w:w="940" w:type="dxa"/>
            <w:vAlign w:val="bottom"/>
          </w:tcPr>
          <w:p>
            <w:pPr>
              <w:jc w:val="center"/>
              <w:spacing w:after="0"/>
              <w:rPr>
                <w:sz w:val="20"/>
                <w:szCs w:val="20"/>
                <w:color w:val="auto"/>
              </w:rPr>
            </w:pPr>
            <w:r>
              <w:rPr>
                <w:rFonts w:ascii="Arial" w:cs="Arial" w:eastAsia="Arial" w:hAnsi="Arial"/>
                <w:sz w:val="18"/>
                <w:szCs w:val="18"/>
                <w:color w:val="auto"/>
                <w:w w:val="88"/>
              </w:rPr>
              <w:t>Period</w:t>
            </w:r>
          </w:p>
        </w:tc>
        <w:tc>
          <w:tcPr>
            <w:tcW w:w="0" w:type="dxa"/>
            <w:vAlign w:val="bottom"/>
          </w:tcPr>
          <w:p>
            <w:pPr>
              <w:spacing w:after="0"/>
              <w:rPr>
                <w:sz w:val="1"/>
                <w:szCs w:val="1"/>
                <w:color w:val="auto"/>
              </w:rPr>
            </w:pPr>
          </w:p>
        </w:tc>
      </w:tr>
      <w:tr>
        <w:trPr>
          <w:trHeight w:val="270"/>
        </w:trPr>
        <w:tc>
          <w:tcPr>
            <w:tcW w:w="1580" w:type="dxa"/>
            <w:vAlign w:val="bottom"/>
          </w:tcPr>
          <w:p>
            <w:pPr>
              <w:spacing w:after="0"/>
              <w:rPr>
                <w:sz w:val="23"/>
                <w:szCs w:val="23"/>
                <w:color w:val="auto"/>
              </w:rPr>
            </w:pP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Ochlocknee, Georgia</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4</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3,448</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1580" w:type="dxa"/>
            <w:vAlign w:val="bottom"/>
          </w:tcPr>
          <w:p>
            <w:pPr>
              <w:ind w:left="20"/>
              <w:spacing w:after="0"/>
              <w:rPr>
                <w:sz w:val="20"/>
                <w:szCs w:val="20"/>
                <w:color w:val="auto"/>
              </w:rPr>
            </w:pPr>
            <w:r>
              <w:rPr>
                <w:rFonts w:ascii="Arial" w:cs="Arial" w:eastAsia="Arial" w:hAnsi="Arial"/>
                <w:sz w:val="18"/>
                <w:szCs w:val="18"/>
                <w:color w:val="auto"/>
              </w:rPr>
              <w:t>Ripley, Mississippi</w:t>
            </w:r>
          </w:p>
        </w:tc>
        <w:tc>
          <w:tcPr>
            <w:tcW w:w="12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Mounds, Illinois</w:t>
            </w:r>
          </w:p>
        </w:tc>
        <w:tc>
          <w:tcPr>
            <w:tcW w:w="12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9"/>
        </w:trPr>
        <w:tc>
          <w:tcPr>
            <w:tcW w:w="1580" w:type="dxa"/>
            <w:vAlign w:val="bottom"/>
          </w:tcPr>
          <w:p>
            <w:pPr>
              <w:ind w:left="20"/>
              <w:spacing w:after="0"/>
              <w:rPr>
                <w:sz w:val="20"/>
                <w:szCs w:val="20"/>
                <w:color w:val="auto"/>
              </w:rPr>
            </w:pPr>
            <w:r>
              <w:rPr>
                <w:rFonts w:ascii="Arial" w:cs="Arial" w:eastAsia="Arial" w:hAnsi="Arial"/>
                <w:sz w:val="18"/>
                <w:szCs w:val="18"/>
                <w:color w:val="auto"/>
              </w:rPr>
              <w:t>Blue Mountain,</w:t>
            </w:r>
          </w:p>
        </w:tc>
        <w:tc>
          <w:tcPr>
            <w:tcW w:w="12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86"/>
              </w:rPr>
              <w:t>746</w:t>
            </w:r>
          </w:p>
        </w:tc>
        <w:tc>
          <w:tcPr>
            <w:tcW w:w="120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vMerge w:val="restart"/>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122"/>
        </w:trPr>
        <w:tc>
          <w:tcPr>
            <w:tcW w:w="1580" w:type="dxa"/>
            <w:vAlign w:val="bottom"/>
            <w:vMerge w:val="restart"/>
          </w:tcPr>
          <w:p>
            <w:pPr>
              <w:ind w:left="20"/>
              <w:spacing w:after="0"/>
              <w:rPr>
                <w:sz w:val="20"/>
                <w:szCs w:val="20"/>
                <w:color w:val="auto"/>
              </w:rPr>
            </w:pPr>
            <w:r>
              <w:rPr>
                <w:rFonts w:ascii="Arial" w:cs="Arial" w:eastAsia="Arial" w:hAnsi="Arial"/>
                <w:sz w:val="18"/>
                <w:szCs w:val="18"/>
                <w:color w:val="auto"/>
              </w:rPr>
              <w:t>Mississippi</w:t>
            </w:r>
          </w:p>
        </w:tc>
        <w:tc>
          <w:tcPr>
            <w:tcW w:w="128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118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14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580" w:type="dxa"/>
            <w:vAlign w:val="bottom"/>
            <w:vMerge w:val="continue"/>
          </w:tcPr>
          <w:p>
            <w:pPr>
              <w:spacing w:after="0"/>
              <w:rPr>
                <w:sz w:val="9"/>
                <w:szCs w:val="9"/>
                <w:color w:val="auto"/>
              </w:rPr>
            </w:pPr>
          </w:p>
        </w:tc>
        <w:tc>
          <w:tcPr>
            <w:tcW w:w="1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9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7"/>
        </w:trPr>
        <w:tc>
          <w:tcPr>
            <w:tcW w:w="15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1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Taft, California</w:t>
            </w:r>
          </w:p>
        </w:tc>
        <w:tc>
          <w:tcPr>
            <w:tcW w:w="12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15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had no mining-related fatalities at any of our facilities during the three months ended April 30, 2019. During this period we also received no written notices from MSHA under section 104(e) of the Mine Act of (i) a pattern of violations of mandatory health or safety standards that are of such nature as could have significantly and substantially contributed to the cause and effect of coal or other mine health or safety hazards; or (ii) the potential to have such a pattern. All legal actions pending and initiated during the period were contests of proposed penalties.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9E2A9E3"/>
    <w:multiLevelType w:val="hybridMultilevel"/>
    <w:lvl w:ilvl="0">
      <w:lvlJc w:val="left"/>
      <w:lvlText w:val="(%1)"/>
      <w:numFmt w:val="decimal"/>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1."/>
      <w:numFmt w:val="decimal"/>
      <w:start w:val="2"/>
    </w:lvl>
  </w:abstractNum>
  <w:abstractNum w:abstractNumId="6">
    <w:nsid w:val="216231B"/>
    <w:multiLevelType w:val="hybridMultilevel"/>
    <w:lvl w:ilvl="0">
      <w:lvlJc w:val="left"/>
      <w:lvlText w:val="(%1)"/>
      <w:numFmt w:val="lowerLetter"/>
      <w:start w:val="1"/>
    </w:lvl>
  </w:abstractNum>
  <w:abstractNum w:abstractNumId="7">
    <w:nsid w:val="1F16E9E8"/>
    <w:multiLevelType w:val="hybridMultilevel"/>
    <w:lvl w:ilvl="0">
      <w:lvlJc w:val="left"/>
      <w:lvlText w:val="1"/>
      <w:numFmt w:val="bullet"/>
      <w:start w:val="1"/>
    </w:lvl>
  </w:abstractNum>
  <w:abstractNum w:abstractNumId="8">
    <w:nsid w:val="1190CDE7"/>
    <w:multiLevelType w:val="hybridMultilevel"/>
    <w:lvl w:ilvl="0">
      <w:lvlJc w:val="left"/>
      <w:lvlText w:val="2"/>
      <w:numFmt w:val="bullet"/>
      <w:start w:val="1"/>
    </w:lvl>
  </w:abstractNum>
  <w:abstractNum w:abstractNumId="9">
    <w:nsid w:val="66EF438D"/>
    <w:multiLevelType w:val="hybridMultilevel"/>
    <w:lvl w:ilvl="0">
      <w:lvlJc w:val="left"/>
      <w:lvlText w:val="%1"/>
      <w:numFmt w:val="decimal"/>
      <w:start w:val="11"/>
    </w:lvl>
  </w:abstractNum>
  <w:abstractNum w:abstractNumId="10">
    <w:nsid w:val="140E0F76"/>
    <w:multiLevelType w:val="hybridMultilevel"/>
    <w:lvl w:ilvl="0">
      <w:lvlJc w:val="left"/>
      <w:lvlText w:val="%1"/>
      <w:numFmt w:val="decimal"/>
      <w:start w:val="31"/>
    </w:lvl>
  </w:abstractNum>
  <w:abstractNum w:abstractNumId="11">
    <w:nsid w:val="3352255A"/>
    <w:multiLevelType w:val="hybridMultilevel"/>
    <w:lvl w:ilvl="0">
      <w:lvlJc w:val="left"/>
      <w:lvlText w:val="%1"/>
      <w:numFmt w:val="decimal"/>
      <w:start w:val="95"/>
    </w:lvl>
  </w:abstractNum>
  <w:abstractNum w:abstractNumId="12">
    <w:nsid w:val="109CF92E"/>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abstractNum w:abstractNumId="13">
    <w:nsid w:val="DED7263"/>
    <w:multiLevelType w:val="hybridMultilevel"/>
    <w:lvl w:ilvl="0">
      <w:lvlJc w:val="left"/>
      <w:lvlText w:val="%1."/>
      <w:numFmt w:val="upperLetter"/>
      <w:start w:val="9"/>
    </w:lvl>
    <w:lvl w:ilvl="1">
      <w:lvlJc w:val="left"/>
      <w:lvlText w:val="%2."/>
      <w:numFmt w:val="decimal"/>
      <w:start w:val="1"/>
    </w:lvl>
    <w:lvl w:ilvl="2">
      <w:lvlJc w:val="left"/>
      <w:lvlText w:val="%3."/>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2019-12-01T20:45:48Z</dcterms:created>
  <dcterms:modified xsi:type="dcterms:W3CDTF">2019-12-01T20:45:48Z</dcterms:modified>
</cp:coreProperties>
</file>