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oildri_def14a.htm"/>
      <w:bookmarkStart w:id="1" w:name="ksoildri_def14a"/>
      <w:bookmarkStart w:id="2" w:name="oildri_def14a.htm"/>
      <w:bookmarkStart w:id="3" w:name="ksoildri_def14a"/>
      <w:bookmarkEnd w:id="2"/>
      <w:bookmarkEnd w:id="3"/>
    </w:p>
    <w:p>
      <w:pPr>
        <w:pStyle w:val="TextBody"/>
        <w:spacing w:before="0" w:after="0"/>
        <w:jc w:val="center"/>
        <w:rPr>
          <w:rFonts w:ascii="Times New Roman" w:hAnsi="Times New Roman"/>
          <w:sz w:val="20"/>
        </w:rPr>
      </w:pPr>
      <w:r>
        <w:rPr>
          <w:rFonts w:ascii="Times New Roman" w:hAnsi="Times New Roman"/>
          <w:sz w:val="20"/>
        </w:rPr>
        <w:t xml:space="preserve">SCHEDULE 14A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(Rule 14a-101)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INFORMATION REQUIRED IN PROXY STATEMENT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SCHEDULE 14A INFORMATION </w:t>
      </w:r>
    </w:p>
    <w:p>
      <w:pPr>
        <w:pStyle w:val="TextBody"/>
        <w:spacing w:before="0" w:after="0"/>
        <w:rPr/>
      </w:pPr>
      <w:r>
        <w:rPr/>
        <w:t> </w:t>
      </w:r>
    </w:p>
    <w:p>
      <w:pPr>
        <w:pStyle w:val="TextBody"/>
        <w:spacing w:before="0" w:after="0"/>
        <w:jc w:val="center"/>
        <w:rPr/>
      </w:pPr>
      <w:r>
        <w:rPr>
          <w:rFonts w:ascii="Times New Roman" w:hAnsi="Times New Roman"/>
          <w:sz w:val="20"/>
        </w:rPr>
        <w:t>Proxy Statement Pursuant to Section 14(a) of the</w:t>
        <w:br/>
        <w:t>Securities Exchange Act of 1934 (Amendment No. )</w:t>
      </w:r>
      <w:r>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24"/>
        <w:gridCol w:w="478"/>
        <w:gridCol w:w="3083"/>
        <w:gridCol w:w="424"/>
        <w:gridCol w:w="5896"/>
      </w:tblGrid>
      <w:tr>
        <w:trPr/>
        <w:tc>
          <w:tcPr>
            <w:tcW w:w="3885" w:type="dxa"/>
            <w:gridSpan w:val="3"/>
            <w:tcBorders/>
            <w:shd w:fill="auto" w:val="clear"/>
          </w:tcPr>
          <w:p>
            <w:pPr>
              <w:pStyle w:val="TableContents"/>
              <w:spacing w:before="0" w:after="283"/>
              <w:jc w:val="left"/>
              <w:rPr>
                <w:rFonts w:ascii="times new roman" w:hAnsi="times new roman"/>
                <w:sz w:val="20"/>
              </w:rPr>
            </w:pPr>
            <w:r>
              <w:rPr>
                <w:rFonts w:ascii="times new roman" w:hAnsi="times new roman"/>
                <w:sz w:val="20"/>
              </w:rPr>
              <w:t>Filed by the Registrant [X]</w:t>
            </w:r>
          </w:p>
        </w:tc>
        <w:tc>
          <w:tcPr>
            <w:tcW w:w="6320" w:type="dxa"/>
            <w:gridSpan w:val="2"/>
            <w:tcBorders/>
            <w:shd w:fill="auto" w:val="clear"/>
          </w:tcPr>
          <w:p>
            <w:pPr>
              <w:pStyle w:val="TableContents"/>
              <w:spacing w:before="0" w:after="283"/>
              <w:jc w:val="left"/>
              <w:rPr/>
            </w:pPr>
            <w:r>
              <w:rPr/>
              <w:t> </w:t>
            </w:r>
          </w:p>
        </w:tc>
      </w:tr>
      <w:tr>
        <w:trPr/>
        <w:tc>
          <w:tcPr>
            <w:tcW w:w="3885" w:type="dxa"/>
            <w:gridSpan w:val="3"/>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by a Party other than the Registrant [   ]  </w:t>
            </w:r>
          </w:p>
        </w:tc>
        <w:tc>
          <w:tcPr>
            <w:tcW w:w="424" w:type="dxa"/>
            <w:tcBorders/>
            <w:shd w:fill="auto" w:val="clear"/>
          </w:tcPr>
          <w:p>
            <w:pPr>
              <w:pStyle w:val="TableContents"/>
              <w:spacing w:before="0" w:after="283"/>
              <w:rPr>
                <w:sz w:val="4"/>
                <w:szCs w:val="4"/>
              </w:rPr>
            </w:pPr>
            <w:r>
              <w:rPr>
                <w:sz w:val="4"/>
                <w:szCs w:val="4"/>
              </w:rPr>
            </w:r>
          </w:p>
        </w:tc>
        <w:tc>
          <w:tcPr>
            <w:tcW w:w="5896" w:type="dxa"/>
            <w:tcBorders/>
            <w:shd w:fill="auto" w:val="clear"/>
          </w:tcPr>
          <w:p>
            <w:pPr>
              <w:pStyle w:val="TableContents"/>
              <w:spacing w:before="0" w:after="283"/>
              <w:jc w:val="left"/>
              <w:rPr/>
            </w:pPr>
            <w:r>
              <w:rPr/>
              <w:t> </w:t>
            </w:r>
          </w:p>
        </w:tc>
      </w:tr>
      <w:tr>
        <w:trPr/>
        <w:tc>
          <w:tcPr>
            <w:tcW w:w="3885" w:type="dxa"/>
            <w:gridSpan w:val="3"/>
            <w:tcBorders/>
            <w:shd w:fill="auto" w:val="clear"/>
          </w:tcPr>
          <w:p>
            <w:pPr>
              <w:pStyle w:val="TableContents"/>
              <w:spacing w:before="0" w:after="283"/>
              <w:jc w:val="left"/>
              <w:rPr/>
            </w:pPr>
            <w:r>
              <w:rPr/>
              <w:t xml:space="preserve">  </w:t>
            </w:r>
          </w:p>
        </w:tc>
        <w:tc>
          <w:tcPr>
            <w:tcW w:w="424" w:type="dxa"/>
            <w:tcBorders/>
            <w:shd w:fill="auto" w:val="clear"/>
          </w:tcPr>
          <w:p>
            <w:pPr>
              <w:pStyle w:val="TableContents"/>
              <w:spacing w:before="0" w:after="283"/>
              <w:rPr>
                <w:sz w:val="4"/>
                <w:szCs w:val="4"/>
              </w:rPr>
            </w:pPr>
            <w:r>
              <w:rPr>
                <w:sz w:val="4"/>
                <w:szCs w:val="4"/>
              </w:rPr>
            </w:r>
          </w:p>
        </w:tc>
        <w:tc>
          <w:tcPr>
            <w:tcW w:w="5896" w:type="dxa"/>
            <w:tcBorders/>
            <w:shd w:fill="auto" w:val="clear"/>
          </w:tcPr>
          <w:p>
            <w:pPr>
              <w:pStyle w:val="TableContents"/>
              <w:spacing w:before="0" w:after="283"/>
              <w:rPr>
                <w:sz w:val="4"/>
                <w:szCs w:val="4"/>
              </w:rPr>
            </w:pPr>
            <w:r>
              <w:rPr>
                <w:sz w:val="4"/>
                <w:szCs w:val="4"/>
              </w:rPr>
            </w:r>
          </w:p>
        </w:tc>
      </w:tr>
      <w:tr>
        <w:trPr/>
        <w:tc>
          <w:tcPr>
            <w:tcW w:w="3885" w:type="dxa"/>
            <w:gridSpan w:val="3"/>
            <w:tcBorders/>
            <w:shd w:fill="auto" w:val="clear"/>
          </w:tcPr>
          <w:p>
            <w:pPr>
              <w:pStyle w:val="TableContents"/>
              <w:spacing w:before="0" w:after="283"/>
              <w:jc w:val="left"/>
              <w:rPr>
                <w:rFonts w:ascii="times new roman" w:hAnsi="times new roman"/>
                <w:sz w:val="20"/>
              </w:rPr>
            </w:pPr>
            <w:r>
              <w:rPr>
                <w:rFonts w:ascii="times new roman" w:hAnsi="times new roman"/>
                <w:sz w:val="20"/>
              </w:rPr>
              <w:t>Check the appropriate box:</w:t>
            </w:r>
          </w:p>
        </w:tc>
        <w:tc>
          <w:tcPr>
            <w:tcW w:w="424" w:type="dxa"/>
            <w:tcBorders/>
            <w:shd w:fill="auto" w:val="clear"/>
          </w:tcPr>
          <w:p>
            <w:pPr>
              <w:pStyle w:val="TableContents"/>
              <w:spacing w:before="0" w:after="283"/>
              <w:jc w:val="left"/>
              <w:rPr/>
            </w:pPr>
            <w:r>
              <w:rPr/>
              <w:t xml:space="preserve">       </w:t>
            </w:r>
          </w:p>
        </w:tc>
        <w:tc>
          <w:tcPr>
            <w:tcW w:w="5896" w:type="dxa"/>
            <w:tcBorders/>
            <w:shd w:fill="auto" w:val="clear"/>
          </w:tcPr>
          <w:p>
            <w:pPr>
              <w:pStyle w:val="TableContents"/>
              <w:spacing w:before="0" w:after="283"/>
              <w:jc w:val="left"/>
              <w:rPr/>
            </w:pPr>
            <w:r>
              <w:rPr/>
              <w:t> </w:t>
            </w:r>
          </w:p>
        </w:tc>
      </w:tr>
      <w:tr>
        <w:trPr/>
        <w:tc>
          <w:tcPr>
            <w:tcW w:w="3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w:t>
            </w:r>
          </w:p>
        </w:tc>
        <w:tc>
          <w:tcPr>
            <w:tcW w:w="478" w:type="dxa"/>
            <w:tcBorders/>
            <w:shd w:fill="auto" w:val="clear"/>
          </w:tcPr>
          <w:p>
            <w:pPr>
              <w:pStyle w:val="TableContents"/>
              <w:spacing w:before="0" w:after="283"/>
              <w:jc w:val="left"/>
              <w:rPr/>
            </w:pPr>
            <w:r>
              <w:rPr/>
              <w:t xml:space="preserve">       </w:t>
            </w:r>
          </w:p>
        </w:tc>
        <w:tc>
          <w:tcPr>
            <w:tcW w:w="30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Preliminary Proxy Statement</w:t>
            </w:r>
          </w:p>
        </w:tc>
        <w:tc>
          <w:tcPr>
            <w:tcW w:w="4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   ]  </w:t>
            </w:r>
          </w:p>
        </w:tc>
        <w:tc>
          <w:tcPr>
            <w:tcW w:w="58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Soliciting Material Under Rule 14a-12</w:t>
            </w:r>
          </w:p>
        </w:tc>
      </w:tr>
      <w:tr>
        <w:trPr/>
        <w:tc>
          <w:tcPr>
            <w:tcW w:w="3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w:t>
            </w:r>
          </w:p>
        </w:tc>
        <w:tc>
          <w:tcPr>
            <w:tcW w:w="478" w:type="dxa"/>
            <w:tcBorders/>
            <w:shd w:fill="auto" w:val="clear"/>
          </w:tcPr>
          <w:p>
            <w:pPr>
              <w:pStyle w:val="TableContents"/>
              <w:spacing w:before="0" w:after="283"/>
              <w:jc w:val="left"/>
              <w:rPr/>
            </w:pPr>
            <w:r>
              <w:rPr/>
              <w:t> </w:t>
            </w:r>
          </w:p>
        </w:tc>
        <w:tc>
          <w:tcPr>
            <w:tcW w:w="30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Confidential, For Use of the</w:t>
              <w:br/>
              <w:t>Commission Only (as permitted</w:t>
              <w:br/>
              <w:t>by Rule 14a-6(e)(2))</w:t>
            </w:r>
          </w:p>
        </w:tc>
        <w:tc>
          <w:tcPr>
            <w:tcW w:w="424" w:type="dxa"/>
            <w:tcBorders/>
            <w:shd w:fill="auto" w:val="clear"/>
          </w:tcPr>
          <w:p>
            <w:pPr>
              <w:pStyle w:val="TableContents"/>
              <w:spacing w:before="0" w:after="283"/>
              <w:jc w:val="left"/>
              <w:rPr/>
            </w:pPr>
            <w:r>
              <w:rPr/>
              <w:t> </w:t>
            </w:r>
          </w:p>
        </w:tc>
        <w:tc>
          <w:tcPr>
            <w:tcW w:w="5896" w:type="dxa"/>
            <w:tcBorders/>
            <w:shd w:fill="auto" w:val="clear"/>
          </w:tcPr>
          <w:p>
            <w:pPr>
              <w:pStyle w:val="TableContents"/>
              <w:spacing w:before="0" w:after="283"/>
              <w:jc w:val="left"/>
              <w:rPr/>
            </w:pPr>
            <w:r>
              <w:rPr/>
              <w:t> </w:t>
            </w:r>
          </w:p>
        </w:tc>
      </w:tr>
      <w:tr>
        <w:trPr/>
        <w:tc>
          <w:tcPr>
            <w:tcW w:w="3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[X]</w:t>
            </w:r>
          </w:p>
        </w:tc>
        <w:tc>
          <w:tcPr>
            <w:tcW w:w="478" w:type="dxa"/>
            <w:tcBorders/>
            <w:shd w:fill="auto" w:val="clear"/>
          </w:tcPr>
          <w:p>
            <w:pPr>
              <w:pStyle w:val="TableContents"/>
              <w:spacing w:before="0" w:after="283"/>
              <w:jc w:val="left"/>
              <w:rPr/>
            </w:pPr>
            <w:r>
              <w:rPr/>
              <w:t> </w:t>
            </w:r>
          </w:p>
        </w:tc>
        <w:tc>
          <w:tcPr>
            <w:tcW w:w="30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Definitive Proxy Statement</w:t>
            </w:r>
          </w:p>
        </w:tc>
        <w:tc>
          <w:tcPr>
            <w:tcW w:w="6320" w:type="dxa"/>
            <w:gridSpan w:val="2"/>
            <w:tcBorders/>
            <w:shd w:fill="auto" w:val="clear"/>
          </w:tcPr>
          <w:p>
            <w:pPr>
              <w:pStyle w:val="TableContents"/>
              <w:spacing w:before="0" w:after="283"/>
              <w:jc w:val="left"/>
              <w:rPr/>
            </w:pPr>
            <w:r>
              <w:rPr/>
              <w:t> </w:t>
            </w:r>
          </w:p>
        </w:tc>
      </w:tr>
      <w:tr>
        <w:trPr/>
        <w:tc>
          <w:tcPr>
            <w:tcW w:w="3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w:t>
            </w:r>
          </w:p>
        </w:tc>
        <w:tc>
          <w:tcPr>
            <w:tcW w:w="478" w:type="dxa"/>
            <w:tcBorders/>
            <w:shd w:fill="auto" w:val="clear"/>
          </w:tcPr>
          <w:p>
            <w:pPr>
              <w:pStyle w:val="TableContents"/>
              <w:spacing w:before="0" w:after="283"/>
              <w:jc w:val="left"/>
              <w:rPr/>
            </w:pPr>
            <w:r>
              <w:rPr/>
              <w:t> </w:t>
            </w:r>
          </w:p>
        </w:tc>
        <w:tc>
          <w:tcPr>
            <w:tcW w:w="30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Definitive Additional Materials</w:t>
            </w:r>
          </w:p>
        </w:tc>
        <w:tc>
          <w:tcPr>
            <w:tcW w:w="6320" w:type="dxa"/>
            <w:gridSpan w:val="2"/>
            <w:tcBorders/>
            <w:shd w:fill="auto" w:val="clear"/>
            <w:vAlign w:val="bottom"/>
          </w:tcPr>
          <w:p>
            <w:pPr>
              <w:pStyle w:val="TableContents"/>
              <w:spacing w:before="0" w:after="283"/>
              <w:jc w:val="left"/>
              <w:rPr/>
            </w:pPr>
            <w:r>
              <w:rPr/>
              <w:t>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05"/>
        <w:gridCol w:w="9594"/>
        <w:gridCol w:w="306"/>
      </w:tblGrid>
      <w:tr>
        <w:trPr/>
        <w:tc>
          <w:tcPr>
            <w:tcW w:w="305" w:type="dxa"/>
            <w:tcBorders/>
            <w:shd w:fill="auto" w:val="clear"/>
            <w:vAlign w:val="bottom"/>
          </w:tcPr>
          <w:p>
            <w:pPr>
              <w:pStyle w:val="TableContents"/>
              <w:spacing w:before="0" w:after="283"/>
              <w:jc w:val="center"/>
              <w:rPr/>
            </w:pPr>
            <w:r>
              <w:rPr/>
              <w:t> </w:t>
            </w:r>
          </w:p>
        </w:tc>
        <w:tc>
          <w:tcPr>
            <w:tcW w:w="9594"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Oil-Dri Corporation of America</w:t>
            </w:r>
          </w:p>
        </w:tc>
        <w:tc>
          <w:tcPr>
            <w:tcW w:w="306" w:type="dxa"/>
            <w:tcBorders/>
            <w:shd w:fill="auto" w:val="clear"/>
            <w:vAlign w:val="bottom"/>
          </w:tcPr>
          <w:p>
            <w:pPr>
              <w:pStyle w:val="TableContents"/>
              <w:spacing w:before="0" w:after="283"/>
              <w:jc w:val="center"/>
              <w:rPr/>
            </w:pPr>
            <w:r>
              <w:rPr/>
              <w:t> </w:t>
            </w:r>
          </w:p>
        </w:tc>
      </w:tr>
      <w:tr>
        <w:trPr/>
        <w:tc>
          <w:tcPr>
            <w:tcW w:w="305" w:type="dxa"/>
            <w:tcBorders/>
            <w:shd w:fill="auto" w:val="clear"/>
            <w:vAlign w:val="bottom"/>
          </w:tcPr>
          <w:p>
            <w:pPr>
              <w:pStyle w:val="TableContents"/>
              <w:spacing w:before="0" w:after="283"/>
              <w:jc w:val="center"/>
              <w:rPr/>
            </w:pPr>
            <w:r>
              <w:rPr/>
              <w:t> </w:t>
            </w:r>
          </w:p>
        </w:tc>
        <w:tc>
          <w:tcPr>
            <w:tcW w:w="959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(Name of Registrant as Specified In Its Charter)</w:t>
            </w:r>
          </w:p>
        </w:tc>
        <w:tc>
          <w:tcPr>
            <w:tcW w:w="306" w:type="dxa"/>
            <w:tcBorders/>
            <w:shd w:fill="auto" w:val="clear"/>
            <w:vAlign w:val="bottom"/>
          </w:tcPr>
          <w:p>
            <w:pPr>
              <w:pStyle w:val="TableContents"/>
              <w:spacing w:before="0" w:after="283"/>
              <w:jc w:val="center"/>
              <w:rPr/>
            </w:pPr>
            <w:r>
              <w:rPr/>
              <w:t> </w:t>
            </w:r>
          </w:p>
        </w:tc>
      </w:tr>
      <w:tr>
        <w:trPr/>
        <w:tc>
          <w:tcPr>
            <w:tcW w:w="305"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pPr>
            <w:r>
              <w:rPr/>
              <w:t xml:space="preserve">  </w:t>
            </w:r>
          </w:p>
        </w:tc>
        <w:tc>
          <w:tcPr>
            <w:tcW w:w="306"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bottom"/>
          </w:tcPr>
          <w:p>
            <w:pPr>
              <w:pStyle w:val="TableContents"/>
              <w:spacing w:before="0" w:after="283"/>
              <w:jc w:val="center"/>
              <w:rPr/>
            </w:pPr>
            <w:r>
              <w:rPr/>
              <w:t> </w:t>
            </w:r>
          </w:p>
        </w:tc>
        <w:tc>
          <w:tcPr>
            <w:tcW w:w="9594"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306" w:type="dxa"/>
            <w:tcBorders/>
            <w:shd w:fill="auto" w:val="clear"/>
            <w:vAlign w:val="bottom"/>
          </w:tcPr>
          <w:p>
            <w:pPr>
              <w:pStyle w:val="TableContents"/>
              <w:spacing w:before="0" w:after="283"/>
              <w:jc w:val="center"/>
              <w:rPr/>
            </w:pPr>
            <w:r>
              <w:rPr/>
              <w:t> </w:t>
            </w:r>
          </w:p>
        </w:tc>
      </w:tr>
      <w:tr>
        <w:trPr/>
        <w:tc>
          <w:tcPr>
            <w:tcW w:w="305" w:type="dxa"/>
            <w:tcBorders/>
            <w:shd w:fill="auto" w:val="clear"/>
            <w:vAlign w:val="center"/>
          </w:tcPr>
          <w:p>
            <w:pPr>
              <w:pStyle w:val="TableContents"/>
              <w:spacing w:before="0" w:after="283"/>
              <w:jc w:val="center"/>
              <w:rPr/>
            </w:pPr>
            <w:r>
              <w:rPr/>
              <w:t> </w:t>
            </w:r>
          </w:p>
        </w:tc>
        <w:tc>
          <w:tcPr>
            <w:tcW w:w="9594"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(Name of Person(s) Filing Proxy Statement, if Other Than the Registrant)</w:t>
            </w:r>
          </w:p>
        </w:tc>
        <w:tc>
          <w:tcPr>
            <w:tcW w:w="306" w:type="dxa"/>
            <w:tcBorders/>
            <w:shd w:fill="auto" w:val="clear"/>
            <w:vAlign w:val="center"/>
          </w:tcPr>
          <w:p>
            <w:pPr>
              <w:pStyle w:val="TableContents"/>
              <w:spacing w:before="0" w:after="283"/>
              <w:jc w:val="center"/>
              <w:rPr/>
            </w:pPr>
            <w:r>
              <w:rPr/>
              <w:t>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94"/>
        <w:gridCol w:w="420"/>
        <w:gridCol w:w="217"/>
        <w:gridCol w:w="420"/>
        <w:gridCol w:w="8854"/>
      </w:tblGrid>
      <w:tr>
        <w:trPr/>
        <w:tc>
          <w:tcPr>
            <w:tcW w:w="10205" w:type="dxa"/>
            <w:gridSpan w:val="5"/>
            <w:tcBorders/>
            <w:shd w:fill="auto" w:val="clear"/>
          </w:tcPr>
          <w:p>
            <w:pPr>
              <w:pStyle w:val="TableContents"/>
              <w:spacing w:before="0" w:after="283"/>
              <w:jc w:val="left"/>
              <w:rPr>
                <w:rFonts w:ascii="times new roman" w:hAnsi="times new roman"/>
                <w:sz w:val="20"/>
              </w:rPr>
            </w:pPr>
            <w:r>
              <w:rPr>
                <w:rFonts w:ascii="times new roman" w:hAnsi="times new roman"/>
                <w:sz w:val="20"/>
              </w:rPr>
              <w:t>Payment of Filing Fee (Check the appropriate box):</w:t>
            </w:r>
          </w:p>
        </w:tc>
      </w:tr>
      <w:tr>
        <w:trPr/>
        <w:tc>
          <w:tcPr>
            <w:tcW w:w="29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[X]</w:t>
            </w:r>
          </w:p>
        </w:tc>
        <w:tc>
          <w:tcPr>
            <w:tcW w:w="420" w:type="dxa"/>
            <w:tcBorders/>
            <w:shd w:fill="auto" w:val="clear"/>
          </w:tcPr>
          <w:p>
            <w:pPr>
              <w:pStyle w:val="TableContents"/>
              <w:spacing w:before="0" w:after="283"/>
              <w:jc w:val="right"/>
              <w:rPr/>
            </w:pPr>
            <w:r>
              <w:rPr/>
              <w:t xml:space="preserve">       </w:t>
            </w:r>
          </w:p>
        </w:tc>
        <w:tc>
          <w:tcPr>
            <w:tcW w:w="9491" w:type="dxa"/>
            <w:gridSpan w:val="3"/>
            <w:tcBorders/>
            <w:shd w:fill="auto" w:val="clear"/>
          </w:tcPr>
          <w:p>
            <w:pPr>
              <w:pStyle w:val="TableContents"/>
              <w:spacing w:before="0" w:after="283"/>
              <w:jc w:val="left"/>
              <w:rPr>
                <w:rFonts w:ascii="times new roman" w:hAnsi="times new roman"/>
                <w:sz w:val="20"/>
              </w:rPr>
            </w:pPr>
            <w:r>
              <w:rPr>
                <w:rFonts w:ascii="times new roman" w:hAnsi="times new roman"/>
                <w:sz w:val="20"/>
              </w:rPr>
              <w:t>No fee required.</w:t>
            </w:r>
          </w:p>
        </w:tc>
      </w:tr>
      <w:tr>
        <w:trPr/>
        <w:tc>
          <w:tcPr>
            <w:tcW w:w="2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420" w:type="dxa"/>
            <w:tcBorders/>
            <w:shd w:fill="auto" w:val="clear"/>
          </w:tcPr>
          <w:p>
            <w:pPr>
              <w:pStyle w:val="TableContents"/>
              <w:spacing w:before="0" w:after="283"/>
              <w:jc w:val="right"/>
              <w:rPr/>
            </w:pPr>
            <w:r>
              <w:rPr/>
              <w:t> </w:t>
            </w:r>
          </w:p>
        </w:tc>
        <w:tc>
          <w:tcPr>
            <w:tcW w:w="9491" w:type="dxa"/>
            <w:gridSpan w:val="3"/>
            <w:tcBorders/>
            <w:shd w:fill="auto" w:val="clear"/>
          </w:tcPr>
          <w:p>
            <w:pPr>
              <w:pStyle w:val="TableContents"/>
              <w:spacing w:before="0" w:after="0"/>
              <w:jc w:val="left"/>
              <w:rPr>
                <w:rFonts w:ascii="times new roman" w:hAnsi="times new roman"/>
                <w:sz w:val="20"/>
              </w:rPr>
            </w:pPr>
            <w:r>
              <w:rPr>
                <w:rFonts w:ascii="times new roman" w:hAnsi="times new roman"/>
                <w:sz w:val="20"/>
              </w:rPr>
              <w:t>Fee computed on table below per Exchange Act Rules 14a-6(i)(4) and 0-11.</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sz w:val="20"/>
              </w:rPr>
            </w:pPr>
            <w:r>
              <w:rPr>
                <w:sz w:val="20"/>
              </w:rPr>
              <w:t>1)</w:t>
            </w:r>
          </w:p>
        </w:tc>
        <w:tc>
          <w:tcPr>
            <w:tcW w:w="420" w:type="dxa"/>
            <w:tcBorders/>
            <w:shd w:fill="auto" w:val="clear"/>
          </w:tcPr>
          <w:p>
            <w:pPr>
              <w:pStyle w:val="TableContents"/>
              <w:spacing w:before="0" w:after="283"/>
              <w:jc w:val="left"/>
              <w:rPr/>
            </w:pPr>
            <w:r>
              <w:rPr/>
              <w:t xml:space="preserve">        </w:t>
            </w:r>
          </w:p>
        </w:tc>
        <w:tc>
          <w:tcPr>
            <w:tcW w:w="8854" w:type="dxa"/>
            <w:tcBorders/>
            <w:shd w:fill="auto" w:val="clear"/>
          </w:tcPr>
          <w:p>
            <w:pPr>
              <w:pStyle w:val="TableContents"/>
              <w:spacing w:before="0" w:after="283"/>
              <w:jc w:val="left"/>
              <w:rPr>
                <w:sz w:val="20"/>
              </w:rPr>
            </w:pPr>
            <w:r>
              <w:rPr>
                <w:sz w:val="20"/>
              </w:rPr>
              <w:t>Title of each class of securities to which transaction applies:</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jc w:val="left"/>
              <w:rPr/>
            </w:pPr>
            <w:r>
              <w:rPr/>
              <w:t xml:space="preserve">  </w:t>
            </w:r>
          </w:p>
        </w:tc>
      </w:tr>
      <w:tr>
        <w:trPr/>
        <w:tc>
          <w:tcPr>
            <w:tcW w:w="294"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rPr>
                <w:sz w:val="4"/>
                <w:szCs w:val="4"/>
              </w:rPr>
            </w:pPr>
            <w:r>
              <w:rPr>
                <w:sz w:val="4"/>
                <w:szCs w:val="4"/>
              </w:rPr>
            </w:r>
          </w:p>
        </w:tc>
        <w:tc>
          <w:tcPr>
            <w:tcW w:w="217" w:type="dxa"/>
            <w:tcBorders/>
            <w:shd w:fill="auto" w:val="clear"/>
          </w:tcPr>
          <w:p>
            <w:pPr>
              <w:pStyle w:val="TableContents"/>
              <w:spacing w:before="0" w:after="283"/>
              <w:jc w:val="right"/>
              <w:rPr>
                <w:sz w:val="20"/>
              </w:rPr>
            </w:pPr>
            <w:r>
              <w:rPr>
                <w:sz w:val="20"/>
              </w:rPr>
              <w:t>2)</w:t>
            </w:r>
          </w:p>
        </w:tc>
        <w:tc>
          <w:tcPr>
            <w:tcW w:w="420" w:type="dxa"/>
            <w:tcBorders/>
            <w:shd w:fill="auto" w:val="clear"/>
          </w:tcPr>
          <w:p>
            <w:pPr>
              <w:pStyle w:val="TableContents"/>
              <w:spacing w:before="0" w:after="283"/>
              <w:rPr>
                <w:sz w:val="4"/>
                <w:szCs w:val="4"/>
              </w:rPr>
            </w:pPr>
            <w:r>
              <w:rPr>
                <w:sz w:val="4"/>
                <w:szCs w:val="4"/>
              </w:rPr>
            </w:r>
          </w:p>
        </w:tc>
        <w:tc>
          <w:tcPr>
            <w:tcW w:w="8854" w:type="dxa"/>
            <w:tcBorders/>
            <w:shd w:fill="auto" w:val="clear"/>
          </w:tcPr>
          <w:p>
            <w:pPr>
              <w:pStyle w:val="TableContents"/>
              <w:spacing w:before="0" w:after="283"/>
              <w:rPr>
                <w:sz w:val="20"/>
              </w:rPr>
            </w:pPr>
            <w:r>
              <w:rPr>
                <w:sz w:val="20"/>
              </w:rPr>
              <w:t>Aggregate number of securities to which transaction applies:</w:t>
            </w:r>
          </w:p>
        </w:tc>
      </w:tr>
      <w:tr>
        <w:trPr/>
        <w:tc>
          <w:tcPr>
            <w:tcW w:w="294"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rPr>
                <w:sz w:val="4"/>
                <w:szCs w:val="4"/>
              </w:rPr>
            </w:pPr>
            <w:r>
              <w:rPr>
                <w:sz w:val="4"/>
                <w:szCs w:val="4"/>
              </w:rPr>
            </w:r>
          </w:p>
        </w:tc>
        <w:tc>
          <w:tcPr>
            <w:tcW w:w="217"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rPr>
                <w:sz w:val="4"/>
                <w:szCs w:val="4"/>
              </w:rPr>
            </w:pPr>
            <w:r>
              <w:rPr>
                <w:sz w:val="4"/>
                <w:szCs w:val="4"/>
              </w:rPr>
            </w:r>
          </w:p>
        </w:tc>
        <w:tc>
          <w:tcPr>
            <w:tcW w:w="8854" w:type="dxa"/>
            <w:tcBorders>
              <w:bottom w:val="single" w:sz="8" w:space="0" w:color="000000"/>
            </w:tcBorders>
            <w:shd w:fill="auto" w:val="clear"/>
            <w:tcMar>
              <w:bottom w:w="28" w:type="dxa"/>
            </w:tcMar>
          </w:tcPr>
          <w:p>
            <w:pPr>
              <w:pStyle w:val="TableContents"/>
              <w:spacing w:before="0" w:after="283"/>
              <w:rPr/>
            </w:pPr>
            <w:r>
              <w:rPr/>
              <w:t> </w:t>
            </w:r>
          </w:p>
        </w:tc>
      </w:tr>
      <w:tr>
        <w:trPr/>
        <w:tc>
          <w:tcPr>
            <w:tcW w:w="294"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rPr>
                <w:sz w:val="4"/>
                <w:szCs w:val="4"/>
              </w:rPr>
            </w:pPr>
            <w:r>
              <w:rPr>
                <w:sz w:val="4"/>
                <w:szCs w:val="4"/>
              </w:rPr>
            </w:r>
          </w:p>
        </w:tc>
        <w:tc>
          <w:tcPr>
            <w:tcW w:w="217" w:type="dxa"/>
            <w:tcBorders/>
            <w:shd w:fill="auto" w:val="clear"/>
          </w:tcPr>
          <w:p>
            <w:pPr>
              <w:pStyle w:val="TableContents"/>
              <w:spacing w:before="0" w:after="283"/>
              <w:jc w:val="right"/>
              <w:rPr>
                <w:sz w:val="20"/>
              </w:rPr>
            </w:pPr>
            <w:r>
              <w:rPr>
                <w:sz w:val="20"/>
              </w:rPr>
              <w:t>3)</w:t>
            </w:r>
          </w:p>
        </w:tc>
        <w:tc>
          <w:tcPr>
            <w:tcW w:w="420" w:type="dxa"/>
            <w:tcBorders/>
            <w:shd w:fill="auto" w:val="clear"/>
          </w:tcPr>
          <w:p>
            <w:pPr>
              <w:pStyle w:val="TableContents"/>
              <w:spacing w:before="0" w:after="283"/>
              <w:rPr>
                <w:sz w:val="4"/>
                <w:szCs w:val="4"/>
              </w:rPr>
            </w:pPr>
            <w:r>
              <w:rPr>
                <w:sz w:val="4"/>
                <w:szCs w:val="4"/>
              </w:rPr>
            </w:r>
          </w:p>
        </w:tc>
        <w:tc>
          <w:tcPr>
            <w:tcW w:w="8854" w:type="dxa"/>
            <w:tcBorders/>
            <w:shd w:fill="auto" w:val="clear"/>
          </w:tcPr>
          <w:p>
            <w:pPr>
              <w:pStyle w:val="TableContents"/>
              <w:spacing w:before="0" w:after="283"/>
              <w:rPr>
                <w:sz w:val="20"/>
              </w:rPr>
            </w:pPr>
            <w:r>
              <w:rPr>
                <w:sz w:val="20"/>
              </w:rPr>
              <w:t>Per unit price or other underlying value of transaction computed pursuant to Exchange Act Rule 0-11 (set forth the amount on which the filing fee is calculated and state how it was determined):</w:t>
            </w:r>
          </w:p>
        </w:tc>
      </w:tr>
      <w:tr>
        <w:trPr/>
        <w:tc>
          <w:tcPr>
            <w:tcW w:w="294"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rPr>
                <w:sz w:val="4"/>
                <w:szCs w:val="4"/>
              </w:rPr>
            </w:pPr>
            <w:r>
              <w:rPr>
                <w:sz w:val="4"/>
                <w:szCs w:val="4"/>
              </w:rPr>
            </w:r>
          </w:p>
        </w:tc>
        <w:tc>
          <w:tcPr>
            <w:tcW w:w="217"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rPr>
                <w:sz w:val="4"/>
                <w:szCs w:val="4"/>
              </w:rPr>
            </w:pPr>
            <w:r>
              <w:rPr>
                <w:sz w:val="4"/>
                <w:szCs w:val="4"/>
              </w:rPr>
            </w:r>
          </w:p>
        </w:tc>
        <w:tc>
          <w:tcPr>
            <w:tcW w:w="8854" w:type="dxa"/>
            <w:tcBorders>
              <w:bottom w:val="single" w:sz="8" w:space="0" w:color="000000"/>
            </w:tcBorders>
            <w:shd w:fill="auto" w:val="clear"/>
            <w:tcMar>
              <w:bottom w:w="28" w:type="dxa"/>
            </w:tcMar>
          </w:tcPr>
          <w:p>
            <w:pPr>
              <w:pStyle w:val="TableContents"/>
              <w:spacing w:before="0" w:after="283"/>
              <w:rPr/>
            </w:pPr>
            <w:r>
              <w:rPr/>
              <w:t> </w:t>
            </w:r>
          </w:p>
        </w:tc>
      </w:tr>
      <w:tr>
        <w:trPr/>
        <w:tc>
          <w:tcPr>
            <w:tcW w:w="294"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rPr>
                <w:sz w:val="4"/>
                <w:szCs w:val="4"/>
              </w:rPr>
            </w:pPr>
            <w:r>
              <w:rPr>
                <w:sz w:val="4"/>
                <w:szCs w:val="4"/>
              </w:rPr>
            </w:r>
          </w:p>
        </w:tc>
        <w:tc>
          <w:tcPr>
            <w:tcW w:w="217" w:type="dxa"/>
            <w:tcBorders/>
            <w:shd w:fill="auto" w:val="clear"/>
          </w:tcPr>
          <w:p>
            <w:pPr>
              <w:pStyle w:val="TableContents"/>
              <w:spacing w:before="0" w:after="283"/>
              <w:jc w:val="right"/>
              <w:rPr>
                <w:sz w:val="20"/>
              </w:rPr>
            </w:pPr>
            <w:r>
              <w:rPr>
                <w:sz w:val="20"/>
              </w:rPr>
              <w:t>4)</w:t>
            </w:r>
          </w:p>
        </w:tc>
        <w:tc>
          <w:tcPr>
            <w:tcW w:w="420" w:type="dxa"/>
            <w:tcBorders/>
            <w:shd w:fill="auto" w:val="clear"/>
          </w:tcPr>
          <w:p>
            <w:pPr>
              <w:pStyle w:val="TableContents"/>
              <w:spacing w:before="0" w:after="283"/>
              <w:rPr>
                <w:sz w:val="4"/>
                <w:szCs w:val="4"/>
              </w:rPr>
            </w:pPr>
            <w:r>
              <w:rPr>
                <w:sz w:val="4"/>
                <w:szCs w:val="4"/>
              </w:rPr>
            </w:r>
          </w:p>
        </w:tc>
        <w:tc>
          <w:tcPr>
            <w:tcW w:w="8854" w:type="dxa"/>
            <w:tcBorders/>
            <w:shd w:fill="auto" w:val="clear"/>
          </w:tcPr>
          <w:p>
            <w:pPr>
              <w:pStyle w:val="TableContents"/>
              <w:spacing w:before="0" w:after="283"/>
              <w:rPr>
                <w:sz w:val="20"/>
              </w:rPr>
            </w:pPr>
            <w:r>
              <w:rPr>
                <w:sz w:val="20"/>
              </w:rPr>
              <w:t>Proposed maximum aggregate value of transaction:</w:t>
            </w:r>
          </w:p>
        </w:tc>
      </w:tr>
      <w:tr>
        <w:trPr/>
        <w:tc>
          <w:tcPr>
            <w:tcW w:w="294"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rPr>
                <w:sz w:val="4"/>
                <w:szCs w:val="4"/>
              </w:rPr>
            </w:pPr>
            <w:r>
              <w:rPr>
                <w:sz w:val="4"/>
                <w:szCs w:val="4"/>
              </w:rPr>
            </w:r>
          </w:p>
        </w:tc>
        <w:tc>
          <w:tcPr>
            <w:tcW w:w="217"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rPr>
                <w:sz w:val="4"/>
                <w:szCs w:val="4"/>
              </w:rPr>
            </w:pPr>
            <w:r>
              <w:rPr>
                <w:sz w:val="4"/>
                <w:szCs w:val="4"/>
              </w:rPr>
            </w:r>
          </w:p>
        </w:tc>
        <w:tc>
          <w:tcPr>
            <w:tcW w:w="8854" w:type="dxa"/>
            <w:tcBorders>
              <w:bottom w:val="single" w:sz="8" w:space="0" w:color="000000"/>
            </w:tcBorders>
            <w:shd w:fill="auto" w:val="clear"/>
            <w:tcMar>
              <w:bottom w:w="28" w:type="dxa"/>
            </w:tcMar>
          </w:tcPr>
          <w:p>
            <w:pPr>
              <w:pStyle w:val="TableContents"/>
              <w:spacing w:before="0" w:after="283"/>
              <w:rPr/>
            </w:pPr>
            <w:r>
              <w:rPr/>
              <w:t> </w:t>
            </w:r>
          </w:p>
        </w:tc>
      </w:tr>
      <w:tr>
        <w:trPr/>
        <w:tc>
          <w:tcPr>
            <w:tcW w:w="294"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rPr>
                <w:sz w:val="4"/>
                <w:szCs w:val="4"/>
              </w:rPr>
            </w:pPr>
            <w:r>
              <w:rPr>
                <w:sz w:val="4"/>
                <w:szCs w:val="4"/>
              </w:rPr>
            </w:r>
          </w:p>
        </w:tc>
        <w:tc>
          <w:tcPr>
            <w:tcW w:w="217" w:type="dxa"/>
            <w:tcBorders/>
            <w:shd w:fill="auto" w:val="clear"/>
          </w:tcPr>
          <w:p>
            <w:pPr>
              <w:pStyle w:val="TableContents"/>
              <w:spacing w:before="0" w:after="283"/>
              <w:jc w:val="right"/>
              <w:rPr>
                <w:sz w:val="20"/>
              </w:rPr>
            </w:pPr>
            <w:r>
              <w:rPr>
                <w:sz w:val="20"/>
              </w:rPr>
              <w:t>5)</w:t>
            </w:r>
          </w:p>
        </w:tc>
        <w:tc>
          <w:tcPr>
            <w:tcW w:w="420" w:type="dxa"/>
            <w:tcBorders/>
            <w:shd w:fill="auto" w:val="clear"/>
          </w:tcPr>
          <w:p>
            <w:pPr>
              <w:pStyle w:val="TableContents"/>
              <w:spacing w:before="0" w:after="283"/>
              <w:rPr>
                <w:sz w:val="4"/>
                <w:szCs w:val="4"/>
              </w:rPr>
            </w:pPr>
            <w:r>
              <w:rPr>
                <w:sz w:val="4"/>
                <w:szCs w:val="4"/>
              </w:rPr>
            </w:r>
          </w:p>
        </w:tc>
        <w:tc>
          <w:tcPr>
            <w:tcW w:w="8854" w:type="dxa"/>
            <w:tcBorders/>
            <w:shd w:fill="auto" w:val="clear"/>
          </w:tcPr>
          <w:p>
            <w:pPr>
              <w:pStyle w:val="TableContents"/>
              <w:spacing w:before="0" w:after="283"/>
              <w:rPr>
                <w:sz w:val="20"/>
              </w:rPr>
            </w:pPr>
            <w:r>
              <w:rPr>
                <w:sz w:val="20"/>
              </w:rPr>
              <w:t>Total fee paid:</w:t>
            </w:r>
          </w:p>
        </w:tc>
      </w:tr>
      <w:tr>
        <w:trPr/>
        <w:tc>
          <w:tcPr>
            <w:tcW w:w="294"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rPr>
                <w:sz w:val="4"/>
                <w:szCs w:val="4"/>
              </w:rPr>
            </w:pPr>
            <w:r>
              <w:rPr>
                <w:sz w:val="4"/>
                <w:szCs w:val="4"/>
              </w:rPr>
            </w:r>
          </w:p>
        </w:tc>
        <w:tc>
          <w:tcPr>
            <w:tcW w:w="217"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rPr>
                <w:sz w:val="4"/>
                <w:szCs w:val="4"/>
              </w:rPr>
            </w:pPr>
            <w:r>
              <w:rPr>
                <w:sz w:val="4"/>
                <w:szCs w:val="4"/>
              </w:rPr>
            </w:r>
          </w:p>
        </w:tc>
        <w:tc>
          <w:tcPr>
            <w:tcW w:w="8854" w:type="dxa"/>
            <w:tcBorders>
              <w:bottom w:val="single" w:sz="8" w:space="0" w:color="000000"/>
            </w:tcBorders>
            <w:shd w:fill="auto" w:val="clear"/>
            <w:tcMar>
              <w:bottom w:w="28" w:type="dxa"/>
            </w:tcMar>
          </w:tcPr>
          <w:p>
            <w:pPr>
              <w:pStyle w:val="TableContents"/>
              <w:spacing w:before="0" w:after="283"/>
              <w:rPr/>
            </w:pPr>
            <w:r>
              <w:rPr/>
              <w:t> </w:t>
            </w:r>
          </w:p>
        </w:tc>
      </w:tr>
      <w:tr>
        <w:trPr/>
        <w:tc>
          <w:tcPr>
            <w:tcW w:w="2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420" w:type="dxa"/>
            <w:tcBorders/>
            <w:shd w:fill="auto" w:val="clear"/>
          </w:tcPr>
          <w:p>
            <w:pPr>
              <w:pStyle w:val="TableContents"/>
              <w:spacing w:before="0" w:after="283"/>
              <w:jc w:val="right"/>
              <w:rPr/>
            </w:pPr>
            <w:r>
              <w:rPr/>
              <w:t> </w:t>
            </w:r>
          </w:p>
        </w:tc>
        <w:tc>
          <w:tcPr>
            <w:tcW w:w="9491" w:type="dxa"/>
            <w:gridSpan w:val="3"/>
            <w:tcBorders/>
            <w:shd w:fill="auto" w:val="clear"/>
          </w:tcPr>
          <w:p>
            <w:pPr>
              <w:pStyle w:val="TableContents"/>
              <w:spacing w:before="0" w:after="0"/>
              <w:jc w:val="left"/>
              <w:rPr>
                <w:rFonts w:ascii="times new roman" w:hAnsi="times new roman"/>
                <w:sz w:val="20"/>
              </w:rPr>
            </w:pPr>
            <w:r>
              <w:rPr>
                <w:rFonts w:ascii="times new roman" w:hAnsi="times new roman"/>
                <w:sz w:val="20"/>
              </w:rPr>
              <w:t>Fee paid previously with preliminary materials:</w:t>
            </w:r>
          </w:p>
        </w:tc>
      </w:tr>
      <w:tr>
        <w:trPr/>
        <w:tc>
          <w:tcPr>
            <w:tcW w:w="2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420" w:type="dxa"/>
            <w:tcBorders/>
            <w:shd w:fill="auto" w:val="clear"/>
          </w:tcPr>
          <w:p>
            <w:pPr>
              <w:pStyle w:val="TableContents"/>
              <w:spacing w:before="0" w:after="283"/>
              <w:jc w:val="right"/>
              <w:rPr/>
            </w:pPr>
            <w:r>
              <w:rPr/>
              <w:t> </w:t>
            </w:r>
          </w:p>
        </w:tc>
        <w:tc>
          <w:tcPr>
            <w:tcW w:w="9491" w:type="dxa"/>
            <w:gridSpan w:val="3"/>
            <w:tcBorders/>
            <w:shd w:fill="auto" w:val="clear"/>
          </w:tcPr>
          <w:p>
            <w:pPr>
              <w:pStyle w:val="TableContents"/>
              <w:spacing w:before="0" w:after="0"/>
              <w:jc w:val="left"/>
              <w:rPr>
                <w:rFonts w:ascii="times new roman" w:hAnsi="times new roman"/>
                <w:sz w:val="20"/>
              </w:rPr>
            </w:pPr>
            <w:r>
              <w:rPr>
                <w:rFonts w:ascii="times new roman" w:hAnsi="times new roman"/>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sz w:val="20"/>
              </w:rPr>
            </w:pPr>
            <w:r>
              <w:rPr>
                <w:sz w:val="20"/>
              </w:rPr>
              <w:t>1)</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Amount previously paid:</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jc w:val="left"/>
              <w:rPr/>
            </w:pPr>
            <w:r>
              <w:rPr/>
              <w:t> </w:t>
            </w:r>
          </w:p>
        </w:tc>
      </w:tr>
      <w:tr>
        <w:trPr/>
        <w:tc>
          <w:tcPr>
            <w:tcW w:w="294"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sz w:val="20"/>
              </w:rPr>
            </w:pPr>
            <w:r>
              <w:rPr>
                <w:sz w:val="20"/>
              </w:rPr>
              <w:t>2)</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Form, Schedule or Registration Statement No.:</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jc w:val="left"/>
              <w:rPr/>
            </w:pPr>
            <w:r>
              <w:rPr/>
              <w:t> </w:t>
            </w:r>
          </w:p>
        </w:tc>
      </w:tr>
      <w:tr>
        <w:trPr/>
        <w:tc>
          <w:tcPr>
            <w:tcW w:w="294"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sz w:val="20"/>
              </w:rPr>
            </w:pPr>
            <w:r>
              <w:rPr>
                <w:sz w:val="20"/>
              </w:rPr>
              <w:t>3)</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Filing Party:</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jc w:val="left"/>
              <w:rPr/>
            </w:pPr>
            <w:r>
              <w:rPr/>
              <w:t> </w:t>
            </w:r>
          </w:p>
        </w:tc>
      </w:tr>
      <w:tr>
        <w:trPr/>
        <w:tc>
          <w:tcPr>
            <w:tcW w:w="294"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sz w:val="20"/>
              </w:rPr>
            </w:pPr>
            <w:r>
              <w:rPr>
                <w:sz w:val="20"/>
              </w:rPr>
              <w:t>4)</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Date Filed:</w:t>
            </w:r>
          </w:p>
        </w:tc>
      </w:tr>
      <w:tr>
        <w:trPr/>
        <w:tc>
          <w:tcPr>
            <w:tcW w:w="294"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rPr>
                <w:sz w:val="4"/>
                <w:szCs w:val="4"/>
              </w:rPr>
            </w:pPr>
            <w:r>
              <w:rPr>
                <w:sz w:val="4"/>
                <w:szCs w:val="4"/>
              </w:rPr>
            </w:r>
          </w:p>
        </w:tc>
        <w:tc>
          <w:tcPr>
            <w:tcW w:w="217" w:type="dxa"/>
            <w:tcBorders/>
            <w:shd w:fill="auto" w:val="clear"/>
          </w:tcPr>
          <w:p>
            <w:pPr>
              <w:pStyle w:val="TableContents"/>
              <w:spacing w:before="0" w:after="283"/>
              <w:rPr>
                <w:sz w:val="4"/>
                <w:szCs w:val="4"/>
              </w:rPr>
            </w:pPr>
            <w:r>
              <w:rPr>
                <w:sz w:val="4"/>
                <w:szCs w:val="4"/>
              </w:rPr>
            </w:r>
          </w:p>
        </w:tc>
        <w:tc>
          <w:tcPr>
            <w:tcW w:w="420" w:type="dxa"/>
            <w:tcBorders/>
            <w:shd w:fill="auto" w:val="clear"/>
          </w:tcPr>
          <w:p>
            <w:pPr>
              <w:pStyle w:val="TableContents"/>
              <w:spacing w:before="0" w:after="283"/>
              <w:rPr>
                <w:sz w:val="4"/>
                <w:szCs w:val="4"/>
              </w:rPr>
            </w:pPr>
            <w:r>
              <w:rPr>
                <w:sz w:val="4"/>
                <w:szCs w:val="4"/>
              </w:rPr>
            </w:r>
          </w:p>
        </w:tc>
        <w:tc>
          <w:tcPr>
            <w:tcW w:w="8854" w:type="dxa"/>
            <w:tcBorders>
              <w:bottom w:val="single" w:sz="8" w:space="0" w:color="000000"/>
            </w:tcBorders>
            <w:shd w:fill="auto" w:val="clear"/>
            <w:tcMar>
              <w:bottom w:w="28" w:type="dxa"/>
            </w:tcMar>
          </w:tcPr>
          <w:p>
            <w:pPr>
              <w:pStyle w:val="TableContents"/>
              <w:spacing w:before="0" w:after="283"/>
              <w:jc w:val="left"/>
              <w:rPr/>
            </w:pPr>
            <w:r>
              <w:rPr/>
              <w:t> </w:t>
            </w:r>
          </w:p>
        </w:tc>
      </w:tr>
    </w:tbl>
    <w:p>
      <w:pPr>
        <w:pStyle w:val="TextBody"/>
        <w:spacing w:before="0" w:after="0"/>
        <w:rPr/>
      </w:pPr>
      <w:r>
        <w:rPr/>
      </w:r>
    </w:p>
    <w:p>
      <w:pPr>
        <w:pStyle w:val="HorizontalLine"/>
        <w:pBdr>
          <w:bottom w:val="single" w:sz="12" w:space="0" w:color="808080"/>
        </w:pBdr>
        <w:rPr/>
      </w:pPr>
      <w:r>
        <w:rPr/>
      </w:r>
    </w:p>
    <w:p>
      <w:pPr>
        <w:pStyle w:val="TextBody"/>
        <w:rPr/>
      </w:pPr>
      <w:r>
        <w:rPr/>
      </w:r>
    </w:p>
    <w:p>
      <w:pPr>
        <w:pStyle w:val="TextBody"/>
        <w:jc w:val="center"/>
        <w:rPr/>
      </w:pPr>
      <w:r>
        <w:rPr/>
        <w:drawing>
          <wp:inline distT="0" distB="0" distL="0" distR="0">
            <wp:extent cx="176212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62125" cy="619125"/>
                    </a:xfrm>
                    <a:prstGeom prst="rect">
                      <a:avLst/>
                    </a:prstGeom>
                  </pic:spPr>
                </pic:pic>
              </a:graphicData>
            </a:graphic>
          </wp:inline>
        </w:drawing>
      </w:r>
      <w:r>
        <w:rPr/>
        <w:t xml:space="preserve"> </w:t>
      </w:r>
    </w:p>
    <w:p>
      <w:pPr>
        <w:pStyle w:val="TextBody"/>
        <w:jc w:val="right"/>
        <w:rPr>
          <w:rFonts w:ascii="Times New Roman" w:hAnsi="Times New Roman"/>
          <w:sz w:val="20"/>
        </w:rPr>
      </w:pPr>
      <w:r>
        <w:rPr>
          <w:rFonts w:ascii="Times New Roman" w:hAnsi="Times New Roman"/>
          <w:sz w:val="20"/>
        </w:rPr>
        <w:t>November 6, 2013</w:t>
      </w:r>
    </w:p>
    <w:p>
      <w:pPr>
        <w:pStyle w:val="TextBody"/>
        <w:jc w:val="both"/>
        <w:rPr>
          <w:rFonts w:ascii="Times New Roman" w:hAnsi="Times New Roman"/>
          <w:sz w:val="20"/>
        </w:rPr>
      </w:pPr>
      <w:r>
        <w:rPr>
          <w:rFonts w:ascii="Times New Roman" w:hAnsi="Times New Roman"/>
          <w:sz w:val="20"/>
        </w:rPr>
        <w:t>Dear Stockholder:</w:t>
      </w:r>
    </w:p>
    <w:p>
      <w:pPr>
        <w:pStyle w:val="TextBody"/>
        <w:jc w:val="both"/>
        <w:rPr/>
      </w:pPr>
      <w:r>
        <w:rPr/>
        <w:t xml:space="preserve">     </w:t>
      </w:r>
      <w:r>
        <w:rPr>
          <w:rFonts w:ascii="Times New Roman" w:hAnsi="Times New Roman"/>
          <w:sz w:val="20"/>
        </w:rPr>
        <w:t>The Board of Directors and all of us on the management team cordially invite you to attend the 2013 Annual Meeting of Stockholders on Tuesday, December 10, 2013, at 9:30 a.m., local time, at The Standard Club, 320 South Plymouth Court, Chicago, Illinois 60604-3802.</w:t>
      </w:r>
    </w:p>
    <w:p>
      <w:pPr>
        <w:pStyle w:val="TextBody"/>
        <w:jc w:val="both"/>
        <w:rPr/>
      </w:pPr>
      <w:r>
        <w:rPr/>
        <w:t xml:space="preserve">     </w:t>
      </w:r>
      <w:r>
        <w:rPr>
          <w:rFonts w:ascii="Times New Roman" w:hAnsi="Times New Roman"/>
          <w:sz w:val="20"/>
        </w:rPr>
        <w:t>The matters expected to be acted on in the meeting are described in the attached Proxy Statement. We are recommending a slate of eight directors to be elected to our Board of Directors. Their biographies and qualifications appear in the Proxy Statement. In addition, we ask that you ratify the appointment of PricewaterhouseCoopers LLP as our independent auditor for the fiscal year ending July 31, 2014. Included with the Proxy Statement is a copy of our Annual Report on Form 10-K for fiscal year 2013. We encourage you to read our Form 10-K. It includes information on our operations, markets, products and services, as well as our audited consolidated financial statements.</w:t>
      </w:r>
    </w:p>
    <w:p>
      <w:pPr>
        <w:pStyle w:val="TextBody"/>
        <w:jc w:val="both"/>
        <w:rPr/>
      </w:pPr>
      <w:r>
        <w:rPr/>
        <w:t xml:space="preserve">     </w:t>
      </w:r>
      <w:r>
        <w:rPr>
          <w:rFonts w:ascii="Times New Roman" w:hAnsi="Times New Roman"/>
          <w:sz w:val="20"/>
        </w:rPr>
        <w:t>Immediately following adjournment of the Annual Meeting, we will review the results of the past year and look at some of the potential opportunities that lie ahead.</w:t>
      </w:r>
    </w:p>
    <w:p>
      <w:pPr>
        <w:pStyle w:val="TextBody"/>
        <w:jc w:val="both"/>
        <w:rPr/>
      </w:pPr>
      <w:r>
        <w:rPr/>
        <w:t xml:space="preserve">     </w:t>
      </w:r>
      <w:r>
        <w:rPr>
          <w:rFonts w:ascii="Times New Roman" w:hAnsi="Times New Roman"/>
          <w:sz w:val="20"/>
        </w:rPr>
        <w:t>We look forward to seeing you at the Annual Meeting. Whether or not you plan to attend, you can be sure your shares are represented at the meeting by promptly submitting your completed proxy by Internet, by telephone or by mailing your proxy card in the enclosed envelope provided for this purpose.</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Sincerely,</w:t>
            </w:r>
          </w:p>
        </w:tc>
      </w:tr>
      <w:tr>
        <w:trPr/>
        <w:tc>
          <w:tcPr>
            <w:tcW w:w="4082" w:type="dxa"/>
            <w:tcBorders/>
            <w:shd w:fill="auto" w:val="clear"/>
            <w:vAlign w:val="center"/>
          </w:tcPr>
          <w:p>
            <w:pPr>
              <w:pStyle w:val="TableContents"/>
              <w:spacing w:before="0" w:after="283"/>
              <w:jc w:val="left"/>
              <w:rPr/>
            </w:pPr>
            <w:r>
              <w:rPr/>
              <w:t> </w:t>
            </w:r>
          </w:p>
        </w:tc>
      </w:tr>
      <w:tr>
        <w:trPr/>
        <w:tc>
          <w:tcPr>
            <w:tcW w:w="4082" w:type="dxa"/>
            <w:tcBorders/>
            <w:shd w:fill="auto" w:val="clear"/>
            <w:vAlign w:val="center"/>
          </w:tcPr>
          <w:p>
            <w:pPr>
              <w:pStyle w:val="TableContents"/>
              <w:spacing w:before="0" w:after="283"/>
              <w:jc w:val="left"/>
              <w:rPr/>
            </w:pPr>
            <w:r>
              <w:rPr/>
              <w:drawing>
                <wp:inline distT="0" distB="0" distL="0" distR="0">
                  <wp:extent cx="148590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85900" cy="428625"/>
                          </a:xfrm>
                          <a:prstGeom prst="rect">
                            <a:avLst/>
                          </a:prstGeom>
                        </pic:spPr>
                      </pic:pic>
                    </a:graphicData>
                  </a:graphic>
                </wp:inline>
              </w:drawing>
            </w:r>
          </w:p>
        </w:tc>
      </w:tr>
      <w:tr>
        <w:trPr/>
        <w:tc>
          <w:tcPr>
            <w:tcW w:w="4082" w:type="dxa"/>
            <w:tcBorders/>
            <w:shd w:fill="auto" w:val="clear"/>
            <w:vAlign w:val="center"/>
          </w:tcPr>
          <w:p>
            <w:pPr>
              <w:pStyle w:val="TableContents"/>
              <w:spacing w:before="0" w:after="283"/>
              <w:jc w:val="left"/>
              <w:rPr/>
            </w:pPr>
            <w:r>
              <w:rPr/>
              <w:t> </w:t>
            </w:r>
          </w:p>
        </w:tc>
      </w:tr>
      <w:tr>
        <w:trPr/>
        <w:tc>
          <w:tcPr>
            <w:tcW w:w="4082" w:type="dxa"/>
            <w:tcBorders/>
            <w:shd w:fill="auto" w:val="clear"/>
            <w:vAlign w:val="center"/>
          </w:tcPr>
          <w:p>
            <w:pPr>
              <w:pStyle w:val="TableContents"/>
              <w:spacing w:before="0" w:after="283"/>
              <w:jc w:val="both"/>
              <w:rPr/>
            </w:pPr>
            <w:r>
              <w:rPr>
                <w:rFonts w:ascii="Times New Roman" w:hAnsi="Times New Roman"/>
                <w:sz w:val="20"/>
              </w:rPr>
              <w:t>DANIEL S. JAFFEE</w:t>
              <w:br/>
            </w:r>
            <w:r>
              <w:rPr>
                <w:rFonts w:ascii="Times New Roman" w:hAnsi="Times New Roman"/>
                <w:i/>
                <w:sz w:val="20"/>
              </w:rPr>
              <w:t>President and Chief Executive Officer</w:t>
            </w:r>
          </w:p>
        </w:tc>
      </w:tr>
    </w:tbl>
    <w:p>
      <w:pPr>
        <w:pStyle w:val="TextBody"/>
        <w:spacing w:before="0" w:after="0"/>
        <w:rPr/>
      </w:pPr>
      <w:r>
        <w:rPr/>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99"/>
        <w:gridCol w:w="9365"/>
        <w:gridCol w:w="300"/>
        <w:gridCol w:w="241"/>
      </w:tblGrid>
      <w:tr>
        <w:trPr/>
        <w:tc>
          <w:tcPr>
            <w:tcW w:w="10205" w:type="dxa"/>
            <w:gridSpan w:val="4"/>
            <w:tcBorders/>
            <w:shd w:fill="C0C0C0" w:val="clear"/>
            <w:vAlign w:val="bottom"/>
          </w:tcPr>
          <w:p>
            <w:pPr>
              <w:pStyle w:val="TableContents"/>
              <w:spacing w:before="0" w:after="283"/>
              <w:jc w:val="center"/>
              <w:rPr>
                <w:rFonts w:ascii="Times New Roman" w:hAnsi="Times New Roman"/>
                <w:b/>
                <w:sz w:val="28"/>
              </w:rPr>
            </w:pPr>
            <w:r>
              <w:rPr>
                <w:rFonts w:ascii="Times New Roman" w:hAnsi="Times New Roman"/>
                <w:b/>
                <w:sz w:val="28"/>
              </w:rPr>
              <w:t>Table of Contents</w:t>
            </w:r>
          </w:p>
        </w:tc>
      </w:tr>
      <w:tr>
        <w:trPr/>
        <w:tc>
          <w:tcPr>
            <w:tcW w:w="9664" w:type="dxa"/>
            <w:gridSpan w:val="2"/>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NOTICE OF ANNUAL MEETING OF STOCKHOLDERS</w:t>
            </w:r>
          </w:p>
        </w:tc>
        <w:tc>
          <w:tcPr>
            <w:tcW w:w="300" w:type="dxa"/>
            <w:tcBorders/>
            <w:shd w:fill="auto" w:val="clear"/>
            <w:vAlign w:val="bottom"/>
          </w:tcPr>
          <w:p>
            <w:pPr>
              <w:pStyle w:val="TableContents"/>
              <w:spacing w:before="0" w:after="283"/>
              <w:jc w:val="right"/>
              <w:rPr/>
            </w:pPr>
            <w:r>
              <w:rPr/>
              <w:t>     </w:t>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r>
      <w:tr>
        <w:trPr/>
        <w:tc>
          <w:tcPr>
            <w:tcW w:w="9664"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GENERAL INFORMATION</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299" w:type="dxa"/>
            <w:tcBorders/>
            <w:shd w:fill="auto" w:val="clear"/>
            <w:vAlign w:val="bottom"/>
          </w:tcPr>
          <w:p>
            <w:pPr>
              <w:pStyle w:val="TableContents"/>
              <w:spacing w:before="0" w:after="283"/>
              <w:jc w:val="left"/>
              <w:rPr/>
            </w:pPr>
            <w:r>
              <w:rPr/>
              <w:t>     </w:t>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Commonly Asked Questions and Answers</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9664"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PROPOSALS</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1. Election of Directors</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299" w:type="dxa"/>
            <w:tcBorders/>
            <w:shd w:fill="C0C0C0" w:val="clear"/>
            <w:vAlign w:val="bottom"/>
          </w:tcPr>
          <w:p>
            <w:pPr>
              <w:pStyle w:val="TableContents"/>
              <w:spacing w:before="0" w:after="283"/>
              <w:rPr>
                <w:sz w:val="4"/>
                <w:szCs w:val="4"/>
              </w:rPr>
            </w:pPr>
            <w:r>
              <w:rPr>
                <w:sz w:val="4"/>
                <w:szCs w:val="4"/>
              </w:rPr>
            </w:r>
          </w:p>
        </w:tc>
        <w:tc>
          <w:tcPr>
            <w:tcW w:w="93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 Ratification of Appointment of Independent Auditor</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3. Other Matters</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r>
      <w:tr>
        <w:trPr/>
        <w:tc>
          <w:tcPr>
            <w:tcW w:w="9664"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CORPORATE GOVERNANCE MATTERS</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Controlled Company Status</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299" w:type="dxa"/>
            <w:tcBorders/>
            <w:shd w:fill="C0C0C0" w:val="clear"/>
            <w:vAlign w:val="bottom"/>
          </w:tcPr>
          <w:p>
            <w:pPr>
              <w:pStyle w:val="TableContents"/>
              <w:spacing w:before="0" w:after="283"/>
              <w:rPr>
                <w:sz w:val="4"/>
                <w:szCs w:val="4"/>
              </w:rPr>
            </w:pPr>
            <w:r>
              <w:rPr>
                <w:sz w:val="4"/>
                <w:szCs w:val="4"/>
              </w:rPr>
            </w:r>
          </w:p>
        </w:tc>
        <w:tc>
          <w:tcPr>
            <w:tcW w:w="93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Director Independence</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Executive Sessions of Non-Management Directors</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299" w:type="dxa"/>
            <w:tcBorders/>
            <w:shd w:fill="C0C0C0" w:val="clear"/>
            <w:vAlign w:val="bottom"/>
          </w:tcPr>
          <w:p>
            <w:pPr>
              <w:pStyle w:val="TableContents"/>
              <w:spacing w:before="0" w:after="283"/>
              <w:rPr>
                <w:sz w:val="4"/>
                <w:szCs w:val="4"/>
              </w:rPr>
            </w:pPr>
            <w:r>
              <w:rPr>
                <w:sz w:val="4"/>
                <w:szCs w:val="4"/>
              </w:rPr>
            </w:r>
          </w:p>
        </w:tc>
        <w:tc>
          <w:tcPr>
            <w:tcW w:w="93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Board of Directors Committee Membership and Meetings</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Compensation Committee Interlocks and Insider Participation</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r>
      <w:tr>
        <w:trPr/>
        <w:tc>
          <w:tcPr>
            <w:tcW w:w="299" w:type="dxa"/>
            <w:tcBorders/>
            <w:shd w:fill="C0C0C0" w:val="clear"/>
            <w:vAlign w:val="bottom"/>
          </w:tcPr>
          <w:p>
            <w:pPr>
              <w:pStyle w:val="TableContents"/>
              <w:spacing w:before="0" w:after="283"/>
              <w:rPr>
                <w:sz w:val="4"/>
                <w:szCs w:val="4"/>
              </w:rPr>
            </w:pPr>
            <w:r>
              <w:rPr>
                <w:sz w:val="4"/>
                <w:szCs w:val="4"/>
              </w:rPr>
            </w:r>
          </w:p>
        </w:tc>
        <w:tc>
          <w:tcPr>
            <w:tcW w:w="93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Director Nominations</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r>
      <w:tr>
        <w:trPr/>
        <w:tc>
          <w:tcPr>
            <w:tcW w:w="299" w:type="dxa"/>
            <w:tcBorders/>
            <w:shd w:fill="auto" w:val="clear"/>
            <w:vAlign w:val="bottom"/>
          </w:tcPr>
          <w:p>
            <w:pPr>
              <w:pStyle w:val="TableContents"/>
              <w:spacing w:before="0" w:after="283"/>
              <w:jc w:val="left"/>
              <w:rPr/>
            </w:pPr>
            <w:r>
              <w:rPr/>
              <w:t> </w:t>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Board Leadership Structure and Role in Risk Oversight</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r>
      <w:tr>
        <w:trPr/>
        <w:tc>
          <w:tcPr>
            <w:tcW w:w="299" w:type="dxa"/>
            <w:tcBorders/>
            <w:shd w:fill="C0C0C0" w:val="clear"/>
            <w:vAlign w:val="bottom"/>
          </w:tcPr>
          <w:p>
            <w:pPr>
              <w:pStyle w:val="TableContents"/>
              <w:spacing w:before="0" w:after="283"/>
              <w:rPr>
                <w:sz w:val="4"/>
                <w:szCs w:val="4"/>
              </w:rPr>
            </w:pPr>
            <w:r>
              <w:rPr>
                <w:sz w:val="4"/>
                <w:szCs w:val="4"/>
              </w:rPr>
            </w:r>
          </w:p>
        </w:tc>
        <w:tc>
          <w:tcPr>
            <w:tcW w:w="93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Communication with the Board of Directors</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Director Compensation</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r>
      <w:tr>
        <w:trPr/>
        <w:tc>
          <w:tcPr>
            <w:tcW w:w="299" w:type="dxa"/>
            <w:tcBorders/>
            <w:shd w:fill="C0C0C0" w:val="clear"/>
            <w:vAlign w:val="bottom"/>
          </w:tcPr>
          <w:p>
            <w:pPr>
              <w:pStyle w:val="TableContents"/>
              <w:spacing w:before="0" w:after="283"/>
              <w:rPr>
                <w:sz w:val="4"/>
                <w:szCs w:val="4"/>
              </w:rPr>
            </w:pPr>
            <w:r>
              <w:rPr>
                <w:sz w:val="4"/>
                <w:szCs w:val="4"/>
              </w:rPr>
            </w:r>
          </w:p>
        </w:tc>
        <w:tc>
          <w:tcPr>
            <w:tcW w:w="93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Director Compensation Table</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Directors Option Awards Outstanding Table</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r>
      <w:tr>
        <w:trPr/>
        <w:tc>
          <w:tcPr>
            <w:tcW w:w="299" w:type="dxa"/>
            <w:tcBorders/>
            <w:shd w:fill="C0C0C0" w:val="clear"/>
            <w:vAlign w:val="bottom"/>
          </w:tcPr>
          <w:p>
            <w:pPr>
              <w:pStyle w:val="TableContents"/>
              <w:spacing w:before="0" w:after="283"/>
              <w:rPr>
                <w:sz w:val="4"/>
                <w:szCs w:val="4"/>
              </w:rPr>
            </w:pPr>
            <w:r>
              <w:rPr>
                <w:sz w:val="4"/>
                <w:szCs w:val="4"/>
              </w:rPr>
            </w:r>
          </w:p>
        </w:tc>
        <w:tc>
          <w:tcPr>
            <w:tcW w:w="93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Corporate Governance Guidelines and Code of Ethics</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Certain Relationships and Related Party Transactions</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r>
      <w:tr>
        <w:trPr/>
        <w:tc>
          <w:tcPr>
            <w:tcW w:w="299" w:type="dxa"/>
            <w:tcBorders/>
            <w:shd w:fill="C0C0C0" w:val="clear"/>
            <w:vAlign w:val="bottom"/>
          </w:tcPr>
          <w:p>
            <w:pPr>
              <w:pStyle w:val="TableContents"/>
              <w:spacing w:before="0" w:after="283"/>
              <w:rPr>
                <w:sz w:val="4"/>
                <w:szCs w:val="4"/>
              </w:rPr>
            </w:pPr>
            <w:r>
              <w:rPr>
                <w:sz w:val="4"/>
                <w:szCs w:val="4"/>
              </w:rPr>
            </w:r>
          </w:p>
        </w:tc>
        <w:tc>
          <w:tcPr>
            <w:tcW w:w="93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Report of the Audit Committee of the Board of Directors</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r>
      <w:tr>
        <w:trPr/>
        <w:tc>
          <w:tcPr>
            <w:tcW w:w="9664" w:type="dxa"/>
            <w:gridSpan w:val="2"/>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EXECUTIVE OFFICERS</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r>
      <w:tr>
        <w:trPr/>
        <w:tc>
          <w:tcPr>
            <w:tcW w:w="9664"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EXECUTIVE COMPENSATION</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Compensation Discussion and Analysis</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r>
      <w:tr>
        <w:trPr/>
        <w:tc>
          <w:tcPr>
            <w:tcW w:w="299" w:type="dxa"/>
            <w:tcBorders/>
            <w:shd w:fill="C0C0C0" w:val="clear"/>
            <w:vAlign w:val="bottom"/>
          </w:tcPr>
          <w:p>
            <w:pPr>
              <w:pStyle w:val="TableContents"/>
              <w:spacing w:before="0" w:after="283"/>
              <w:rPr>
                <w:sz w:val="4"/>
                <w:szCs w:val="4"/>
              </w:rPr>
            </w:pPr>
            <w:r>
              <w:rPr>
                <w:sz w:val="4"/>
                <w:szCs w:val="4"/>
              </w:rPr>
            </w:r>
          </w:p>
        </w:tc>
        <w:tc>
          <w:tcPr>
            <w:tcW w:w="93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Tax and Accounting Implications</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Report of the Compensation Committee of the Board of Directors</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r>
      <w:tr>
        <w:trPr/>
        <w:tc>
          <w:tcPr>
            <w:tcW w:w="299" w:type="dxa"/>
            <w:tcBorders/>
            <w:shd w:fill="C0C0C0" w:val="clear"/>
            <w:vAlign w:val="bottom"/>
          </w:tcPr>
          <w:p>
            <w:pPr>
              <w:pStyle w:val="TableContents"/>
              <w:spacing w:before="0" w:after="283"/>
              <w:rPr>
                <w:sz w:val="4"/>
                <w:szCs w:val="4"/>
              </w:rPr>
            </w:pPr>
            <w:r>
              <w:rPr>
                <w:sz w:val="4"/>
                <w:szCs w:val="4"/>
              </w:rPr>
            </w:r>
          </w:p>
        </w:tc>
        <w:tc>
          <w:tcPr>
            <w:tcW w:w="93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Summary Compensation Table</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Change in Pension Value and Nonqualified Deferred Compensation Earnings Table</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r>
      <w:tr>
        <w:trPr/>
        <w:tc>
          <w:tcPr>
            <w:tcW w:w="299" w:type="dxa"/>
            <w:tcBorders/>
            <w:shd w:fill="C0C0C0" w:val="clear"/>
            <w:vAlign w:val="bottom"/>
          </w:tcPr>
          <w:p>
            <w:pPr>
              <w:pStyle w:val="TableContents"/>
              <w:spacing w:before="0" w:after="283"/>
              <w:rPr>
                <w:sz w:val="4"/>
                <w:szCs w:val="4"/>
              </w:rPr>
            </w:pPr>
            <w:r>
              <w:rPr>
                <w:sz w:val="4"/>
                <w:szCs w:val="4"/>
              </w:rPr>
            </w:r>
          </w:p>
        </w:tc>
        <w:tc>
          <w:tcPr>
            <w:tcW w:w="93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All Other Compensation Table</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Grants of Plan-Based Awards during Fiscal 2013</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r>
      <w:tr>
        <w:trPr/>
        <w:tc>
          <w:tcPr>
            <w:tcW w:w="299" w:type="dxa"/>
            <w:tcBorders/>
            <w:shd w:fill="C0C0C0" w:val="clear"/>
            <w:vAlign w:val="bottom"/>
          </w:tcPr>
          <w:p>
            <w:pPr>
              <w:pStyle w:val="TableContents"/>
              <w:spacing w:before="0" w:after="283"/>
              <w:rPr>
                <w:sz w:val="4"/>
                <w:szCs w:val="4"/>
              </w:rPr>
            </w:pPr>
            <w:r>
              <w:rPr>
                <w:sz w:val="4"/>
                <w:szCs w:val="4"/>
              </w:rPr>
            </w:r>
          </w:p>
        </w:tc>
        <w:tc>
          <w:tcPr>
            <w:tcW w:w="93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Outstanding Equity Awards at Fiscal 2013 Year End</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Option Exercises and Stock Vested for Fiscal 2013</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r>
      <w:tr>
        <w:trPr/>
        <w:tc>
          <w:tcPr>
            <w:tcW w:w="299" w:type="dxa"/>
            <w:tcBorders/>
            <w:shd w:fill="C0C0C0" w:val="clear"/>
            <w:vAlign w:val="bottom"/>
          </w:tcPr>
          <w:p>
            <w:pPr>
              <w:pStyle w:val="TableContents"/>
              <w:spacing w:before="0" w:after="283"/>
              <w:rPr>
                <w:sz w:val="4"/>
                <w:szCs w:val="4"/>
              </w:rPr>
            </w:pPr>
            <w:r>
              <w:rPr>
                <w:sz w:val="4"/>
                <w:szCs w:val="4"/>
              </w:rPr>
            </w:r>
          </w:p>
        </w:tc>
        <w:tc>
          <w:tcPr>
            <w:tcW w:w="93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Pension Benefits for Fiscal 2013</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Nonqualified Deferred Compensation for Fiscal 2013</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r>
      <w:tr>
        <w:trPr/>
        <w:tc>
          <w:tcPr>
            <w:tcW w:w="299" w:type="dxa"/>
            <w:tcBorders/>
            <w:shd w:fill="C0C0C0" w:val="clear"/>
            <w:vAlign w:val="bottom"/>
          </w:tcPr>
          <w:p>
            <w:pPr>
              <w:pStyle w:val="TableContents"/>
              <w:spacing w:before="0" w:after="283"/>
              <w:rPr>
                <w:sz w:val="4"/>
                <w:szCs w:val="4"/>
              </w:rPr>
            </w:pPr>
            <w:r>
              <w:rPr>
                <w:sz w:val="4"/>
                <w:szCs w:val="4"/>
              </w:rPr>
            </w:r>
          </w:p>
        </w:tc>
        <w:tc>
          <w:tcPr>
            <w:tcW w:w="93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Equity Compensation Plans</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Benefits upon Termination or Change in Control</w:t>
            </w:r>
          </w:p>
        </w:tc>
        <w:tc>
          <w:tcPr>
            <w:tcW w:w="300" w:type="dxa"/>
            <w:tcBorders/>
            <w:shd w:fill="auto" w:val="clear"/>
            <w:vAlign w:val="bottom"/>
          </w:tcPr>
          <w:p>
            <w:pPr>
              <w:pStyle w:val="TableContents"/>
              <w:spacing w:before="0" w:after="283"/>
              <w:jc w:val="right"/>
              <w:rPr/>
            </w:pPr>
            <w:r>
              <w:rPr/>
              <w:t> </w:t>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r>
      <w:tr>
        <w:trPr/>
        <w:tc>
          <w:tcPr>
            <w:tcW w:w="9664"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STOCK OWNERSHIP</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Principal Stockholders</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r>
      <w:tr>
        <w:trPr/>
        <w:tc>
          <w:tcPr>
            <w:tcW w:w="299" w:type="dxa"/>
            <w:tcBorders/>
            <w:shd w:fill="C0C0C0" w:val="clear"/>
            <w:vAlign w:val="bottom"/>
          </w:tcPr>
          <w:p>
            <w:pPr>
              <w:pStyle w:val="TableContents"/>
              <w:spacing w:before="0" w:after="283"/>
              <w:rPr>
                <w:sz w:val="4"/>
                <w:szCs w:val="4"/>
              </w:rPr>
            </w:pPr>
            <w:r>
              <w:rPr>
                <w:sz w:val="4"/>
                <w:szCs w:val="4"/>
              </w:rPr>
            </w:r>
          </w:p>
        </w:tc>
        <w:tc>
          <w:tcPr>
            <w:tcW w:w="93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Security Ownership of Management</w:t>
            </w:r>
          </w:p>
        </w:tc>
        <w:tc>
          <w:tcPr>
            <w:tcW w:w="300" w:type="dxa"/>
            <w:tcBorders/>
            <w:shd w:fill="C0C0C0" w:val="clear"/>
            <w:vAlign w:val="bottom"/>
          </w:tcPr>
          <w:p>
            <w:pPr>
              <w:pStyle w:val="TableContents"/>
              <w:spacing w:before="0" w:after="283"/>
              <w:rPr>
                <w:sz w:val="4"/>
                <w:szCs w:val="4"/>
              </w:rPr>
            </w:pPr>
            <w:r>
              <w:rPr>
                <w:sz w:val="4"/>
                <w:szCs w:val="4"/>
              </w:rPr>
            </w:r>
          </w:p>
        </w:tc>
        <w:tc>
          <w:tcPr>
            <w:tcW w:w="2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r>
      <w:tr>
        <w:trPr/>
        <w:tc>
          <w:tcPr>
            <w:tcW w:w="299" w:type="dxa"/>
            <w:tcBorders/>
            <w:shd w:fill="auto" w:val="clear"/>
            <w:vAlign w:val="bottom"/>
          </w:tcPr>
          <w:p>
            <w:pPr>
              <w:pStyle w:val="TableContents"/>
              <w:spacing w:before="0" w:after="283"/>
              <w:rPr>
                <w:sz w:val="4"/>
                <w:szCs w:val="4"/>
              </w:rPr>
            </w:pPr>
            <w:r>
              <w:rPr>
                <w:sz w:val="4"/>
                <w:szCs w:val="4"/>
              </w:rPr>
            </w:r>
          </w:p>
        </w:tc>
        <w:tc>
          <w:tcPr>
            <w:tcW w:w="93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Section 16(a) Beneficial Ownership Reporting Compliance</w:t>
            </w:r>
          </w:p>
        </w:tc>
        <w:tc>
          <w:tcPr>
            <w:tcW w:w="30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r>
    </w:tbl>
    <w:p>
      <w:pPr>
        <w:pStyle w:val="TextBody"/>
        <w:rPr/>
      </w:pPr>
      <w:r>
        <w:rPr/>
      </w:r>
    </w:p>
    <w:p>
      <w:pPr>
        <w:pStyle w:val="TextBody"/>
        <w:jc w:val="center"/>
        <w:rPr>
          <w:rFonts w:ascii="Times New Roman" w:hAnsi="Times New Roman"/>
          <w:sz w:val="20"/>
        </w:rPr>
      </w:pPr>
      <w:r>
        <w:rPr>
          <w:rFonts w:ascii="Times New Roman" w:hAnsi="Times New Roman"/>
          <w:sz w:val="20"/>
        </w:rPr>
        <w:t>i</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rPr>
      </w:pPr>
      <w:r>
        <w:rPr>
          <w:rFonts w:ascii="Times New Roman" w:hAnsi="Times New Roman"/>
          <w:b/>
        </w:rPr>
        <w:t>OIL-DRI CORPORATION OF AMERICA</w:t>
      </w:r>
    </w:p>
    <w:p>
      <w:pPr>
        <w:pStyle w:val="TextBody"/>
        <w:jc w:val="center"/>
        <w:rPr/>
      </w:pPr>
      <w:r>
        <w:rPr>
          <w:rFonts w:ascii="Times New Roman" w:hAnsi="Times New Roman"/>
          <w:b/>
        </w:rPr>
        <w:t>NOTICE OF ANNUAL MEETING OF STOCKHOLDERS</w:t>
        <w:br/>
      </w:r>
      <w:r>
        <w:rPr>
          <w:rFonts w:ascii="Times New Roman" w:hAnsi="Times New Roman"/>
          <w:b/>
          <w:sz w:val="20"/>
        </w:rPr>
        <w:t>To be held on December 10, 2013</w:t>
      </w:r>
    </w:p>
    <w:p>
      <w:pPr>
        <w:pStyle w:val="TextBody"/>
        <w:jc w:val="both"/>
        <w:rPr>
          <w:rFonts w:ascii="Times New Roman" w:hAnsi="Times New Roman"/>
          <w:sz w:val="20"/>
        </w:rPr>
      </w:pPr>
      <w:r>
        <w:rPr>
          <w:rFonts w:ascii="Times New Roman" w:hAnsi="Times New Roman"/>
          <w:sz w:val="20"/>
        </w:rPr>
        <w:t>To the Stockholders of</w:t>
        <w:br/>
        <w:t>Oil-Dri Corporation of America:</w:t>
      </w:r>
    </w:p>
    <w:p>
      <w:pPr>
        <w:pStyle w:val="TextBody"/>
        <w:jc w:val="both"/>
        <w:rPr/>
      </w:pPr>
      <w:r>
        <w:rPr/>
        <w:t xml:space="preserve">     </w:t>
      </w:r>
      <w:r>
        <w:rPr>
          <w:rFonts w:ascii="Times New Roman" w:hAnsi="Times New Roman"/>
          <w:sz w:val="20"/>
        </w:rPr>
        <w:t>The 2013 Annual Meeting of Stockholders of Oil-Dri Corporation of America, a Delaware corporation, will be held at 9:30 a.m., local time, on Tuesday, December 10, 2013, at The Standard Club, located at 320 South Plymouth Court, Chicago, Illinois 60604-3802.</w:t>
      </w:r>
    </w:p>
    <w:p>
      <w:pPr>
        <w:pStyle w:val="TextBody"/>
        <w:jc w:val="both"/>
        <w:rPr/>
      </w:pPr>
      <w:r>
        <w:rPr/>
        <w:t xml:space="preserve">     </w:t>
      </w:r>
      <w:r>
        <w:rPr>
          <w:rFonts w:ascii="Times New Roman" w:hAnsi="Times New Roman"/>
          <w:sz w:val="20"/>
        </w:rPr>
        <w:t>The meeting will be held for the following purposes:</w:t>
      </w:r>
    </w:p>
    <w:p>
      <w:pPr>
        <w:pStyle w:val="TextBody"/>
        <w:jc w:val="both"/>
        <w:rPr/>
      </w:pPr>
      <w:r>
        <w:rPr/>
        <w:t xml:space="preserve">     </w:t>
      </w:r>
      <w:r>
        <w:rPr>
          <w:rFonts w:ascii="Times New Roman" w:hAnsi="Times New Roman"/>
          <w:sz w:val="20"/>
        </w:rPr>
        <w:t>1. To elect eight directors;</w:t>
      </w:r>
    </w:p>
    <w:p>
      <w:pPr>
        <w:pStyle w:val="TextBody"/>
        <w:jc w:val="both"/>
        <w:rPr/>
      </w:pPr>
      <w:r>
        <w:rPr/>
        <w:t xml:space="preserve">     </w:t>
      </w:r>
      <w:r>
        <w:rPr>
          <w:rFonts w:ascii="Times New Roman" w:hAnsi="Times New Roman"/>
          <w:sz w:val="20"/>
        </w:rPr>
        <w:t>2. To ratify the appointment of PricewaterhouseCoopers LLP as the Companys independent auditor for the fiscal year ending July 31, 2014; and</w:t>
      </w:r>
    </w:p>
    <w:p>
      <w:pPr>
        <w:pStyle w:val="TextBody"/>
        <w:jc w:val="both"/>
        <w:rPr/>
      </w:pPr>
      <w:r>
        <w:rPr/>
        <w:t xml:space="preserve">     </w:t>
      </w:r>
      <w:r>
        <w:rPr>
          <w:rFonts w:ascii="Times New Roman" w:hAnsi="Times New Roman"/>
          <w:sz w:val="20"/>
        </w:rPr>
        <w:t>3. To transact such other business as may properly come before the meeting and any adjournment thereof.</w:t>
      </w:r>
    </w:p>
    <w:p>
      <w:pPr>
        <w:pStyle w:val="TextBody"/>
        <w:jc w:val="both"/>
        <w:rPr/>
      </w:pPr>
      <w:r>
        <w:rPr/>
        <w:t xml:space="preserve">     </w:t>
      </w:r>
      <w:r>
        <w:rPr>
          <w:rFonts w:ascii="Times New Roman" w:hAnsi="Times New Roman"/>
          <w:sz w:val="20"/>
        </w:rPr>
        <w:t>Our Board of Directors has determined that only holders of record of outstanding shares of Common Stock and Class B Stock at the close of business on Friday, October 18, 2013, are entitled to notice of, and to vote at, the meeting and any adjournment thereof.</w:t>
      </w:r>
    </w:p>
    <w:p>
      <w:pPr>
        <w:pStyle w:val="TextBody"/>
        <w:jc w:val="both"/>
        <w:rPr/>
      </w:pPr>
      <w:r>
        <w:rPr/>
        <w:t xml:space="preserve">     </w:t>
      </w:r>
      <w:r>
        <w:rPr>
          <w:rFonts w:ascii="Times New Roman" w:hAnsi="Times New Roman"/>
          <w:sz w:val="20"/>
        </w:rPr>
        <w:t>Your vote is very important. Whether or not you intend to be present at the meeting, you are encouraged to vote. Please follow the instructions on the enclosed proxy card for voting by Internet, telephone or mail.</w:t>
      </w:r>
    </w:p>
    <w:p>
      <w:pPr>
        <w:pStyle w:val="TextBody"/>
        <w:jc w:val="both"/>
        <w:rPr/>
      </w:pPr>
      <w:r>
        <w:rPr/>
        <w:t xml:space="preserve">     </w:t>
      </w:r>
      <w:r>
        <w:rPr>
          <w:rFonts w:ascii="Times New Roman" w:hAnsi="Times New Roman"/>
          <w:sz w:val="20"/>
        </w:rPr>
        <w:t>For further information relating to the meeting, please see the following pages.</w:t>
      </w:r>
    </w:p>
    <w:tbl>
      <w:tblPr>
        <w:tblW w:w="2500" w:type="pct"/>
        <w:jc w:val="right"/>
        <w:tblInd w:w="0" w:type="dxa"/>
        <w:tblCellMar>
          <w:top w:w="0" w:type="dxa"/>
          <w:left w:w="0" w:type="dxa"/>
          <w:bottom w:w="0" w:type="dxa"/>
          <w:right w:w="0" w:type="dxa"/>
        </w:tblCellMar>
      </w:tblPr>
      <w:tblGrid>
        <w:gridCol w:w="5102"/>
      </w:tblGrid>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By Order of the Board of Directors,</w:t>
            </w:r>
          </w:p>
        </w:tc>
      </w:tr>
      <w:tr>
        <w:trPr/>
        <w:tc>
          <w:tcPr>
            <w:tcW w:w="5102" w:type="dxa"/>
            <w:tcBorders/>
            <w:shd w:fill="auto" w:val="clear"/>
            <w:vAlign w:val="center"/>
          </w:tcPr>
          <w:p>
            <w:pPr>
              <w:pStyle w:val="TableContents"/>
              <w:spacing w:before="0" w:after="283"/>
              <w:jc w:val="left"/>
              <w:rPr/>
            </w:pPr>
            <w:r>
              <w:rPr/>
              <w:drawing>
                <wp:inline distT="0" distB="0" distL="0" distR="0">
                  <wp:extent cx="1914525"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14525" cy="504825"/>
                          </a:xfrm>
                          <a:prstGeom prst="rect">
                            <a:avLst/>
                          </a:prstGeom>
                        </pic:spPr>
                      </pic:pic>
                    </a:graphicData>
                  </a:graphic>
                </wp:inline>
              </w:drawing>
            </w:r>
          </w:p>
        </w:tc>
      </w:tr>
      <w:tr>
        <w:trPr/>
        <w:tc>
          <w:tcPr>
            <w:tcW w:w="5102" w:type="dxa"/>
            <w:tcBorders/>
            <w:shd w:fill="auto" w:val="clear"/>
            <w:vAlign w:val="center"/>
          </w:tcPr>
          <w:p>
            <w:pPr>
              <w:pStyle w:val="TableContents"/>
              <w:spacing w:before="0" w:after="283"/>
              <w:jc w:val="left"/>
              <w:rPr>
                <w:rFonts w:ascii="Times New Roman" w:hAnsi="Times New Roman"/>
                <w:sz w:val="20"/>
              </w:rPr>
            </w:pPr>
            <w:r>
              <w:rPr>
                <w:rFonts w:ascii="Times New Roman" w:hAnsi="Times New Roman"/>
                <w:sz w:val="20"/>
              </w:rPr>
              <w:t>DOUGLAS A. GRAHAM</w:t>
              <w:br/>
            </w:r>
            <w:r>
              <w:rPr>
                <w:rFonts w:ascii="Times New Roman" w:hAnsi="Times New Roman"/>
                <w:i/>
                <w:sz w:val="20"/>
              </w:rPr>
              <w:t>Secretary</w:t>
            </w:r>
          </w:p>
        </w:tc>
      </w:tr>
    </w:tbl>
    <w:p>
      <w:pPr>
        <w:pStyle w:val="TextBody"/>
        <w:rPr/>
      </w:pPr>
      <w:r>
        <w:rPr/>
      </w:r>
    </w:p>
    <w:p>
      <w:pPr>
        <w:pStyle w:val="TextBody"/>
        <w:jc w:val="both"/>
        <w:rPr>
          <w:rFonts w:ascii="Times New Roman" w:hAnsi="Times New Roman"/>
          <w:sz w:val="20"/>
        </w:rPr>
      </w:pPr>
      <w:r>
        <w:rPr>
          <w:rFonts w:ascii="Times New Roman" w:hAnsi="Times New Roman"/>
          <w:sz w:val="20"/>
        </w:rPr>
        <w:t>Chicago, Illinois</w:t>
        <w:br/>
        <w:t>November 6, 2013</w:t>
      </w:r>
    </w:p>
    <w:p>
      <w:pPr>
        <w:pStyle w:val="TextBody"/>
        <w:jc w:val="both"/>
        <w:rPr/>
      </w:pPr>
      <w:r>
        <w:rPr>
          <w:rFonts w:ascii="Times New Roman" w:hAnsi="Times New Roman"/>
          <w:b/>
        </w:rPr>
        <w:t xml:space="preserve">Important Notice Regarding the Availability of Proxy Materials for the Annual Meeting to be held on Tuesday, December 10, 2013: </w:t>
      </w:r>
      <w:r>
        <w:rPr>
          <w:rFonts w:ascii="Times New Roman" w:hAnsi="Times New Roman"/>
        </w:rPr>
        <w:t>The Companys 2013 Proxy Statement and its 2013 Annual Report on Form 10-K are available at: http://www.oildri.com/investors/.</w:t>
      </w:r>
    </w:p>
    <w:p>
      <w:pPr>
        <w:pStyle w:val="TextBody"/>
        <w:jc w:val="center"/>
        <w:rPr>
          <w:rFonts w:ascii="Times New Roman" w:hAnsi="Times New Roman"/>
          <w:sz w:val="20"/>
        </w:rPr>
      </w:pPr>
      <w:r>
        <w:rPr>
          <w:rFonts w:ascii="Times New Roman" w:hAnsi="Times New Roman"/>
          <w:sz w:val="20"/>
        </w:rPr>
        <w:t>ii</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rPr>
      </w:pPr>
      <w:r>
        <w:rPr>
          <w:rFonts w:ascii="Times New Roman" w:hAnsi="Times New Roman"/>
          <w:b/>
        </w:rPr>
        <w:t>OIL-DRI CORPORATION OF AMERICA</w:t>
      </w:r>
    </w:p>
    <w:p>
      <w:pPr>
        <w:pStyle w:val="TextBody"/>
        <w:jc w:val="center"/>
        <w:rPr>
          <w:rFonts w:ascii="Times New Roman" w:hAnsi="Times New Roman"/>
          <w:b/>
        </w:rPr>
      </w:pPr>
      <w:r>
        <w:rPr>
          <w:rFonts w:ascii="Times New Roman" w:hAnsi="Times New Roman"/>
          <w:b/>
        </w:rPr>
        <w:t>410 North Michigan Avenue</w:t>
        <w:br/>
        <w:t>Suite 400</w:t>
        <w:br/>
        <w:t xml:space="preserve">Chicago, Illinois 60611-4213 </w:t>
        <w:br/>
        <w:t>______________</w:t>
        <w:br/>
        <w:t> </w:t>
        <w:br/>
        <w:t>PROXY STATEMENT</w:t>
        <w:br/>
        <w:t>______________</w:t>
        <w:br/>
        <w:br/>
        <w:t>GENERAL INFORMATION</w:t>
      </w:r>
    </w:p>
    <w:p>
      <w:pPr>
        <w:pStyle w:val="TextBody"/>
        <w:jc w:val="both"/>
        <w:rPr/>
      </w:pPr>
      <w:r>
        <w:rPr/>
        <w:t xml:space="preserve">     </w:t>
      </w:r>
      <w:r>
        <w:rPr>
          <w:rFonts w:ascii="Times New Roman" w:hAnsi="Times New Roman"/>
          <w:sz w:val="20"/>
        </w:rPr>
        <w:t>We are mailing you this Proxy Statement and the accompanying proxy for the first time on or about November 6, 2013. Our Board of Directors is soliciting your proxy for use at the 2013 Annual Meeting of Stockholders to be held at 9:30 a.m., local time, on Tuesday, December 10, 2013, at The Standard Club, located at 320 South Plymouth Court, Chicago, Illinois 60604-3802, notice of which accompanies this Proxy Statement, and at any adjournment of the meeting. Whenever we refer in this Proxy Statement to the 2013 Annual Meeting, we are also referring to any meeting that results from an adjournment of the 2013 Annual Meeting. Except as otherwise indicated herein or as the context otherwise requires, references to the Company, we, us or our refer to Oil-Dri Corporation of America.</w:t>
      </w:r>
    </w:p>
    <w:p>
      <w:pPr>
        <w:pStyle w:val="TextBody"/>
        <w:jc w:val="center"/>
        <w:rPr>
          <w:rFonts w:ascii="Times New Roman" w:hAnsi="Times New Roman"/>
          <w:b/>
          <w:sz w:val="20"/>
        </w:rPr>
      </w:pPr>
      <w:r>
        <w:rPr>
          <w:rFonts w:ascii="Times New Roman" w:hAnsi="Times New Roman"/>
          <w:b/>
          <w:sz w:val="20"/>
        </w:rPr>
        <w:t>Commonly Asked Questions and Answers</w:t>
      </w:r>
    </w:p>
    <w:p>
      <w:pPr>
        <w:pStyle w:val="TextBody"/>
        <w:jc w:val="both"/>
        <w:rPr>
          <w:rFonts w:ascii="Times New Roman" w:hAnsi="Times New Roman"/>
          <w:b/>
          <w:sz w:val="20"/>
        </w:rPr>
      </w:pPr>
      <w:r>
        <w:rPr>
          <w:rFonts w:ascii="Times New Roman" w:hAnsi="Times New Roman"/>
          <w:b/>
          <w:sz w:val="20"/>
        </w:rPr>
        <w:t>1. Why am I receiving these materials?</w:t>
      </w:r>
    </w:p>
    <w:p>
      <w:pPr>
        <w:pStyle w:val="TextBody"/>
        <w:jc w:val="both"/>
        <w:rPr>
          <w:rFonts w:ascii="Times New Roman" w:hAnsi="Times New Roman"/>
          <w:sz w:val="20"/>
        </w:rPr>
      </w:pPr>
      <w:r>
        <w:rPr>
          <w:rFonts w:ascii="Times New Roman" w:hAnsi="Times New Roman"/>
          <w:sz w:val="20"/>
        </w:rPr>
        <w:t>This Proxy Statement is being delivered to all stockholders of record as of the close of business on October 18, 2013 in connection with the solicitation of proxies on behalf of our Board of Directors for use at the 2013 Annual Meeting on December 10, 2013. Although our Annual Report on Form 10-K and Proxy Statement are being delivered together, our Form 10-K should not be deemed to be part of this Proxy Statement.</w:t>
      </w:r>
    </w:p>
    <w:p>
      <w:pPr>
        <w:pStyle w:val="TextBody"/>
        <w:jc w:val="both"/>
        <w:rPr>
          <w:rFonts w:ascii="Times New Roman" w:hAnsi="Times New Roman"/>
          <w:b/>
          <w:sz w:val="20"/>
        </w:rPr>
      </w:pPr>
      <w:r>
        <w:rPr>
          <w:rFonts w:ascii="Times New Roman" w:hAnsi="Times New Roman"/>
          <w:b/>
          <w:sz w:val="20"/>
        </w:rPr>
        <w:t>2. Who is entitled to vote at the 2013 Annual Meeting?</w:t>
      </w:r>
    </w:p>
    <w:p>
      <w:pPr>
        <w:pStyle w:val="TextBody"/>
        <w:jc w:val="both"/>
        <w:rPr>
          <w:rFonts w:ascii="Times New Roman" w:hAnsi="Times New Roman"/>
          <w:sz w:val="20"/>
        </w:rPr>
      </w:pPr>
      <w:r>
        <w:rPr>
          <w:rFonts w:ascii="Times New Roman" w:hAnsi="Times New Roman"/>
          <w:sz w:val="20"/>
        </w:rPr>
        <w:t>Our Board of Directors has established the close of business on Friday, October 18, 2013, as the record date for the 2013 Annual Meeting. Only stockholders of record at the close of business on the record date are entitled to receive notice of, and to vote at, the 2013 Annual Meeting.</w:t>
      </w:r>
    </w:p>
    <w:p>
      <w:pPr>
        <w:pStyle w:val="TextBody"/>
        <w:jc w:val="both"/>
        <w:rPr>
          <w:rFonts w:ascii="Times New Roman" w:hAnsi="Times New Roman"/>
          <w:sz w:val="20"/>
        </w:rPr>
      </w:pPr>
      <w:r>
        <w:rPr>
          <w:rFonts w:ascii="Times New Roman" w:hAnsi="Times New Roman"/>
          <w:sz w:val="20"/>
        </w:rPr>
        <w:t>Holders of Common Stock are entitled to one vote per share and holders of Class B Stock are entitled to ten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holders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4,978,893 shares of Common Stock and 2,074,927 shares of Class B Stock were outstanding.</w:t>
      </w:r>
    </w:p>
    <w:p>
      <w:pPr>
        <w:pStyle w:val="TextBody"/>
        <w:jc w:val="center"/>
        <w:rPr>
          <w:rFonts w:ascii="Times New Roman" w:hAnsi="Times New Roman"/>
          <w:sz w:val="20"/>
        </w:rPr>
      </w:pPr>
      <w:r>
        <w:rPr>
          <w:rFonts w:ascii="Times New Roman" w:hAnsi="Times New Roman"/>
          <w:sz w:val="20"/>
        </w:rPr>
        <w:t>1</w:t>
      </w:r>
    </w:p>
    <w:p>
      <w:pPr>
        <w:pStyle w:val="HorizontalLine"/>
        <w:pBdr>
          <w:bottom w:val="single" w:sz="12" w:space="0" w:color="808080"/>
        </w:pBdr>
        <w:rPr/>
      </w:pPr>
      <w:r>
        <w:rPr/>
      </w:r>
    </w:p>
    <w:p>
      <w:pPr>
        <w:pStyle w:val="TextBody"/>
        <w:rPr/>
      </w:pPr>
      <w:r>
        <w:rPr/>
      </w:r>
    </w:p>
    <w:p>
      <w:pPr>
        <w:pStyle w:val="TextBody"/>
        <w:jc w:val="both"/>
        <w:rPr>
          <w:rFonts w:ascii="Times New Roman" w:hAnsi="Times New Roman"/>
          <w:b/>
          <w:sz w:val="20"/>
        </w:rPr>
      </w:pPr>
      <w:r>
        <w:rPr>
          <w:rFonts w:ascii="Times New Roman" w:hAnsi="Times New Roman"/>
          <w:b/>
          <w:sz w:val="20"/>
        </w:rPr>
        <w:t>3. What proposals are being voted on at the 2013 Annual Meeting?</w:t>
      </w:r>
    </w:p>
    <w:p>
      <w:pPr>
        <w:pStyle w:val="TextBody"/>
        <w:jc w:val="both"/>
        <w:rPr>
          <w:rFonts w:ascii="Times New Roman" w:hAnsi="Times New Roman"/>
          <w:sz w:val="20"/>
        </w:rPr>
      </w:pPr>
      <w:r>
        <w:rPr>
          <w:rFonts w:ascii="Times New Roman" w:hAnsi="Times New Roman"/>
          <w:sz w:val="20"/>
        </w:rPr>
        <w:t>Stockholders are being asked to vote upon the following items of business at the 2013 Annual Meeting:</w:t>
      </w:r>
    </w:p>
    <w:tbl>
      <w:tblPr>
        <w:tblW w:w="10205" w:type="dxa"/>
        <w:jc w:val="left"/>
        <w:tblInd w:w="0" w:type="dxa"/>
        <w:tblCellMar>
          <w:top w:w="0" w:type="dxa"/>
          <w:left w:w="0" w:type="dxa"/>
          <w:bottom w:w="0" w:type="dxa"/>
          <w:right w:w="0" w:type="dxa"/>
        </w:tblCellMar>
      </w:tblPr>
      <w:tblGrid>
        <w:gridCol w:w="420"/>
        <w:gridCol w:w="170"/>
        <w:gridCol w:w="420"/>
        <w:gridCol w:w="9195"/>
      </w:tblGrid>
      <w:tr>
        <w:trPr/>
        <w:tc>
          <w:tcPr>
            <w:tcW w:w="420" w:type="dxa"/>
            <w:tcBorders/>
            <w:shd w:fill="auto" w:val="clear"/>
          </w:tcPr>
          <w:p>
            <w:pPr>
              <w:pStyle w:val="TableContents"/>
              <w:spacing w:before="0" w:after="283"/>
              <w:rPr>
                <w:sz w:val="4"/>
                <w:szCs w:val="4"/>
              </w:rPr>
            </w:pPr>
            <w:r>
              <w:rPr>
                <w:sz w:val="4"/>
                <w:szCs w:val="4"/>
              </w:rPr>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420" w:type="dxa"/>
            <w:tcBorders/>
            <w:shd w:fill="auto" w:val="clear"/>
          </w:tcPr>
          <w:p>
            <w:pPr>
              <w:pStyle w:val="TableContents"/>
              <w:spacing w:before="0" w:after="283"/>
              <w:rPr>
                <w:sz w:val="4"/>
                <w:szCs w:val="4"/>
              </w:rPr>
            </w:pPr>
            <w:r>
              <w:rPr>
                <w:sz w:val="4"/>
                <w:szCs w:val="4"/>
              </w:rPr>
            </w:r>
          </w:p>
        </w:tc>
        <w:tc>
          <w:tcPr>
            <w:tcW w:w="919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election of eight directors, each to hold office for a one-year term ending at our 2014 Annual Meeting of Stockholders; and</w:t>
            </w:r>
          </w:p>
        </w:tc>
      </w:tr>
      <w:tr>
        <w:trPr/>
        <w:tc>
          <w:tcPr>
            <w:tcW w:w="42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420" w:type="dxa"/>
            <w:tcBorders/>
            <w:shd w:fill="auto" w:val="clear"/>
          </w:tcPr>
          <w:p>
            <w:pPr>
              <w:pStyle w:val="TableContents"/>
              <w:spacing w:before="0" w:after="283"/>
              <w:rPr>
                <w:sz w:val="4"/>
                <w:szCs w:val="4"/>
              </w:rPr>
            </w:pPr>
            <w:r>
              <w:rPr>
                <w:sz w:val="4"/>
                <w:szCs w:val="4"/>
              </w:rPr>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420" w:type="dxa"/>
            <w:tcBorders/>
            <w:shd w:fill="auto" w:val="clear"/>
          </w:tcPr>
          <w:p>
            <w:pPr>
              <w:pStyle w:val="TableContents"/>
              <w:spacing w:before="0" w:after="283"/>
              <w:rPr/>
            </w:pPr>
            <w:r>
              <w:rPr/>
              <w:t>       </w:t>
            </w:r>
          </w:p>
        </w:tc>
        <w:tc>
          <w:tcPr>
            <w:tcW w:w="919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ratification of the appointment of PricewaterhouseCoopers LLP as our independent auditor for the fiscal year ending July 31, 2014;</w:t>
            </w:r>
          </w:p>
        </w:tc>
      </w:tr>
    </w:tbl>
    <w:p>
      <w:pPr>
        <w:pStyle w:val="TextBody"/>
        <w:jc w:val="both"/>
        <w:rPr>
          <w:rFonts w:ascii="Times New Roman" w:hAnsi="Times New Roman"/>
          <w:sz w:val="20"/>
        </w:rPr>
      </w:pPr>
      <w:r>
        <w:rPr>
          <w:rFonts w:ascii="Times New Roman" w:hAnsi="Times New Roman"/>
          <w:sz w:val="20"/>
        </w:rPr>
        <w:t>and to transact such other business as may properly come before the 2013 Annual Meeting. Our Board of Directors knows of no other items of business that will be presented for consideration at the 2013 Annual Meeting other than those described in this Proxy Statement. In addition, no stockholder proposal or nomination was received prior to the deadline specified in our Amended and Restated By-Laws, so no such matters may be brought to a vote at the 2013 Annual Meeting.</w:t>
      </w:r>
    </w:p>
    <w:p>
      <w:pPr>
        <w:pStyle w:val="TextBody"/>
        <w:jc w:val="both"/>
        <w:rPr>
          <w:rFonts w:ascii="Times New Roman" w:hAnsi="Times New Roman"/>
          <w:b/>
          <w:sz w:val="20"/>
        </w:rPr>
      </w:pPr>
      <w:r>
        <w:rPr>
          <w:rFonts w:ascii="Times New Roman" w:hAnsi="Times New Roman"/>
          <w:b/>
          <w:sz w:val="20"/>
        </w:rPr>
        <w:t>4. What are the voting recommendations of the Companys Board of Directors?</w:t>
      </w:r>
    </w:p>
    <w:p>
      <w:pPr>
        <w:pStyle w:val="TextBody"/>
        <w:jc w:val="both"/>
        <w:rPr>
          <w:rFonts w:ascii="Times New Roman" w:hAnsi="Times New Roman"/>
          <w:sz w:val="20"/>
        </w:rPr>
      </w:pPr>
      <w:r>
        <w:rPr>
          <w:rFonts w:ascii="Times New Roman" w:hAnsi="Times New Roman"/>
          <w:sz w:val="20"/>
        </w:rPr>
        <w:t>Our Board of Directors recommends that you vote your shares as follows:</w:t>
      </w:r>
    </w:p>
    <w:p>
      <w:pPr>
        <w:pStyle w:val="TextBody"/>
        <w:numPr>
          <w:ilvl w:val="0"/>
          <w:numId w:val="2"/>
        </w:numPr>
        <w:tabs>
          <w:tab w:val="clear" w:pos="1134"/>
          <w:tab w:val="left" w:pos="707" w:leader="none"/>
        </w:tabs>
        <w:spacing w:before="0" w:after="0"/>
        <w:ind w:left="707" w:hanging="283"/>
        <w:jc w:val="both"/>
        <w:rPr>
          <w:sz w:val="17"/>
        </w:rPr>
      </w:pPr>
      <w:r>
        <w:rPr>
          <w:rFonts w:ascii="Times New Roman" w:hAnsi="Times New Roman"/>
          <w:sz w:val="20"/>
        </w:rPr>
        <w:t>FOR the election of each of the eight nominees to the Board of Directors; and</w:t>
        <w:br/>
        <w:t> </w:t>
      </w:r>
      <w:r>
        <w:rPr>
          <w:sz w:val="17"/>
        </w:rPr>
        <w:t xml:space="preserve"> </w:t>
      </w:r>
    </w:p>
    <w:p>
      <w:pPr>
        <w:pStyle w:val="TextBody"/>
        <w:numPr>
          <w:ilvl w:val="0"/>
          <w:numId w:val="2"/>
        </w:numPr>
        <w:tabs>
          <w:tab w:val="clear" w:pos="1134"/>
          <w:tab w:val="left" w:pos="707" w:leader="none"/>
        </w:tabs>
        <w:ind w:left="707" w:hanging="283"/>
        <w:jc w:val="both"/>
        <w:rPr>
          <w:sz w:val="17"/>
        </w:rPr>
      </w:pPr>
      <w:r>
        <w:rPr>
          <w:rFonts w:ascii="Times New Roman" w:hAnsi="Times New Roman"/>
          <w:sz w:val="20"/>
        </w:rPr>
        <w:t>FOR the ratification of the appointment of PricewaterhouseCoopers LLP as the Companys</w:t>
      </w:r>
      <w:r>
        <w:rPr>
          <w:sz w:val="17"/>
        </w:rPr>
        <w:t xml:space="preserve"> </w:t>
      </w:r>
      <w:r>
        <w:rPr>
          <w:rFonts w:ascii="Times New Roman" w:hAnsi="Times New Roman"/>
          <w:sz w:val="20"/>
        </w:rPr>
        <w:t>independent auditor for the fiscal year ending July 31, 2014.</w:t>
      </w:r>
      <w:r>
        <w:rPr>
          <w:sz w:val="17"/>
        </w:rPr>
        <w:t xml:space="preserve"> </w:t>
      </w:r>
    </w:p>
    <w:p>
      <w:pPr>
        <w:pStyle w:val="TextBody"/>
        <w:jc w:val="both"/>
        <w:rPr>
          <w:rFonts w:ascii="Times New Roman" w:hAnsi="Times New Roman"/>
          <w:b/>
          <w:sz w:val="20"/>
        </w:rPr>
      </w:pPr>
      <w:r>
        <w:rPr>
          <w:rFonts w:ascii="Times New Roman" w:hAnsi="Times New Roman"/>
          <w:b/>
          <w:sz w:val="20"/>
        </w:rPr>
        <w:t>5. How do I cast my vote?</w:t>
      </w:r>
    </w:p>
    <w:p>
      <w:pPr>
        <w:pStyle w:val="TextBody"/>
        <w:jc w:val="both"/>
        <w:rPr>
          <w:rFonts w:ascii="Times New Roman" w:hAnsi="Times New Roman"/>
          <w:sz w:val="20"/>
        </w:rPr>
      </w:pPr>
      <w:r>
        <w:rPr>
          <w:rFonts w:ascii="Times New Roman" w:hAnsi="Times New Roman"/>
          <w:sz w:val="20"/>
        </w:rPr>
        <w:t>If you are a stockholder of record, you may vote in several different ways:</w:t>
      </w:r>
    </w:p>
    <w:p>
      <w:pPr>
        <w:pStyle w:val="TextBody"/>
        <w:jc w:val="both"/>
        <w:rPr>
          <w:rFonts w:ascii="Times New Roman" w:hAnsi="Times New Roman"/>
          <w:i/>
          <w:sz w:val="20"/>
          <w:u w:val="single"/>
        </w:rPr>
      </w:pPr>
      <w:r>
        <w:rPr>
          <w:rFonts w:ascii="Times New Roman" w:hAnsi="Times New Roman"/>
          <w:i/>
          <w:sz w:val="20"/>
          <w:u w:val="single"/>
        </w:rPr>
        <w:t>In person at the 2013 Annual Meeting</w:t>
      </w:r>
    </w:p>
    <w:p>
      <w:pPr>
        <w:pStyle w:val="TextBody"/>
        <w:jc w:val="both"/>
        <w:rPr>
          <w:rFonts w:ascii="Times New Roman" w:hAnsi="Times New Roman"/>
          <w:sz w:val="20"/>
        </w:rPr>
      </w:pPr>
      <w:r>
        <w:rPr>
          <w:rFonts w:ascii="Times New Roman" w:hAnsi="Times New Roman"/>
          <w:sz w:val="20"/>
        </w:rPr>
        <w:t>You may vote in person at the 2013 Annual Meeting. You may also be represented by another person at the meeting by executing a proxy properly designating that person.</w:t>
      </w:r>
    </w:p>
    <w:p>
      <w:pPr>
        <w:pStyle w:val="TextBody"/>
        <w:jc w:val="both"/>
        <w:rPr>
          <w:rFonts w:ascii="Times New Roman" w:hAnsi="Times New Roman"/>
          <w:i/>
          <w:sz w:val="20"/>
          <w:u w:val="single"/>
        </w:rPr>
      </w:pPr>
      <w:r>
        <w:rPr>
          <w:rFonts w:ascii="Times New Roman" w:hAnsi="Times New Roman"/>
          <w:i/>
          <w:sz w:val="20"/>
          <w:u w:val="single"/>
        </w:rPr>
        <w:t>By mail</w:t>
      </w:r>
    </w:p>
    <w:p>
      <w:pPr>
        <w:pStyle w:val="TextBody"/>
        <w:jc w:val="both"/>
        <w:rPr>
          <w:rFonts w:ascii="Times New Roman" w:hAnsi="Times New Roman"/>
          <w:sz w:val="20"/>
        </w:rPr>
      </w:pPr>
      <w:r>
        <w:rPr>
          <w:rFonts w:ascii="Times New Roman" w:hAnsi="Times New Roman"/>
          <w:sz w:val="20"/>
        </w:rPr>
        <w:t>You may vote by completing, signing, dating and returning the enclosed proxy card(s) in the postage-paid envelope we have provided.</w:t>
      </w:r>
    </w:p>
    <w:p>
      <w:pPr>
        <w:pStyle w:val="TextBody"/>
        <w:jc w:val="both"/>
        <w:rPr>
          <w:rFonts w:ascii="Times New Roman" w:hAnsi="Times New Roman"/>
          <w:i/>
          <w:sz w:val="20"/>
          <w:u w:val="single"/>
        </w:rPr>
      </w:pPr>
      <w:r>
        <w:rPr>
          <w:rFonts w:ascii="Times New Roman" w:hAnsi="Times New Roman"/>
          <w:i/>
          <w:sz w:val="20"/>
          <w:u w:val="single"/>
        </w:rPr>
        <w:t>By telephone</w:t>
      </w:r>
    </w:p>
    <w:p>
      <w:pPr>
        <w:pStyle w:val="TextBody"/>
        <w:jc w:val="both"/>
        <w:rPr>
          <w:rFonts w:ascii="Times New Roman" w:hAnsi="Times New Roman"/>
          <w:sz w:val="20"/>
        </w:rPr>
      </w:pPr>
      <w:r>
        <w:rPr>
          <w:rFonts w:ascii="Times New Roman" w:hAnsi="Times New Roman"/>
          <w:sz w:val="20"/>
        </w:rPr>
        <w:t>You may vote by calling the telephone number on your proxy card. Please have your proxy card in hand when you call and use any touch-tone phone to transmit your voting instructions. Telephone voting for stockholders of record will be available until 11:59 p.m., Eastern Time, on December 9, 2013.</w:t>
      </w:r>
    </w:p>
    <w:p>
      <w:pPr>
        <w:pStyle w:val="TextBody"/>
        <w:jc w:val="both"/>
        <w:rPr>
          <w:rFonts w:ascii="Times New Roman" w:hAnsi="Times New Roman"/>
          <w:i/>
          <w:sz w:val="20"/>
          <w:u w:val="single"/>
        </w:rPr>
      </w:pPr>
      <w:r>
        <w:rPr>
          <w:rFonts w:ascii="Times New Roman" w:hAnsi="Times New Roman"/>
          <w:i/>
          <w:sz w:val="20"/>
          <w:u w:val="single"/>
        </w:rPr>
        <w:t>By Internet</w:t>
      </w:r>
    </w:p>
    <w:p>
      <w:pPr>
        <w:pStyle w:val="TextBody"/>
        <w:jc w:val="both"/>
        <w:rPr>
          <w:rFonts w:ascii="Times New Roman" w:hAnsi="Times New Roman"/>
          <w:sz w:val="20"/>
        </w:rPr>
      </w:pPr>
      <w:r>
        <w:rPr>
          <w:rFonts w:ascii="Times New Roman" w:hAnsi="Times New Roman"/>
          <w:sz w:val="20"/>
        </w:rPr>
        <w:t>You may vote using the Internet by submitting your voting instructions at www.proxyvote.com. You should have your proxy card available when you go online. If you vote on the Internet, you may also request electronic delivery of future proxy materials. Internet voting for stockholders of record will be available until 11:59 p.m., Eastern Time, on December 9, 2013.</w:t>
      </w:r>
    </w:p>
    <w:p>
      <w:pPr>
        <w:pStyle w:val="TextBody"/>
        <w:jc w:val="both"/>
        <w:rPr>
          <w:rFonts w:ascii="Times New Roman" w:hAnsi="Times New Roman"/>
          <w:sz w:val="20"/>
        </w:rPr>
      </w:pPr>
      <w:r>
        <w:rPr>
          <w:rFonts w:ascii="Times New Roman" w:hAnsi="Times New Roman"/>
          <w:sz w:val="20"/>
        </w:rPr>
        <w:t>If you are the beneficial owner of shares held in street name (through a brokerage account or in another nominee form),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To vote in person at the 2013 Annual Meeting, you must obtain a legal proxy from your bank, broker or other nominee and present it to the Inspector of Election with your ballot. Your shares may be voted even if you do not provide voting instructions. Banks, brokers and nominees generally have the authority under New York Stock Exchange (NYSE) rules to vote on routine matters. The proposal to ratify the appointment of our independent auditor is considered a routine matter, while the election of directors is considered a non-routine matter.</w:t>
      </w:r>
    </w:p>
    <w:p>
      <w:pPr>
        <w:pStyle w:val="TextBody"/>
        <w:jc w:val="center"/>
        <w:rPr>
          <w:rFonts w:ascii="Times New Roman" w:hAnsi="Times New Roman"/>
          <w:sz w:val="20"/>
        </w:rPr>
      </w:pPr>
      <w:r>
        <w:rPr>
          <w:rFonts w:ascii="Times New Roman" w:hAnsi="Times New Roman"/>
          <w:sz w:val="20"/>
        </w:rPr>
        <w:t>2</w:t>
      </w:r>
    </w:p>
    <w:p>
      <w:pPr>
        <w:pStyle w:val="HorizontalLine"/>
        <w:pBdr>
          <w:bottom w:val="single" w:sz="12" w:space="0" w:color="808080"/>
        </w:pBdr>
        <w:rPr/>
      </w:pPr>
      <w:r>
        <w:rPr/>
      </w:r>
    </w:p>
    <w:p>
      <w:pPr>
        <w:pStyle w:val="TextBody"/>
        <w:rPr/>
      </w:pPr>
      <w:r>
        <w:rPr/>
      </w:r>
    </w:p>
    <w:p>
      <w:pPr>
        <w:pStyle w:val="TextBody"/>
        <w:jc w:val="both"/>
        <w:rPr>
          <w:rFonts w:ascii="Times New Roman" w:hAnsi="Times New Roman"/>
          <w:sz w:val="20"/>
        </w:rPr>
      </w:pPr>
      <w:r>
        <w:rPr>
          <w:rFonts w:ascii="Times New Roman" w:hAnsi="Times New Roman"/>
          <w:sz w:val="20"/>
        </w:rPr>
        <w:t>Unless you decide to change your vote, use only one method to send us your vote. If you vote by telephone or by Internet, you do not have to return your proxy card or voting instruction form; however, even if you plan to attend the 2013 Annual Meeting, we recommend that you vote your shares in advance so that your vote will be counted if you later decide not to attend the meeting.</w:t>
      </w:r>
    </w:p>
    <w:p>
      <w:pPr>
        <w:pStyle w:val="TextBody"/>
        <w:jc w:val="both"/>
        <w:rPr>
          <w:rFonts w:ascii="Times New Roman" w:hAnsi="Times New Roman"/>
          <w:sz w:val="20"/>
        </w:rPr>
      </w:pPr>
      <w:r>
        <w:rPr>
          <w:rFonts w:ascii="Times New Roman" w:hAnsi="Times New Roman"/>
          <w:sz w:val="20"/>
        </w:rPr>
        <w:t>If no contrary instruction is indicated in the proxy, each proxy will be voted FOR the election of the eight nominees to our Board of Directors named below, and FOR the ratification of the appointment of PricewaterhouseCoopers LLP as our independent auditor for the fiscal year ending July 31, 2014. In their discretion, the named proxy holders are authorized to vote on any other matters that may properly come before the 2013 Annual Meeting.</w:t>
      </w:r>
    </w:p>
    <w:p>
      <w:pPr>
        <w:pStyle w:val="TextBody"/>
        <w:jc w:val="both"/>
        <w:rPr>
          <w:rFonts w:ascii="Times New Roman" w:hAnsi="Times New Roman"/>
          <w:b/>
          <w:sz w:val="20"/>
        </w:rPr>
      </w:pPr>
      <w:r>
        <w:rPr>
          <w:rFonts w:ascii="Times New Roman" w:hAnsi="Times New Roman"/>
          <w:b/>
          <w:sz w:val="20"/>
        </w:rPr>
        <w:t>6. Can I change my vote?</w:t>
      </w:r>
    </w:p>
    <w:p>
      <w:pPr>
        <w:pStyle w:val="TextBody"/>
        <w:jc w:val="both"/>
        <w:rPr>
          <w:rFonts w:ascii="Times New Roman" w:hAnsi="Times New Roman"/>
          <w:sz w:val="20"/>
        </w:rPr>
      </w:pPr>
      <w:r>
        <w:rPr>
          <w:rFonts w:ascii="Times New Roman" w:hAnsi="Times New Roman"/>
          <w:sz w:val="20"/>
        </w:rPr>
        <w:t>Yes, if you vote by proxy, you may revoke that proxy at any time before it is voted at the 2013 Annual Meeting. If you are the stockholder of record, you may do this by:</w:t>
      </w:r>
    </w:p>
    <w:p>
      <w:pPr>
        <w:pStyle w:val="TextBody"/>
        <w:numPr>
          <w:ilvl w:val="0"/>
          <w:numId w:val="3"/>
        </w:numPr>
        <w:tabs>
          <w:tab w:val="clear" w:pos="1134"/>
          <w:tab w:val="left" w:pos="707" w:leader="none"/>
        </w:tabs>
        <w:spacing w:before="0" w:after="0"/>
        <w:ind w:left="707" w:hanging="283"/>
        <w:jc w:val="both"/>
        <w:rPr>
          <w:sz w:val="17"/>
        </w:rPr>
      </w:pPr>
      <w:r>
        <w:rPr>
          <w:rFonts w:ascii="Times New Roman" w:hAnsi="Times New Roman"/>
          <w:sz w:val="20"/>
        </w:rPr>
        <w:t>voting again on the Internet or by telephone prior to 11:59 p.m., Eastern Time, on December 9,</w:t>
      </w:r>
      <w:r>
        <w:rPr>
          <w:sz w:val="17"/>
        </w:rPr>
        <w:t xml:space="preserve"> </w:t>
      </w:r>
      <w:r>
        <w:rPr>
          <w:rFonts w:ascii="Times New Roman" w:hAnsi="Times New Roman"/>
          <w:sz w:val="20"/>
        </w:rPr>
        <w:t>2013;</w:t>
        <w:br/>
        <w:t> </w:t>
      </w:r>
      <w:r>
        <w:rPr>
          <w:sz w:val="17"/>
        </w:rPr>
        <w:t xml:space="preserve"> </w:t>
      </w:r>
    </w:p>
    <w:p>
      <w:pPr>
        <w:pStyle w:val="TextBody"/>
        <w:numPr>
          <w:ilvl w:val="0"/>
          <w:numId w:val="3"/>
        </w:numPr>
        <w:tabs>
          <w:tab w:val="clear" w:pos="1134"/>
          <w:tab w:val="left" w:pos="707" w:leader="none"/>
        </w:tabs>
        <w:spacing w:before="0" w:after="0"/>
        <w:ind w:left="707" w:hanging="283"/>
        <w:jc w:val="both"/>
        <w:rPr>
          <w:sz w:val="17"/>
        </w:rPr>
      </w:pPr>
      <w:r>
        <w:rPr>
          <w:rFonts w:ascii="Times New Roman" w:hAnsi="Times New Roman"/>
          <w:sz w:val="20"/>
        </w:rPr>
        <w:t>signing another proxy card with a later date and delivering it to Broadridge Financial Solutions,</w:t>
      </w:r>
      <w:r>
        <w:rPr>
          <w:sz w:val="17"/>
        </w:rPr>
        <w:t xml:space="preserve"> </w:t>
      </w:r>
      <w:r>
        <w:rPr>
          <w:rFonts w:ascii="Times New Roman" w:hAnsi="Times New Roman"/>
          <w:sz w:val="20"/>
        </w:rPr>
        <w:t>Inc., 51 Mercedes Way, Edgewood, New York 11717, prior to the 2013 Annual Meeting; or</w:t>
        <w:br/>
        <w:t> </w:t>
      </w:r>
      <w:r>
        <w:rPr>
          <w:sz w:val="17"/>
        </w:rPr>
        <w:t xml:space="preserve"> </w:t>
      </w:r>
    </w:p>
    <w:p>
      <w:pPr>
        <w:pStyle w:val="TextBody"/>
        <w:numPr>
          <w:ilvl w:val="0"/>
          <w:numId w:val="3"/>
        </w:numPr>
        <w:tabs>
          <w:tab w:val="clear" w:pos="1134"/>
          <w:tab w:val="left" w:pos="707" w:leader="none"/>
        </w:tabs>
        <w:ind w:left="707" w:hanging="283"/>
        <w:jc w:val="both"/>
        <w:rPr>
          <w:sz w:val="17"/>
        </w:rPr>
      </w:pPr>
      <w:r>
        <w:rPr>
          <w:rFonts w:ascii="Times New Roman" w:hAnsi="Times New Roman"/>
          <w:sz w:val="20"/>
        </w:rPr>
        <w:t>attending the 2013 Annual Meeting in person and delivering your proxy or casting a ballot.</w:t>
      </w:r>
      <w:r>
        <w:rPr>
          <w:sz w:val="17"/>
        </w:rPr>
        <w:t xml:space="preserve"> </w:t>
      </w:r>
    </w:p>
    <w:p>
      <w:pPr>
        <w:pStyle w:val="TextBody"/>
        <w:jc w:val="both"/>
        <w:rPr>
          <w:rFonts w:ascii="Times New Roman" w:hAnsi="Times New Roman"/>
          <w:sz w:val="20"/>
        </w:rPr>
      </w:pPr>
      <w:r>
        <w:rPr>
          <w:rFonts w:ascii="Times New Roman" w:hAnsi="Times New Roman"/>
          <w:sz w:val="20"/>
        </w:rPr>
        <w:t>If your shares are held in street name and you have instructed your bank, broker or other nominee to vote your shares, you may revoke those instructions by following the directions received from your bank, broker or other nominee to change those instructions.</w:t>
      </w:r>
    </w:p>
    <w:p>
      <w:pPr>
        <w:pStyle w:val="TextBody"/>
        <w:jc w:val="both"/>
        <w:rPr>
          <w:rFonts w:ascii="Times New Roman" w:hAnsi="Times New Roman"/>
          <w:b/>
          <w:sz w:val="20"/>
        </w:rPr>
      </w:pPr>
      <w:r>
        <w:rPr>
          <w:rFonts w:ascii="Times New Roman" w:hAnsi="Times New Roman"/>
          <w:b/>
          <w:sz w:val="20"/>
        </w:rPr>
        <w:t>7. What constitutes a quorum at the 2013 Annual Meeting?</w:t>
      </w:r>
    </w:p>
    <w:p>
      <w:pPr>
        <w:pStyle w:val="TextBody"/>
        <w:jc w:val="both"/>
        <w:rPr>
          <w:rFonts w:ascii="Times New Roman" w:hAnsi="Times New Roman"/>
          <w:sz w:val="20"/>
        </w:rPr>
      </w:pPr>
      <w:r>
        <w:rPr>
          <w:rFonts w:ascii="Times New Roman" w:hAnsi="Times New Roman"/>
          <w:sz w:val="20"/>
        </w:rPr>
        <w:t>A majority of all outstanding shares of Common Stock and Class B Stock entitled to vote at the 2013 Annual Meeting constitutes a quorum, which is the minimum number of shares that must be present or represented by proxy at the 2013 Annual Meeting to transact business. Abstentions and broker non-votes will be counted for purposes of determining whether a quorum is present as long as one routine matter is being voted on at the 2013 Annual Meeting. The proposal to ratify the appointment of our independent auditor is considered a routine matter. Generally, broker non-votes occur when brokerage firms return proxies for which no voting instructions have been received from beneficial owners and the broker does not have discretionary authority to vote on the proposal. Once a share is represented for any purpose at the 2013 Annual Meeting, it will be deemed present for quorum purposes for the remainder of the meeting (including any meeting resulting from an adjournment of the 2013 Annual Meeting, unless a new record date is set).</w:t>
      </w:r>
    </w:p>
    <w:p>
      <w:pPr>
        <w:pStyle w:val="TextBody"/>
        <w:jc w:val="both"/>
        <w:rPr>
          <w:rFonts w:ascii="Times New Roman" w:hAnsi="Times New Roman"/>
          <w:b/>
          <w:sz w:val="20"/>
        </w:rPr>
      </w:pPr>
      <w:r>
        <w:rPr>
          <w:rFonts w:ascii="Times New Roman" w:hAnsi="Times New Roman"/>
          <w:b/>
          <w:sz w:val="20"/>
        </w:rPr>
        <w:t>8. How many votes are needed to approve the proposals?</w:t>
      </w:r>
    </w:p>
    <w:p>
      <w:pPr>
        <w:pStyle w:val="TextBody"/>
        <w:jc w:val="both"/>
        <w:rPr>
          <w:rFonts w:ascii="Times New Roman" w:hAnsi="Times New Roman"/>
          <w:sz w:val="20"/>
        </w:rPr>
      </w:pPr>
      <w:r>
        <w:rPr>
          <w:rFonts w:ascii="Times New Roman" w:hAnsi="Times New Roman"/>
          <w:sz w:val="20"/>
        </w:rPr>
        <w:t>A director may only be elected by a plurality of votes cast. Accordingly, we count proxies and ballots marked for all nominees listed (including executed proxies not marked regarding the election of directors, which will be voted for all listed nominees), or those voting for some but not all nominees that specify votes withheld for one or more designated nominees, to determine the total number of votes cast for each nominee. The eight nominees who receive the largest number of votes will be elected. Shares for which authority is withheld to vote for director nominees and broker non-votes have no effect on the outcome of the election of directors.</w:t>
      </w:r>
    </w:p>
    <w:p>
      <w:pPr>
        <w:pStyle w:val="TextBody"/>
        <w:jc w:val="both"/>
        <w:rPr>
          <w:rFonts w:ascii="Times New Roman" w:hAnsi="Times New Roman"/>
          <w:sz w:val="20"/>
        </w:rPr>
      </w:pPr>
      <w:r>
        <w:rPr>
          <w:rFonts w:ascii="Times New Roman" w:hAnsi="Times New Roman"/>
          <w:sz w:val="20"/>
        </w:rPr>
        <w:t>An affirmative majority of the votes present at the 2013 Annual Meeting or represented by proxy is necessary for ratification of the appointment of PricewaterhouseCoopers LLP as our independent auditor for the fiscal year ending July 31, 2014. Any abstention by those present or represented by proxy has the same legal effect as a vote against this proposal. Because this proposal is considered a routine matter under the rules of the NYSE, banks, brokers and other nominees are able to vote on this matter even if no voting instructions are provided by the beneficial owner. Therefore, broker non-votes will have no effect on the outcome.</w:t>
      </w:r>
    </w:p>
    <w:p>
      <w:pPr>
        <w:pStyle w:val="TextBody"/>
        <w:jc w:val="center"/>
        <w:rPr>
          <w:rFonts w:ascii="Times New Roman" w:hAnsi="Times New Roman"/>
          <w:sz w:val="20"/>
        </w:rPr>
      </w:pPr>
      <w:r>
        <w:rPr>
          <w:rFonts w:ascii="Times New Roman" w:hAnsi="Times New Roman"/>
          <w:sz w:val="20"/>
        </w:rPr>
        <w:t>3</w:t>
      </w:r>
    </w:p>
    <w:p>
      <w:pPr>
        <w:pStyle w:val="HorizontalLine"/>
        <w:pBdr>
          <w:bottom w:val="single" w:sz="12" w:space="0" w:color="808080"/>
        </w:pBdr>
        <w:rPr/>
      </w:pPr>
      <w:r>
        <w:rPr/>
      </w:r>
    </w:p>
    <w:p>
      <w:pPr>
        <w:pStyle w:val="TextBody"/>
        <w:rPr/>
      </w:pPr>
      <w:r>
        <w:rPr/>
      </w:r>
    </w:p>
    <w:p>
      <w:pPr>
        <w:pStyle w:val="TextBody"/>
        <w:jc w:val="both"/>
        <w:rPr>
          <w:rFonts w:ascii="Times New Roman" w:hAnsi="Times New Roman"/>
          <w:b/>
          <w:sz w:val="20"/>
        </w:rPr>
      </w:pPr>
      <w:r>
        <w:rPr>
          <w:rFonts w:ascii="Times New Roman" w:hAnsi="Times New Roman"/>
          <w:b/>
          <w:sz w:val="20"/>
        </w:rPr>
        <w:t>9. Who will count the vote?</w:t>
      </w:r>
    </w:p>
    <w:p>
      <w:pPr>
        <w:pStyle w:val="TextBody"/>
        <w:jc w:val="both"/>
        <w:rPr>
          <w:rFonts w:ascii="Times New Roman" w:hAnsi="Times New Roman"/>
          <w:sz w:val="20"/>
        </w:rPr>
      </w:pPr>
      <w:r>
        <w:rPr>
          <w:rFonts w:ascii="Times New Roman" w:hAnsi="Times New Roman"/>
          <w:sz w:val="20"/>
        </w:rPr>
        <w:t>We have retained Broadridge Financial Solutions, Inc.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w:t>
      </w:r>
    </w:p>
    <w:p>
      <w:pPr>
        <w:pStyle w:val="TextBody"/>
        <w:jc w:val="both"/>
        <w:rPr>
          <w:rFonts w:ascii="Times New Roman" w:hAnsi="Times New Roman"/>
          <w:b/>
          <w:sz w:val="20"/>
        </w:rPr>
      </w:pPr>
      <w:r>
        <w:rPr>
          <w:rFonts w:ascii="Times New Roman" w:hAnsi="Times New Roman"/>
          <w:b/>
          <w:sz w:val="20"/>
        </w:rPr>
        <w:t>10. Where can I find the voting results of the 2013 Annual Meeting?</w:t>
      </w:r>
    </w:p>
    <w:p>
      <w:pPr>
        <w:pStyle w:val="TextBody"/>
        <w:jc w:val="both"/>
        <w:rPr>
          <w:rFonts w:ascii="Times New Roman" w:hAnsi="Times New Roman"/>
          <w:sz w:val="20"/>
        </w:rPr>
      </w:pPr>
      <w:r>
        <w:rPr>
          <w:rFonts w:ascii="Times New Roman" w:hAnsi="Times New Roman"/>
          <w:sz w:val="20"/>
        </w:rPr>
        <w:t>We intend to announce preliminary voting results at the 2013 Annual Meeting. Within four business days following the adjournment of the 2013 Annual Meeting, we intend to disclose the final voting results of each proposal being voted on at the 2013 Annual Meeting in a Current Report on Form 8-K.</w:t>
      </w:r>
    </w:p>
    <w:p>
      <w:pPr>
        <w:pStyle w:val="TextBody"/>
        <w:jc w:val="both"/>
        <w:rPr>
          <w:rFonts w:ascii="Times New Roman" w:hAnsi="Times New Roman"/>
          <w:b/>
          <w:sz w:val="20"/>
        </w:rPr>
      </w:pPr>
      <w:r>
        <w:rPr>
          <w:rFonts w:ascii="Times New Roman" w:hAnsi="Times New Roman"/>
          <w:b/>
          <w:sz w:val="20"/>
        </w:rPr>
        <w:t>11. How does a stockholder propose actions for consideration at next years annual meeting of stockholders?</w:t>
      </w:r>
    </w:p>
    <w:p>
      <w:pPr>
        <w:pStyle w:val="TextBody"/>
        <w:jc w:val="both"/>
        <w:rPr>
          <w:rFonts w:ascii="Times New Roman" w:hAnsi="Times New Roman"/>
          <w:sz w:val="20"/>
        </w:rPr>
      </w:pPr>
      <w:r>
        <w:rPr>
          <w:rFonts w:ascii="Times New Roman" w:hAnsi="Times New Roman"/>
          <w:sz w:val="20"/>
        </w:rPr>
        <w:t>For your proposal to be considered for inclusion in our proxy statement for next years annual meeting, we must receive your written proposal no later than July 9, 2014. Your proposal should be addressed to the Corporate Secretary, Oil-Dri Corporation of America, 410 North Michigan Avenue, Suite 400, Chicago, Illinois 60611-4213. In addition, be aware that your proposal must comply with Securities and Exchange Commission (SEC) regulations regarding inclusion of stockholder proposals in company-sponsored proxy materials and other applicable laws. Although our Board of Directors will consider all proposals, it has the right to omit any proposals it is not required to include. For you to raise a proposal (including director nominations) at next years annual meeting that will not be included in our proxy statement, we must receive written notice of the proposal between July 9, 2014 and August 8, 2014 (assuming the meeting is held not more than 30 days from December 10, 2014). All such proposals should be addressed to the Corporate Secretary, Oil-Dri Corporation of America, 410 North Michigan Avenue, Suite 400, Chicago, Illinois 60611-4213. In addition, the proposal must satisfy all of the other requirements set forth in our Amended and Restated By-Laws and all applicable laws.</w:t>
      </w:r>
    </w:p>
    <w:p>
      <w:pPr>
        <w:pStyle w:val="TextBody"/>
        <w:jc w:val="both"/>
        <w:rPr>
          <w:rFonts w:ascii="Times New Roman" w:hAnsi="Times New Roman"/>
          <w:b/>
          <w:sz w:val="20"/>
        </w:rPr>
      </w:pPr>
      <w:r>
        <w:rPr>
          <w:rFonts w:ascii="Times New Roman" w:hAnsi="Times New Roman"/>
          <w:b/>
          <w:sz w:val="20"/>
        </w:rPr>
        <w:t>12. Can I receive future proxy solicitations online?</w:t>
      </w:r>
    </w:p>
    <w:p>
      <w:pPr>
        <w:pStyle w:val="TextBody"/>
        <w:jc w:val="both"/>
        <w:rPr>
          <w:rFonts w:ascii="Times New Roman" w:hAnsi="Times New Roman"/>
          <w:sz w:val="20"/>
        </w:rPr>
      </w:pPr>
      <w:r>
        <w:rPr>
          <w:rFonts w:ascii="Times New Roman" w:hAnsi="Times New Roman"/>
          <w:sz w:val="20"/>
        </w:rPr>
        <w:t>Yes, you can consent to receiving all future proxy statements, proxy cards and annual reports via e-mail or the Internet. If you choose this option, you will not receive paper copies of these stockholder communications in the mail. To sign up for electronic delivery, follow the instructions on the enclosed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w:t>
      </w:r>
    </w:p>
    <w:tbl>
      <w:tblPr>
        <w:tblW w:w="5000" w:type="pct"/>
        <w:jc w:val="left"/>
        <w:tblInd w:w="0" w:type="dxa"/>
        <w:tblCellMar>
          <w:top w:w="0" w:type="dxa"/>
          <w:left w:w="0" w:type="dxa"/>
          <w:bottom w:w="0" w:type="dxa"/>
          <w:right w:w="0" w:type="dxa"/>
        </w:tblCellMar>
      </w:tblPr>
      <w:tblGrid>
        <w:gridCol w:w="237"/>
        <w:gridCol w:w="9968"/>
      </w:tblGrid>
      <w:tr>
        <w:trPr/>
        <w:tc>
          <w:tcPr>
            <w:tcW w:w="237" w:type="dxa"/>
            <w:tcBorders/>
            <w:shd w:fill="auto" w:val="clear"/>
          </w:tcPr>
          <w:p>
            <w:pPr>
              <w:pStyle w:val="TableContents"/>
              <w:spacing w:before="0" w:after="283"/>
              <w:jc w:val="both"/>
              <w:rPr>
                <w:rFonts w:ascii="Times New Roman" w:hAnsi="Times New Roman"/>
                <w:b/>
                <w:sz w:val="20"/>
              </w:rPr>
            </w:pPr>
            <w:r>
              <w:rPr>
                <w:rFonts w:ascii="Times New Roman" w:hAnsi="Times New Roman"/>
                <w:b/>
                <w:sz w:val="20"/>
              </w:rPr>
              <w:t xml:space="preserve">13.  </w:t>
            </w:r>
          </w:p>
        </w:tc>
        <w:tc>
          <w:tcPr>
            <w:tcW w:w="9968" w:type="dxa"/>
            <w:tcBorders/>
            <w:shd w:fill="auto" w:val="clear"/>
          </w:tcPr>
          <w:p>
            <w:pPr>
              <w:pStyle w:val="TableContents"/>
              <w:spacing w:before="0" w:after="283"/>
              <w:jc w:val="both"/>
              <w:rPr>
                <w:rFonts w:ascii="Times New Roman" w:hAnsi="Times New Roman"/>
                <w:b/>
                <w:sz w:val="20"/>
              </w:rPr>
            </w:pPr>
            <w:r>
              <w:rPr>
                <w:rFonts w:ascii="Times New Roman" w:hAnsi="Times New Roman"/>
                <w:b/>
                <w:sz w:val="20"/>
              </w:rPr>
              <w:t>Can I receive future proxy statements, annual reports and certain other stockholder information in a single package per household?</w:t>
            </w:r>
          </w:p>
        </w:tc>
      </w:tr>
    </w:tbl>
    <w:p>
      <w:pPr>
        <w:pStyle w:val="TextBody"/>
        <w:jc w:val="both"/>
        <w:rPr>
          <w:rFonts w:ascii="Times New Roman" w:hAnsi="Times New Roman"/>
          <w:sz w:val="20"/>
        </w:rPr>
      </w:pPr>
      <w:r>
        <w:rPr>
          <w:rFonts w:ascii="Times New Roman" w:hAnsi="Times New Roman"/>
          <w:sz w:val="20"/>
        </w:rPr>
        <w:t>If your household received more than one copy of the Companys Annual Report on Form 10-K and Proxy Statement, and you wish to reduce the number you receive, check the yes box on the enclosed proxy card next to the statement Please indicate if you consent to receive certain future investor communications in a single package per household. By checking this box, you are consenting to the mailing of proxy statements, annual reports and certain other stockholder information in a single package per household. Please note that each registered stockholder in your household will need to consent to this option in order for the household delivery to take effect for such stockholders mailings. The Company will continue to separately mail a proxy card for each registered stockholder account.</w:t>
      </w:r>
    </w:p>
    <w:p>
      <w:pPr>
        <w:pStyle w:val="TextBody"/>
        <w:jc w:val="center"/>
        <w:rPr>
          <w:rFonts w:ascii="Times New Roman" w:hAnsi="Times New Roman"/>
          <w:sz w:val="20"/>
        </w:rPr>
      </w:pPr>
      <w:r>
        <w:rPr>
          <w:rFonts w:ascii="Times New Roman" w:hAnsi="Times New Roman"/>
          <w:sz w:val="20"/>
        </w:rPr>
        <w:t>4</w:t>
      </w:r>
    </w:p>
    <w:p>
      <w:pPr>
        <w:pStyle w:val="HorizontalLine"/>
        <w:pBdr>
          <w:bottom w:val="single" w:sz="12" w:space="0" w:color="808080"/>
        </w:pBdr>
        <w:rPr/>
      </w:pPr>
      <w:r>
        <w:rPr/>
      </w:r>
    </w:p>
    <w:p>
      <w:pPr>
        <w:pStyle w:val="TextBody"/>
        <w:rPr/>
      </w:pPr>
      <w:r>
        <w:rPr/>
      </w:r>
    </w:p>
    <w:p>
      <w:pPr>
        <w:pStyle w:val="TextBody"/>
        <w:jc w:val="both"/>
        <w:rPr>
          <w:rFonts w:ascii="Times New Roman" w:hAnsi="Times New Roman"/>
          <w:sz w:val="20"/>
        </w:rPr>
      </w:pPr>
      <w:r>
        <w:rPr>
          <w:rFonts w:ascii="Times New Roman" w:hAnsi="Times New Roman"/>
          <w:sz w:val="20"/>
        </w:rPr>
        <w:t>You may revoke your consent at any time by calling 800-542-1061 or writing to Broadridge Financial Solution, Attn: Householding Department, 51 Mercedes Way, Edgewood, NY 11717. If you revoke your consent, the Company will begin sending you individual copies of these documents within 30 days after receipt of your revocation notice.</w:t>
      </w:r>
    </w:p>
    <w:p>
      <w:pPr>
        <w:pStyle w:val="TextBody"/>
        <w:jc w:val="both"/>
        <w:rPr>
          <w:rFonts w:ascii="Times New Roman" w:hAnsi="Times New Roman"/>
          <w:b/>
          <w:sz w:val="20"/>
        </w:rPr>
      </w:pPr>
      <w:r>
        <w:rPr>
          <w:rFonts w:ascii="Times New Roman" w:hAnsi="Times New Roman"/>
          <w:b/>
          <w:sz w:val="20"/>
        </w:rPr>
        <w:t>14. How is the Company complying with the SECs e-proxy rules?</w:t>
      </w:r>
    </w:p>
    <w:p>
      <w:pPr>
        <w:pStyle w:val="TextBody"/>
        <w:jc w:val="both"/>
        <w:rPr>
          <w:rFonts w:ascii="Times New Roman" w:hAnsi="Times New Roman"/>
          <w:sz w:val="20"/>
        </w:rPr>
      </w:pPr>
      <w:r>
        <w:rPr>
          <w:rFonts w:ascii="Times New Roman" w:hAnsi="Times New Roman"/>
          <w:sz w:val="20"/>
        </w:rPr>
        <w:t>Pursuant to e-proxy rules adopted by the SEC, we are providing access to this Proxy Statement and our Annual Report on Form 10-K (collectively, proxy materials) by sending you this full set of proxy materials as well as a proxy card and by notifying you of the availability of our proxy materials on the Internet. SEC rules allow companies to avoid sending to their stockholders paper copies of their proxy materials if, instead, they furnish the proxy materials over the Internet and mail to their stockholders a Notice of Internet Availability of Proxy Materials. Companies, however, are not required to use a Notice of Internet Availability of Proxy Materials under e-proxy rules and, in lieu of doing so, may continue to send stockholders a full set of their proxy materials. In connection with the 2013 Annual Meeting, we have elected to continue using the full-set delivery option; however, any stockholder who has previously consented to receive electronic delivery of proxy materials will continue to receive the materials electronically. We plan to continue to monitor cost, stockholder participation and similar considerations as we assess the available options for distribution of our proxy materials in connection with future stockholder meetings.</w:t>
      </w:r>
    </w:p>
    <w:p>
      <w:pPr>
        <w:pStyle w:val="TextBody"/>
        <w:jc w:val="both"/>
        <w:rPr>
          <w:rFonts w:ascii="Times New Roman" w:hAnsi="Times New Roman"/>
          <w:b/>
          <w:sz w:val="20"/>
        </w:rPr>
      </w:pPr>
      <w:r>
        <w:rPr>
          <w:rFonts w:ascii="Times New Roman" w:hAnsi="Times New Roman"/>
          <w:b/>
          <w:sz w:val="20"/>
        </w:rPr>
        <w:t>15. Who may solicit proxies?</w:t>
      </w:r>
    </w:p>
    <w:p>
      <w:pPr>
        <w:pStyle w:val="TextBody"/>
        <w:jc w:val="both"/>
        <w:rPr>
          <w:rFonts w:ascii="Times New Roman" w:hAnsi="Times New Roman"/>
          <w:sz w:val="20"/>
        </w:rPr>
      </w:pPr>
      <w:r>
        <w:rPr>
          <w:rFonts w:ascii="Times New Roman" w:hAnsi="Times New Roman"/>
          <w:sz w:val="20"/>
        </w:rPr>
        <w:t>Our directors, officers and employees may solicit proxies on behalf of our Board of Directors via mail, telephone, facsimile, e-mail and personal contact. Our directors, officers and employees will receive no additional compensation for soliciting proxies.</w:t>
      </w:r>
    </w:p>
    <w:p>
      <w:pPr>
        <w:pStyle w:val="TextBody"/>
        <w:jc w:val="both"/>
        <w:rPr>
          <w:rFonts w:ascii="Times New Roman" w:hAnsi="Times New Roman"/>
          <w:b/>
          <w:sz w:val="20"/>
        </w:rPr>
      </w:pPr>
      <w:r>
        <w:rPr>
          <w:rFonts w:ascii="Times New Roman" w:hAnsi="Times New Roman"/>
          <w:b/>
          <w:sz w:val="20"/>
        </w:rPr>
        <w:t>16. Who pays for the cost of this proxy solicitation?</w:t>
      </w:r>
    </w:p>
    <w:p>
      <w:pPr>
        <w:pStyle w:val="TextBody"/>
        <w:jc w:val="both"/>
        <w:rPr>
          <w:rFonts w:ascii="Times New Roman" w:hAnsi="Times New Roman"/>
          <w:sz w:val="20"/>
        </w:rPr>
      </w:pPr>
      <w:r>
        <w:rPr>
          <w:rFonts w:ascii="Times New Roman" w:hAnsi="Times New Roman"/>
          <w:sz w:val="20"/>
        </w:rPr>
        <w:t>We will bear the cost of this proxy solicitation, including reimbursing banks, brokers and other nominees for reasonable expenses of sending out proxy materials to beneficial stockholders.</w:t>
      </w:r>
    </w:p>
    <w:p>
      <w:pPr>
        <w:pStyle w:val="TextBody"/>
        <w:jc w:val="both"/>
        <w:rPr>
          <w:rFonts w:ascii="Times New Roman" w:hAnsi="Times New Roman"/>
          <w:b/>
          <w:sz w:val="20"/>
        </w:rPr>
      </w:pPr>
      <w:r>
        <w:rPr>
          <w:rFonts w:ascii="Times New Roman" w:hAnsi="Times New Roman"/>
          <w:b/>
          <w:sz w:val="20"/>
        </w:rPr>
        <w:t>17. Why did I receive more than one package of proxy materials?</w:t>
      </w:r>
    </w:p>
    <w:p>
      <w:pPr>
        <w:pStyle w:val="TextBody"/>
        <w:jc w:val="both"/>
        <w:rPr>
          <w:rFonts w:ascii="Times New Roman" w:hAnsi="Times New Roman"/>
          <w:sz w:val="20"/>
        </w:rPr>
      </w:pPr>
      <w:r>
        <w:rPr>
          <w:rFonts w:ascii="Times New Roman" w:hAnsi="Times New Roman"/>
          <w:sz w:val="20"/>
        </w:rPr>
        <w:t>This means that you have multiple accounts holding shares of Common Stock or Class B Stock. These may include accounts with our transfer agent, Computershare Investor Services,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p>
      <w:pPr>
        <w:pStyle w:val="TextBody"/>
        <w:jc w:val="both"/>
        <w:rPr>
          <w:rFonts w:ascii="Times New Roman" w:hAnsi="Times New Roman"/>
          <w:b/>
          <w:sz w:val="20"/>
        </w:rPr>
      </w:pPr>
      <w:r>
        <w:rPr>
          <w:rFonts w:ascii="Times New Roman" w:hAnsi="Times New Roman"/>
          <w:b/>
          <w:sz w:val="20"/>
        </w:rPr>
        <w:t>18. What if I have additional questions not addressed here?</w:t>
      </w:r>
    </w:p>
    <w:p>
      <w:pPr>
        <w:pStyle w:val="TextBody"/>
        <w:jc w:val="both"/>
        <w:rPr>
          <w:rFonts w:ascii="Times New Roman" w:hAnsi="Times New Roman"/>
          <w:sz w:val="20"/>
        </w:rPr>
      </w:pPr>
      <w:r>
        <w:rPr>
          <w:rFonts w:ascii="Times New Roman" w:hAnsi="Times New Roman"/>
          <w:sz w:val="20"/>
        </w:rPr>
        <w:t>You may call Investor Relations at (312) 321-1515, or e-mail Investor Relations at info@oildri.com.</w:t>
      </w:r>
    </w:p>
    <w:p>
      <w:pPr>
        <w:pStyle w:val="TextBody"/>
        <w:jc w:val="center"/>
        <w:rPr>
          <w:rFonts w:ascii="Times New Roman" w:hAnsi="Times New Roman"/>
          <w:sz w:val="20"/>
        </w:rPr>
      </w:pPr>
      <w:r>
        <w:rPr>
          <w:rFonts w:ascii="Times New Roman" w:hAnsi="Times New Roman"/>
          <w:sz w:val="20"/>
        </w:rPr>
        <w:t>5</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rPr>
      </w:pPr>
      <w:r>
        <w:rPr>
          <w:rFonts w:ascii="Times New Roman" w:hAnsi="Times New Roman"/>
          <w:b/>
        </w:rPr>
        <w:t>PROPOSALS</w:t>
      </w:r>
    </w:p>
    <w:p>
      <w:pPr>
        <w:pStyle w:val="TextBody"/>
        <w:jc w:val="center"/>
        <w:rPr>
          <w:rFonts w:ascii="Times New Roman" w:hAnsi="Times New Roman"/>
          <w:b/>
          <w:sz w:val="20"/>
        </w:rPr>
      </w:pPr>
      <w:r>
        <w:rPr>
          <w:rFonts w:ascii="Times New Roman" w:hAnsi="Times New Roman"/>
          <w:b/>
          <w:sz w:val="20"/>
        </w:rPr>
        <w:t>1. Election of Directors</w:t>
      </w:r>
    </w:p>
    <w:p>
      <w:pPr>
        <w:pStyle w:val="TextBody"/>
        <w:jc w:val="both"/>
        <w:rPr/>
      </w:pPr>
      <w:r>
        <w:rPr/>
        <w:t xml:space="preserve">     </w:t>
      </w:r>
      <w:r>
        <w:rPr>
          <w:rFonts w:ascii="Times New Roman" w:hAnsi="Times New Roman"/>
          <w:sz w:val="20"/>
        </w:rPr>
        <w:t>The Company proposes that the following eight individuals be elected to our Board of Directors. Each nominee currently serves as a director. In connection with the nominations of Richard M. Jaffee, J. Steven Cole and Allan H. Selig, our Board of Directors, as permitted under our Corporate Governance Guidelines, waived our age 75 service limit, as described under Corporate Governance Matters  Director Nominations below. If any nominee should be unable or unwilling to serve, which is not now contemplated, the proxy holders may, but will not be bound to, vote for a substitute nominee.</w:t>
      </w:r>
    </w:p>
    <w:p>
      <w:pPr>
        <w:pStyle w:val="TextBody"/>
        <w:jc w:val="center"/>
        <w:rPr>
          <w:rFonts w:ascii="Times New Roman" w:hAnsi="Times New Roman"/>
          <w:b/>
          <w:sz w:val="20"/>
        </w:rPr>
      </w:pPr>
      <w:r>
        <w:rPr>
          <w:rFonts w:ascii="Times New Roman" w:hAnsi="Times New Roman"/>
          <w:b/>
          <w:sz w:val="20"/>
        </w:rPr>
        <w:t>THE BOARD OF DIRECTORS RECOMMENDS A VOTE FOR</w:t>
        <w:br/>
        <w:t>THE ELECTION OF THE FOLLOWING NOMINEES AS DIRECTORS.</w:t>
      </w:r>
    </w:p>
    <w:tbl>
      <w:tblPr>
        <w:tblW w:w="5000" w:type="pct"/>
        <w:jc w:val="left"/>
        <w:tblInd w:w="0" w:type="dxa"/>
        <w:tblCellMar>
          <w:top w:w="0" w:type="dxa"/>
          <w:left w:w="0" w:type="dxa"/>
          <w:bottom w:w="0" w:type="dxa"/>
          <w:right w:w="0" w:type="dxa"/>
        </w:tblCellMar>
      </w:tblPr>
      <w:tblGrid>
        <w:gridCol w:w="1907"/>
        <w:gridCol w:w="265"/>
        <w:gridCol w:w="3245"/>
        <w:gridCol w:w="1492"/>
        <w:gridCol w:w="3296"/>
      </w:tblGrid>
      <w:tr>
        <w:trPr/>
        <w:tc>
          <w:tcPr>
            <w:tcW w:w="1907" w:type="dxa"/>
            <w:vMerge w:val="restart"/>
            <w:tcBorders/>
            <w:shd w:fill="auto" w:val="clear"/>
          </w:tcPr>
          <w:p>
            <w:pPr>
              <w:pStyle w:val="TableContents"/>
              <w:spacing w:before="0" w:after="283"/>
              <w:jc w:val="left"/>
              <w:rPr/>
            </w:pPr>
            <w:r>
              <w:rPr/>
              <w:drawing>
                <wp:inline distT="0" distB="0" distL="0" distR="0">
                  <wp:extent cx="1209675" cy="1809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09675" cy="1809750"/>
                          </a:xfrm>
                          <a:prstGeom prst="rect">
                            <a:avLst/>
                          </a:prstGeom>
                        </pic:spPr>
                      </pic:pic>
                    </a:graphicData>
                  </a:graphic>
                </wp:inline>
              </w:drawing>
            </w:r>
          </w:p>
        </w:tc>
        <w:tc>
          <w:tcPr>
            <w:tcW w:w="265" w:type="dxa"/>
            <w:vMerge w:val="restart"/>
            <w:tcBorders/>
            <w:shd w:fill="auto" w:val="clear"/>
          </w:tcPr>
          <w:p>
            <w:pPr>
              <w:pStyle w:val="TableContents"/>
              <w:spacing w:before="0" w:after="283"/>
              <w:jc w:val="left"/>
              <w:rPr/>
            </w:pPr>
            <w:r>
              <w:rPr/>
              <w:t xml:space="preserve">    </w:t>
            </w:r>
          </w:p>
        </w:tc>
        <w:tc>
          <w:tcPr>
            <w:tcW w:w="324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Richard M. Jaffee</w:t>
            </w:r>
          </w:p>
        </w:tc>
        <w:tc>
          <w:tcPr>
            <w:tcW w:w="1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Age 77</w:t>
            </w:r>
          </w:p>
        </w:tc>
        <w:tc>
          <w:tcPr>
            <w:tcW w:w="32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Director since 1958</w:t>
            </w:r>
          </w:p>
        </w:tc>
      </w:tr>
      <w:tr>
        <w:trPr/>
        <w:tc>
          <w:tcPr>
            <w:tcW w:w="1907" w:type="dxa"/>
            <w:vMerge w:val="continue"/>
            <w:tcBorders/>
            <w:shd w:fill="auto" w:val="clear"/>
          </w:tcPr>
          <w:p>
            <w:pPr>
              <w:pStyle w:val="Normal"/>
              <w:rPr/>
            </w:pPr>
            <w:r>
              <w:rPr/>
            </w:r>
          </w:p>
        </w:tc>
        <w:tc>
          <w:tcPr>
            <w:tcW w:w="265" w:type="dxa"/>
            <w:vMerge w:val="continue"/>
            <w:tcBorders/>
            <w:shd w:fill="auto" w:val="clear"/>
          </w:tcPr>
          <w:p>
            <w:pPr>
              <w:pStyle w:val="Normal"/>
              <w:rPr/>
            </w:pPr>
            <w:r>
              <w:rPr/>
            </w:r>
          </w:p>
        </w:tc>
        <w:tc>
          <w:tcPr>
            <w:tcW w:w="3245" w:type="dxa"/>
            <w:tcBorders/>
            <w:shd w:fill="auto" w:val="clear"/>
          </w:tcPr>
          <w:p>
            <w:pPr>
              <w:pStyle w:val="TableContents"/>
              <w:spacing w:before="0" w:after="283"/>
              <w:jc w:val="left"/>
              <w:rPr/>
            </w:pPr>
            <w:r>
              <w:rPr/>
              <w:t> </w:t>
            </w:r>
          </w:p>
        </w:tc>
        <w:tc>
          <w:tcPr>
            <w:tcW w:w="1492" w:type="dxa"/>
            <w:tcBorders/>
            <w:shd w:fill="auto" w:val="clear"/>
          </w:tcPr>
          <w:p>
            <w:pPr>
              <w:pStyle w:val="TableContents"/>
              <w:spacing w:before="0" w:after="283"/>
              <w:rPr>
                <w:sz w:val="4"/>
                <w:szCs w:val="4"/>
              </w:rPr>
            </w:pPr>
            <w:r>
              <w:rPr>
                <w:sz w:val="4"/>
                <w:szCs w:val="4"/>
              </w:rPr>
            </w:r>
          </w:p>
        </w:tc>
        <w:tc>
          <w:tcPr>
            <w:tcW w:w="3296" w:type="dxa"/>
            <w:tcBorders/>
            <w:shd w:fill="auto" w:val="clear"/>
          </w:tcPr>
          <w:p>
            <w:pPr>
              <w:pStyle w:val="TableContents"/>
              <w:spacing w:before="0" w:after="283"/>
              <w:rPr>
                <w:sz w:val="4"/>
                <w:szCs w:val="4"/>
              </w:rPr>
            </w:pPr>
            <w:r>
              <w:rPr>
                <w:sz w:val="4"/>
                <w:szCs w:val="4"/>
              </w:rPr>
            </w:r>
          </w:p>
        </w:tc>
      </w:tr>
      <w:tr>
        <w:trPr/>
        <w:tc>
          <w:tcPr>
            <w:tcW w:w="1907" w:type="dxa"/>
            <w:vMerge w:val="continue"/>
            <w:tcBorders/>
            <w:shd w:fill="auto" w:val="clear"/>
          </w:tcPr>
          <w:p>
            <w:pPr>
              <w:pStyle w:val="Normal"/>
              <w:rPr/>
            </w:pPr>
            <w:r>
              <w:rPr/>
            </w:r>
          </w:p>
        </w:tc>
        <w:tc>
          <w:tcPr>
            <w:tcW w:w="265" w:type="dxa"/>
            <w:vMerge w:val="continue"/>
            <w:tcBorders/>
            <w:shd w:fill="auto" w:val="clear"/>
          </w:tcPr>
          <w:p>
            <w:pPr>
              <w:pStyle w:val="Normal"/>
              <w:rPr/>
            </w:pPr>
            <w:r>
              <w:rPr/>
            </w:r>
          </w:p>
        </w:tc>
        <w:tc>
          <w:tcPr>
            <w:tcW w:w="8033" w:type="dxa"/>
            <w:gridSpan w:val="3"/>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Chairman of the Board of the Company</w:t>
            </w:r>
          </w:p>
        </w:tc>
      </w:tr>
      <w:tr>
        <w:trPr/>
        <w:tc>
          <w:tcPr>
            <w:tcW w:w="1907" w:type="dxa"/>
            <w:vMerge w:val="continue"/>
            <w:tcBorders/>
            <w:shd w:fill="auto" w:val="clear"/>
          </w:tcPr>
          <w:p>
            <w:pPr>
              <w:pStyle w:val="Normal"/>
              <w:rPr/>
            </w:pPr>
            <w:r>
              <w:rPr/>
            </w:r>
          </w:p>
        </w:tc>
        <w:tc>
          <w:tcPr>
            <w:tcW w:w="265" w:type="dxa"/>
            <w:vMerge w:val="continue"/>
            <w:tcBorders/>
            <w:shd w:fill="auto" w:val="clear"/>
          </w:tcPr>
          <w:p>
            <w:pPr>
              <w:pStyle w:val="Normal"/>
              <w:rPr/>
            </w:pPr>
            <w:r>
              <w:rPr/>
            </w:r>
          </w:p>
        </w:tc>
        <w:tc>
          <w:tcPr>
            <w:tcW w:w="3245" w:type="dxa"/>
            <w:tcBorders/>
            <w:shd w:fill="auto" w:val="clear"/>
          </w:tcPr>
          <w:p>
            <w:pPr>
              <w:pStyle w:val="TableContents"/>
              <w:spacing w:before="0" w:after="283"/>
              <w:jc w:val="left"/>
              <w:rPr/>
            </w:pPr>
            <w:r>
              <w:rPr/>
              <w:t> </w:t>
            </w:r>
          </w:p>
        </w:tc>
        <w:tc>
          <w:tcPr>
            <w:tcW w:w="1492" w:type="dxa"/>
            <w:tcBorders/>
            <w:shd w:fill="auto" w:val="clear"/>
          </w:tcPr>
          <w:p>
            <w:pPr>
              <w:pStyle w:val="TableContents"/>
              <w:spacing w:before="0" w:after="283"/>
              <w:rPr>
                <w:sz w:val="4"/>
                <w:szCs w:val="4"/>
              </w:rPr>
            </w:pPr>
            <w:r>
              <w:rPr>
                <w:sz w:val="4"/>
                <w:szCs w:val="4"/>
              </w:rPr>
            </w:r>
          </w:p>
        </w:tc>
        <w:tc>
          <w:tcPr>
            <w:tcW w:w="3296" w:type="dxa"/>
            <w:tcBorders/>
            <w:shd w:fill="auto" w:val="clear"/>
          </w:tcPr>
          <w:p>
            <w:pPr>
              <w:pStyle w:val="TableContents"/>
              <w:spacing w:before="0" w:after="283"/>
              <w:rPr>
                <w:sz w:val="4"/>
                <w:szCs w:val="4"/>
              </w:rPr>
            </w:pPr>
            <w:r>
              <w:rPr>
                <w:sz w:val="4"/>
                <w:szCs w:val="4"/>
              </w:rPr>
            </w:r>
          </w:p>
        </w:tc>
      </w:tr>
      <w:tr>
        <w:trPr/>
        <w:tc>
          <w:tcPr>
            <w:tcW w:w="1907" w:type="dxa"/>
            <w:vMerge w:val="continue"/>
            <w:tcBorders/>
            <w:shd w:fill="auto" w:val="clear"/>
          </w:tcPr>
          <w:p>
            <w:pPr>
              <w:pStyle w:val="Normal"/>
              <w:rPr/>
            </w:pPr>
            <w:r>
              <w:rPr/>
            </w:r>
          </w:p>
        </w:tc>
        <w:tc>
          <w:tcPr>
            <w:tcW w:w="265" w:type="dxa"/>
            <w:tcBorders/>
            <w:shd w:fill="auto" w:val="clear"/>
          </w:tcPr>
          <w:p>
            <w:pPr>
              <w:pStyle w:val="TableContents"/>
              <w:spacing w:before="0" w:after="283"/>
              <w:rPr>
                <w:sz w:val="4"/>
                <w:szCs w:val="4"/>
              </w:rPr>
            </w:pPr>
            <w:r>
              <w:rPr>
                <w:sz w:val="4"/>
                <w:szCs w:val="4"/>
              </w:rPr>
            </w:r>
          </w:p>
        </w:tc>
        <w:tc>
          <w:tcPr>
            <w:tcW w:w="8033"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Jaffee received a degree from the University Of Wisconsin School Of Business in 1957. He received an honorary Doctor of Humane Letters degree from the Illinois Institute of Technology in 2001 and an honorary Doctor of Humane Letters degree from Rush University in 2013. He earned his CPA certificate from the State of Illinois in 1957 and worked briefly for the public accounting firm of Touche Niven, et al. After service as an officer in the United States Army, he joined the Company in 1958, becoming its president in 1960, a position he held until 1995. He served as Chief Executive Officer of the Company from 1962 until 1997. Mr. Jaffee retired as an employee of the Company in 2001. He has served as Chairman of the Board of the Company since 1962. Mr. Jaffee served as director of Harris Financial Corp., a subsidiary of Bank of Montreal, until his retirement from that board in May 2006. Harris Financial Corp. provides banking and related services to the Company on customary terms. From January 2008 to November 2013, Mr. Jaffee served as Chairman of the Board of Trustees of Rush University Medical Center and Chairman of its Executive Committee. He continues to serve on the Board of Trustees, the Executive Committee and other Rush board committees. He is a life trustee of the Illinois Institute of Technology, the Museum of Science and Industry and the Chicago History Museum. Mr. Jaffee has served on an SEC advisory committee on smaller public companies and on an advisory committee to the Chicago Federal Reserve. Mr. Jaffee is the father of Daniel S. Jaffee, who is a director and our President and Chief Executive Officer and who is also a nominee for director. Mr. Jaffee is also the father-in-law of Thomas F. Cofsky, one of our executive officers.</w:t>
            </w:r>
          </w:p>
        </w:tc>
      </w:tr>
    </w:tbl>
    <w:p>
      <w:pPr>
        <w:pStyle w:val="TextBody"/>
        <w:rPr/>
      </w:pPr>
      <w:r>
        <w:rPr/>
      </w:r>
    </w:p>
    <w:p>
      <w:pPr>
        <w:pStyle w:val="TextBody"/>
        <w:jc w:val="both"/>
        <w:rPr>
          <w:rFonts w:ascii="Times New Roman" w:hAnsi="Times New Roman"/>
          <w:sz w:val="20"/>
        </w:rPr>
      </w:pPr>
      <w:r>
        <w:rPr>
          <w:rFonts w:ascii="Times New Roman" w:hAnsi="Times New Roman"/>
          <w:sz w:val="20"/>
        </w:rPr>
        <w:t>Mr. Jaffee brings to our Board of Directors more than 50 years of experience with the Company. He therefore has significant knowledge of all aspects of the Companys business and the sorbent minerals industry. Mr. Jaffee also has had extensive experience in compliance with securities law and regulations. He was Chief Executive Officer of the Company at the time of its initial public offering and until 1997. He has also served on advisory committees to the SEC and the Chicago Federal Reserve. In his current roles with the Board of Trustees of Rush University Medical Center, he continues to be involved in board governance and oversight.</w:t>
      </w:r>
    </w:p>
    <w:p>
      <w:pPr>
        <w:pStyle w:val="TextBody"/>
        <w:jc w:val="center"/>
        <w:rPr>
          <w:rFonts w:ascii="Times New Roman" w:hAnsi="Times New Roman"/>
          <w:sz w:val="20"/>
        </w:rPr>
      </w:pPr>
      <w:r>
        <w:rPr>
          <w:rFonts w:ascii="Times New Roman" w:hAnsi="Times New Roman"/>
          <w:sz w:val="20"/>
        </w:rPr>
        <w:t>6</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069"/>
        <w:gridCol w:w="194"/>
        <w:gridCol w:w="3720"/>
        <w:gridCol w:w="1810"/>
        <w:gridCol w:w="2412"/>
      </w:tblGrid>
      <w:tr>
        <w:trPr/>
        <w:tc>
          <w:tcPr>
            <w:tcW w:w="2069" w:type="dxa"/>
            <w:vMerge w:val="restart"/>
            <w:tcBorders/>
            <w:shd w:fill="auto" w:val="clear"/>
          </w:tcPr>
          <w:p>
            <w:pPr>
              <w:pStyle w:val="TableContents"/>
              <w:spacing w:before="0" w:after="283"/>
              <w:jc w:val="left"/>
              <w:rPr/>
            </w:pPr>
            <w:r>
              <w:rPr/>
              <w:drawing>
                <wp:inline distT="0" distB="0" distL="0" distR="0">
                  <wp:extent cx="1314450" cy="1819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14450" cy="1819275"/>
                          </a:xfrm>
                          <a:prstGeom prst="rect">
                            <a:avLst/>
                          </a:prstGeom>
                        </pic:spPr>
                      </pic:pic>
                    </a:graphicData>
                  </a:graphic>
                </wp:inline>
              </w:drawing>
            </w:r>
          </w:p>
        </w:tc>
        <w:tc>
          <w:tcPr>
            <w:tcW w:w="194" w:type="dxa"/>
            <w:vMerge w:val="restart"/>
            <w:tcBorders/>
            <w:shd w:fill="auto" w:val="clear"/>
          </w:tcPr>
          <w:p>
            <w:pPr>
              <w:pStyle w:val="TableContents"/>
              <w:spacing w:before="0" w:after="283"/>
              <w:jc w:val="left"/>
              <w:rPr/>
            </w:pPr>
            <w:r>
              <w:rPr/>
              <w:t xml:space="preserve">    </w:t>
            </w:r>
          </w:p>
        </w:tc>
        <w:tc>
          <w:tcPr>
            <w:tcW w:w="372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181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Age 49</w:t>
            </w:r>
          </w:p>
        </w:tc>
        <w:tc>
          <w:tcPr>
            <w:tcW w:w="24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Director since 1992</w:t>
            </w:r>
          </w:p>
        </w:tc>
      </w:tr>
      <w:tr>
        <w:trPr/>
        <w:tc>
          <w:tcPr>
            <w:tcW w:w="2069" w:type="dxa"/>
            <w:vMerge w:val="continue"/>
            <w:tcBorders/>
            <w:shd w:fill="auto" w:val="clear"/>
          </w:tcPr>
          <w:p>
            <w:pPr>
              <w:pStyle w:val="Normal"/>
              <w:rPr/>
            </w:pPr>
            <w:r>
              <w:rPr/>
            </w:r>
          </w:p>
        </w:tc>
        <w:tc>
          <w:tcPr>
            <w:tcW w:w="194" w:type="dxa"/>
            <w:vMerge w:val="continue"/>
            <w:tcBorders/>
            <w:shd w:fill="auto" w:val="clear"/>
          </w:tcPr>
          <w:p>
            <w:pPr>
              <w:pStyle w:val="Normal"/>
              <w:rPr/>
            </w:pPr>
            <w:r>
              <w:rPr/>
            </w:r>
          </w:p>
        </w:tc>
        <w:tc>
          <w:tcPr>
            <w:tcW w:w="5530" w:type="dxa"/>
            <w:gridSpan w:val="2"/>
            <w:tcBorders/>
            <w:shd w:fill="auto" w:val="clear"/>
            <w:vAlign w:val="center"/>
          </w:tcPr>
          <w:p>
            <w:pPr>
              <w:pStyle w:val="TableContents"/>
              <w:spacing w:before="0" w:after="283"/>
              <w:jc w:val="left"/>
              <w:rPr/>
            </w:pPr>
            <w:r>
              <w:rPr/>
              <w:t> </w:t>
            </w:r>
          </w:p>
        </w:tc>
        <w:tc>
          <w:tcPr>
            <w:tcW w:w="2412" w:type="dxa"/>
            <w:tcBorders/>
            <w:shd w:fill="auto" w:val="clear"/>
            <w:vAlign w:val="center"/>
          </w:tcPr>
          <w:p>
            <w:pPr>
              <w:pStyle w:val="TableContents"/>
              <w:spacing w:before="0" w:after="283"/>
              <w:rPr>
                <w:sz w:val="4"/>
                <w:szCs w:val="4"/>
              </w:rPr>
            </w:pPr>
            <w:r>
              <w:rPr>
                <w:sz w:val="4"/>
                <w:szCs w:val="4"/>
              </w:rPr>
            </w:r>
          </w:p>
        </w:tc>
      </w:tr>
      <w:tr>
        <w:trPr/>
        <w:tc>
          <w:tcPr>
            <w:tcW w:w="2069" w:type="dxa"/>
            <w:vMerge w:val="continue"/>
            <w:tcBorders/>
            <w:shd w:fill="auto" w:val="clear"/>
          </w:tcPr>
          <w:p>
            <w:pPr>
              <w:pStyle w:val="Normal"/>
              <w:rPr/>
            </w:pPr>
            <w:r>
              <w:rPr/>
            </w:r>
          </w:p>
        </w:tc>
        <w:tc>
          <w:tcPr>
            <w:tcW w:w="194" w:type="dxa"/>
            <w:vMerge w:val="continue"/>
            <w:tcBorders/>
            <w:shd w:fill="auto" w:val="clear"/>
          </w:tcPr>
          <w:p>
            <w:pPr>
              <w:pStyle w:val="Normal"/>
              <w:rPr/>
            </w:pPr>
            <w:r>
              <w:rPr/>
            </w:r>
          </w:p>
        </w:tc>
        <w:tc>
          <w:tcPr>
            <w:tcW w:w="5530" w:type="dxa"/>
            <w:gridSpan w:val="2"/>
            <w:tcBorders/>
            <w:shd w:fill="auto" w:val="clear"/>
            <w:vAlign w:val="bottom"/>
          </w:tcPr>
          <w:p>
            <w:pPr>
              <w:pStyle w:val="TableContents"/>
              <w:spacing w:before="0" w:after="283"/>
              <w:jc w:val="both"/>
              <w:rPr>
                <w:rFonts w:ascii="Times New Roman" w:hAnsi="Times New Roman"/>
                <w:i/>
                <w:sz w:val="20"/>
              </w:rPr>
            </w:pPr>
            <w:r>
              <w:rPr>
                <w:rFonts w:ascii="Times New Roman" w:hAnsi="Times New Roman"/>
                <w:i/>
                <w:sz w:val="20"/>
              </w:rPr>
              <w:t>President and Chief Executive Officer of the Company</w:t>
            </w:r>
          </w:p>
        </w:tc>
        <w:tc>
          <w:tcPr>
            <w:tcW w:w="2412" w:type="dxa"/>
            <w:tcBorders/>
            <w:shd w:fill="auto" w:val="clear"/>
            <w:vAlign w:val="bottom"/>
          </w:tcPr>
          <w:p>
            <w:pPr>
              <w:pStyle w:val="TableContents"/>
              <w:spacing w:before="0" w:after="283"/>
              <w:jc w:val="left"/>
              <w:rPr/>
            </w:pPr>
            <w:r>
              <w:rPr/>
              <w:t> </w:t>
            </w:r>
          </w:p>
        </w:tc>
      </w:tr>
      <w:tr>
        <w:trPr/>
        <w:tc>
          <w:tcPr>
            <w:tcW w:w="2069" w:type="dxa"/>
            <w:vMerge w:val="continue"/>
            <w:tcBorders/>
            <w:shd w:fill="auto" w:val="clear"/>
          </w:tcPr>
          <w:p>
            <w:pPr>
              <w:pStyle w:val="Normal"/>
              <w:rPr/>
            </w:pPr>
            <w:r>
              <w:rPr/>
            </w:r>
          </w:p>
        </w:tc>
        <w:tc>
          <w:tcPr>
            <w:tcW w:w="194" w:type="dxa"/>
            <w:vMerge w:val="continue"/>
            <w:tcBorders/>
            <w:shd w:fill="auto" w:val="clear"/>
          </w:tcPr>
          <w:p>
            <w:pPr>
              <w:pStyle w:val="Normal"/>
              <w:rPr/>
            </w:pPr>
            <w:r>
              <w:rPr/>
            </w:r>
          </w:p>
        </w:tc>
        <w:tc>
          <w:tcPr>
            <w:tcW w:w="5530" w:type="dxa"/>
            <w:gridSpan w:val="2"/>
            <w:tcBorders/>
            <w:shd w:fill="auto" w:val="clear"/>
            <w:vAlign w:val="center"/>
          </w:tcPr>
          <w:p>
            <w:pPr>
              <w:pStyle w:val="TableContents"/>
              <w:spacing w:before="0" w:after="283"/>
              <w:jc w:val="left"/>
              <w:rPr/>
            </w:pPr>
            <w:r>
              <w:rPr/>
              <w:t xml:space="preserve">  </w:t>
            </w:r>
          </w:p>
        </w:tc>
        <w:tc>
          <w:tcPr>
            <w:tcW w:w="2412" w:type="dxa"/>
            <w:tcBorders/>
            <w:shd w:fill="auto" w:val="clear"/>
            <w:vAlign w:val="center"/>
          </w:tcPr>
          <w:p>
            <w:pPr>
              <w:pStyle w:val="TableContents"/>
              <w:spacing w:before="0" w:after="283"/>
              <w:jc w:val="left"/>
              <w:rPr/>
            </w:pPr>
            <w:r>
              <w:rPr/>
              <w:t> </w:t>
            </w:r>
          </w:p>
        </w:tc>
      </w:tr>
      <w:tr>
        <w:trPr/>
        <w:tc>
          <w:tcPr>
            <w:tcW w:w="2069" w:type="dxa"/>
            <w:vMerge w:val="continue"/>
            <w:tcBorders/>
            <w:shd w:fill="auto" w:val="clear"/>
          </w:tcPr>
          <w:p>
            <w:pPr>
              <w:pStyle w:val="Normal"/>
              <w:rPr/>
            </w:pPr>
            <w:r>
              <w:rPr/>
            </w:r>
          </w:p>
        </w:tc>
        <w:tc>
          <w:tcPr>
            <w:tcW w:w="194" w:type="dxa"/>
            <w:vMerge w:val="continue"/>
            <w:tcBorders/>
            <w:shd w:fill="auto" w:val="clear"/>
          </w:tcPr>
          <w:p>
            <w:pPr>
              <w:pStyle w:val="Normal"/>
              <w:rPr/>
            </w:pPr>
            <w:r>
              <w:rPr/>
            </w:r>
          </w:p>
        </w:tc>
        <w:tc>
          <w:tcPr>
            <w:tcW w:w="7942"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Jaffee graduated from Georgetown University in 1986. Mr. Jaffee joined the Company in 1987 after a year with Price Waterhouse. He was a product manager in the Industrial and Agricultural divisions of the Company until 1989. In 1990, he became Chief Financial Officer of the Company, a position he held until 1995. From 1990 to 1995, he also held group vice presidential positions in the areas of Canadian and domestic operations, finance, management, information systems and consumer products. Mr. Jaffee became President of the Company in 1995 and Chief Executive Officer in 1997. He was Chief Operating Officer from 1995 to 1997. Mr. Jaffee received an M.B.A. from the Kellogg Graduate School of Management of Northwestern University in 2004. Mr. Jaffees civic activities include serving as a member of the Board of Directors of the Anti-Cruelty Society of Chicago and as a Trustee of the Chicago History Museum and involvement with Georgetown University. Mr. Jaffee is the son of Richard M. Jaffee, who is the Chairman of our Board of Directors and who is also a nominee for director. Mr. Jaffee is also the brother-in-law of Thomas F. Cofsky, one of our executive officers.</w:t>
            </w:r>
          </w:p>
        </w:tc>
      </w:tr>
      <w:tr>
        <w:trPr/>
        <w:tc>
          <w:tcPr>
            <w:tcW w:w="2069" w:type="dxa"/>
            <w:tcBorders/>
            <w:shd w:fill="auto" w:val="clear"/>
          </w:tcPr>
          <w:p>
            <w:pPr>
              <w:pStyle w:val="TableContents"/>
              <w:spacing w:before="0" w:after="283"/>
              <w:jc w:val="left"/>
              <w:rPr/>
            </w:pPr>
            <w:r>
              <w:rPr/>
              <w:t> </w:t>
            </w:r>
          </w:p>
        </w:tc>
        <w:tc>
          <w:tcPr>
            <w:tcW w:w="194" w:type="dxa"/>
            <w:tcBorders/>
            <w:shd w:fill="auto" w:val="clear"/>
          </w:tcPr>
          <w:p>
            <w:pPr>
              <w:pStyle w:val="TableContents"/>
              <w:spacing w:before="0" w:after="283"/>
              <w:jc w:val="left"/>
              <w:rPr/>
            </w:pPr>
            <w:r>
              <w:rPr/>
              <w:t> </w:t>
            </w:r>
          </w:p>
        </w:tc>
        <w:tc>
          <w:tcPr>
            <w:tcW w:w="7942" w:type="dxa"/>
            <w:gridSpan w:val="3"/>
            <w:tcBorders/>
            <w:shd w:fill="auto" w:val="clear"/>
          </w:tcPr>
          <w:p>
            <w:pPr>
              <w:pStyle w:val="TableContents"/>
              <w:spacing w:before="0" w:after="283"/>
              <w:rPr/>
            </w:pPr>
            <w:r>
              <w:rPr/>
              <w:t> </w:t>
            </w:r>
          </w:p>
        </w:tc>
      </w:tr>
      <w:tr>
        <w:trPr/>
        <w:tc>
          <w:tcPr>
            <w:tcW w:w="10205" w:type="dxa"/>
            <w:gridSpan w:val="5"/>
            <w:tcBorders/>
            <w:shd w:fill="auto" w:val="clear"/>
          </w:tcPr>
          <w:p>
            <w:pPr>
              <w:pStyle w:val="TableContents"/>
              <w:spacing w:before="0" w:after="283"/>
              <w:jc w:val="both"/>
              <w:rPr>
                <w:rFonts w:ascii="Times New Roman" w:hAnsi="Times New Roman"/>
                <w:sz w:val="20"/>
              </w:rPr>
            </w:pPr>
            <w:r>
              <w:rPr>
                <w:rFonts w:ascii="Times New Roman" w:hAnsi="Times New Roman"/>
                <w:sz w:val="20"/>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 generation family stockholder. In addition, he is actively involved in the local community in an advisory role for several not-for-profit organizations, adding to his perspective on effective management and strategy for the long-term success of the Company.</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024"/>
        <w:gridCol w:w="226"/>
        <w:gridCol w:w="3158"/>
        <w:gridCol w:w="1604"/>
        <w:gridCol w:w="3193"/>
      </w:tblGrid>
      <w:tr>
        <w:trPr/>
        <w:tc>
          <w:tcPr>
            <w:tcW w:w="2024" w:type="dxa"/>
            <w:vMerge w:val="restart"/>
            <w:tcBorders/>
            <w:shd w:fill="auto" w:val="clear"/>
          </w:tcPr>
          <w:p>
            <w:pPr>
              <w:pStyle w:val="TableContents"/>
              <w:spacing w:before="0" w:after="283"/>
              <w:jc w:val="left"/>
              <w:rPr/>
            </w:pPr>
            <w:r>
              <w:rPr/>
              <w:drawing>
                <wp:inline distT="0" distB="0" distL="0" distR="0">
                  <wp:extent cx="1266825" cy="1819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6825" cy="1819275"/>
                          </a:xfrm>
                          <a:prstGeom prst="rect">
                            <a:avLst/>
                          </a:prstGeom>
                        </pic:spPr>
                      </pic:pic>
                    </a:graphicData>
                  </a:graphic>
                </wp:inline>
              </w:drawing>
            </w:r>
          </w:p>
        </w:tc>
        <w:tc>
          <w:tcPr>
            <w:tcW w:w="226" w:type="dxa"/>
            <w:vMerge w:val="restart"/>
            <w:tcBorders/>
            <w:shd w:fill="auto" w:val="clear"/>
          </w:tcPr>
          <w:p>
            <w:pPr>
              <w:pStyle w:val="TableContents"/>
              <w:spacing w:before="0" w:after="283"/>
              <w:jc w:val="left"/>
              <w:rPr/>
            </w:pPr>
            <w:r>
              <w:rPr/>
              <w:t xml:space="preserve">    </w:t>
            </w:r>
          </w:p>
        </w:tc>
        <w:tc>
          <w:tcPr>
            <w:tcW w:w="315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160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Age 79</w:t>
            </w:r>
          </w:p>
        </w:tc>
        <w:tc>
          <w:tcPr>
            <w:tcW w:w="3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Director since 1981</w:t>
            </w:r>
          </w:p>
        </w:tc>
      </w:tr>
      <w:tr>
        <w:trPr/>
        <w:tc>
          <w:tcPr>
            <w:tcW w:w="2024"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62" w:type="dxa"/>
            <w:gridSpan w:val="2"/>
            <w:tcBorders/>
            <w:shd w:fill="auto" w:val="clear"/>
            <w:vAlign w:val="center"/>
          </w:tcPr>
          <w:p>
            <w:pPr>
              <w:pStyle w:val="TableContents"/>
              <w:spacing w:before="0" w:after="283"/>
              <w:jc w:val="left"/>
              <w:rPr/>
            </w:pPr>
            <w:r>
              <w:rPr/>
              <w:t> </w:t>
            </w:r>
          </w:p>
        </w:tc>
        <w:tc>
          <w:tcPr>
            <w:tcW w:w="3193" w:type="dxa"/>
            <w:tcBorders/>
            <w:shd w:fill="auto" w:val="clear"/>
            <w:vAlign w:val="center"/>
          </w:tcPr>
          <w:p>
            <w:pPr>
              <w:pStyle w:val="TableContents"/>
              <w:spacing w:before="0" w:after="283"/>
              <w:rPr>
                <w:sz w:val="4"/>
                <w:szCs w:val="4"/>
              </w:rPr>
            </w:pPr>
            <w:r>
              <w:rPr>
                <w:sz w:val="4"/>
                <w:szCs w:val="4"/>
              </w:rPr>
            </w:r>
          </w:p>
        </w:tc>
      </w:tr>
      <w:tr>
        <w:trPr/>
        <w:tc>
          <w:tcPr>
            <w:tcW w:w="2024"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62" w:type="dxa"/>
            <w:gridSpan w:val="2"/>
            <w:tcBorders/>
            <w:shd w:fill="auto" w:val="clear"/>
            <w:vAlign w:val="bottom"/>
          </w:tcPr>
          <w:p>
            <w:pPr>
              <w:pStyle w:val="TableContents"/>
              <w:spacing w:before="0" w:after="283"/>
              <w:jc w:val="both"/>
              <w:rPr>
                <w:rFonts w:ascii="Times New Roman" w:hAnsi="Times New Roman"/>
                <w:i/>
                <w:sz w:val="20"/>
              </w:rPr>
            </w:pPr>
            <w:r>
              <w:rPr>
                <w:rFonts w:ascii="Times New Roman" w:hAnsi="Times New Roman"/>
                <w:i/>
                <w:sz w:val="20"/>
              </w:rPr>
              <w:t>President, Cole &amp; Associates</w:t>
            </w:r>
          </w:p>
        </w:tc>
        <w:tc>
          <w:tcPr>
            <w:tcW w:w="3193" w:type="dxa"/>
            <w:tcBorders/>
            <w:shd w:fill="auto" w:val="clear"/>
            <w:vAlign w:val="bottom"/>
          </w:tcPr>
          <w:p>
            <w:pPr>
              <w:pStyle w:val="TableContents"/>
              <w:spacing w:before="0" w:after="283"/>
              <w:jc w:val="left"/>
              <w:rPr/>
            </w:pPr>
            <w:r>
              <w:rPr/>
              <w:t> </w:t>
            </w:r>
          </w:p>
        </w:tc>
      </w:tr>
      <w:tr>
        <w:trPr/>
        <w:tc>
          <w:tcPr>
            <w:tcW w:w="2024"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62" w:type="dxa"/>
            <w:gridSpan w:val="2"/>
            <w:tcBorders/>
            <w:shd w:fill="auto" w:val="clear"/>
            <w:vAlign w:val="center"/>
          </w:tcPr>
          <w:p>
            <w:pPr>
              <w:pStyle w:val="TableContents"/>
              <w:spacing w:before="0" w:after="283"/>
              <w:jc w:val="left"/>
              <w:rPr/>
            </w:pPr>
            <w:r>
              <w:rPr/>
              <w:t xml:space="preserve">  </w:t>
            </w:r>
          </w:p>
        </w:tc>
        <w:tc>
          <w:tcPr>
            <w:tcW w:w="3193" w:type="dxa"/>
            <w:tcBorders/>
            <w:shd w:fill="auto" w:val="clear"/>
            <w:vAlign w:val="center"/>
          </w:tcPr>
          <w:p>
            <w:pPr>
              <w:pStyle w:val="TableContents"/>
              <w:spacing w:before="0" w:after="283"/>
              <w:jc w:val="left"/>
              <w:rPr/>
            </w:pPr>
            <w:r>
              <w:rPr/>
              <w:t> </w:t>
            </w:r>
          </w:p>
        </w:tc>
      </w:tr>
      <w:tr>
        <w:trPr/>
        <w:tc>
          <w:tcPr>
            <w:tcW w:w="2024"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7955"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 xml:space="preserve">Mr. Cole graduated from the University of Wisconsin in 1957. After serving as an officer in the United States Army, he received a masters degree from the American Graduate School for International Business following graduate studies at the University of Michigan. He began his career at Abbott Laboratories in 1962. Later, he joined G.D. Searle and Company, where he became Vice President of the Asian and Canadian Divisions, a position he held until 1986. In 1986, Mr. Cole joined A.H. Robins Company, where he was a senior vice president responsible for all international operations until 1990. In 1990, he joined SAV-A-LIFE Systems, Inc., a firm selling specialty products to the dental and medical professions, where he served as President until 1994 and then Chairman of the Board until 2000. In 1990, Mr. Cole also became president of Cole &amp; Associates, an international consulting firm. Mr. Cole is also a director of Aculux, Inc. and Ocularis Inc. </w:t>
            </w:r>
          </w:p>
        </w:tc>
      </w:tr>
      <w:tr>
        <w:trPr/>
        <w:tc>
          <w:tcPr>
            <w:tcW w:w="2024" w:type="dxa"/>
            <w:tcBorders/>
            <w:shd w:fill="auto" w:val="clear"/>
          </w:tcPr>
          <w:p>
            <w:pPr>
              <w:pStyle w:val="TableContents"/>
              <w:spacing w:before="0" w:after="283"/>
              <w:jc w:val="left"/>
              <w:rPr/>
            </w:pPr>
            <w:r>
              <w:rPr/>
              <w:t> </w:t>
            </w:r>
          </w:p>
        </w:tc>
        <w:tc>
          <w:tcPr>
            <w:tcW w:w="226" w:type="dxa"/>
            <w:tcBorders/>
            <w:shd w:fill="auto" w:val="clear"/>
          </w:tcPr>
          <w:p>
            <w:pPr>
              <w:pStyle w:val="TableContents"/>
              <w:spacing w:before="0" w:after="283"/>
              <w:jc w:val="left"/>
              <w:rPr/>
            </w:pPr>
            <w:r>
              <w:rPr/>
              <w:t> </w:t>
            </w:r>
          </w:p>
        </w:tc>
        <w:tc>
          <w:tcPr>
            <w:tcW w:w="7955" w:type="dxa"/>
            <w:gridSpan w:val="3"/>
            <w:tcBorders/>
            <w:shd w:fill="auto" w:val="clear"/>
          </w:tcPr>
          <w:p>
            <w:pPr>
              <w:pStyle w:val="TableContents"/>
              <w:spacing w:before="0" w:after="283"/>
              <w:rPr/>
            </w:pPr>
            <w:r>
              <w:rPr/>
              <w:t> </w:t>
            </w:r>
          </w:p>
        </w:tc>
      </w:tr>
      <w:tr>
        <w:trPr/>
        <w:tc>
          <w:tcPr>
            <w:tcW w:w="10205" w:type="dxa"/>
            <w:gridSpan w:val="5"/>
            <w:tcBorders/>
            <w:shd w:fill="auto" w:val="clear"/>
          </w:tcPr>
          <w:p>
            <w:pPr>
              <w:pStyle w:val="TableContents"/>
              <w:spacing w:before="0" w:after="283"/>
              <w:jc w:val="both"/>
              <w:rPr>
                <w:rFonts w:ascii="Times New Roman" w:hAnsi="Times New Roman"/>
                <w:sz w:val="20"/>
              </w:rPr>
            </w:pPr>
            <w:r>
              <w:rPr>
                <w:rFonts w:ascii="Times New Roman" w:hAnsi="Times New Roman"/>
                <w:sz w:val="20"/>
              </w:rPr>
              <w:t>Mr. Coles individual qualifications include broad experience in international business and product development. Mr. Coles expertise includes past leadership of various divisions of multi-national corporations with direct responsibility for international operations. In addition, Mr. Cole has served in a corporate governance role at another public company and is an audit committee financial expert within the meaning of SEC rules. He is an accomplished advisor to many companies and organizations, providing leadership in product development, general management and technical development and has contributed to efforts dedicated to reducing trade barriers to global businesses through his active involvement with trade associations.</w:t>
            </w:r>
          </w:p>
        </w:tc>
      </w:tr>
    </w:tbl>
    <w:p>
      <w:pPr>
        <w:pStyle w:val="TextBody"/>
        <w:jc w:val="center"/>
        <w:rPr>
          <w:rFonts w:ascii="Times New Roman" w:hAnsi="Times New Roman"/>
          <w:sz w:val="20"/>
        </w:rPr>
      </w:pPr>
      <w:r>
        <w:rPr>
          <w:rFonts w:ascii="Times New Roman" w:hAnsi="Times New Roman"/>
          <w:sz w:val="20"/>
        </w:rPr>
        <w:t>7</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050"/>
        <w:gridCol w:w="226"/>
        <w:gridCol w:w="3131"/>
        <w:gridCol w:w="1604"/>
        <w:gridCol w:w="3194"/>
      </w:tblGrid>
      <w:tr>
        <w:trPr/>
        <w:tc>
          <w:tcPr>
            <w:tcW w:w="2050" w:type="dxa"/>
            <w:vMerge w:val="restart"/>
            <w:tcBorders/>
            <w:shd w:fill="auto" w:val="clear"/>
          </w:tcPr>
          <w:p>
            <w:pPr>
              <w:pStyle w:val="TableContents"/>
              <w:spacing w:before="0" w:after="283"/>
              <w:jc w:val="left"/>
              <w:rPr/>
            </w:pPr>
            <w:r>
              <w:rPr/>
              <w:drawing>
                <wp:inline distT="0" distB="0" distL="0" distR="0">
                  <wp:extent cx="1285875" cy="1819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85875" cy="1819275"/>
                          </a:xfrm>
                          <a:prstGeom prst="rect">
                            <a:avLst/>
                          </a:prstGeom>
                        </pic:spPr>
                      </pic:pic>
                    </a:graphicData>
                  </a:graphic>
                </wp:inline>
              </w:drawing>
            </w:r>
          </w:p>
        </w:tc>
        <w:tc>
          <w:tcPr>
            <w:tcW w:w="226" w:type="dxa"/>
            <w:vMerge w:val="restart"/>
            <w:tcBorders/>
            <w:shd w:fill="auto" w:val="clear"/>
          </w:tcPr>
          <w:p>
            <w:pPr>
              <w:pStyle w:val="TableContents"/>
              <w:spacing w:before="0" w:after="283"/>
              <w:jc w:val="left"/>
              <w:rPr/>
            </w:pPr>
            <w:r>
              <w:rPr/>
              <w:t xml:space="preserve">    </w:t>
            </w:r>
          </w:p>
        </w:tc>
        <w:tc>
          <w:tcPr>
            <w:tcW w:w="313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160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Age 71</w:t>
            </w:r>
          </w:p>
        </w:tc>
        <w:tc>
          <w:tcPr>
            <w:tcW w:w="31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Director since 1989</w:t>
            </w:r>
          </w:p>
        </w:tc>
      </w:tr>
      <w:tr>
        <w:trPr/>
        <w:tc>
          <w:tcPr>
            <w:tcW w:w="2050"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35" w:type="dxa"/>
            <w:gridSpan w:val="2"/>
            <w:tcBorders/>
            <w:shd w:fill="auto" w:val="clear"/>
            <w:vAlign w:val="center"/>
          </w:tcPr>
          <w:p>
            <w:pPr>
              <w:pStyle w:val="TableContents"/>
              <w:spacing w:before="0" w:after="283"/>
              <w:jc w:val="left"/>
              <w:rPr/>
            </w:pPr>
            <w:r>
              <w:rPr/>
              <w:t> </w:t>
            </w:r>
          </w:p>
        </w:tc>
        <w:tc>
          <w:tcPr>
            <w:tcW w:w="3194" w:type="dxa"/>
            <w:tcBorders/>
            <w:shd w:fill="auto" w:val="clear"/>
            <w:vAlign w:val="center"/>
          </w:tcPr>
          <w:p>
            <w:pPr>
              <w:pStyle w:val="TableContents"/>
              <w:spacing w:before="0" w:after="283"/>
              <w:rPr>
                <w:sz w:val="4"/>
                <w:szCs w:val="4"/>
              </w:rPr>
            </w:pPr>
            <w:r>
              <w:rPr>
                <w:sz w:val="4"/>
                <w:szCs w:val="4"/>
              </w:rPr>
            </w:r>
          </w:p>
        </w:tc>
      </w:tr>
      <w:tr>
        <w:trPr/>
        <w:tc>
          <w:tcPr>
            <w:tcW w:w="2050"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35" w:type="dxa"/>
            <w:gridSpan w:val="2"/>
            <w:tcBorders/>
            <w:shd w:fill="auto" w:val="clear"/>
            <w:vAlign w:val="bottom"/>
          </w:tcPr>
          <w:p>
            <w:pPr>
              <w:pStyle w:val="TableContents"/>
              <w:spacing w:before="0" w:after="283"/>
              <w:jc w:val="both"/>
              <w:rPr>
                <w:rFonts w:ascii="Times New Roman" w:hAnsi="Times New Roman"/>
                <w:i/>
                <w:sz w:val="20"/>
              </w:rPr>
            </w:pPr>
            <w:r>
              <w:rPr>
                <w:rFonts w:ascii="Times New Roman" w:hAnsi="Times New Roman"/>
                <w:i/>
                <w:sz w:val="20"/>
              </w:rPr>
              <w:t>Vice Chairman of the Board of the Company</w:t>
            </w:r>
          </w:p>
        </w:tc>
        <w:tc>
          <w:tcPr>
            <w:tcW w:w="3194" w:type="dxa"/>
            <w:tcBorders/>
            <w:shd w:fill="auto" w:val="clear"/>
            <w:vAlign w:val="bottom"/>
          </w:tcPr>
          <w:p>
            <w:pPr>
              <w:pStyle w:val="TableContents"/>
              <w:spacing w:before="0" w:after="283"/>
              <w:jc w:val="left"/>
              <w:rPr/>
            </w:pPr>
            <w:r>
              <w:rPr/>
              <w:t> </w:t>
            </w:r>
          </w:p>
        </w:tc>
      </w:tr>
      <w:tr>
        <w:trPr/>
        <w:tc>
          <w:tcPr>
            <w:tcW w:w="2050"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35" w:type="dxa"/>
            <w:gridSpan w:val="2"/>
            <w:tcBorders/>
            <w:shd w:fill="auto" w:val="clear"/>
            <w:vAlign w:val="center"/>
          </w:tcPr>
          <w:p>
            <w:pPr>
              <w:pStyle w:val="TableContents"/>
              <w:spacing w:before="0" w:after="283"/>
              <w:jc w:val="left"/>
              <w:rPr/>
            </w:pPr>
            <w:r>
              <w:rPr/>
              <w:t> </w:t>
            </w:r>
          </w:p>
        </w:tc>
        <w:tc>
          <w:tcPr>
            <w:tcW w:w="3194" w:type="dxa"/>
            <w:tcBorders/>
            <w:shd w:fill="auto" w:val="clear"/>
            <w:vAlign w:val="center"/>
          </w:tcPr>
          <w:p>
            <w:pPr>
              <w:pStyle w:val="TableContents"/>
              <w:spacing w:before="0" w:after="283"/>
              <w:rPr>
                <w:sz w:val="4"/>
                <w:szCs w:val="4"/>
              </w:rPr>
            </w:pPr>
            <w:r>
              <w:rPr>
                <w:sz w:val="4"/>
                <w:szCs w:val="4"/>
              </w:rPr>
            </w:r>
          </w:p>
        </w:tc>
      </w:tr>
      <w:tr>
        <w:trPr/>
        <w:tc>
          <w:tcPr>
            <w:tcW w:w="2050"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35" w:type="dxa"/>
            <w:gridSpan w:val="2"/>
            <w:tcBorders/>
            <w:shd w:fill="auto" w:val="clear"/>
            <w:vAlign w:val="center"/>
          </w:tcPr>
          <w:p>
            <w:pPr>
              <w:pStyle w:val="TableContents"/>
              <w:spacing w:before="0" w:after="283"/>
              <w:jc w:val="both"/>
              <w:rPr>
                <w:rFonts w:ascii="Times New Roman" w:hAnsi="Times New Roman"/>
                <w:i/>
                <w:sz w:val="20"/>
              </w:rPr>
            </w:pPr>
            <w:r>
              <w:rPr>
                <w:rFonts w:ascii="Times New Roman" w:hAnsi="Times New Roman"/>
                <w:i/>
                <w:sz w:val="20"/>
              </w:rPr>
              <w:t>Independent Consultant</w:t>
            </w:r>
          </w:p>
        </w:tc>
        <w:tc>
          <w:tcPr>
            <w:tcW w:w="3194" w:type="dxa"/>
            <w:tcBorders/>
            <w:shd w:fill="auto" w:val="clear"/>
            <w:vAlign w:val="center"/>
          </w:tcPr>
          <w:p>
            <w:pPr>
              <w:pStyle w:val="TableContents"/>
              <w:spacing w:before="0" w:after="283"/>
              <w:rPr>
                <w:sz w:val="4"/>
                <w:szCs w:val="4"/>
              </w:rPr>
            </w:pPr>
            <w:r>
              <w:rPr>
                <w:sz w:val="4"/>
                <w:szCs w:val="4"/>
              </w:rPr>
            </w:r>
          </w:p>
        </w:tc>
      </w:tr>
      <w:tr>
        <w:trPr/>
        <w:tc>
          <w:tcPr>
            <w:tcW w:w="2050"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35" w:type="dxa"/>
            <w:gridSpan w:val="2"/>
            <w:tcBorders/>
            <w:shd w:fill="auto" w:val="clear"/>
            <w:vAlign w:val="center"/>
          </w:tcPr>
          <w:p>
            <w:pPr>
              <w:pStyle w:val="TableContents"/>
              <w:spacing w:before="0" w:after="283"/>
              <w:jc w:val="left"/>
              <w:rPr/>
            </w:pPr>
            <w:r>
              <w:rPr/>
              <w:t xml:space="preserve">  </w:t>
            </w:r>
          </w:p>
        </w:tc>
        <w:tc>
          <w:tcPr>
            <w:tcW w:w="3194" w:type="dxa"/>
            <w:tcBorders/>
            <w:shd w:fill="auto" w:val="clear"/>
            <w:vAlign w:val="center"/>
          </w:tcPr>
          <w:p>
            <w:pPr>
              <w:pStyle w:val="TableContents"/>
              <w:spacing w:before="0" w:after="283"/>
              <w:jc w:val="left"/>
              <w:rPr/>
            </w:pPr>
            <w:r>
              <w:rPr/>
              <w:t> </w:t>
            </w:r>
          </w:p>
        </w:tc>
      </w:tr>
      <w:tr>
        <w:trPr/>
        <w:tc>
          <w:tcPr>
            <w:tcW w:w="2050"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7929"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Miller graduated from the West Virginia University School of Business in 1964. After serving as an officer in the United States Army, he joined Republic Steel Corporation in 1966. Mr. Miller served as president of Lowes, Inc., Inland Distributing and Whiteford Transportation Systems. He joined the Company in 1989 as Vice President of Corporate Planning and Marketing. He served as Group Vice President for Sales, Marketing and Distribution from 1990 to 1993. Mr. Miller was Senior Vice President for the Consumer, Industrial &amp; Environmental and Transportation Groups of the Company from 1993 to 1995. He became Vice Chairman of the Board in 1995. Mr. Miller was an employee of the Company until 2000, when he became an independent consultant specializing in strategic planning. Mr. Miller is a member of the board of advisors of Global Access Point, Deluxe Sheet Metal, Inc. and Union Station Properties.</w:t>
            </w:r>
          </w:p>
        </w:tc>
      </w:tr>
      <w:tr>
        <w:trPr/>
        <w:tc>
          <w:tcPr>
            <w:tcW w:w="2050" w:type="dxa"/>
            <w:tcBorders/>
            <w:shd w:fill="auto" w:val="clear"/>
          </w:tcPr>
          <w:p>
            <w:pPr>
              <w:pStyle w:val="TableContents"/>
              <w:spacing w:before="0" w:after="283"/>
              <w:jc w:val="left"/>
              <w:rPr/>
            </w:pPr>
            <w:r>
              <w:rPr/>
              <w:t> </w:t>
            </w:r>
          </w:p>
        </w:tc>
        <w:tc>
          <w:tcPr>
            <w:tcW w:w="226" w:type="dxa"/>
            <w:tcBorders/>
            <w:shd w:fill="auto" w:val="clear"/>
          </w:tcPr>
          <w:p>
            <w:pPr>
              <w:pStyle w:val="TableContents"/>
              <w:spacing w:before="0" w:after="283"/>
              <w:jc w:val="left"/>
              <w:rPr/>
            </w:pPr>
            <w:r>
              <w:rPr/>
              <w:t> </w:t>
            </w:r>
          </w:p>
        </w:tc>
        <w:tc>
          <w:tcPr>
            <w:tcW w:w="7929" w:type="dxa"/>
            <w:gridSpan w:val="3"/>
            <w:tcBorders/>
            <w:shd w:fill="auto" w:val="clear"/>
          </w:tcPr>
          <w:p>
            <w:pPr>
              <w:pStyle w:val="TableContents"/>
              <w:spacing w:before="0" w:after="283"/>
              <w:rPr/>
            </w:pPr>
            <w:r>
              <w:rPr/>
              <w:t> </w:t>
            </w:r>
          </w:p>
        </w:tc>
      </w:tr>
      <w:tr>
        <w:trPr/>
        <w:tc>
          <w:tcPr>
            <w:tcW w:w="10205" w:type="dxa"/>
            <w:gridSpan w:val="5"/>
            <w:tcBorders/>
            <w:shd w:fill="auto" w:val="clear"/>
          </w:tcPr>
          <w:p>
            <w:pPr>
              <w:pStyle w:val="TableContents"/>
              <w:spacing w:before="0" w:after="283"/>
              <w:jc w:val="both"/>
              <w:rPr>
                <w:rFonts w:ascii="Times New Roman" w:hAnsi="Times New Roman"/>
                <w:sz w:val="20"/>
              </w:rPr>
            </w:pPr>
            <w:r>
              <w:rPr>
                <w:rFonts w:ascii="Times New Roman" w:hAnsi="Times New Roman"/>
                <w:sz w:val="20"/>
              </w:rPr>
              <w:t>Mr. Millers individual qualifications include his leadership experience as chief executive and chief operating officer of several corporations, including prior sorbent minerals industry experience. In addition, he brings to the Board skills gained through his 11 years of employment with the Company in various operational, management and executive positions. He also serves on the advisory boards of several other companies and offers additional perspective gained through his experience as a strategic planning consultant.</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026"/>
        <w:gridCol w:w="226"/>
        <w:gridCol w:w="3183"/>
        <w:gridCol w:w="1594"/>
        <w:gridCol w:w="3176"/>
      </w:tblGrid>
      <w:tr>
        <w:trPr/>
        <w:tc>
          <w:tcPr>
            <w:tcW w:w="2026" w:type="dxa"/>
            <w:vMerge w:val="restart"/>
            <w:tcBorders/>
            <w:shd w:fill="auto" w:val="clear"/>
          </w:tcPr>
          <w:p>
            <w:pPr>
              <w:pStyle w:val="TableContents"/>
              <w:spacing w:before="0" w:after="283"/>
              <w:jc w:val="left"/>
              <w:rPr/>
            </w:pPr>
            <w:r>
              <w:rPr/>
              <w:drawing>
                <wp:inline distT="0" distB="0" distL="0" distR="0">
                  <wp:extent cx="1266825" cy="1819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6825" cy="1819275"/>
                          </a:xfrm>
                          <a:prstGeom prst="rect">
                            <a:avLst/>
                          </a:prstGeom>
                        </pic:spPr>
                      </pic:pic>
                    </a:graphicData>
                  </a:graphic>
                </wp:inline>
              </w:drawing>
            </w:r>
          </w:p>
        </w:tc>
        <w:tc>
          <w:tcPr>
            <w:tcW w:w="226" w:type="dxa"/>
            <w:vMerge w:val="restart"/>
            <w:tcBorders/>
            <w:shd w:fill="auto" w:val="clear"/>
          </w:tcPr>
          <w:p>
            <w:pPr>
              <w:pStyle w:val="TableContents"/>
              <w:spacing w:before="0" w:after="283"/>
              <w:jc w:val="left"/>
              <w:rPr/>
            </w:pPr>
            <w:r>
              <w:rPr/>
              <w:t xml:space="preserve">    </w:t>
            </w:r>
          </w:p>
        </w:tc>
        <w:tc>
          <w:tcPr>
            <w:tcW w:w="318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159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Age 50</w:t>
            </w:r>
          </w:p>
        </w:tc>
        <w:tc>
          <w:tcPr>
            <w:tcW w:w="31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Director since 2006</w:t>
            </w:r>
          </w:p>
        </w:tc>
      </w:tr>
      <w:tr>
        <w:trPr/>
        <w:tc>
          <w:tcPr>
            <w:tcW w:w="2026"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77" w:type="dxa"/>
            <w:gridSpan w:val="2"/>
            <w:tcBorders/>
            <w:shd w:fill="auto" w:val="clear"/>
            <w:vAlign w:val="center"/>
          </w:tcPr>
          <w:p>
            <w:pPr>
              <w:pStyle w:val="TableContents"/>
              <w:spacing w:before="0" w:after="283"/>
              <w:jc w:val="left"/>
              <w:rPr/>
            </w:pPr>
            <w:r>
              <w:rPr/>
              <w:t> </w:t>
            </w:r>
          </w:p>
        </w:tc>
        <w:tc>
          <w:tcPr>
            <w:tcW w:w="3176" w:type="dxa"/>
            <w:tcBorders/>
            <w:shd w:fill="auto" w:val="clear"/>
            <w:vAlign w:val="center"/>
          </w:tcPr>
          <w:p>
            <w:pPr>
              <w:pStyle w:val="TableContents"/>
              <w:spacing w:before="0" w:after="283"/>
              <w:rPr>
                <w:sz w:val="4"/>
                <w:szCs w:val="4"/>
              </w:rPr>
            </w:pPr>
            <w:r>
              <w:rPr>
                <w:sz w:val="4"/>
                <w:szCs w:val="4"/>
              </w:rPr>
            </w:r>
          </w:p>
        </w:tc>
      </w:tr>
      <w:tr>
        <w:trPr/>
        <w:tc>
          <w:tcPr>
            <w:tcW w:w="2026"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77" w:type="dxa"/>
            <w:gridSpan w:val="2"/>
            <w:tcBorders/>
            <w:shd w:fill="auto" w:val="clear"/>
            <w:vAlign w:val="bottom"/>
          </w:tcPr>
          <w:p>
            <w:pPr>
              <w:pStyle w:val="TableContents"/>
              <w:spacing w:before="0" w:after="283"/>
              <w:jc w:val="both"/>
              <w:rPr>
                <w:rFonts w:ascii="Times New Roman" w:hAnsi="Times New Roman"/>
                <w:i/>
                <w:sz w:val="20"/>
              </w:rPr>
            </w:pPr>
            <w:r>
              <w:rPr>
                <w:rFonts w:ascii="Times New Roman" w:hAnsi="Times New Roman"/>
                <w:i/>
                <w:sz w:val="20"/>
              </w:rPr>
              <w:t>President and Chief Executive Officer, Vedder Price P.C.</w:t>
            </w:r>
          </w:p>
        </w:tc>
        <w:tc>
          <w:tcPr>
            <w:tcW w:w="3176" w:type="dxa"/>
            <w:tcBorders/>
            <w:shd w:fill="auto" w:val="clear"/>
            <w:vAlign w:val="bottom"/>
          </w:tcPr>
          <w:p>
            <w:pPr>
              <w:pStyle w:val="TableContents"/>
              <w:spacing w:before="0" w:after="283"/>
              <w:jc w:val="left"/>
              <w:rPr/>
            </w:pPr>
            <w:r>
              <w:rPr/>
              <w:t> </w:t>
            </w:r>
          </w:p>
        </w:tc>
      </w:tr>
      <w:tr>
        <w:trPr/>
        <w:tc>
          <w:tcPr>
            <w:tcW w:w="2026"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77" w:type="dxa"/>
            <w:gridSpan w:val="2"/>
            <w:tcBorders/>
            <w:shd w:fill="auto" w:val="clear"/>
            <w:vAlign w:val="center"/>
          </w:tcPr>
          <w:p>
            <w:pPr>
              <w:pStyle w:val="TableContents"/>
              <w:spacing w:before="0" w:after="283"/>
              <w:jc w:val="left"/>
              <w:rPr/>
            </w:pPr>
            <w:r>
              <w:rPr/>
              <w:t xml:space="preserve">  </w:t>
            </w:r>
          </w:p>
        </w:tc>
        <w:tc>
          <w:tcPr>
            <w:tcW w:w="3176" w:type="dxa"/>
            <w:tcBorders/>
            <w:shd w:fill="auto" w:val="clear"/>
            <w:vAlign w:val="center"/>
          </w:tcPr>
          <w:p>
            <w:pPr>
              <w:pStyle w:val="TableContents"/>
              <w:spacing w:before="0" w:after="283"/>
              <w:jc w:val="left"/>
              <w:rPr/>
            </w:pPr>
            <w:r>
              <w:rPr/>
              <w:t> </w:t>
            </w:r>
          </w:p>
        </w:tc>
      </w:tr>
      <w:tr>
        <w:trPr/>
        <w:tc>
          <w:tcPr>
            <w:tcW w:w="2026"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7953"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Nemeroff received a bachelors degree from the State University of New York at Binghamton in 1985 and earned a J.D. from George Washington University in 1988. He joined the law firm of Vedder Price P.C. (Vedder Price) in 1988 and has been the Chairman of the firms Finance &amp; Transaction Group and an equity partner since 1995. Since 1998, he has served on the firms Board of Directors. Since 2005, Mr. Nemeroff has served as President and CEO of Vedder Price and a member of the Executive Committee of the firms Board of Directors. Vedder Price regularly provides services to the Company. Mr. Nemeroff serves as a legal advisor to the G100, an elite international organization of leading Chief Executive Officers from Fortune 500 publicly traded corporations. He also serves as Chairman of the Board of Directors of Chicago Childrens Choir, a not-for-profit organization making a difference in the lives of children through musical excellence, and as a Trustee of the Chicago History Museum.</w:t>
            </w:r>
          </w:p>
        </w:tc>
      </w:tr>
      <w:tr>
        <w:trPr/>
        <w:tc>
          <w:tcPr>
            <w:tcW w:w="2026" w:type="dxa"/>
            <w:tcBorders/>
            <w:shd w:fill="auto" w:val="clear"/>
          </w:tcPr>
          <w:p>
            <w:pPr>
              <w:pStyle w:val="TableContents"/>
              <w:spacing w:before="0" w:after="283"/>
              <w:jc w:val="left"/>
              <w:rPr/>
            </w:pPr>
            <w:r>
              <w:rPr/>
              <w:t> </w:t>
            </w:r>
          </w:p>
        </w:tc>
        <w:tc>
          <w:tcPr>
            <w:tcW w:w="226" w:type="dxa"/>
            <w:tcBorders/>
            <w:shd w:fill="auto" w:val="clear"/>
          </w:tcPr>
          <w:p>
            <w:pPr>
              <w:pStyle w:val="TableContents"/>
              <w:spacing w:before="0" w:after="283"/>
              <w:jc w:val="left"/>
              <w:rPr/>
            </w:pPr>
            <w:r>
              <w:rPr/>
              <w:t> </w:t>
            </w:r>
          </w:p>
        </w:tc>
        <w:tc>
          <w:tcPr>
            <w:tcW w:w="7953" w:type="dxa"/>
            <w:gridSpan w:val="3"/>
            <w:tcBorders/>
            <w:shd w:fill="auto" w:val="clear"/>
          </w:tcPr>
          <w:p>
            <w:pPr>
              <w:pStyle w:val="TableContents"/>
              <w:spacing w:before="0" w:after="283"/>
              <w:rPr/>
            </w:pPr>
            <w:r>
              <w:rPr/>
              <w:t> </w:t>
            </w:r>
          </w:p>
        </w:tc>
      </w:tr>
      <w:tr>
        <w:trPr/>
        <w:tc>
          <w:tcPr>
            <w:tcW w:w="10205" w:type="dxa"/>
            <w:gridSpan w:val="5"/>
            <w:tcBorders/>
            <w:shd w:fill="auto" w:val="clear"/>
          </w:tcPr>
          <w:p>
            <w:pPr>
              <w:pStyle w:val="TableContents"/>
              <w:spacing w:before="0" w:after="283"/>
              <w:jc w:val="both"/>
              <w:rPr>
                <w:rFonts w:ascii="Times New Roman" w:hAnsi="Times New Roman"/>
                <w:sz w:val="20"/>
              </w:rPr>
            </w:pPr>
            <w:r>
              <w:rPr>
                <w:rFonts w:ascii="Times New Roman" w:hAnsi="Times New Roman"/>
                <w:sz w:val="20"/>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his eight years as President and Chief Executive Officer of that law firm.</w:t>
            </w:r>
          </w:p>
        </w:tc>
      </w:tr>
    </w:tbl>
    <w:p>
      <w:pPr>
        <w:pStyle w:val="TextBody"/>
        <w:jc w:val="center"/>
        <w:rPr>
          <w:rFonts w:ascii="Times New Roman" w:hAnsi="Times New Roman"/>
          <w:sz w:val="20"/>
        </w:rPr>
      </w:pPr>
      <w:r>
        <w:rPr>
          <w:rFonts w:ascii="Times New Roman" w:hAnsi="Times New Roman"/>
          <w:sz w:val="20"/>
        </w:rPr>
        <w:t>8</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010"/>
        <w:gridCol w:w="223"/>
        <w:gridCol w:w="3219"/>
        <w:gridCol w:w="1589"/>
        <w:gridCol w:w="3164"/>
      </w:tblGrid>
      <w:tr>
        <w:trPr/>
        <w:tc>
          <w:tcPr>
            <w:tcW w:w="2010" w:type="dxa"/>
            <w:vMerge w:val="restart"/>
            <w:tcBorders/>
            <w:shd w:fill="auto" w:val="clear"/>
          </w:tcPr>
          <w:p>
            <w:pPr>
              <w:pStyle w:val="TableContents"/>
              <w:spacing w:before="0" w:after="283"/>
              <w:jc w:val="left"/>
              <w:rPr/>
            </w:pPr>
            <w:r>
              <w:rPr/>
              <w:drawing>
                <wp:inline distT="0" distB="0" distL="0" distR="0">
                  <wp:extent cx="1276350" cy="1819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76350" cy="1819275"/>
                          </a:xfrm>
                          <a:prstGeom prst="rect">
                            <a:avLst/>
                          </a:prstGeom>
                        </pic:spPr>
                      </pic:pic>
                    </a:graphicData>
                  </a:graphic>
                </wp:inline>
              </w:drawing>
            </w:r>
          </w:p>
        </w:tc>
        <w:tc>
          <w:tcPr>
            <w:tcW w:w="223" w:type="dxa"/>
            <w:vMerge w:val="restart"/>
            <w:tcBorders/>
            <w:shd w:fill="auto" w:val="clear"/>
          </w:tcPr>
          <w:p>
            <w:pPr>
              <w:pStyle w:val="TableContents"/>
              <w:spacing w:before="0" w:after="283"/>
              <w:jc w:val="left"/>
              <w:rPr/>
            </w:pPr>
            <w:r>
              <w:rPr/>
              <w:t xml:space="preserve">    </w:t>
            </w:r>
          </w:p>
        </w:tc>
        <w:tc>
          <w:tcPr>
            <w:tcW w:w="321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158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Age 79</w:t>
            </w:r>
          </w:p>
        </w:tc>
        <w:tc>
          <w:tcPr>
            <w:tcW w:w="31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Director since 1969</w:t>
            </w:r>
          </w:p>
        </w:tc>
      </w:tr>
      <w:tr>
        <w:trPr/>
        <w:tc>
          <w:tcPr>
            <w:tcW w:w="2010" w:type="dxa"/>
            <w:vMerge w:val="continue"/>
            <w:tcBorders/>
            <w:shd w:fill="auto" w:val="clear"/>
          </w:tcPr>
          <w:p>
            <w:pPr>
              <w:pStyle w:val="Normal"/>
              <w:rPr/>
            </w:pPr>
            <w:r>
              <w:rPr/>
            </w:r>
          </w:p>
        </w:tc>
        <w:tc>
          <w:tcPr>
            <w:tcW w:w="223" w:type="dxa"/>
            <w:vMerge w:val="continue"/>
            <w:tcBorders/>
            <w:shd w:fill="auto" w:val="clear"/>
          </w:tcPr>
          <w:p>
            <w:pPr>
              <w:pStyle w:val="Normal"/>
              <w:rPr/>
            </w:pPr>
            <w:r>
              <w:rPr/>
            </w:r>
          </w:p>
        </w:tc>
        <w:tc>
          <w:tcPr>
            <w:tcW w:w="4808" w:type="dxa"/>
            <w:gridSpan w:val="2"/>
            <w:tcBorders/>
            <w:shd w:fill="auto" w:val="clear"/>
            <w:vAlign w:val="center"/>
          </w:tcPr>
          <w:p>
            <w:pPr>
              <w:pStyle w:val="TableContents"/>
              <w:spacing w:before="0" w:after="283"/>
              <w:jc w:val="left"/>
              <w:rPr/>
            </w:pPr>
            <w:r>
              <w:rPr/>
              <w:t> </w:t>
            </w:r>
          </w:p>
        </w:tc>
        <w:tc>
          <w:tcPr>
            <w:tcW w:w="3164" w:type="dxa"/>
            <w:tcBorders/>
            <w:shd w:fill="auto" w:val="clear"/>
            <w:vAlign w:val="center"/>
          </w:tcPr>
          <w:p>
            <w:pPr>
              <w:pStyle w:val="TableContents"/>
              <w:spacing w:before="0" w:after="283"/>
              <w:rPr>
                <w:sz w:val="4"/>
                <w:szCs w:val="4"/>
              </w:rPr>
            </w:pPr>
            <w:r>
              <w:rPr>
                <w:sz w:val="4"/>
                <w:szCs w:val="4"/>
              </w:rPr>
            </w:r>
          </w:p>
        </w:tc>
      </w:tr>
      <w:tr>
        <w:trPr/>
        <w:tc>
          <w:tcPr>
            <w:tcW w:w="2010" w:type="dxa"/>
            <w:vMerge w:val="continue"/>
            <w:tcBorders/>
            <w:shd w:fill="auto" w:val="clear"/>
          </w:tcPr>
          <w:p>
            <w:pPr>
              <w:pStyle w:val="Normal"/>
              <w:rPr/>
            </w:pPr>
            <w:r>
              <w:rPr/>
            </w:r>
          </w:p>
        </w:tc>
        <w:tc>
          <w:tcPr>
            <w:tcW w:w="223" w:type="dxa"/>
            <w:vMerge w:val="continue"/>
            <w:tcBorders/>
            <w:shd w:fill="auto" w:val="clear"/>
          </w:tcPr>
          <w:p>
            <w:pPr>
              <w:pStyle w:val="Normal"/>
              <w:rPr/>
            </w:pPr>
            <w:r>
              <w:rPr/>
            </w:r>
          </w:p>
        </w:tc>
        <w:tc>
          <w:tcPr>
            <w:tcW w:w="4808" w:type="dxa"/>
            <w:gridSpan w:val="2"/>
            <w:tcBorders/>
            <w:shd w:fill="auto" w:val="clear"/>
            <w:vAlign w:val="bottom"/>
          </w:tcPr>
          <w:p>
            <w:pPr>
              <w:pStyle w:val="TableContents"/>
              <w:spacing w:before="0" w:after="283"/>
              <w:jc w:val="both"/>
              <w:rPr>
                <w:rFonts w:ascii="Times New Roman" w:hAnsi="Times New Roman"/>
                <w:i/>
                <w:sz w:val="20"/>
              </w:rPr>
            </w:pPr>
            <w:r>
              <w:rPr>
                <w:rFonts w:ascii="Times New Roman" w:hAnsi="Times New Roman"/>
                <w:i/>
                <w:sz w:val="20"/>
              </w:rPr>
              <w:t>Commissioner of Major League Baseball</w:t>
            </w:r>
          </w:p>
        </w:tc>
        <w:tc>
          <w:tcPr>
            <w:tcW w:w="3164" w:type="dxa"/>
            <w:tcBorders/>
            <w:shd w:fill="auto" w:val="clear"/>
            <w:vAlign w:val="bottom"/>
          </w:tcPr>
          <w:p>
            <w:pPr>
              <w:pStyle w:val="TableContents"/>
              <w:spacing w:before="0" w:after="283"/>
              <w:jc w:val="left"/>
              <w:rPr/>
            </w:pPr>
            <w:r>
              <w:rPr/>
              <w:t> </w:t>
            </w:r>
          </w:p>
        </w:tc>
      </w:tr>
      <w:tr>
        <w:trPr/>
        <w:tc>
          <w:tcPr>
            <w:tcW w:w="2010" w:type="dxa"/>
            <w:vMerge w:val="continue"/>
            <w:tcBorders/>
            <w:shd w:fill="auto" w:val="clear"/>
          </w:tcPr>
          <w:p>
            <w:pPr>
              <w:pStyle w:val="Normal"/>
              <w:rPr/>
            </w:pPr>
            <w:r>
              <w:rPr/>
            </w:r>
          </w:p>
        </w:tc>
        <w:tc>
          <w:tcPr>
            <w:tcW w:w="223" w:type="dxa"/>
            <w:vMerge w:val="continue"/>
            <w:tcBorders/>
            <w:shd w:fill="auto" w:val="clear"/>
          </w:tcPr>
          <w:p>
            <w:pPr>
              <w:pStyle w:val="Normal"/>
              <w:rPr/>
            </w:pPr>
            <w:r>
              <w:rPr/>
            </w:r>
          </w:p>
        </w:tc>
        <w:tc>
          <w:tcPr>
            <w:tcW w:w="4808" w:type="dxa"/>
            <w:gridSpan w:val="2"/>
            <w:tcBorders/>
            <w:shd w:fill="auto" w:val="clear"/>
            <w:vAlign w:val="center"/>
          </w:tcPr>
          <w:p>
            <w:pPr>
              <w:pStyle w:val="TableContents"/>
              <w:spacing w:before="0" w:after="283"/>
              <w:jc w:val="left"/>
              <w:rPr/>
            </w:pPr>
            <w:r>
              <w:rPr/>
              <w:t> </w:t>
            </w:r>
          </w:p>
        </w:tc>
        <w:tc>
          <w:tcPr>
            <w:tcW w:w="3164" w:type="dxa"/>
            <w:tcBorders/>
            <w:shd w:fill="auto" w:val="clear"/>
            <w:vAlign w:val="center"/>
          </w:tcPr>
          <w:p>
            <w:pPr>
              <w:pStyle w:val="TableContents"/>
              <w:spacing w:before="0" w:after="283"/>
              <w:rPr>
                <w:sz w:val="4"/>
                <w:szCs w:val="4"/>
              </w:rPr>
            </w:pPr>
            <w:r>
              <w:rPr>
                <w:sz w:val="4"/>
                <w:szCs w:val="4"/>
              </w:rPr>
            </w:r>
          </w:p>
        </w:tc>
      </w:tr>
      <w:tr>
        <w:trPr/>
        <w:tc>
          <w:tcPr>
            <w:tcW w:w="2010" w:type="dxa"/>
            <w:vMerge w:val="continue"/>
            <w:tcBorders/>
            <w:shd w:fill="auto" w:val="clear"/>
          </w:tcPr>
          <w:p>
            <w:pPr>
              <w:pStyle w:val="Normal"/>
              <w:rPr/>
            </w:pPr>
            <w:r>
              <w:rPr/>
            </w:r>
          </w:p>
        </w:tc>
        <w:tc>
          <w:tcPr>
            <w:tcW w:w="223" w:type="dxa"/>
            <w:vMerge w:val="continue"/>
            <w:tcBorders/>
            <w:shd w:fill="auto" w:val="clear"/>
          </w:tcPr>
          <w:p>
            <w:pPr>
              <w:pStyle w:val="Normal"/>
              <w:rPr/>
            </w:pPr>
            <w:r>
              <w:rPr/>
            </w:r>
          </w:p>
        </w:tc>
        <w:tc>
          <w:tcPr>
            <w:tcW w:w="4808" w:type="dxa"/>
            <w:gridSpan w:val="2"/>
            <w:tcBorders/>
            <w:shd w:fill="auto" w:val="clear"/>
            <w:vAlign w:val="center"/>
          </w:tcPr>
          <w:p>
            <w:pPr>
              <w:pStyle w:val="TableContents"/>
              <w:spacing w:before="0" w:after="283"/>
              <w:jc w:val="both"/>
              <w:rPr>
                <w:rFonts w:ascii="Times New Roman" w:hAnsi="Times New Roman"/>
                <w:i/>
                <w:sz w:val="20"/>
              </w:rPr>
            </w:pPr>
            <w:r>
              <w:rPr>
                <w:rFonts w:ascii="Times New Roman" w:hAnsi="Times New Roman"/>
                <w:i/>
                <w:sz w:val="20"/>
              </w:rPr>
              <w:t>President and Chairman of the Board, Selig Lease Company</w:t>
            </w:r>
          </w:p>
        </w:tc>
        <w:tc>
          <w:tcPr>
            <w:tcW w:w="3164" w:type="dxa"/>
            <w:tcBorders/>
            <w:shd w:fill="auto" w:val="clear"/>
            <w:vAlign w:val="center"/>
          </w:tcPr>
          <w:p>
            <w:pPr>
              <w:pStyle w:val="TableContents"/>
              <w:spacing w:before="0" w:after="283"/>
              <w:rPr>
                <w:sz w:val="4"/>
                <w:szCs w:val="4"/>
              </w:rPr>
            </w:pPr>
            <w:r>
              <w:rPr>
                <w:sz w:val="4"/>
                <w:szCs w:val="4"/>
              </w:rPr>
            </w:r>
          </w:p>
        </w:tc>
      </w:tr>
      <w:tr>
        <w:trPr/>
        <w:tc>
          <w:tcPr>
            <w:tcW w:w="2010" w:type="dxa"/>
            <w:vMerge w:val="continue"/>
            <w:tcBorders/>
            <w:shd w:fill="auto" w:val="clear"/>
          </w:tcPr>
          <w:p>
            <w:pPr>
              <w:pStyle w:val="Normal"/>
              <w:rPr/>
            </w:pPr>
            <w:r>
              <w:rPr/>
            </w:r>
          </w:p>
        </w:tc>
        <w:tc>
          <w:tcPr>
            <w:tcW w:w="223" w:type="dxa"/>
            <w:vMerge w:val="continue"/>
            <w:tcBorders/>
            <w:shd w:fill="auto" w:val="clear"/>
          </w:tcPr>
          <w:p>
            <w:pPr>
              <w:pStyle w:val="Normal"/>
              <w:rPr/>
            </w:pPr>
            <w:r>
              <w:rPr/>
            </w:r>
          </w:p>
        </w:tc>
        <w:tc>
          <w:tcPr>
            <w:tcW w:w="4808" w:type="dxa"/>
            <w:gridSpan w:val="2"/>
            <w:tcBorders/>
            <w:shd w:fill="auto" w:val="clear"/>
            <w:vAlign w:val="center"/>
          </w:tcPr>
          <w:p>
            <w:pPr>
              <w:pStyle w:val="TableContents"/>
              <w:spacing w:before="0" w:after="283"/>
              <w:jc w:val="left"/>
              <w:rPr/>
            </w:pPr>
            <w:r>
              <w:rPr/>
              <w:t xml:space="preserve">  </w:t>
            </w:r>
          </w:p>
        </w:tc>
        <w:tc>
          <w:tcPr>
            <w:tcW w:w="3164" w:type="dxa"/>
            <w:tcBorders/>
            <w:shd w:fill="auto" w:val="clear"/>
            <w:vAlign w:val="center"/>
          </w:tcPr>
          <w:p>
            <w:pPr>
              <w:pStyle w:val="TableContents"/>
              <w:spacing w:before="0" w:after="283"/>
              <w:jc w:val="left"/>
              <w:rPr/>
            </w:pPr>
            <w:r>
              <w:rPr/>
              <w:t> </w:t>
            </w:r>
          </w:p>
        </w:tc>
      </w:tr>
      <w:tr>
        <w:trPr/>
        <w:tc>
          <w:tcPr>
            <w:tcW w:w="2010" w:type="dxa"/>
            <w:vMerge w:val="continue"/>
            <w:tcBorders/>
            <w:shd w:fill="auto" w:val="clear"/>
          </w:tcPr>
          <w:p>
            <w:pPr>
              <w:pStyle w:val="Normal"/>
              <w:rPr/>
            </w:pPr>
            <w:r>
              <w:rPr/>
            </w:r>
          </w:p>
        </w:tc>
        <w:tc>
          <w:tcPr>
            <w:tcW w:w="223" w:type="dxa"/>
            <w:vMerge w:val="continue"/>
            <w:tcBorders/>
            <w:shd w:fill="auto" w:val="clear"/>
          </w:tcPr>
          <w:p>
            <w:pPr>
              <w:pStyle w:val="Normal"/>
              <w:rPr/>
            </w:pPr>
            <w:r>
              <w:rPr/>
            </w:r>
          </w:p>
        </w:tc>
        <w:tc>
          <w:tcPr>
            <w:tcW w:w="7972"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Selig received a bachelors degree from the University of Wisconsin in 1956. After two years in the United States Army, Mr. Selig joined Selig Ford, Inc. He served as president of Selig Ford (which became Selig Chevrolet in 1982) from 1959 until 1990. Since 1970, he has served as Chairman of the Board and President of Selig Lease Company. Mr. Selig became President and Chief Executive Officer of the Milwaukee Brewers Baseball Club, Inc. in 1970 and served in that capacity until 1998, when he was elected to the position of Commissioner of Major League Baseball. He also served as Chairman of the Executive Council of Major League Baseball from 1992 to 1998. Mr. Selig is a director of Marcus Corporation and a director emeritus of the Green Bay Packers.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w:t>
            </w:r>
          </w:p>
        </w:tc>
      </w:tr>
      <w:tr>
        <w:trPr/>
        <w:tc>
          <w:tcPr>
            <w:tcW w:w="2010" w:type="dxa"/>
            <w:tcBorders/>
            <w:shd w:fill="auto" w:val="clear"/>
          </w:tcPr>
          <w:p>
            <w:pPr>
              <w:pStyle w:val="TableContents"/>
              <w:spacing w:before="0" w:after="283"/>
              <w:jc w:val="left"/>
              <w:rPr/>
            </w:pPr>
            <w:r>
              <w:rPr/>
              <w:t> </w:t>
            </w:r>
          </w:p>
        </w:tc>
        <w:tc>
          <w:tcPr>
            <w:tcW w:w="223" w:type="dxa"/>
            <w:tcBorders/>
            <w:shd w:fill="auto" w:val="clear"/>
          </w:tcPr>
          <w:p>
            <w:pPr>
              <w:pStyle w:val="TableContents"/>
              <w:spacing w:before="0" w:after="283"/>
              <w:jc w:val="left"/>
              <w:rPr/>
            </w:pPr>
            <w:r>
              <w:rPr/>
              <w:t> </w:t>
            </w:r>
          </w:p>
        </w:tc>
        <w:tc>
          <w:tcPr>
            <w:tcW w:w="7972" w:type="dxa"/>
            <w:gridSpan w:val="3"/>
            <w:tcBorders/>
            <w:shd w:fill="auto" w:val="clear"/>
          </w:tcPr>
          <w:p>
            <w:pPr>
              <w:pStyle w:val="TableContents"/>
              <w:spacing w:before="0" w:after="283"/>
              <w:rPr/>
            </w:pPr>
            <w:r>
              <w:rPr/>
              <w:t> </w:t>
            </w:r>
          </w:p>
        </w:tc>
      </w:tr>
      <w:tr>
        <w:trPr/>
        <w:tc>
          <w:tcPr>
            <w:tcW w:w="10205" w:type="dxa"/>
            <w:gridSpan w:val="5"/>
            <w:tcBorders/>
            <w:shd w:fill="auto" w:val="clear"/>
          </w:tcPr>
          <w:p>
            <w:pPr>
              <w:pStyle w:val="TableContents"/>
              <w:spacing w:before="0" w:after="283"/>
              <w:jc w:val="both"/>
              <w:rPr>
                <w:rFonts w:ascii="Times New Roman" w:hAnsi="Times New Roman"/>
                <w:sz w:val="20"/>
              </w:rPr>
            </w:pPr>
            <w:r>
              <w:rPr>
                <w:rFonts w:ascii="Times New Roman" w:hAnsi="Times New Roman"/>
                <w:sz w:val="20"/>
              </w:rPr>
              <w:t>Mr. Seligs individual qualifications include sound judgment, integrity and business management skills gained through his management of several businesses, including his long tenure as Commissioner of Major League Baseball and as chief executive of the Milwaukee Brewers Baseball Club and his familys automobile businesses. Mr. Seligs unique ability to manage by consensus brought change and growth in baseball despite economic and political challenges both inside and outside of baseball. In addition, Mr. Selig is a community leader and an active advisor to several philanthropic organizations.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020"/>
        <w:gridCol w:w="226"/>
        <w:gridCol w:w="3129"/>
        <w:gridCol w:w="1614"/>
        <w:gridCol w:w="3216"/>
      </w:tblGrid>
      <w:tr>
        <w:trPr/>
        <w:tc>
          <w:tcPr>
            <w:tcW w:w="2020" w:type="dxa"/>
            <w:vMerge w:val="restart"/>
            <w:tcBorders/>
            <w:shd w:fill="auto" w:val="clear"/>
          </w:tcPr>
          <w:p>
            <w:pPr>
              <w:pStyle w:val="TableContents"/>
              <w:spacing w:before="0" w:after="283"/>
              <w:jc w:val="left"/>
              <w:rPr/>
            </w:pPr>
            <w:r>
              <w:rPr/>
              <w:drawing>
                <wp:inline distT="0" distB="0" distL="0" distR="0">
                  <wp:extent cx="1266825" cy="18192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6825" cy="1819275"/>
                          </a:xfrm>
                          <a:prstGeom prst="rect">
                            <a:avLst/>
                          </a:prstGeom>
                        </pic:spPr>
                      </pic:pic>
                    </a:graphicData>
                  </a:graphic>
                </wp:inline>
              </w:drawing>
            </w:r>
          </w:p>
        </w:tc>
        <w:tc>
          <w:tcPr>
            <w:tcW w:w="226" w:type="dxa"/>
            <w:vMerge w:val="restart"/>
            <w:tcBorders/>
            <w:shd w:fill="auto" w:val="clear"/>
          </w:tcPr>
          <w:p>
            <w:pPr>
              <w:pStyle w:val="TableContents"/>
              <w:spacing w:before="0" w:after="283"/>
              <w:jc w:val="left"/>
              <w:rPr/>
            </w:pPr>
            <w:r>
              <w:rPr/>
              <w:t xml:space="preserve">    </w:t>
            </w:r>
          </w:p>
        </w:tc>
        <w:tc>
          <w:tcPr>
            <w:tcW w:w="312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16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Age 66</w:t>
            </w:r>
          </w:p>
        </w:tc>
        <w:tc>
          <w:tcPr>
            <w:tcW w:w="32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Director since 2005</w:t>
            </w:r>
          </w:p>
        </w:tc>
      </w:tr>
      <w:tr>
        <w:trPr/>
        <w:tc>
          <w:tcPr>
            <w:tcW w:w="2020"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43" w:type="dxa"/>
            <w:gridSpan w:val="2"/>
            <w:tcBorders/>
            <w:shd w:fill="auto" w:val="clear"/>
            <w:vAlign w:val="center"/>
          </w:tcPr>
          <w:p>
            <w:pPr>
              <w:pStyle w:val="TableContents"/>
              <w:spacing w:before="0" w:after="283"/>
              <w:jc w:val="left"/>
              <w:rPr/>
            </w:pPr>
            <w:r>
              <w:rPr/>
              <w:t> </w:t>
            </w:r>
          </w:p>
        </w:tc>
        <w:tc>
          <w:tcPr>
            <w:tcW w:w="3216" w:type="dxa"/>
            <w:tcBorders/>
            <w:shd w:fill="auto" w:val="clear"/>
            <w:vAlign w:val="center"/>
          </w:tcPr>
          <w:p>
            <w:pPr>
              <w:pStyle w:val="TableContents"/>
              <w:spacing w:before="0" w:after="283"/>
              <w:rPr>
                <w:sz w:val="4"/>
                <w:szCs w:val="4"/>
              </w:rPr>
            </w:pPr>
            <w:r>
              <w:rPr>
                <w:sz w:val="4"/>
                <w:szCs w:val="4"/>
              </w:rPr>
            </w:r>
          </w:p>
        </w:tc>
      </w:tr>
      <w:tr>
        <w:trPr/>
        <w:tc>
          <w:tcPr>
            <w:tcW w:w="2020"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43" w:type="dxa"/>
            <w:gridSpan w:val="2"/>
            <w:tcBorders/>
            <w:shd w:fill="auto" w:val="clear"/>
            <w:vAlign w:val="bottom"/>
          </w:tcPr>
          <w:p>
            <w:pPr>
              <w:pStyle w:val="TableContents"/>
              <w:spacing w:before="0" w:after="283"/>
              <w:jc w:val="both"/>
              <w:rPr>
                <w:rFonts w:ascii="Times New Roman" w:hAnsi="Times New Roman"/>
                <w:i/>
                <w:sz w:val="20"/>
              </w:rPr>
            </w:pPr>
            <w:r>
              <w:rPr>
                <w:rFonts w:ascii="Times New Roman" w:hAnsi="Times New Roman"/>
                <w:i/>
                <w:sz w:val="20"/>
              </w:rPr>
              <w:t>Business Fellow and Adjunct Professor,</w:t>
            </w:r>
          </w:p>
        </w:tc>
        <w:tc>
          <w:tcPr>
            <w:tcW w:w="3216" w:type="dxa"/>
            <w:tcBorders/>
            <w:shd w:fill="auto" w:val="clear"/>
            <w:vAlign w:val="bottom"/>
          </w:tcPr>
          <w:p>
            <w:pPr>
              <w:pStyle w:val="TableContents"/>
              <w:spacing w:before="0" w:after="283"/>
              <w:jc w:val="left"/>
              <w:rPr/>
            </w:pPr>
            <w:r>
              <w:rPr/>
              <w:t> </w:t>
            </w:r>
          </w:p>
        </w:tc>
      </w:tr>
      <w:tr>
        <w:trPr/>
        <w:tc>
          <w:tcPr>
            <w:tcW w:w="2020"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43" w:type="dxa"/>
            <w:gridSpan w:val="2"/>
            <w:tcBorders/>
            <w:shd w:fill="auto" w:val="clear"/>
            <w:vAlign w:val="center"/>
          </w:tcPr>
          <w:p>
            <w:pPr>
              <w:pStyle w:val="TableContents"/>
              <w:spacing w:before="0" w:after="283"/>
              <w:jc w:val="left"/>
              <w:rPr/>
            </w:pPr>
            <w:r>
              <w:rPr/>
              <w:t> </w:t>
            </w:r>
          </w:p>
        </w:tc>
        <w:tc>
          <w:tcPr>
            <w:tcW w:w="3216" w:type="dxa"/>
            <w:tcBorders/>
            <w:shd w:fill="auto" w:val="clear"/>
            <w:vAlign w:val="center"/>
          </w:tcPr>
          <w:p>
            <w:pPr>
              <w:pStyle w:val="TableContents"/>
              <w:spacing w:before="0" w:after="283"/>
              <w:rPr>
                <w:sz w:val="4"/>
                <w:szCs w:val="4"/>
              </w:rPr>
            </w:pPr>
            <w:r>
              <w:rPr>
                <w:sz w:val="4"/>
                <w:szCs w:val="4"/>
              </w:rPr>
            </w:r>
          </w:p>
        </w:tc>
      </w:tr>
      <w:tr>
        <w:trPr/>
        <w:tc>
          <w:tcPr>
            <w:tcW w:w="2020"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43" w:type="dxa"/>
            <w:gridSpan w:val="2"/>
            <w:tcBorders/>
            <w:shd w:fill="auto" w:val="clear"/>
            <w:vAlign w:val="center"/>
          </w:tcPr>
          <w:p>
            <w:pPr>
              <w:pStyle w:val="TableContents"/>
              <w:spacing w:before="0" w:after="283"/>
              <w:jc w:val="both"/>
              <w:rPr>
                <w:rFonts w:ascii="Times New Roman" w:hAnsi="Times New Roman"/>
                <w:i/>
                <w:sz w:val="20"/>
              </w:rPr>
            </w:pPr>
            <w:r>
              <w:rPr>
                <w:rFonts w:ascii="Times New Roman" w:hAnsi="Times New Roman"/>
                <w:i/>
                <w:sz w:val="20"/>
              </w:rPr>
              <w:t>Finance and Economics, Villanova University</w:t>
            </w:r>
          </w:p>
        </w:tc>
        <w:tc>
          <w:tcPr>
            <w:tcW w:w="3216" w:type="dxa"/>
            <w:tcBorders/>
            <w:shd w:fill="auto" w:val="clear"/>
            <w:vAlign w:val="center"/>
          </w:tcPr>
          <w:p>
            <w:pPr>
              <w:pStyle w:val="TableContents"/>
              <w:spacing w:before="0" w:after="283"/>
              <w:rPr>
                <w:sz w:val="4"/>
                <w:szCs w:val="4"/>
              </w:rPr>
            </w:pPr>
            <w:r>
              <w:rPr>
                <w:sz w:val="4"/>
                <w:szCs w:val="4"/>
              </w:rPr>
            </w:r>
          </w:p>
        </w:tc>
      </w:tr>
      <w:tr>
        <w:trPr/>
        <w:tc>
          <w:tcPr>
            <w:tcW w:w="2020"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43" w:type="dxa"/>
            <w:gridSpan w:val="2"/>
            <w:tcBorders/>
            <w:shd w:fill="auto" w:val="clear"/>
            <w:vAlign w:val="center"/>
          </w:tcPr>
          <w:p>
            <w:pPr>
              <w:pStyle w:val="TableContents"/>
              <w:spacing w:before="0" w:after="283"/>
              <w:jc w:val="left"/>
              <w:rPr/>
            </w:pPr>
            <w:r>
              <w:rPr/>
              <w:t xml:space="preserve">  </w:t>
            </w:r>
          </w:p>
        </w:tc>
        <w:tc>
          <w:tcPr>
            <w:tcW w:w="3216" w:type="dxa"/>
            <w:tcBorders/>
            <w:shd w:fill="auto" w:val="clear"/>
            <w:vAlign w:val="center"/>
          </w:tcPr>
          <w:p>
            <w:pPr>
              <w:pStyle w:val="TableContents"/>
              <w:spacing w:before="0" w:after="283"/>
              <w:jc w:val="left"/>
              <w:rPr/>
            </w:pPr>
            <w:r>
              <w:rPr/>
              <w:t> </w:t>
            </w:r>
          </w:p>
        </w:tc>
      </w:tr>
      <w:tr>
        <w:trPr/>
        <w:tc>
          <w:tcPr>
            <w:tcW w:w="2020"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7959"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Suckow received a B.S. degree in economics from Bradley University in 1969 and earned an M.B.A. with a concentration in finance from Western Illinois University in 1973. He began his career in finance in 1973 with American National Insurance Company as a securities analyst. In 1975, he became a trust investment officer with First Hutchings-Sealy National Bank. From 1978 to 1981, he was Vice President, Investments, for Sun Insurance Services and from 1981 to 1985, Vice President and Portfolio Manager for Delaware Investment Advisers. From 1985 to 1992, Mr. Suckow was Executive Vice President and Director of Fixed Income Securities for Oppenheimer Management Corporation, and from 1993 to 1999, he served as Executive Vice President and Chief Investment Officer-Fixed Income for Delaware Investment Advisers, Inc. In 1999, he retired from the investment management industry and began a teaching career as a business fellow and adjunct professor of finance and economics at Villanova University. Since 1978, he has been a Chartered Financial Analyst and is a member of the CFA Institute.</w:t>
            </w:r>
          </w:p>
        </w:tc>
      </w:tr>
      <w:tr>
        <w:trPr/>
        <w:tc>
          <w:tcPr>
            <w:tcW w:w="2020" w:type="dxa"/>
            <w:tcBorders/>
            <w:shd w:fill="auto" w:val="clear"/>
          </w:tcPr>
          <w:p>
            <w:pPr>
              <w:pStyle w:val="TableContents"/>
              <w:spacing w:before="0" w:after="283"/>
              <w:jc w:val="left"/>
              <w:rPr/>
            </w:pPr>
            <w:r>
              <w:rPr/>
              <w:t> </w:t>
            </w:r>
          </w:p>
        </w:tc>
        <w:tc>
          <w:tcPr>
            <w:tcW w:w="226" w:type="dxa"/>
            <w:tcBorders/>
            <w:shd w:fill="auto" w:val="clear"/>
          </w:tcPr>
          <w:p>
            <w:pPr>
              <w:pStyle w:val="TableContents"/>
              <w:spacing w:before="0" w:after="283"/>
              <w:jc w:val="left"/>
              <w:rPr/>
            </w:pPr>
            <w:r>
              <w:rPr/>
              <w:t> </w:t>
            </w:r>
          </w:p>
        </w:tc>
        <w:tc>
          <w:tcPr>
            <w:tcW w:w="7959" w:type="dxa"/>
            <w:gridSpan w:val="3"/>
            <w:tcBorders/>
            <w:shd w:fill="auto" w:val="clear"/>
          </w:tcPr>
          <w:p>
            <w:pPr>
              <w:pStyle w:val="TableContents"/>
              <w:spacing w:before="0" w:after="283"/>
              <w:rPr/>
            </w:pPr>
            <w:r>
              <w:rPr/>
              <w:t> </w:t>
            </w:r>
          </w:p>
        </w:tc>
      </w:tr>
      <w:tr>
        <w:trPr/>
        <w:tc>
          <w:tcPr>
            <w:tcW w:w="10205" w:type="dxa"/>
            <w:gridSpan w:val="5"/>
            <w:tcBorders/>
            <w:shd w:fill="auto" w:val="clear"/>
          </w:tcPr>
          <w:p>
            <w:pPr>
              <w:pStyle w:val="TableContents"/>
              <w:spacing w:before="0" w:after="283"/>
              <w:jc w:val="both"/>
              <w:rPr>
                <w:rFonts w:ascii="Times New Roman" w:hAnsi="Times New Roman"/>
                <w:sz w:val="20"/>
              </w:rPr>
            </w:pPr>
            <w:r>
              <w:rPr>
                <w:rFonts w:ascii="Times New Roman" w:hAnsi="Times New Roman"/>
                <w:sz w:val="20"/>
              </w:rPr>
              <w:t>Mr. Suckows individual qualifications include his financial literacy evidenced by his position as an adjunct professor of finance and economics and his many years of service in the financial and insurance services industries. In addition, Mr. Suckow has served on the advisory boards of many corporations and is an audit committee financial expert within the meaning of SEC rules.</w:t>
            </w:r>
          </w:p>
        </w:tc>
      </w:tr>
    </w:tbl>
    <w:p>
      <w:pPr>
        <w:pStyle w:val="TextBody"/>
        <w:jc w:val="center"/>
        <w:rPr>
          <w:rFonts w:ascii="Times New Roman" w:hAnsi="Times New Roman"/>
          <w:sz w:val="20"/>
        </w:rPr>
      </w:pPr>
      <w:r>
        <w:rPr>
          <w:rFonts w:ascii="Times New Roman" w:hAnsi="Times New Roman"/>
          <w:sz w:val="20"/>
        </w:rPr>
        <w:t>9</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1883"/>
        <w:gridCol w:w="223"/>
        <w:gridCol w:w="3255"/>
        <w:gridCol w:w="1619"/>
        <w:gridCol w:w="3225"/>
      </w:tblGrid>
      <w:tr>
        <w:trPr/>
        <w:tc>
          <w:tcPr>
            <w:tcW w:w="1883" w:type="dxa"/>
            <w:vMerge w:val="restart"/>
            <w:tcBorders/>
            <w:shd w:fill="auto" w:val="clear"/>
          </w:tcPr>
          <w:p>
            <w:pPr>
              <w:pStyle w:val="TableContents"/>
              <w:spacing w:before="0" w:after="283"/>
              <w:jc w:val="left"/>
              <w:rPr/>
            </w:pPr>
            <w:r>
              <w:rPr/>
              <w:drawing>
                <wp:inline distT="0" distB="0" distL="0" distR="0">
                  <wp:extent cx="1190625" cy="1752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90625" cy="1752600"/>
                          </a:xfrm>
                          <a:prstGeom prst="rect">
                            <a:avLst/>
                          </a:prstGeom>
                        </pic:spPr>
                      </pic:pic>
                    </a:graphicData>
                  </a:graphic>
                </wp:inline>
              </w:drawing>
            </w:r>
          </w:p>
        </w:tc>
        <w:tc>
          <w:tcPr>
            <w:tcW w:w="223" w:type="dxa"/>
            <w:vMerge w:val="restart"/>
            <w:tcBorders/>
            <w:shd w:fill="auto" w:val="clear"/>
          </w:tcPr>
          <w:p>
            <w:pPr>
              <w:pStyle w:val="TableContents"/>
              <w:spacing w:before="0" w:after="283"/>
              <w:jc w:val="left"/>
              <w:rPr/>
            </w:pPr>
            <w:r>
              <w:rPr/>
              <w:t xml:space="preserve">    </w:t>
            </w:r>
          </w:p>
        </w:tc>
        <w:tc>
          <w:tcPr>
            <w:tcW w:w="325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Lawrence E. Washow</w:t>
            </w:r>
          </w:p>
        </w:tc>
        <w:tc>
          <w:tcPr>
            <w:tcW w:w="161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Age 60</w:t>
            </w:r>
          </w:p>
        </w:tc>
        <w:tc>
          <w:tcPr>
            <w:tcW w:w="32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Director since 2013</w:t>
            </w:r>
          </w:p>
        </w:tc>
      </w:tr>
      <w:tr>
        <w:trPr/>
        <w:tc>
          <w:tcPr>
            <w:tcW w:w="1883" w:type="dxa"/>
            <w:vMerge w:val="continue"/>
            <w:tcBorders/>
            <w:shd w:fill="auto" w:val="clear"/>
          </w:tcPr>
          <w:p>
            <w:pPr>
              <w:pStyle w:val="Normal"/>
              <w:rPr/>
            </w:pPr>
            <w:r>
              <w:rPr/>
            </w:r>
          </w:p>
        </w:tc>
        <w:tc>
          <w:tcPr>
            <w:tcW w:w="223" w:type="dxa"/>
            <w:vMerge w:val="continue"/>
            <w:tcBorders/>
            <w:shd w:fill="auto" w:val="clear"/>
          </w:tcPr>
          <w:p>
            <w:pPr>
              <w:pStyle w:val="Normal"/>
              <w:rPr/>
            </w:pPr>
            <w:r>
              <w:rPr/>
            </w:r>
          </w:p>
        </w:tc>
        <w:tc>
          <w:tcPr>
            <w:tcW w:w="4874" w:type="dxa"/>
            <w:gridSpan w:val="2"/>
            <w:tcBorders/>
            <w:shd w:fill="auto" w:val="clear"/>
            <w:vAlign w:val="center"/>
          </w:tcPr>
          <w:p>
            <w:pPr>
              <w:pStyle w:val="TableContents"/>
              <w:spacing w:before="0" w:after="283"/>
              <w:jc w:val="left"/>
              <w:rPr/>
            </w:pPr>
            <w:r>
              <w:rPr/>
              <w:t> </w:t>
            </w:r>
          </w:p>
        </w:tc>
        <w:tc>
          <w:tcPr>
            <w:tcW w:w="3225" w:type="dxa"/>
            <w:tcBorders/>
            <w:shd w:fill="auto" w:val="clear"/>
            <w:vAlign w:val="center"/>
          </w:tcPr>
          <w:p>
            <w:pPr>
              <w:pStyle w:val="TableContents"/>
              <w:spacing w:before="0" w:after="283"/>
              <w:rPr>
                <w:sz w:val="4"/>
                <w:szCs w:val="4"/>
              </w:rPr>
            </w:pPr>
            <w:r>
              <w:rPr>
                <w:sz w:val="4"/>
                <w:szCs w:val="4"/>
              </w:rPr>
            </w:r>
          </w:p>
        </w:tc>
      </w:tr>
      <w:tr>
        <w:trPr/>
        <w:tc>
          <w:tcPr>
            <w:tcW w:w="1883" w:type="dxa"/>
            <w:vMerge w:val="continue"/>
            <w:tcBorders/>
            <w:shd w:fill="auto" w:val="clear"/>
          </w:tcPr>
          <w:p>
            <w:pPr>
              <w:pStyle w:val="Normal"/>
              <w:rPr/>
            </w:pPr>
            <w:r>
              <w:rPr/>
            </w:r>
          </w:p>
        </w:tc>
        <w:tc>
          <w:tcPr>
            <w:tcW w:w="223" w:type="dxa"/>
            <w:vMerge w:val="continue"/>
            <w:tcBorders/>
            <w:shd w:fill="auto" w:val="clear"/>
          </w:tcPr>
          <w:p>
            <w:pPr>
              <w:pStyle w:val="Normal"/>
              <w:rPr/>
            </w:pPr>
            <w:r>
              <w:rPr/>
            </w:r>
          </w:p>
        </w:tc>
        <w:tc>
          <w:tcPr>
            <w:tcW w:w="4874" w:type="dxa"/>
            <w:gridSpan w:val="2"/>
            <w:tcBorders/>
            <w:shd w:fill="auto" w:val="clear"/>
            <w:vAlign w:val="bottom"/>
          </w:tcPr>
          <w:p>
            <w:pPr>
              <w:pStyle w:val="TableContents"/>
              <w:spacing w:before="0" w:after="283"/>
              <w:jc w:val="both"/>
              <w:rPr>
                <w:rFonts w:ascii="Times New Roman" w:hAnsi="Times New Roman"/>
                <w:i/>
                <w:sz w:val="20"/>
              </w:rPr>
            </w:pPr>
            <w:r>
              <w:rPr>
                <w:rFonts w:ascii="Times New Roman" w:hAnsi="Times New Roman"/>
                <w:i/>
                <w:sz w:val="20"/>
              </w:rPr>
              <w:t>Board Member, First Bauxite Corporation</w:t>
            </w:r>
          </w:p>
        </w:tc>
        <w:tc>
          <w:tcPr>
            <w:tcW w:w="3225" w:type="dxa"/>
            <w:tcBorders/>
            <w:shd w:fill="auto" w:val="clear"/>
            <w:vAlign w:val="bottom"/>
          </w:tcPr>
          <w:p>
            <w:pPr>
              <w:pStyle w:val="TableContents"/>
              <w:spacing w:before="0" w:after="283"/>
              <w:jc w:val="left"/>
              <w:rPr/>
            </w:pPr>
            <w:r>
              <w:rPr/>
              <w:t> </w:t>
            </w:r>
          </w:p>
        </w:tc>
      </w:tr>
      <w:tr>
        <w:trPr/>
        <w:tc>
          <w:tcPr>
            <w:tcW w:w="1883" w:type="dxa"/>
            <w:vMerge w:val="continue"/>
            <w:tcBorders/>
            <w:shd w:fill="auto" w:val="clear"/>
          </w:tcPr>
          <w:p>
            <w:pPr>
              <w:pStyle w:val="Normal"/>
              <w:rPr/>
            </w:pPr>
            <w:r>
              <w:rPr/>
            </w:r>
          </w:p>
        </w:tc>
        <w:tc>
          <w:tcPr>
            <w:tcW w:w="223" w:type="dxa"/>
            <w:vMerge w:val="continue"/>
            <w:tcBorders/>
            <w:shd w:fill="auto" w:val="clear"/>
          </w:tcPr>
          <w:p>
            <w:pPr>
              <w:pStyle w:val="Normal"/>
              <w:rPr/>
            </w:pPr>
            <w:r>
              <w:rPr/>
            </w:r>
          </w:p>
        </w:tc>
        <w:tc>
          <w:tcPr>
            <w:tcW w:w="4874" w:type="dxa"/>
            <w:gridSpan w:val="2"/>
            <w:tcBorders/>
            <w:shd w:fill="auto" w:val="clear"/>
            <w:vAlign w:val="center"/>
          </w:tcPr>
          <w:p>
            <w:pPr>
              <w:pStyle w:val="TableContents"/>
              <w:spacing w:before="0" w:after="283"/>
              <w:jc w:val="left"/>
              <w:rPr/>
            </w:pPr>
            <w:r>
              <w:rPr/>
              <w:t> </w:t>
            </w:r>
          </w:p>
        </w:tc>
        <w:tc>
          <w:tcPr>
            <w:tcW w:w="3225" w:type="dxa"/>
            <w:tcBorders/>
            <w:shd w:fill="auto" w:val="clear"/>
            <w:vAlign w:val="center"/>
          </w:tcPr>
          <w:p>
            <w:pPr>
              <w:pStyle w:val="TableContents"/>
              <w:spacing w:before="0" w:after="283"/>
              <w:rPr>
                <w:sz w:val="4"/>
                <w:szCs w:val="4"/>
              </w:rPr>
            </w:pPr>
            <w:r>
              <w:rPr>
                <w:sz w:val="4"/>
                <w:szCs w:val="4"/>
              </w:rPr>
            </w:r>
          </w:p>
        </w:tc>
      </w:tr>
      <w:tr>
        <w:trPr/>
        <w:tc>
          <w:tcPr>
            <w:tcW w:w="1883" w:type="dxa"/>
            <w:vMerge w:val="continue"/>
            <w:tcBorders/>
            <w:shd w:fill="auto" w:val="clear"/>
          </w:tcPr>
          <w:p>
            <w:pPr>
              <w:pStyle w:val="Normal"/>
              <w:rPr/>
            </w:pPr>
            <w:r>
              <w:rPr/>
            </w:r>
          </w:p>
        </w:tc>
        <w:tc>
          <w:tcPr>
            <w:tcW w:w="223" w:type="dxa"/>
            <w:vMerge w:val="continue"/>
            <w:tcBorders/>
            <w:shd w:fill="auto" w:val="clear"/>
          </w:tcPr>
          <w:p>
            <w:pPr>
              <w:pStyle w:val="Normal"/>
              <w:rPr/>
            </w:pPr>
            <w:r>
              <w:rPr/>
            </w:r>
          </w:p>
        </w:tc>
        <w:tc>
          <w:tcPr>
            <w:tcW w:w="4874" w:type="dxa"/>
            <w:gridSpan w:val="2"/>
            <w:tcBorders/>
            <w:shd w:fill="auto" w:val="clear"/>
            <w:vAlign w:val="center"/>
          </w:tcPr>
          <w:p>
            <w:pPr>
              <w:pStyle w:val="TableContents"/>
              <w:spacing w:before="0" w:after="283"/>
              <w:jc w:val="both"/>
              <w:rPr>
                <w:rFonts w:ascii="Times New Roman" w:hAnsi="Times New Roman"/>
                <w:i/>
                <w:sz w:val="20"/>
              </w:rPr>
            </w:pPr>
            <w:r>
              <w:rPr>
                <w:rFonts w:ascii="Times New Roman" w:hAnsi="Times New Roman"/>
                <w:i/>
                <w:sz w:val="20"/>
              </w:rPr>
              <w:t>Board Member and Partner of Eudora Global, LLC</w:t>
            </w:r>
          </w:p>
        </w:tc>
        <w:tc>
          <w:tcPr>
            <w:tcW w:w="3225" w:type="dxa"/>
            <w:tcBorders/>
            <w:shd w:fill="auto" w:val="clear"/>
            <w:vAlign w:val="center"/>
          </w:tcPr>
          <w:p>
            <w:pPr>
              <w:pStyle w:val="TableContents"/>
              <w:spacing w:before="0" w:after="283"/>
              <w:rPr>
                <w:sz w:val="4"/>
                <w:szCs w:val="4"/>
              </w:rPr>
            </w:pPr>
            <w:r>
              <w:rPr>
                <w:sz w:val="4"/>
                <w:szCs w:val="4"/>
              </w:rPr>
            </w:r>
          </w:p>
        </w:tc>
      </w:tr>
      <w:tr>
        <w:trPr/>
        <w:tc>
          <w:tcPr>
            <w:tcW w:w="1883" w:type="dxa"/>
            <w:vMerge w:val="continue"/>
            <w:tcBorders/>
            <w:shd w:fill="auto" w:val="clear"/>
          </w:tcPr>
          <w:p>
            <w:pPr>
              <w:pStyle w:val="Normal"/>
              <w:rPr/>
            </w:pPr>
            <w:r>
              <w:rPr/>
            </w:r>
          </w:p>
        </w:tc>
        <w:tc>
          <w:tcPr>
            <w:tcW w:w="223" w:type="dxa"/>
            <w:vMerge w:val="continue"/>
            <w:tcBorders/>
            <w:shd w:fill="auto" w:val="clear"/>
          </w:tcPr>
          <w:p>
            <w:pPr>
              <w:pStyle w:val="Normal"/>
              <w:rPr/>
            </w:pPr>
            <w:r>
              <w:rPr/>
            </w:r>
          </w:p>
        </w:tc>
        <w:tc>
          <w:tcPr>
            <w:tcW w:w="4874" w:type="dxa"/>
            <w:gridSpan w:val="2"/>
            <w:tcBorders/>
            <w:shd w:fill="auto" w:val="clear"/>
            <w:vAlign w:val="center"/>
          </w:tcPr>
          <w:p>
            <w:pPr>
              <w:pStyle w:val="TableContents"/>
              <w:spacing w:before="0" w:after="283"/>
              <w:jc w:val="left"/>
              <w:rPr/>
            </w:pPr>
            <w:r>
              <w:rPr/>
              <w:t xml:space="preserve">  </w:t>
            </w:r>
          </w:p>
        </w:tc>
        <w:tc>
          <w:tcPr>
            <w:tcW w:w="3225" w:type="dxa"/>
            <w:tcBorders/>
            <w:shd w:fill="auto" w:val="clear"/>
            <w:vAlign w:val="center"/>
          </w:tcPr>
          <w:p>
            <w:pPr>
              <w:pStyle w:val="TableContents"/>
              <w:spacing w:before="0" w:after="283"/>
              <w:jc w:val="left"/>
              <w:rPr/>
            </w:pPr>
            <w:r>
              <w:rPr/>
              <w:t> </w:t>
            </w:r>
          </w:p>
        </w:tc>
      </w:tr>
      <w:tr>
        <w:trPr/>
        <w:tc>
          <w:tcPr>
            <w:tcW w:w="1883" w:type="dxa"/>
            <w:vMerge w:val="continue"/>
            <w:tcBorders/>
            <w:shd w:fill="auto" w:val="clear"/>
          </w:tcPr>
          <w:p>
            <w:pPr>
              <w:pStyle w:val="Normal"/>
              <w:rPr/>
            </w:pPr>
            <w:r>
              <w:rPr/>
            </w:r>
          </w:p>
        </w:tc>
        <w:tc>
          <w:tcPr>
            <w:tcW w:w="223" w:type="dxa"/>
            <w:vMerge w:val="continue"/>
            <w:tcBorders/>
            <w:shd w:fill="auto" w:val="clear"/>
          </w:tcPr>
          <w:p>
            <w:pPr>
              <w:pStyle w:val="Normal"/>
              <w:rPr/>
            </w:pPr>
            <w:r>
              <w:rPr/>
            </w:r>
          </w:p>
        </w:tc>
        <w:tc>
          <w:tcPr>
            <w:tcW w:w="8099"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Washow received a bachelors degree from Miami University in Oxford, Ohio in 1975 and earned an M.B.A. from Kellogg Graduate School of Management of Northwestern University in 1981. Mr. Washow began his career at American Colloid Company (which subsequently became a subsidiary of AMCOL International Corporation (AMCOL)) in the Personnel Department in 1978 and was thereafter promoted to Industrial Relations Manager. In 1986, he was picked to build and lead Chemdal International, a stand-alone subsidiary of AMCOL. Mr. Washow became Chief Operating Officer of AMCOL in 1998 and President and Chief Executive Officer of AMCOL in 2000 and served in these positions and as a director of AMCOL until 2010. In 2011, Mr. Washow began, and continues, to serve as a board member of First Bauxite Corporation and as a board member and Partner of Eudora Global, LLC. He recently joined the Advisory Board of S&amp;B Minerals.</w:t>
            </w:r>
          </w:p>
        </w:tc>
      </w:tr>
      <w:tr>
        <w:trPr/>
        <w:tc>
          <w:tcPr>
            <w:tcW w:w="1883" w:type="dxa"/>
            <w:tcBorders/>
            <w:shd w:fill="auto" w:val="clear"/>
          </w:tcPr>
          <w:p>
            <w:pPr>
              <w:pStyle w:val="TableContents"/>
              <w:spacing w:before="0" w:after="283"/>
              <w:jc w:val="left"/>
              <w:rPr/>
            </w:pPr>
            <w:r>
              <w:rPr/>
              <w:t> </w:t>
            </w:r>
          </w:p>
        </w:tc>
        <w:tc>
          <w:tcPr>
            <w:tcW w:w="223" w:type="dxa"/>
            <w:tcBorders/>
            <w:shd w:fill="auto" w:val="clear"/>
          </w:tcPr>
          <w:p>
            <w:pPr>
              <w:pStyle w:val="TableContents"/>
              <w:spacing w:before="0" w:after="283"/>
              <w:jc w:val="left"/>
              <w:rPr/>
            </w:pPr>
            <w:r>
              <w:rPr/>
              <w:t> </w:t>
            </w:r>
          </w:p>
        </w:tc>
        <w:tc>
          <w:tcPr>
            <w:tcW w:w="8099" w:type="dxa"/>
            <w:gridSpan w:val="3"/>
            <w:tcBorders/>
            <w:shd w:fill="auto" w:val="clear"/>
          </w:tcPr>
          <w:p>
            <w:pPr>
              <w:pStyle w:val="TableContents"/>
              <w:spacing w:before="0" w:after="283"/>
              <w:rPr/>
            </w:pPr>
            <w:r>
              <w:rPr/>
              <w:t> </w:t>
            </w:r>
          </w:p>
        </w:tc>
      </w:tr>
      <w:tr>
        <w:trPr/>
        <w:tc>
          <w:tcPr>
            <w:tcW w:w="10205" w:type="dxa"/>
            <w:gridSpan w:val="5"/>
            <w:tcBorders/>
            <w:shd w:fill="auto" w:val="clear"/>
          </w:tcPr>
          <w:p>
            <w:pPr>
              <w:pStyle w:val="TableContents"/>
              <w:spacing w:before="0" w:after="283"/>
              <w:jc w:val="both"/>
              <w:rPr>
                <w:rFonts w:ascii="Times New Roman" w:hAnsi="Times New Roman"/>
                <w:sz w:val="20"/>
              </w:rPr>
            </w:pPr>
            <w:r>
              <w:rPr>
                <w:rFonts w:ascii="Times New Roman" w:hAnsi="Times New Roman"/>
                <w:sz w:val="20"/>
              </w:rPr>
              <w:t>Mr. Washows individual qualifications include his extensive global experience in minerals, mining, manufacturing and distribution. In addition, Mr. Washow is an audit committee financial expert within the meaning of SEC rules and brings to the Board his strong business acumen and broad experience in management, operations, public company governance and compliance obtained through the leadership positions, including president, chief executive officer and board member that he has held with public corporations.</w:t>
            </w:r>
          </w:p>
        </w:tc>
      </w:tr>
    </w:tbl>
    <w:p>
      <w:pPr>
        <w:pStyle w:val="TextBody"/>
        <w:jc w:val="center"/>
        <w:rPr>
          <w:rFonts w:ascii="Times New Roman" w:hAnsi="Times New Roman"/>
          <w:sz w:val="20"/>
        </w:rPr>
      </w:pPr>
      <w:r>
        <w:rPr>
          <w:rFonts w:ascii="Times New Roman" w:hAnsi="Times New Roman"/>
          <w:sz w:val="20"/>
        </w:rPr>
        <w:t>10</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2. Ratification of Appointment of Independent Auditor</w:t>
      </w:r>
    </w:p>
    <w:p>
      <w:pPr>
        <w:pStyle w:val="TextBody"/>
        <w:jc w:val="both"/>
        <w:rPr/>
      </w:pPr>
      <w:r>
        <w:rPr/>
        <w:t>     </w:t>
      </w:r>
      <w:r>
        <w:rPr>
          <w:rFonts w:ascii="Times New Roman" w:hAnsi="Times New Roman"/>
          <w:sz w:val="20"/>
        </w:rPr>
        <w:t>The Audit Committee of the Board of Directors appointed PricewaterhouseCoopers LLP as the Companys independent auditor for the fiscal year ending July 31, 2014 at its meeting on October 8, 2013, and has further directed that we submit the appointment of the independent auditor for ratification by the stockholders at the 2013 Annual Meeting. PricewaterhouseCoopers LLP audited the Companys consolidated financial statements for the fiscal year ended July 31, 2013. A representative of PricewaterhouseCoopers LLP is expected to be present at the 2013 Annual Meeting and will have an opportunity to make a statement if he or she so desires and will be available to respond to appropriate questions.</w:t>
      </w:r>
    </w:p>
    <w:p>
      <w:pPr>
        <w:pStyle w:val="TextBody"/>
        <w:jc w:val="both"/>
        <w:rPr/>
      </w:pPr>
      <w:r>
        <w:rPr/>
        <w:t>     </w:t>
      </w:r>
      <w:r>
        <w:rPr>
          <w:rFonts w:ascii="Times New Roman" w:hAnsi="Times New Roman"/>
          <w:sz w:val="20"/>
        </w:rPr>
        <w:t>Stockholder ratification of the appointment of PricewaterhouseCoopers LLP as the Companys independent auditor is not required by the Companys Amended and Restated By-Laws or otherwise; however, our Board of Directors is submitting the appointment of PricewaterhouseCoopers LLP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w:t>
      </w:r>
    </w:p>
    <w:p>
      <w:pPr>
        <w:pStyle w:val="TextBody"/>
        <w:ind w:left="0" w:right="0" w:firstLine="300"/>
        <w:jc w:val="center"/>
        <w:rPr>
          <w:rFonts w:ascii="Times New Roman" w:hAnsi="Times New Roman"/>
          <w:b/>
          <w:sz w:val="20"/>
        </w:rPr>
      </w:pPr>
      <w:r>
        <w:rPr>
          <w:rFonts w:ascii="Times New Roman" w:hAnsi="Times New Roman"/>
          <w:b/>
          <w:sz w:val="20"/>
        </w:rPr>
        <w:t>THE BOARD OF DIRECTORS RECOMMENDS A VOTE FOR RATIFICATION OF THE APPOINTMENT OF PRICEWATERHOUSECOOPERS LLP AS INDEPENDENT AUDITOR.</w:t>
      </w:r>
    </w:p>
    <w:p>
      <w:pPr>
        <w:pStyle w:val="TextBody"/>
        <w:jc w:val="both"/>
        <w:rPr>
          <w:rFonts w:ascii="Times New Roman" w:hAnsi="Times New Roman"/>
          <w:b/>
          <w:sz w:val="20"/>
        </w:rPr>
      </w:pPr>
      <w:r>
        <w:rPr>
          <w:rFonts w:ascii="Times New Roman" w:hAnsi="Times New Roman"/>
          <w:b/>
          <w:sz w:val="20"/>
        </w:rPr>
        <w:t>Auditor Fees</w:t>
      </w:r>
    </w:p>
    <w:p>
      <w:pPr>
        <w:pStyle w:val="TextBody"/>
        <w:jc w:val="both"/>
        <w:rPr/>
      </w:pPr>
      <w:r>
        <w:rPr/>
        <w:t>     </w:t>
      </w:r>
      <w:r>
        <w:rPr>
          <w:rFonts w:ascii="Times New Roman" w:hAnsi="Times New Roman"/>
          <w:sz w:val="20"/>
        </w:rPr>
        <w:t>The aggregate fees (including reimbursed expenses) for professional services billed by PricewaterhouseCoopers LLP to us in the fiscal years ended July 31, 2013 (fiscal 2013) and 2012 (fiscal 2012) were as follows:</w:t>
      </w:r>
    </w:p>
    <w:tbl>
      <w:tblPr>
        <w:tblW w:w="4000" w:type="pct"/>
        <w:jc w:val="center"/>
        <w:tblInd w:w="0" w:type="dxa"/>
        <w:tblCellMar>
          <w:top w:w="0" w:type="dxa"/>
          <w:left w:w="0" w:type="dxa"/>
          <w:bottom w:w="28" w:type="dxa"/>
          <w:right w:w="0" w:type="dxa"/>
        </w:tblCellMar>
      </w:tblPr>
      <w:tblGrid>
        <w:gridCol w:w="5504"/>
        <w:gridCol w:w="329"/>
        <w:gridCol w:w="160"/>
        <w:gridCol w:w="911"/>
        <w:gridCol w:w="329"/>
        <w:gridCol w:w="160"/>
        <w:gridCol w:w="771"/>
      </w:tblGrid>
      <w:tr>
        <w:trPr/>
        <w:tc>
          <w:tcPr>
            <w:tcW w:w="5504"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Type of Fees</w:t>
            </w:r>
          </w:p>
        </w:tc>
        <w:tc>
          <w:tcPr>
            <w:tcW w:w="329" w:type="dxa"/>
            <w:tcBorders/>
            <w:shd w:fill="auto" w:val="clear"/>
            <w:tcMar>
              <w:bottom w:w="0" w:type="dxa"/>
            </w:tcMar>
            <w:vAlign w:val="bottom"/>
          </w:tcPr>
          <w:p>
            <w:pPr>
              <w:pStyle w:val="TableContents"/>
              <w:spacing w:before="0" w:after="283"/>
              <w:jc w:val="right"/>
              <w:rPr/>
            </w:pPr>
            <w:r>
              <w:rPr/>
              <w:t>     </w:t>
            </w:r>
          </w:p>
        </w:tc>
        <w:tc>
          <w:tcPr>
            <w:tcW w:w="1071" w:type="dxa"/>
            <w:gridSpan w:val="2"/>
            <w:tcBorders>
              <w:bottom w:val="single" w:sz="8" w:space="0" w:color="000000"/>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2013</w:t>
            </w:r>
          </w:p>
        </w:tc>
        <w:tc>
          <w:tcPr>
            <w:tcW w:w="329" w:type="dxa"/>
            <w:tcBorders>
              <w:bottom w:val="single" w:sz="8" w:space="0" w:color="000000"/>
            </w:tcBorders>
            <w:shd w:fill="auto" w:val="clear"/>
            <w:vAlign w:val="bottom"/>
          </w:tcPr>
          <w:p>
            <w:pPr>
              <w:pStyle w:val="TableContents"/>
              <w:spacing w:before="0" w:after="283"/>
              <w:jc w:val="right"/>
              <w:rPr/>
            </w:pPr>
            <w:r>
              <w:rPr/>
              <w:t>     </w:t>
            </w:r>
          </w:p>
        </w:tc>
        <w:tc>
          <w:tcPr>
            <w:tcW w:w="931" w:type="dxa"/>
            <w:gridSpan w:val="2"/>
            <w:tcBorders>
              <w:bottom w:val="single" w:sz="8" w:space="0" w:color="000000"/>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2012</w:t>
            </w:r>
          </w:p>
        </w:tc>
      </w:tr>
      <w:tr>
        <w:trPr/>
        <w:tc>
          <w:tcPr>
            <w:tcW w:w="5504"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Audit fees (1)</w:t>
            </w:r>
          </w:p>
        </w:tc>
        <w:tc>
          <w:tcPr>
            <w:tcW w:w="329" w:type="dxa"/>
            <w:tcBorders/>
            <w:shd w:fill="C0C0C0" w:val="clear"/>
            <w:tcMar>
              <w:bottom w:w="0" w:type="dxa"/>
            </w:tcMar>
            <w:vAlign w:val="bottom"/>
          </w:tcPr>
          <w:p>
            <w:pPr>
              <w:pStyle w:val="TableContents"/>
              <w:spacing w:before="0" w:after="283"/>
              <w:rPr>
                <w:sz w:val="4"/>
                <w:szCs w:val="4"/>
              </w:rPr>
            </w:pPr>
            <w:r>
              <w:rPr>
                <w:sz w:val="4"/>
                <w:szCs w:val="4"/>
              </w:rPr>
            </w:r>
          </w:p>
        </w:tc>
        <w:tc>
          <w:tcPr>
            <w:tcW w:w="16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737,849</w:t>
            </w:r>
          </w:p>
        </w:tc>
        <w:tc>
          <w:tcPr>
            <w:tcW w:w="329" w:type="dxa"/>
            <w:tcBorders/>
            <w:shd w:fill="C0C0C0" w:val="clear"/>
            <w:tcMar>
              <w:bottom w:w="0" w:type="dxa"/>
            </w:tcMar>
            <w:vAlign w:val="bottom"/>
          </w:tcPr>
          <w:p>
            <w:pPr>
              <w:pStyle w:val="TableContents"/>
              <w:spacing w:before="0" w:after="283"/>
              <w:rPr>
                <w:sz w:val="4"/>
                <w:szCs w:val="4"/>
              </w:rPr>
            </w:pPr>
            <w:r>
              <w:rPr>
                <w:sz w:val="4"/>
                <w:szCs w:val="4"/>
              </w:rPr>
            </w:r>
          </w:p>
        </w:tc>
        <w:tc>
          <w:tcPr>
            <w:tcW w:w="16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71"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587,554</w:t>
            </w:r>
          </w:p>
        </w:tc>
      </w:tr>
      <w:tr>
        <w:trPr/>
        <w:tc>
          <w:tcPr>
            <w:tcW w:w="5504"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Audit-related fees (2)</w:t>
            </w:r>
          </w:p>
        </w:tc>
        <w:tc>
          <w:tcPr>
            <w:tcW w:w="329" w:type="dxa"/>
            <w:tcBorders/>
            <w:shd w:fill="auto" w:val="clear"/>
            <w:tcMar>
              <w:bottom w:w="0" w:type="dxa"/>
            </w:tcMar>
            <w:vAlign w:val="bottom"/>
          </w:tcPr>
          <w:p>
            <w:pPr>
              <w:pStyle w:val="TableContents"/>
              <w:spacing w:before="0" w:after="283"/>
              <w:rPr>
                <w:sz w:val="4"/>
                <w:szCs w:val="4"/>
              </w:rPr>
            </w:pPr>
            <w:r>
              <w:rPr>
                <w:sz w:val="4"/>
                <w:szCs w:val="4"/>
              </w:rPr>
            </w:r>
          </w:p>
        </w:tc>
        <w:tc>
          <w:tcPr>
            <w:tcW w:w="160" w:type="dxa"/>
            <w:tcBorders/>
            <w:shd w:fill="auto" w:val="clear"/>
            <w:tcMar>
              <w:bottom w:w="0" w:type="dxa"/>
            </w:tcMar>
            <w:vAlign w:val="bottom"/>
          </w:tcPr>
          <w:p>
            <w:pPr>
              <w:pStyle w:val="TableContents"/>
              <w:spacing w:before="0" w:after="283"/>
              <w:rPr>
                <w:sz w:val="4"/>
                <w:szCs w:val="4"/>
              </w:rPr>
            </w:pPr>
            <w:r>
              <w:rPr>
                <w:sz w:val="4"/>
                <w:szCs w:val="4"/>
              </w:rPr>
            </w:r>
          </w:p>
        </w:tc>
        <w:tc>
          <w:tcPr>
            <w:tcW w:w="91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29" w:type="dxa"/>
            <w:tcBorders/>
            <w:shd w:fill="auto" w:val="clear"/>
            <w:tcMar>
              <w:bottom w:w="0" w:type="dxa"/>
            </w:tcMar>
            <w:vAlign w:val="bottom"/>
          </w:tcPr>
          <w:p>
            <w:pPr>
              <w:pStyle w:val="TableContents"/>
              <w:spacing w:before="0" w:after="283"/>
              <w:rPr>
                <w:sz w:val="4"/>
                <w:szCs w:val="4"/>
              </w:rPr>
            </w:pPr>
            <w:r>
              <w:rPr>
                <w:sz w:val="4"/>
                <w:szCs w:val="4"/>
              </w:rPr>
            </w:r>
          </w:p>
        </w:tc>
        <w:tc>
          <w:tcPr>
            <w:tcW w:w="160" w:type="dxa"/>
            <w:tcBorders/>
            <w:shd w:fill="auto" w:val="clear"/>
            <w:tcMar>
              <w:bottom w:w="0" w:type="dxa"/>
            </w:tcMar>
            <w:vAlign w:val="bottom"/>
          </w:tcPr>
          <w:p>
            <w:pPr>
              <w:pStyle w:val="TableContents"/>
              <w:spacing w:before="0" w:after="283"/>
              <w:rPr>
                <w:sz w:val="4"/>
                <w:szCs w:val="4"/>
              </w:rPr>
            </w:pPr>
            <w:r>
              <w:rPr>
                <w:sz w:val="4"/>
                <w:szCs w:val="4"/>
              </w:rPr>
            </w:r>
          </w:p>
        </w:tc>
        <w:tc>
          <w:tcPr>
            <w:tcW w:w="77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r>
      <w:tr>
        <w:trPr/>
        <w:tc>
          <w:tcPr>
            <w:tcW w:w="5504" w:type="dxa"/>
            <w:tcBorders/>
            <w:shd w:fill="auto" w:val="clear"/>
            <w:tcMar>
              <w:bottom w:w="0" w:type="dxa"/>
            </w:tcMar>
            <w:vAlign w:val="center"/>
          </w:tcPr>
          <w:p>
            <w:pPr>
              <w:pStyle w:val="TableContents"/>
              <w:spacing w:before="0" w:after="283"/>
              <w:jc w:val="left"/>
              <w:rPr/>
            </w:pPr>
            <w:r>
              <w:rPr/>
              <w:t> </w:t>
            </w:r>
          </w:p>
        </w:tc>
        <w:tc>
          <w:tcPr>
            <w:tcW w:w="329" w:type="dxa"/>
            <w:tcBorders/>
            <w:shd w:fill="auto" w:val="clear"/>
            <w:tcMar>
              <w:bottom w:w="0" w:type="dxa"/>
            </w:tcMar>
            <w:vAlign w:val="center"/>
          </w:tcPr>
          <w:p>
            <w:pPr>
              <w:pStyle w:val="TableContents"/>
              <w:spacing w:before="0" w:after="283"/>
              <w:rPr>
                <w:sz w:val="4"/>
                <w:szCs w:val="4"/>
              </w:rPr>
            </w:pPr>
            <w:r>
              <w:rPr>
                <w:sz w:val="4"/>
                <w:szCs w:val="4"/>
              </w:rPr>
            </w:r>
          </w:p>
        </w:tc>
        <w:tc>
          <w:tcPr>
            <w:tcW w:w="160" w:type="dxa"/>
            <w:tcBorders/>
            <w:shd w:fill="auto" w:val="clear"/>
            <w:tcMar>
              <w:bottom w:w="0" w:type="dxa"/>
            </w:tcMar>
            <w:vAlign w:val="center"/>
          </w:tcPr>
          <w:p>
            <w:pPr>
              <w:pStyle w:val="TableContents"/>
              <w:spacing w:before="0" w:after="283"/>
              <w:rPr>
                <w:sz w:val="4"/>
                <w:szCs w:val="4"/>
              </w:rPr>
            </w:pPr>
            <w:r>
              <w:rPr>
                <w:sz w:val="4"/>
                <w:szCs w:val="4"/>
              </w:rPr>
            </w:r>
          </w:p>
        </w:tc>
        <w:tc>
          <w:tcPr>
            <w:tcW w:w="911" w:type="dxa"/>
            <w:tcBorders/>
            <w:shd w:fill="auto" w:val="clear"/>
            <w:tcMar>
              <w:bottom w:w="0" w:type="dxa"/>
            </w:tcMar>
            <w:vAlign w:val="center"/>
          </w:tcPr>
          <w:p>
            <w:pPr>
              <w:pStyle w:val="TableContents"/>
              <w:spacing w:before="0" w:after="283"/>
              <w:rPr>
                <w:sz w:val="4"/>
                <w:szCs w:val="4"/>
              </w:rPr>
            </w:pPr>
            <w:r>
              <w:rPr>
                <w:sz w:val="4"/>
                <w:szCs w:val="4"/>
              </w:rPr>
            </w:r>
          </w:p>
        </w:tc>
        <w:tc>
          <w:tcPr>
            <w:tcW w:w="329" w:type="dxa"/>
            <w:tcBorders/>
            <w:shd w:fill="auto" w:val="clear"/>
            <w:tcMar>
              <w:bottom w:w="0" w:type="dxa"/>
            </w:tcMar>
            <w:vAlign w:val="center"/>
          </w:tcPr>
          <w:p>
            <w:pPr>
              <w:pStyle w:val="TableContents"/>
              <w:spacing w:before="0" w:after="283"/>
              <w:rPr>
                <w:sz w:val="4"/>
                <w:szCs w:val="4"/>
              </w:rPr>
            </w:pPr>
            <w:r>
              <w:rPr>
                <w:sz w:val="4"/>
                <w:szCs w:val="4"/>
              </w:rPr>
            </w:r>
          </w:p>
        </w:tc>
        <w:tc>
          <w:tcPr>
            <w:tcW w:w="160" w:type="dxa"/>
            <w:tcBorders/>
            <w:shd w:fill="auto" w:val="clear"/>
            <w:tcMar>
              <w:bottom w:w="0" w:type="dxa"/>
            </w:tcMar>
            <w:vAlign w:val="center"/>
          </w:tcPr>
          <w:p>
            <w:pPr>
              <w:pStyle w:val="TableContents"/>
              <w:spacing w:before="0" w:after="283"/>
              <w:rPr>
                <w:sz w:val="4"/>
                <w:szCs w:val="4"/>
              </w:rPr>
            </w:pPr>
            <w:r>
              <w:rPr>
                <w:sz w:val="4"/>
                <w:szCs w:val="4"/>
              </w:rPr>
            </w:r>
          </w:p>
        </w:tc>
        <w:tc>
          <w:tcPr>
            <w:tcW w:w="771"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5504"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Tax fees (3)</w:t>
            </w:r>
          </w:p>
        </w:tc>
        <w:tc>
          <w:tcPr>
            <w:tcW w:w="329" w:type="dxa"/>
            <w:tcBorders/>
            <w:shd w:fill="C0C0C0" w:val="clear"/>
            <w:tcMar>
              <w:bottom w:w="0" w:type="dxa"/>
            </w:tcMar>
            <w:vAlign w:val="bottom"/>
          </w:tcPr>
          <w:p>
            <w:pPr>
              <w:pStyle w:val="TableContents"/>
              <w:spacing w:before="0" w:after="283"/>
              <w:rPr>
                <w:sz w:val="4"/>
                <w:szCs w:val="4"/>
              </w:rPr>
            </w:pPr>
            <w:r>
              <w:rPr>
                <w:sz w:val="4"/>
                <w:szCs w:val="4"/>
              </w:rPr>
            </w:r>
          </w:p>
        </w:tc>
        <w:tc>
          <w:tcPr>
            <w:tcW w:w="160" w:type="dxa"/>
            <w:tcBorders/>
            <w:shd w:fill="C0C0C0" w:val="clear"/>
            <w:tcMar>
              <w:bottom w:w="0" w:type="dxa"/>
            </w:tcMar>
            <w:vAlign w:val="bottom"/>
          </w:tcPr>
          <w:p>
            <w:pPr>
              <w:pStyle w:val="TableContents"/>
              <w:spacing w:before="0" w:after="283"/>
              <w:rPr>
                <w:sz w:val="4"/>
                <w:szCs w:val="4"/>
              </w:rPr>
            </w:pPr>
            <w:r>
              <w:rPr>
                <w:sz w:val="4"/>
                <w:szCs w:val="4"/>
              </w:rPr>
            </w:r>
          </w:p>
        </w:tc>
        <w:tc>
          <w:tcPr>
            <w:tcW w:w="911" w:type="dxa"/>
            <w:tcBorders/>
            <w:shd w:fill="C0C0C0" w:val="clear"/>
            <w:tcMar>
              <w:bottom w:w="0" w:type="dxa"/>
            </w:tcMar>
            <w:vAlign w:val="bottom"/>
          </w:tcPr>
          <w:p>
            <w:pPr>
              <w:pStyle w:val="TableContents"/>
              <w:spacing w:before="0" w:after="283"/>
              <w:rPr>
                <w:sz w:val="4"/>
                <w:szCs w:val="4"/>
              </w:rPr>
            </w:pPr>
            <w:r>
              <w:rPr>
                <w:sz w:val="4"/>
                <w:szCs w:val="4"/>
              </w:rPr>
            </w:r>
          </w:p>
        </w:tc>
        <w:tc>
          <w:tcPr>
            <w:tcW w:w="329" w:type="dxa"/>
            <w:tcBorders/>
            <w:shd w:fill="C0C0C0" w:val="clear"/>
            <w:tcMar>
              <w:bottom w:w="0" w:type="dxa"/>
            </w:tcMar>
            <w:vAlign w:val="bottom"/>
          </w:tcPr>
          <w:p>
            <w:pPr>
              <w:pStyle w:val="TableContents"/>
              <w:spacing w:before="0" w:after="283"/>
              <w:rPr>
                <w:sz w:val="4"/>
                <w:szCs w:val="4"/>
              </w:rPr>
            </w:pPr>
            <w:r>
              <w:rPr>
                <w:sz w:val="4"/>
                <w:szCs w:val="4"/>
              </w:rPr>
            </w:r>
          </w:p>
        </w:tc>
        <w:tc>
          <w:tcPr>
            <w:tcW w:w="160" w:type="dxa"/>
            <w:tcBorders/>
            <w:shd w:fill="C0C0C0" w:val="clear"/>
            <w:tcMar>
              <w:bottom w:w="0" w:type="dxa"/>
            </w:tcMar>
            <w:vAlign w:val="bottom"/>
          </w:tcPr>
          <w:p>
            <w:pPr>
              <w:pStyle w:val="TableContents"/>
              <w:spacing w:before="0" w:after="283"/>
              <w:rPr>
                <w:sz w:val="4"/>
                <w:szCs w:val="4"/>
              </w:rPr>
            </w:pPr>
            <w:r>
              <w:rPr>
                <w:sz w:val="4"/>
                <w:szCs w:val="4"/>
              </w:rPr>
            </w:r>
          </w:p>
        </w:tc>
        <w:tc>
          <w:tcPr>
            <w:tcW w:w="771" w:type="dxa"/>
            <w:tcBorders/>
            <w:shd w:fill="C0C0C0" w:val="clear"/>
            <w:tcMar>
              <w:bottom w:w="0" w:type="dxa"/>
            </w:tcMar>
            <w:vAlign w:val="bottom"/>
          </w:tcPr>
          <w:p>
            <w:pPr>
              <w:pStyle w:val="TableContents"/>
              <w:spacing w:before="0" w:after="283"/>
              <w:rPr>
                <w:sz w:val="4"/>
                <w:szCs w:val="4"/>
              </w:rPr>
            </w:pPr>
            <w:r>
              <w:rPr>
                <w:sz w:val="4"/>
                <w:szCs w:val="4"/>
              </w:rPr>
            </w:r>
          </w:p>
        </w:tc>
      </w:tr>
      <w:tr>
        <w:trPr/>
        <w:tc>
          <w:tcPr>
            <w:tcW w:w="5504" w:type="dxa"/>
            <w:tcBorders/>
            <w:shd w:fill="auto" w:val="clear"/>
            <w:tcMar>
              <w:bottom w:w="0" w:type="dxa"/>
            </w:tcMar>
            <w:vAlign w:val="bottom"/>
          </w:tcPr>
          <w:p>
            <w:pPr>
              <w:pStyle w:val="TableContents"/>
              <w:spacing w:before="0" w:after="283"/>
              <w:jc w:val="left"/>
              <w:rPr/>
            </w:pPr>
            <w:r>
              <w:rPr/>
              <w:t xml:space="preserve">       </w:t>
            </w:r>
            <w:r>
              <w:rPr>
                <w:rFonts w:ascii="Times New Roman" w:hAnsi="Times New Roman"/>
                <w:sz w:val="20"/>
              </w:rPr>
              <w:t>Tax compliance</w:t>
            </w:r>
          </w:p>
        </w:tc>
        <w:tc>
          <w:tcPr>
            <w:tcW w:w="329" w:type="dxa"/>
            <w:tcBorders/>
            <w:shd w:fill="auto" w:val="clear"/>
            <w:tcMar>
              <w:bottom w:w="0" w:type="dxa"/>
            </w:tcMar>
            <w:vAlign w:val="bottom"/>
          </w:tcPr>
          <w:p>
            <w:pPr>
              <w:pStyle w:val="TableContents"/>
              <w:spacing w:before="0" w:after="283"/>
              <w:rPr>
                <w:sz w:val="4"/>
                <w:szCs w:val="4"/>
              </w:rPr>
            </w:pPr>
            <w:r>
              <w:rPr>
                <w:sz w:val="4"/>
                <w:szCs w:val="4"/>
              </w:rPr>
            </w:r>
          </w:p>
        </w:tc>
        <w:tc>
          <w:tcPr>
            <w:tcW w:w="160" w:type="dxa"/>
            <w:tcBorders/>
            <w:shd w:fill="auto" w:val="clear"/>
            <w:tcMar>
              <w:bottom w:w="0" w:type="dxa"/>
            </w:tcMar>
            <w:vAlign w:val="bottom"/>
          </w:tcPr>
          <w:p>
            <w:pPr>
              <w:pStyle w:val="TableContents"/>
              <w:spacing w:before="0" w:after="283"/>
              <w:rPr>
                <w:sz w:val="4"/>
                <w:szCs w:val="4"/>
              </w:rPr>
            </w:pPr>
            <w:r>
              <w:rPr>
                <w:sz w:val="4"/>
                <w:szCs w:val="4"/>
              </w:rPr>
            </w:r>
          </w:p>
        </w:tc>
        <w:tc>
          <w:tcPr>
            <w:tcW w:w="91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320,661</w:t>
            </w:r>
          </w:p>
        </w:tc>
        <w:tc>
          <w:tcPr>
            <w:tcW w:w="329" w:type="dxa"/>
            <w:tcBorders/>
            <w:shd w:fill="auto" w:val="clear"/>
            <w:tcMar>
              <w:bottom w:w="0" w:type="dxa"/>
            </w:tcMar>
            <w:vAlign w:val="bottom"/>
          </w:tcPr>
          <w:p>
            <w:pPr>
              <w:pStyle w:val="TableContents"/>
              <w:spacing w:before="0" w:after="283"/>
              <w:rPr>
                <w:sz w:val="4"/>
                <w:szCs w:val="4"/>
              </w:rPr>
            </w:pPr>
            <w:r>
              <w:rPr>
                <w:sz w:val="4"/>
                <w:szCs w:val="4"/>
              </w:rPr>
            </w:r>
          </w:p>
        </w:tc>
        <w:tc>
          <w:tcPr>
            <w:tcW w:w="160" w:type="dxa"/>
            <w:tcBorders/>
            <w:shd w:fill="auto" w:val="clear"/>
            <w:tcMar>
              <w:bottom w:w="0" w:type="dxa"/>
            </w:tcMar>
            <w:vAlign w:val="bottom"/>
          </w:tcPr>
          <w:p>
            <w:pPr>
              <w:pStyle w:val="TableContents"/>
              <w:spacing w:before="0" w:after="283"/>
              <w:rPr>
                <w:sz w:val="4"/>
                <w:szCs w:val="4"/>
              </w:rPr>
            </w:pPr>
            <w:r>
              <w:rPr>
                <w:sz w:val="4"/>
                <w:szCs w:val="4"/>
              </w:rPr>
            </w:r>
          </w:p>
        </w:tc>
        <w:tc>
          <w:tcPr>
            <w:tcW w:w="77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268,941</w:t>
            </w:r>
          </w:p>
        </w:tc>
      </w:tr>
      <w:tr>
        <w:trPr/>
        <w:tc>
          <w:tcPr>
            <w:tcW w:w="5504" w:type="dxa"/>
            <w:tcBorders/>
            <w:shd w:fill="C0C0C0" w:val="clear"/>
            <w:tcMar>
              <w:bottom w:w="0" w:type="dxa"/>
            </w:tcMar>
            <w:vAlign w:val="bottom"/>
          </w:tcPr>
          <w:p>
            <w:pPr>
              <w:pStyle w:val="TableContents"/>
              <w:spacing w:before="0" w:after="283"/>
              <w:jc w:val="left"/>
              <w:rPr/>
            </w:pPr>
            <w:r>
              <w:rPr/>
              <w:t xml:space="preserve">       </w:t>
            </w:r>
            <w:r>
              <w:rPr>
                <w:rFonts w:ascii="Times New Roman" w:hAnsi="Times New Roman"/>
                <w:sz w:val="20"/>
              </w:rPr>
              <w:t>Tax planning</w:t>
            </w:r>
          </w:p>
        </w:tc>
        <w:tc>
          <w:tcPr>
            <w:tcW w:w="329" w:type="dxa"/>
            <w:tcBorders/>
            <w:shd w:fill="C0C0C0" w:val="clear"/>
            <w:tcMar>
              <w:bottom w:w="0" w:type="dxa"/>
            </w:tcMar>
            <w:vAlign w:val="bottom"/>
          </w:tcPr>
          <w:p>
            <w:pPr>
              <w:pStyle w:val="TableContents"/>
              <w:spacing w:before="0" w:after="283"/>
              <w:rPr>
                <w:sz w:val="4"/>
                <w:szCs w:val="4"/>
              </w:rPr>
            </w:pPr>
            <w:r>
              <w:rPr>
                <w:sz w:val="4"/>
                <w:szCs w:val="4"/>
              </w:rPr>
            </w:r>
          </w:p>
        </w:tc>
        <w:tc>
          <w:tcPr>
            <w:tcW w:w="160" w:type="dxa"/>
            <w:tcBorders>
              <w:bottom w:val="single" w:sz="8" w:space="0" w:color="000000"/>
            </w:tcBorders>
            <w:shd w:fill="C0C0C0" w:val="clear"/>
            <w:vAlign w:val="bottom"/>
          </w:tcPr>
          <w:p>
            <w:pPr>
              <w:pStyle w:val="TableContents"/>
              <w:spacing w:before="0" w:after="283"/>
              <w:rPr>
                <w:sz w:val="4"/>
                <w:szCs w:val="4"/>
              </w:rPr>
            </w:pPr>
            <w:r>
              <w:rPr>
                <w:sz w:val="4"/>
                <w:szCs w:val="4"/>
              </w:rPr>
            </w:r>
          </w:p>
        </w:tc>
        <w:tc>
          <w:tcPr>
            <w:tcW w:w="911" w:type="dxa"/>
            <w:tcBorders>
              <w:bottom w:val="single" w:sz="8" w:space="0" w:color="000000"/>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17,994</w:t>
            </w:r>
          </w:p>
        </w:tc>
        <w:tc>
          <w:tcPr>
            <w:tcW w:w="329" w:type="dxa"/>
            <w:tcBorders>
              <w:bottom w:val="single" w:sz="8" w:space="0" w:color="000000"/>
            </w:tcBorders>
            <w:shd w:fill="C0C0C0" w:val="clear"/>
            <w:vAlign w:val="bottom"/>
          </w:tcPr>
          <w:p>
            <w:pPr>
              <w:pStyle w:val="TableContents"/>
              <w:spacing w:before="0" w:after="283"/>
              <w:rPr>
                <w:sz w:val="4"/>
                <w:szCs w:val="4"/>
              </w:rPr>
            </w:pPr>
            <w:r>
              <w:rPr>
                <w:sz w:val="4"/>
                <w:szCs w:val="4"/>
              </w:rPr>
            </w:r>
          </w:p>
        </w:tc>
        <w:tc>
          <w:tcPr>
            <w:tcW w:w="160" w:type="dxa"/>
            <w:tcBorders>
              <w:bottom w:val="single" w:sz="8" w:space="0" w:color="000000"/>
            </w:tcBorders>
            <w:shd w:fill="C0C0C0" w:val="clear"/>
            <w:vAlign w:val="bottom"/>
          </w:tcPr>
          <w:p>
            <w:pPr>
              <w:pStyle w:val="TableContents"/>
              <w:spacing w:before="0" w:after="283"/>
              <w:rPr>
                <w:sz w:val="4"/>
                <w:szCs w:val="4"/>
              </w:rPr>
            </w:pPr>
            <w:r>
              <w:rPr>
                <w:sz w:val="4"/>
                <w:szCs w:val="4"/>
              </w:rPr>
            </w:r>
          </w:p>
        </w:tc>
        <w:tc>
          <w:tcPr>
            <w:tcW w:w="771" w:type="dxa"/>
            <w:tcBorders>
              <w:bottom w:val="single" w:sz="8" w:space="0" w:color="000000"/>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88,450</w:t>
            </w:r>
          </w:p>
        </w:tc>
      </w:tr>
      <w:tr>
        <w:trPr/>
        <w:tc>
          <w:tcPr>
            <w:tcW w:w="5504"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Total</w:t>
            </w:r>
          </w:p>
        </w:tc>
        <w:tc>
          <w:tcPr>
            <w:tcW w:w="329" w:type="dxa"/>
            <w:tcBorders/>
            <w:shd w:fill="auto" w:val="clear"/>
            <w:tcMar>
              <w:bottom w:w="0" w:type="dxa"/>
            </w:tcMar>
            <w:vAlign w:val="bottom"/>
          </w:tcPr>
          <w:p>
            <w:pPr>
              <w:pStyle w:val="TableContents"/>
              <w:spacing w:before="0" w:after="283"/>
              <w:rPr>
                <w:sz w:val="4"/>
                <w:szCs w:val="4"/>
              </w:rPr>
            </w:pPr>
            <w:r>
              <w:rPr>
                <w:sz w:val="4"/>
                <w:szCs w:val="4"/>
              </w:rPr>
            </w:r>
          </w:p>
        </w:tc>
        <w:tc>
          <w:tcPr>
            <w:tcW w:w="160"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shd w:fill="auto" w:val="clear"/>
            <w:tcMar>
              <w:bottom w:w="0" w:type="dxa"/>
            </w:tcMar>
            <w:vAlign w:val="bottom"/>
          </w:tcPr>
          <w:p>
            <w:pPr>
              <w:pStyle w:val="TableContents"/>
              <w:spacing w:before="0" w:after="283"/>
              <w:jc w:val="right"/>
              <w:rPr/>
            </w:pPr>
            <w:r>
              <w:rPr/>
              <w:t> </w:t>
            </w:r>
            <w:r>
              <w:rPr>
                <w:rFonts w:ascii="Times New Roman" w:hAnsi="Times New Roman"/>
                <w:sz w:val="20"/>
              </w:rPr>
              <w:t>1,076,504</w:t>
            </w:r>
          </w:p>
        </w:tc>
        <w:tc>
          <w:tcPr>
            <w:tcW w:w="329" w:type="dxa"/>
            <w:tcBorders/>
            <w:shd w:fill="auto" w:val="clear"/>
            <w:tcMar>
              <w:bottom w:w="0" w:type="dxa"/>
            </w:tcMar>
            <w:vAlign w:val="bottom"/>
          </w:tcPr>
          <w:p>
            <w:pPr>
              <w:pStyle w:val="TableContents"/>
              <w:spacing w:before="0" w:after="283"/>
              <w:rPr>
                <w:sz w:val="4"/>
                <w:szCs w:val="4"/>
              </w:rPr>
            </w:pPr>
            <w:r>
              <w:rPr>
                <w:sz w:val="4"/>
                <w:szCs w:val="4"/>
              </w:rPr>
            </w:r>
          </w:p>
        </w:tc>
        <w:tc>
          <w:tcPr>
            <w:tcW w:w="160"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71" w:type="dxa"/>
            <w:tcBorders/>
            <w:shd w:fill="auto" w:val="clear"/>
            <w:tcMar>
              <w:bottom w:w="0" w:type="dxa"/>
            </w:tcMar>
            <w:vAlign w:val="bottom"/>
          </w:tcPr>
          <w:p>
            <w:pPr>
              <w:pStyle w:val="TableContents"/>
              <w:spacing w:before="0" w:after="283"/>
              <w:jc w:val="right"/>
              <w:rPr/>
            </w:pPr>
            <w:r>
              <w:rPr/>
              <w:t> </w:t>
            </w:r>
            <w:r>
              <w:rPr>
                <w:rFonts w:ascii="Times New Roman" w:hAnsi="Times New Roman"/>
                <w:sz w:val="20"/>
              </w:rPr>
              <w:t>954,945</w:t>
            </w:r>
          </w:p>
        </w:tc>
      </w:tr>
    </w:tbl>
    <w:p>
      <w:pPr>
        <w:pStyle w:val="TextBody"/>
        <w:rPr/>
      </w:pPr>
      <w:r>
        <w:rPr/>
      </w:r>
    </w:p>
    <w:p>
      <w:pPr>
        <w:pStyle w:val="TextBody"/>
        <w:jc w:val="both"/>
        <w:rPr>
          <w:rFonts w:ascii="Times New Roman" w:hAnsi="Times New Roman"/>
          <w:sz w:val="20"/>
        </w:rPr>
      </w:pPr>
      <w:r>
        <w:rPr>
          <w:rFonts w:ascii="Times New Roman" w:hAnsi="Times New Roman"/>
          <w:sz w:val="20"/>
        </w:rPr>
        <w:t>(1) Audit fees consist of fees for professional services provided in connection with the audit of our annual financial statements and review of our quarterly financial statements and audit services provided in connection with other statutory or regulatory filings.</w:t>
      </w:r>
    </w:p>
    <w:p>
      <w:pPr>
        <w:pStyle w:val="TextBody"/>
        <w:jc w:val="both"/>
        <w:rPr>
          <w:rFonts w:ascii="Times New Roman" w:hAnsi="Times New Roman"/>
          <w:sz w:val="20"/>
        </w:rPr>
      </w:pPr>
      <w:r>
        <w:rPr>
          <w:rFonts w:ascii="Times New Roman" w:hAnsi="Times New Roman"/>
          <w:sz w:val="20"/>
        </w:rPr>
        <w:t>(2) Audit-related fees in fiscal 2012 were fees for additional review work related to the Mounds, Illinois plant product relocation. See our Annual Report on Form 10-K for fiscal year 2012 for further information on this product relocation.</w:t>
      </w:r>
    </w:p>
    <w:p>
      <w:pPr>
        <w:pStyle w:val="TextBody"/>
        <w:jc w:val="both"/>
        <w:rPr>
          <w:rFonts w:ascii="Times New Roman" w:hAnsi="Times New Roman"/>
          <w:sz w:val="20"/>
        </w:rPr>
      </w:pPr>
      <w:r>
        <w:rPr>
          <w:rFonts w:ascii="Times New Roman" w:hAnsi="Times New Roman"/>
          <w:sz w:val="20"/>
        </w:rPr>
        <w:t>(3) Tax fees consist of fees for tax compliance and statutory filing preparation (tax compliance) and fees for tax planning and advice, both international and domestic (tax planning). The tax compliance services consisted primarily of the preparation of original and amended tax returns, claims for refunds and support during any income tax audit or inquiry. The tax planning services consisted primarily of research and advice regarding the effect of new tax laws and regulations.</w:t>
      </w:r>
    </w:p>
    <w:p>
      <w:pPr>
        <w:pStyle w:val="TextBody"/>
        <w:jc w:val="center"/>
        <w:rPr>
          <w:rFonts w:ascii="Times New Roman" w:hAnsi="Times New Roman"/>
          <w:sz w:val="20"/>
        </w:rPr>
      </w:pPr>
      <w:r>
        <w:rPr>
          <w:rFonts w:ascii="Times New Roman" w:hAnsi="Times New Roman"/>
          <w:sz w:val="20"/>
        </w:rPr>
        <w:t>11</w:t>
      </w:r>
    </w:p>
    <w:p>
      <w:pPr>
        <w:pStyle w:val="HorizontalLine"/>
        <w:pBdr>
          <w:bottom w:val="single" w:sz="12" w:space="0" w:color="808080"/>
        </w:pBdr>
        <w:rPr/>
      </w:pPr>
      <w:r>
        <w:rPr/>
      </w:r>
    </w:p>
    <w:p>
      <w:pPr>
        <w:pStyle w:val="TextBody"/>
        <w:rPr/>
      </w:pPr>
      <w:r>
        <w:rPr/>
      </w:r>
    </w:p>
    <w:p>
      <w:pPr>
        <w:pStyle w:val="TextBody"/>
        <w:jc w:val="both"/>
        <w:rPr>
          <w:rFonts w:ascii="Times New Roman" w:hAnsi="Times New Roman"/>
          <w:b/>
          <w:sz w:val="20"/>
        </w:rPr>
      </w:pPr>
      <w:r>
        <w:rPr>
          <w:rFonts w:ascii="Times New Roman" w:hAnsi="Times New Roman"/>
          <w:b/>
          <w:sz w:val="20"/>
        </w:rPr>
        <w:t>Pre-Approval of Independent Auditor Services</w:t>
      </w:r>
    </w:p>
    <w:p>
      <w:pPr>
        <w:pStyle w:val="TextBody"/>
        <w:jc w:val="both"/>
        <w:rPr/>
      </w:pPr>
      <w:r>
        <w:rPr/>
        <w:t>     </w:t>
      </w:r>
      <w:r>
        <w:rPr>
          <w:rFonts w:ascii="Times New Roman" w:hAnsi="Times New Roman"/>
          <w:sz w:val="20"/>
        </w:rPr>
        <w:t>No services specifically prohibited by the Sarbanes-Oxley Act of 2002 will be provided to the Company by the independent auditor. Permitted services must be pre-approved by the Audit Committee of our Board of Directors. PricewaterhouseCoopers LLP did not render any services relating to financial information systems design and implementation for fiscal 2013. None of the services described above were approved pursuant to the de minimus exception provided by Rule 2-01(c)(7)(i)(C) of SEC Regulation S-X.</w:t>
      </w:r>
    </w:p>
    <w:p>
      <w:pPr>
        <w:pStyle w:val="TextBody"/>
        <w:jc w:val="center"/>
        <w:rPr>
          <w:rFonts w:ascii="Times New Roman" w:hAnsi="Times New Roman"/>
          <w:b/>
          <w:sz w:val="20"/>
        </w:rPr>
      </w:pPr>
      <w:r>
        <w:rPr>
          <w:rFonts w:ascii="Times New Roman" w:hAnsi="Times New Roman"/>
          <w:b/>
          <w:sz w:val="20"/>
        </w:rPr>
        <w:t>3. Other Matters</w:t>
      </w:r>
    </w:p>
    <w:p>
      <w:pPr>
        <w:pStyle w:val="TextBody"/>
        <w:jc w:val="both"/>
        <w:rPr/>
      </w:pPr>
      <w:r>
        <w:rPr/>
        <w:t>     </w:t>
      </w:r>
      <w:r>
        <w:rPr>
          <w:rFonts w:ascii="Times New Roman" w:hAnsi="Times New Roman"/>
          <w:sz w:val="20"/>
        </w:rPr>
        <w:t>At this time, our Board of Directors is not aware of any matters not referred to herein that might be presented for action at the 2013 Annual Meeting; however, if any other business should properly come before the meeting, votes may be cast in respect to such matters in accordance with the best judgment of the person or persons acting under the proxies.</w:t>
      </w:r>
    </w:p>
    <w:p>
      <w:pPr>
        <w:pStyle w:val="TextBody"/>
        <w:jc w:val="center"/>
        <w:rPr>
          <w:rFonts w:ascii="Times New Roman" w:hAnsi="Times New Roman"/>
          <w:sz w:val="20"/>
        </w:rPr>
      </w:pPr>
      <w:r>
        <w:rPr>
          <w:rFonts w:ascii="Times New Roman" w:hAnsi="Times New Roman"/>
          <w:sz w:val="20"/>
        </w:rPr>
        <w:t>12</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rPr>
      </w:pPr>
      <w:r>
        <w:rPr>
          <w:rFonts w:ascii="Times New Roman" w:hAnsi="Times New Roman"/>
          <w:b/>
        </w:rPr>
        <w:t>CORPORATE GOVERNANCE MATTERS</w:t>
      </w:r>
    </w:p>
    <w:p>
      <w:pPr>
        <w:pStyle w:val="TextBody"/>
        <w:jc w:val="center"/>
        <w:rPr>
          <w:rFonts w:ascii="Times New Roman" w:hAnsi="Times New Roman"/>
          <w:b/>
          <w:sz w:val="20"/>
        </w:rPr>
      </w:pPr>
      <w:r>
        <w:rPr>
          <w:rFonts w:ascii="Times New Roman" w:hAnsi="Times New Roman"/>
          <w:b/>
          <w:sz w:val="20"/>
        </w:rPr>
        <w:t>Controlled Company Status</w:t>
      </w:r>
    </w:p>
    <w:p>
      <w:pPr>
        <w:pStyle w:val="TextBody"/>
        <w:jc w:val="both"/>
        <w:rPr/>
      </w:pPr>
      <w:r>
        <w:rPr/>
        <w:t>     </w:t>
      </w:r>
      <w:r>
        <w:rPr>
          <w:rFonts w:ascii="Times New Roman" w:hAnsi="Times New Roman"/>
          <w:sz w:val="20"/>
        </w:rPr>
        <w:t>Our Board of Directors has determined that the Company is a controlled company within the meaning of the NYSE Corporate Governance Standards. This determination is based on the fact that Class B Stock having more than 50% of the aggregate voting power of our Common Stock and Class B Stock is owned by Jaffee Investment Partnership, L.P., a Delaware limited partnership of which Richard M. Jaffee, his spouse Shirley H. Jaffee and Daniel S. Jaffee are general partners. The remaining three general partners are all children of Richard M. and Shirley H. Jaffee. Richard M. Jaffee has eight of the 20 total votes of the general partners and his spouse also has eight votes.</w:t>
      </w:r>
    </w:p>
    <w:p>
      <w:pPr>
        <w:pStyle w:val="TextBody"/>
        <w:jc w:val="both"/>
        <w:rPr/>
      </w:pPr>
      <w:r>
        <w:rPr/>
        <w:t>     </w:t>
      </w:r>
      <w:r>
        <w:rPr>
          <w:rFonts w:ascii="Times New Roman" w:hAnsi="Times New Roman"/>
          <w:sz w:val="20"/>
        </w:rPr>
        <w:t>As a controlled company we are entitled to rely on exemptions from the NYSE Corporate Governance Standards that would otherwise require the Company to: (a) have a board of directors the majority of which is comprised having a majority of independent directors; (b) have a nominating/corporate governance committee comprised entirely of independent directors; and (c) have a compensation committee comprised entirely of independent directors. We have elected to rely on all three of these exemptions.</w:t>
      </w:r>
    </w:p>
    <w:p>
      <w:pPr>
        <w:pStyle w:val="TextBody"/>
        <w:jc w:val="center"/>
        <w:rPr>
          <w:rFonts w:ascii="Times New Roman" w:hAnsi="Times New Roman"/>
          <w:b/>
          <w:sz w:val="20"/>
        </w:rPr>
      </w:pPr>
      <w:r>
        <w:rPr>
          <w:rFonts w:ascii="Times New Roman" w:hAnsi="Times New Roman"/>
          <w:b/>
          <w:sz w:val="20"/>
        </w:rPr>
        <w:t>Director Independence</w:t>
      </w:r>
    </w:p>
    <w:p>
      <w:pPr>
        <w:pStyle w:val="TextBody"/>
        <w:jc w:val="both"/>
        <w:rPr/>
      </w:pPr>
      <w:r>
        <w:rPr/>
        <w:t>     </w:t>
      </w:r>
      <w:r>
        <w:rPr>
          <w:rFonts w:ascii="Times New Roman" w:hAnsi="Times New Roman"/>
          <w:sz w:val="20"/>
        </w:rPr>
        <w:t>Our Board of Directors has determined that the directors listed below are independent from our management within the meaning of the SECs rules and the NYSE Corporate Governance Standards:</w:t>
      </w:r>
    </w:p>
    <w:tbl>
      <w:tblPr>
        <w:tblW w:w="2500" w:type="pct"/>
        <w:jc w:val="center"/>
        <w:tblInd w:w="0" w:type="dxa"/>
        <w:tblCellMar>
          <w:top w:w="0" w:type="dxa"/>
          <w:left w:w="0" w:type="dxa"/>
          <w:bottom w:w="0" w:type="dxa"/>
          <w:right w:w="0" w:type="dxa"/>
        </w:tblCellMar>
      </w:tblPr>
      <w:tblGrid>
        <w:gridCol w:w="2524"/>
        <w:gridCol w:w="2578"/>
      </w:tblGrid>
      <w:tr>
        <w:trPr/>
        <w:tc>
          <w:tcPr>
            <w:tcW w:w="252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257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r>
      <w:tr>
        <w:trPr/>
        <w:tc>
          <w:tcPr>
            <w:tcW w:w="252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257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Lawrence E. Washow</w:t>
            </w:r>
          </w:p>
        </w:tc>
      </w:tr>
    </w:tbl>
    <w:p>
      <w:pPr>
        <w:pStyle w:val="TextBody"/>
        <w:jc w:val="both"/>
        <w:rPr>
          <w:rFonts w:ascii="Times New Roman" w:hAnsi="Times New Roman"/>
          <w:sz w:val="20"/>
        </w:rPr>
      </w:pPr>
      <w:r>
        <w:rPr>
          <w:rFonts w:ascii="Times New Roman" w:hAnsi="Times New Roman"/>
          <w:sz w:val="20"/>
        </w:rPr>
        <w:t>While our Board of Directors has not adopted any categorical standards for independence, in making these determinations the Board of Directors noted that none of Messrs. Cole, Selig, Suckow and Washow:</w:t>
      </w:r>
    </w:p>
    <w:tbl>
      <w:tblPr>
        <w:tblW w:w="10205" w:type="dxa"/>
        <w:jc w:val="left"/>
        <w:tblInd w:w="0" w:type="dxa"/>
        <w:tblCellMar>
          <w:top w:w="0" w:type="dxa"/>
          <w:left w:w="0" w:type="dxa"/>
          <w:bottom w:w="0" w:type="dxa"/>
          <w:right w:w="0" w:type="dxa"/>
        </w:tblCellMar>
      </w:tblPr>
      <w:tblGrid>
        <w:gridCol w:w="600"/>
        <w:gridCol w:w="245"/>
        <w:gridCol w:w="300"/>
        <w:gridCol w:w="9060"/>
      </w:tblGrid>
      <w:tr>
        <w:trPr/>
        <w:tc>
          <w:tcPr>
            <w:tcW w:w="600" w:type="dxa"/>
            <w:tcBorders/>
            <w:shd w:fill="auto" w:val="clear"/>
          </w:tcPr>
          <w:p>
            <w:pPr>
              <w:pStyle w:val="TableContents"/>
              <w:spacing w:before="0" w:after="283"/>
              <w:rPr/>
            </w:pPr>
            <w:r>
              <w:rPr/>
              <w:t>          </w:t>
            </w:r>
          </w:p>
        </w:tc>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300" w:type="dxa"/>
            <w:tcBorders/>
            <w:shd w:fill="auto" w:val="clear"/>
          </w:tcPr>
          <w:p>
            <w:pPr>
              <w:pStyle w:val="TableContents"/>
              <w:spacing w:before="0" w:after="283"/>
              <w:rPr/>
            </w:pPr>
            <w:r>
              <w:rPr/>
              <w:t>     </w:t>
            </w:r>
          </w:p>
        </w:tc>
        <w:tc>
          <w:tcPr>
            <w:tcW w:w="906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receives direct compensation from the Company other than director annual retainers and meeting fees paid to current directors;</w:t>
            </w:r>
          </w:p>
        </w:tc>
      </w:tr>
      <w:tr>
        <w:trPr/>
        <w:tc>
          <w:tcPr>
            <w:tcW w:w="600" w:type="dxa"/>
            <w:tcBorders/>
            <w:shd w:fill="auto" w:val="clear"/>
            <w:vAlign w:val="center"/>
          </w:tcPr>
          <w:p>
            <w:pPr>
              <w:pStyle w:val="TableContents"/>
              <w:spacing w:before="0" w:after="283"/>
              <w:rPr>
                <w:sz w:val="4"/>
                <w:szCs w:val="4"/>
              </w:rPr>
            </w:pPr>
            <w:r>
              <w:rPr>
                <w:sz w:val="4"/>
                <w:szCs w:val="4"/>
              </w:rPr>
            </w:r>
          </w:p>
        </w:tc>
        <w:tc>
          <w:tcPr>
            <w:tcW w:w="9605" w:type="dxa"/>
            <w:gridSpan w:val="3"/>
            <w:tcBorders/>
            <w:shd w:fill="auto" w:val="clear"/>
            <w:vAlign w:val="center"/>
          </w:tcPr>
          <w:p>
            <w:pPr>
              <w:pStyle w:val="TableContents"/>
              <w:spacing w:before="0" w:after="283"/>
              <w:rPr/>
            </w:pPr>
            <w:r>
              <w:rPr/>
              <w:t> </w:t>
            </w:r>
          </w:p>
        </w:tc>
      </w:tr>
      <w:tr>
        <w:trPr/>
        <w:tc>
          <w:tcPr>
            <w:tcW w:w="600" w:type="dxa"/>
            <w:tcBorders/>
            <w:shd w:fill="auto" w:val="clear"/>
          </w:tcPr>
          <w:p>
            <w:pPr>
              <w:pStyle w:val="TableContents"/>
              <w:spacing w:before="0" w:after="283"/>
              <w:rPr>
                <w:sz w:val="4"/>
                <w:szCs w:val="4"/>
              </w:rPr>
            </w:pPr>
            <w:r>
              <w:rPr>
                <w:sz w:val="4"/>
                <w:szCs w:val="4"/>
              </w:rPr>
            </w:r>
          </w:p>
        </w:tc>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300" w:type="dxa"/>
            <w:tcBorders/>
            <w:shd w:fill="auto" w:val="clear"/>
          </w:tcPr>
          <w:p>
            <w:pPr>
              <w:pStyle w:val="TableContents"/>
              <w:spacing w:before="0" w:after="283"/>
              <w:rPr>
                <w:sz w:val="4"/>
                <w:szCs w:val="4"/>
              </w:rPr>
            </w:pPr>
            <w:r>
              <w:rPr>
                <w:sz w:val="4"/>
                <w:szCs w:val="4"/>
              </w:rPr>
            </w:r>
          </w:p>
        </w:tc>
        <w:tc>
          <w:tcPr>
            <w:tcW w:w="906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has any relationship with the Company or a third party that would preclude independence under the NYSE Corporate Governance Standards; or</w:t>
            </w:r>
          </w:p>
        </w:tc>
      </w:tr>
      <w:tr>
        <w:trPr/>
        <w:tc>
          <w:tcPr>
            <w:tcW w:w="600" w:type="dxa"/>
            <w:tcBorders/>
            <w:shd w:fill="auto" w:val="clear"/>
            <w:vAlign w:val="center"/>
          </w:tcPr>
          <w:p>
            <w:pPr>
              <w:pStyle w:val="TableContents"/>
              <w:spacing w:before="0" w:after="283"/>
              <w:rPr>
                <w:sz w:val="4"/>
                <w:szCs w:val="4"/>
              </w:rPr>
            </w:pPr>
            <w:r>
              <w:rPr>
                <w:sz w:val="4"/>
                <w:szCs w:val="4"/>
              </w:rPr>
            </w:r>
          </w:p>
        </w:tc>
        <w:tc>
          <w:tcPr>
            <w:tcW w:w="9605" w:type="dxa"/>
            <w:gridSpan w:val="3"/>
            <w:tcBorders/>
            <w:shd w:fill="auto" w:val="clear"/>
            <w:vAlign w:val="center"/>
          </w:tcPr>
          <w:p>
            <w:pPr>
              <w:pStyle w:val="TableContents"/>
              <w:spacing w:before="0" w:after="283"/>
              <w:rPr/>
            </w:pPr>
            <w:r>
              <w:rPr/>
              <w:t> </w:t>
            </w:r>
          </w:p>
        </w:tc>
      </w:tr>
      <w:tr>
        <w:trPr/>
        <w:tc>
          <w:tcPr>
            <w:tcW w:w="600" w:type="dxa"/>
            <w:tcBorders/>
            <w:shd w:fill="auto" w:val="clear"/>
          </w:tcPr>
          <w:p>
            <w:pPr>
              <w:pStyle w:val="TableContents"/>
              <w:spacing w:before="0" w:after="283"/>
              <w:rPr>
                <w:sz w:val="4"/>
                <w:szCs w:val="4"/>
              </w:rPr>
            </w:pPr>
            <w:r>
              <w:rPr>
                <w:sz w:val="4"/>
                <w:szCs w:val="4"/>
              </w:rPr>
            </w:r>
          </w:p>
        </w:tc>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300" w:type="dxa"/>
            <w:tcBorders/>
            <w:shd w:fill="auto" w:val="clear"/>
          </w:tcPr>
          <w:p>
            <w:pPr>
              <w:pStyle w:val="TableContents"/>
              <w:spacing w:before="0" w:after="283"/>
              <w:rPr>
                <w:sz w:val="4"/>
                <w:szCs w:val="4"/>
              </w:rPr>
            </w:pPr>
            <w:r>
              <w:rPr>
                <w:sz w:val="4"/>
                <w:szCs w:val="4"/>
              </w:rPr>
            </w:r>
          </w:p>
        </w:tc>
        <w:tc>
          <w:tcPr>
            <w:tcW w:w="906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has any other material relationship with the Company and its management.</w:t>
            </w:r>
          </w:p>
        </w:tc>
      </w:tr>
    </w:tbl>
    <w:p>
      <w:pPr>
        <w:pStyle w:val="TextBody"/>
        <w:jc w:val="both"/>
        <w:rPr>
          <w:rFonts w:ascii="Times New Roman" w:hAnsi="Times New Roman"/>
          <w:sz w:val="20"/>
        </w:rPr>
      </w:pPr>
      <w:r>
        <w:rPr>
          <w:rFonts w:ascii="Times New Roman" w:hAnsi="Times New Roman"/>
          <w:sz w:val="20"/>
        </w:rPr>
        <w:t>In the last three years, we have not made any contributions in excess of $1 million or 2% of our consolidated gross revenues to any tax-exempt organization in which an independent director serves as an executive officer.</w:t>
      </w:r>
    </w:p>
    <w:p>
      <w:pPr>
        <w:pStyle w:val="TextBody"/>
        <w:jc w:val="center"/>
        <w:rPr>
          <w:rFonts w:ascii="Times New Roman" w:hAnsi="Times New Roman"/>
          <w:b/>
          <w:sz w:val="20"/>
        </w:rPr>
      </w:pPr>
      <w:r>
        <w:rPr>
          <w:rFonts w:ascii="Times New Roman" w:hAnsi="Times New Roman"/>
          <w:b/>
          <w:sz w:val="20"/>
        </w:rPr>
        <w:t>Executive Sessions of Non-Management Directors</w:t>
      </w:r>
    </w:p>
    <w:p>
      <w:pPr>
        <w:pStyle w:val="TextBody"/>
        <w:jc w:val="both"/>
        <w:rPr/>
      </w:pPr>
      <w:r>
        <w:rPr/>
        <w:t>     </w:t>
      </w:r>
      <w:r>
        <w:rPr>
          <w:rFonts w:ascii="Times New Roman" w:hAnsi="Times New Roman"/>
          <w:sz w:val="20"/>
        </w:rPr>
        <w:t>Non-management directors meet in executive sessions of our Board of Directors in which management directors (Messrs. Richard M. and Daniel S. Jaffee) and other members of management do not participate. These sessions are scheduled for non-management directors at all regular meetings of our Board of Directors. Under our Corporate Governance Guidelines, the chairman of our Audit Committee (currently Mr. Suckow) presides at all executive sessions of non-management and independent directors unless otherwise determined by the directors attending any given executive session.</w:t>
      </w:r>
    </w:p>
    <w:p>
      <w:pPr>
        <w:pStyle w:val="TextBody"/>
        <w:jc w:val="center"/>
        <w:rPr>
          <w:rFonts w:ascii="Times New Roman" w:hAnsi="Times New Roman"/>
          <w:sz w:val="20"/>
        </w:rPr>
      </w:pPr>
      <w:r>
        <w:rPr>
          <w:rFonts w:ascii="Times New Roman" w:hAnsi="Times New Roman"/>
          <w:sz w:val="20"/>
        </w:rPr>
        <w:t>13</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Board of Directors Committee Membership and Meetings</w:t>
      </w:r>
    </w:p>
    <w:p>
      <w:pPr>
        <w:pStyle w:val="TextBody"/>
        <w:jc w:val="both"/>
        <w:rPr/>
      </w:pPr>
      <w:r>
        <w:rPr/>
        <w:t>     </w:t>
      </w:r>
      <w:r>
        <w:rPr>
          <w:rFonts w:ascii="Times New Roman" w:hAnsi="Times New Roman"/>
          <w:sz w:val="20"/>
        </w:rPr>
        <w:t>The following table sets forth the current membership of the committees of our Board of Directors.</w:t>
      </w:r>
    </w:p>
    <w:tbl>
      <w:tblPr>
        <w:tblW w:w="4000" w:type="pct"/>
        <w:jc w:val="center"/>
        <w:tblInd w:w="0" w:type="dxa"/>
        <w:tblCellMar>
          <w:top w:w="0" w:type="dxa"/>
          <w:left w:w="0" w:type="dxa"/>
          <w:bottom w:w="28" w:type="dxa"/>
          <w:right w:w="0" w:type="dxa"/>
        </w:tblCellMar>
      </w:tblPr>
      <w:tblGrid>
        <w:gridCol w:w="4494"/>
        <w:gridCol w:w="318"/>
        <w:gridCol w:w="318"/>
        <w:gridCol w:w="261"/>
        <w:gridCol w:w="318"/>
        <w:gridCol w:w="685"/>
        <w:gridCol w:w="560"/>
        <w:gridCol w:w="318"/>
        <w:gridCol w:w="487"/>
        <w:gridCol w:w="405"/>
      </w:tblGrid>
      <w:tr>
        <w:trPr/>
        <w:tc>
          <w:tcPr>
            <w:tcW w:w="4494"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18" w:type="dxa"/>
            <w:tcBorders>
              <w:bottom w:val="single" w:sz="8" w:space="0" w:color="000000"/>
            </w:tcBorders>
            <w:shd w:fill="auto" w:val="clear"/>
            <w:vAlign w:val="bottom"/>
          </w:tcPr>
          <w:p>
            <w:pPr>
              <w:pStyle w:val="TableContents"/>
              <w:spacing w:before="0" w:after="283"/>
              <w:jc w:val="center"/>
              <w:rPr/>
            </w:pPr>
            <w:r>
              <w:rPr/>
              <w:t>     </w:t>
            </w:r>
          </w:p>
        </w:tc>
        <w:tc>
          <w:tcPr>
            <w:tcW w:w="579" w:type="dxa"/>
            <w:gridSpan w:val="2"/>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Audit</w:t>
            </w:r>
          </w:p>
        </w:tc>
        <w:tc>
          <w:tcPr>
            <w:tcW w:w="318" w:type="dxa"/>
            <w:tcBorders>
              <w:bottom w:val="single" w:sz="8" w:space="0" w:color="000000"/>
            </w:tcBorders>
            <w:shd w:fill="auto" w:val="clear"/>
            <w:vAlign w:val="bottom"/>
          </w:tcPr>
          <w:p>
            <w:pPr>
              <w:pStyle w:val="TableContents"/>
              <w:spacing w:before="0" w:after="283"/>
              <w:jc w:val="center"/>
              <w:rPr/>
            </w:pPr>
            <w:r>
              <w:rPr/>
              <w:t>     </w:t>
            </w:r>
          </w:p>
        </w:tc>
        <w:tc>
          <w:tcPr>
            <w:tcW w:w="1245" w:type="dxa"/>
            <w:gridSpan w:val="2"/>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18" w:type="dxa"/>
            <w:tcBorders>
              <w:bottom w:val="single" w:sz="8" w:space="0" w:color="000000"/>
            </w:tcBorders>
            <w:shd w:fill="auto" w:val="clear"/>
            <w:vAlign w:val="bottom"/>
          </w:tcPr>
          <w:p>
            <w:pPr>
              <w:pStyle w:val="TableContents"/>
              <w:spacing w:before="0" w:after="283"/>
              <w:jc w:val="center"/>
              <w:rPr/>
            </w:pPr>
            <w:r>
              <w:rPr/>
              <w:t>     </w:t>
            </w:r>
          </w:p>
        </w:tc>
        <w:tc>
          <w:tcPr>
            <w:tcW w:w="892" w:type="dxa"/>
            <w:gridSpan w:val="2"/>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Executive</w:t>
            </w:r>
          </w:p>
        </w:tc>
      </w:tr>
      <w:tr>
        <w:trPr/>
        <w:tc>
          <w:tcPr>
            <w:tcW w:w="4494"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X</w:t>
            </w:r>
          </w:p>
        </w:tc>
        <w:tc>
          <w:tcPr>
            <w:tcW w:w="261"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685" w:type="dxa"/>
            <w:tcBorders/>
            <w:shd w:fill="C0C0C0" w:val="clear"/>
            <w:tcMar>
              <w:bottom w:w="0" w:type="dxa"/>
            </w:tcMar>
            <w:vAlign w:val="bottom"/>
          </w:tcPr>
          <w:p>
            <w:pPr>
              <w:pStyle w:val="TableContents"/>
              <w:spacing w:before="0" w:after="283"/>
              <w:rPr>
                <w:sz w:val="4"/>
                <w:szCs w:val="4"/>
              </w:rPr>
            </w:pPr>
            <w:r>
              <w:rPr>
                <w:sz w:val="4"/>
                <w:szCs w:val="4"/>
              </w:rPr>
            </w:r>
          </w:p>
        </w:tc>
        <w:tc>
          <w:tcPr>
            <w:tcW w:w="560"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487"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X</w:t>
            </w:r>
          </w:p>
        </w:tc>
        <w:tc>
          <w:tcPr>
            <w:tcW w:w="405" w:type="dxa"/>
            <w:tcBorders/>
            <w:shd w:fill="C0C0C0" w:val="clear"/>
            <w:tcMar>
              <w:bottom w:w="0" w:type="dxa"/>
            </w:tcMar>
            <w:vAlign w:val="bottom"/>
          </w:tcPr>
          <w:p>
            <w:pPr>
              <w:pStyle w:val="TableContents"/>
              <w:spacing w:before="0" w:after="283"/>
              <w:rPr>
                <w:sz w:val="4"/>
                <w:szCs w:val="4"/>
              </w:rPr>
            </w:pPr>
            <w:r>
              <w:rPr>
                <w:sz w:val="4"/>
                <w:szCs w:val="4"/>
              </w:rPr>
            </w:r>
          </w:p>
        </w:tc>
      </w:tr>
      <w:tr>
        <w:trPr/>
        <w:tc>
          <w:tcPr>
            <w:tcW w:w="4494"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18" w:type="dxa"/>
            <w:tcBorders/>
            <w:shd w:fill="auto" w:val="clear"/>
            <w:tcMar>
              <w:bottom w:w="0" w:type="dxa"/>
            </w:tcMar>
            <w:vAlign w:val="bottom"/>
          </w:tcPr>
          <w:p>
            <w:pPr>
              <w:pStyle w:val="TableContents"/>
              <w:spacing w:before="0" w:after="283"/>
              <w:rPr>
                <w:sz w:val="4"/>
                <w:szCs w:val="4"/>
              </w:rPr>
            </w:pPr>
            <w:r>
              <w:rPr>
                <w:sz w:val="4"/>
                <w:szCs w:val="4"/>
              </w:rPr>
            </w:r>
          </w:p>
        </w:tc>
        <w:tc>
          <w:tcPr>
            <w:tcW w:w="318" w:type="dxa"/>
            <w:tcBorders/>
            <w:shd w:fill="auto" w:val="clear"/>
            <w:tcMar>
              <w:bottom w:w="0" w:type="dxa"/>
            </w:tcMar>
            <w:vAlign w:val="bottom"/>
          </w:tcPr>
          <w:p>
            <w:pPr>
              <w:pStyle w:val="TableContents"/>
              <w:spacing w:before="0" w:after="283"/>
              <w:rPr>
                <w:sz w:val="4"/>
                <w:szCs w:val="4"/>
              </w:rPr>
            </w:pPr>
            <w:r>
              <w:rPr>
                <w:sz w:val="4"/>
                <w:szCs w:val="4"/>
              </w:rPr>
            </w:r>
          </w:p>
        </w:tc>
        <w:tc>
          <w:tcPr>
            <w:tcW w:w="261" w:type="dxa"/>
            <w:tcBorders/>
            <w:shd w:fill="auto" w:val="clear"/>
            <w:tcMar>
              <w:bottom w:w="0" w:type="dxa"/>
            </w:tcMar>
            <w:vAlign w:val="bottom"/>
          </w:tcPr>
          <w:p>
            <w:pPr>
              <w:pStyle w:val="TableContents"/>
              <w:spacing w:before="0" w:after="283"/>
              <w:rPr>
                <w:sz w:val="4"/>
                <w:szCs w:val="4"/>
              </w:rPr>
            </w:pPr>
            <w:r>
              <w:rPr>
                <w:sz w:val="4"/>
                <w:szCs w:val="4"/>
              </w:rPr>
            </w:r>
          </w:p>
        </w:tc>
        <w:tc>
          <w:tcPr>
            <w:tcW w:w="318" w:type="dxa"/>
            <w:tcBorders/>
            <w:shd w:fill="auto" w:val="clear"/>
            <w:tcMar>
              <w:bottom w:w="0" w:type="dxa"/>
            </w:tcMar>
            <w:vAlign w:val="bottom"/>
          </w:tcPr>
          <w:p>
            <w:pPr>
              <w:pStyle w:val="TableContents"/>
              <w:spacing w:before="0" w:after="283"/>
              <w:rPr>
                <w:sz w:val="4"/>
                <w:szCs w:val="4"/>
              </w:rPr>
            </w:pPr>
            <w:r>
              <w:rPr>
                <w:sz w:val="4"/>
                <w:szCs w:val="4"/>
              </w:rPr>
            </w:r>
          </w:p>
        </w:tc>
        <w:tc>
          <w:tcPr>
            <w:tcW w:w="685" w:type="dxa"/>
            <w:tcBorders/>
            <w:shd w:fill="auto" w:val="clear"/>
            <w:tcMar>
              <w:bottom w:w="0" w:type="dxa"/>
            </w:tcMar>
            <w:vAlign w:val="bottom"/>
          </w:tcPr>
          <w:p>
            <w:pPr>
              <w:pStyle w:val="TableContents"/>
              <w:spacing w:before="0" w:after="283"/>
              <w:rPr>
                <w:sz w:val="4"/>
                <w:szCs w:val="4"/>
              </w:rPr>
            </w:pPr>
            <w:r>
              <w:rPr>
                <w:sz w:val="4"/>
                <w:szCs w:val="4"/>
              </w:rPr>
            </w:r>
          </w:p>
        </w:tc>
        <w:tc>
          <w:tcPr>
            <w:tcW w:w="560" w:type="dxa"/>
            <w:tcBorders/>
            <w:shd w:fill="auto" w:val="clear"/>
            <w:tcMar>
              <w:bottom w:w="0" w:type="dxa"/>
            </w:tcMar>
            <w:vAlign w:val="bottom"/>
          </w:tcPr>
          <w:p>
            <w:pPr>
              <w:pStyle w:val="TableContents"/>
              <w:spacing w:before="0" w:after="283"/>
              <w:rPr>
                <w:sz w:val="4"/>
                <w:szCs w:val="4"/>
              </w:rPr>
            </w:pPr>
            <w:r>
              <w:rPr>
                <w:sz w:val="4"/>
                <w:szCs w:val="4"/>
              </w:rPr>
            </w:r>
          </w:p>
        </w:tc>
        <w:tc>
          <w:tcPr>
            <w:tcW w:w="318" w:type="dxa"/>
            <w:tcBorders/>
            <w:shd w:fill="auto" w:val="clear"/>
            <w:tcMar>
              <w:bottom w:w="0" w:type="dxa"/>
            </w:tcMar>
            <w:vAlign w:val="bottom"/>
          </w:tcPr>
          <w:p>
            <w:pPr>
              <w:pStyle w:val="TableContents"/>
              <w:spacing w:before="0" w:after="283"/>
              <w:rPr>
                <w:sz w:val="4"/>
                <w:szCs w:val="4"/>
              </w:rPr>
            </w:pPr>
            <w:r>
              <w:rPr>
                <w:sz w:val="4"/>
                <w:szCs w:val="4"/>
              </w:rPr>
            </w:r>
          </w:p>
        </w:tc>
        <w:tc>
          <w:tcPr>
            <w:tcW w:w="487"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X</w:t>
            </w:r>
          </w:p>
        </w:tc>
        <w:tc>
          <w:tcPr>
            <w:tcW w:w="405" w:type="dxa"/>
            <w:tcBorders/>
            <w:shd w:fill="auto" w:val="clear"/>
            <w:tcMar>
              <w:bottom w:w="0" w:type="dxa"/>
            </w:tcMar>
            <w:vAlign w:val="bottom"/>
          </w:tcPr>
          <w:p>
            <w:pPr>
              <w:pStyle w:val="TableContents"/>
              <w:spacing w:before="0" w:after="283"/>
              <w:rPr>
                <w:sz w:val="4"/>
                <w:szCs w:val="4"/>
              </w:rPr>
            </w:pPr>
            <w:r>
              <w:rPr>
                <w:sz w:val="4"/>
                <w:szCs w:val="4"/>
              </w:rPr>
            </w:r>
          </w:p>
        </w:tc>
      </w:tr>
      <w:tr>
        <w:trPr/>
        <w:tc>
          <w:tcPr>
            <w:tcW w:w="4494"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Richard M. Jaffee</w:t>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261"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685" w:type="dxa"/>
            <w:tcBorders/>
            <w:shd w:fill="C0C0C0" w:val="clear"/>
            <w:tcMar>
              <w:bottom w:w="0" w:type="dxa"/>
            </w:tcMar>
            <w:vAlign w:val="bottom"/>
          </w:tcPr>
          <w:p>
            <w:pPr>
              <w:pStyle w:val="TableContents"/>
              <w:spacing w:before="0" w:after="283"/>
              <w:rPr>
                <w:sz w:val="4"/>
                <w:szCs w:val="4"/>
              </w:rPr>
            </w:pPr>
            <w:r>
              <w:rPr>
                <w:sz w:val="4"/>
                <w:szCs w:val="4"/>
              </w:rPr>
            </w:r>
          </w:p>
        </w:tc>
        <w:tc>
          <w:tcPr>
            <w:tcW w:w="560"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487"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X</w:t>
            </w:r>
          </w:p>
        </w:tc>
        <w:tc>
          <w:tcPr>
            <w:tcW w:w="405" w:type="dxa"/>
            <w:tcBorders/>
            <w:shd w:fill="C0C0C0" w:val="clear"/>
            <w:tcMar>
              <w:bottom w:w="0" w:type="dxa"/>
            </w:tcMar>
            <w:vAlign w:val="bottom"/>
          </w:tcPr>
          <w:p>
            <w:pPr>
              <w:pStyle w:val="TableContents"/>
              <w:spacing w:before="0" w:after="283"/>
              <w:rPr>
                <w:sz w:val="20"/>
              </w:rPr>
            </w:pPr>
            <w:r>
              <w:rPr>
                <w:sz w:val="20"/>
              </w:rPr>
              <w:t>*</w:t>
            </w:r>
          </w:p>
        </w:tc>
      </w:tr>
      <w:tr>
        <w:trPr/>
        <w:tc>
          <w:tcPr>
            <w:tcW w:w="4494"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318" w:type="dxa"/>
            <w:tcBorders/>
            <w:shd w:fill="auto" w:val="clear"/>
            <w:tcMar>
              <w:bottom w:w="0" w:type="dxa"/>
            </w:tcMar>
            <w:vAlign w:val="bottom"/>
          </w:tcPr>
          <w:p>
            <w:pPr>
              <w:pStyle w:val="TableContents"/>
              <w:spacing w:before="0" w:after="283"/>
              <w:rPr>
                <w:sz w:val="4"/>
                <w:szCs w:val="4"/>
              </w:rPr>
            </w:pPr>
            <w:r>
              <w:rPr>
                <w:sz w:val="4"/>
                <w:szCs w:val="4"/>
              </w:rPr>
            </w:r>
          </w:p>
        </w:tc>
        <w:tc>
          <w:tcPr>
            <w:tcW w:w="318" w:type="dxa"/>
            <w:tcBorders/>
            <w:shd w:fill="auto" w:val="clear"/>
            <w:tcMar>
              <w:bottom w:w="0" w:type="dxa"/>
            </w:tcMar>
            <w:vAlign w:val="bottom"/>
          </w:tcPr>
          <w:p>
            <w:pPr>
              <w:pStyle w:val="TableContents"/>
              <w:spacing w:before="0" w:after="283"/>
              <w:rPr>
                <w:sz w:val="4"/>
                <w:szCs w:val="4"/>
              </w:rPr>
            </w:pPr>
            <w:r>
              <w:rPr>
                <w:sz w:val="4"/>
                <w:szCs w:val="4"/>
              </w:rPr>
            </w:r>
          </w:p>
        </w:tc>
        <w:tc>
          <w:tcPr>
            <w:tcW w:w="261" w:type="dxa"/>
            <w:tcBorders/>
            <w:shd w:fill="auto" w:val="clear"/>
            <w:tcMar>
              <w:bottom w:w="0" w:type="dxa"/>
            </w:tcMar>
            <w:vAlign w:val="bottom"/>
          </w:tcPr>
          <w:p>
            <w:pPr>
              <w:pStyle w:val="TableContents"/>
              <w:spacing w:before="0" w:after="283"/>
              <w:rPr>
                <w:sz w:val="4"/>
                <w:szCs w:val="4"/>
              </w:rPr>
            </w:pPr>
            <w:r>
              <w:rPr>
                <w:sz w:val="4"/>
                <w:szCs w:val="4"/>
              </w:rPr>
            </w:r>
          </w:p>
        </w:tc>
        <w:tc>
          <w:tcPr>
            <w:tcW w:w="318" w:type="dxa"/>
            <w:tcBorders/>
            <w:shd w:fill="auto" w:val="clear"/>
            <w:tcMar>
              <w:bottom w:w="0" w:type="dxa"/>
            </w:tcMar>
            <w:vAlign w:val="bottom"/>
          </w:tcPr>
          <w:p>
            <w:pPr>
              <w:pStyle w:val="TableContents"/>
              <w:spacing w:before="0" w:after="283"/>
              <w:rPr>
                <w:sz w:val="4"/>
                <w:szCs w:val="4"/>
              </w:rPr>
            </w:pPr>
            <w:r>
              <w:rPr>
                <w:sz w:val="4"/>
                <w:szCs w:val="4"/>
              </w:rPr>
            </w:r>
          </w:p>
        </w:tc>
        <w:tc>
          <w:tcPr>
            <w:tcW w:w="685"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X</w:t>
            </w:r>
          </w:p>
        </w:tc>
        <w:tc>
          <w:tcPr>
            <w:tcW w:w="560" w:type="dxa"/>
            <w:tcBorders/>
            <w:shd w:fill="auto" w:val="clear"/>
            <w:tcMar>
              <w:bottom w:w="0" w:type="dxa"/>
            </w:tcMar>
            <w:vAlign w:val="bottom"/>
          </w:tcPr>
          <w:p>
            <w:pPr>
              <w:pStyle w:val="TableContents"/>
              <w:spacing w:before="0" w:after="283"/>
              <w:rPr>
                <w:sz w:val="4"/>
                <w:szCs w:val="4"/>
              </w:rPr>
            </w:pPr>
            <w:r>
              <w:rPr>
                <w:sz w:val="4"/>
                <w:szCs w:val="4"/>
              </w:rPr>
            </w:r>
          </w:p>
        </w:tc>
        <w:tc>
          <w:tcPr>
            <w:tcW w:w="318" w:type="dxa"/>
            <w:tcBorders/>
            <w:shd w:fill="auto" w:val="clear"/>
            <w:tcMar>
              <w:bottom w:w="0" w:type="dxa"/>
            </w:tcMar>
            <w:vAlign w:val="bottom"/>
          </w:tcPr>
          <w:p>
            <w:pPr>
              <w:pStyle w:val="TableContents"/>
              <w:spacing w:before="0" w:after="283"/>
              <w:rPr>
                <w:sz w:val="4"/>
                <w:szCs w:val="4"/>
              </w:rPr>
            </w:pPr>
            <w:r>
              <w:rPr>
                <w:sz w:val="4"/>
                <w:szCs w:val="4"/>
              </w:rPr>
            </w:r>
          </w:p>
        </w:tc>
        <w:tc>
          <w:tcPr>
            <w:tcW w:w="487" w:type="dxa"/>
            <w:tcBorders/>
            <w:shd w:fill="auto" w:val="clear"/>
            <w:tcMar>
              <w:bottom w:w="0" w:type="dxa"/>
            </w:tcMar>
            <w:vAlign w:val="bottom"/>
          </w:tcPr>
          <w:p>
            <w:pPr>
              <w:pStyle w:val="TableContents"/>
              <w:spacing w:before="0" w:after="283"/>
              <w:rPr>
                <w:sz w:val="4"/>
                <w:szCs w:val="4"/>
              </w:rPr>
            </w:pPr>
            <w:r>
              <w:rPr>
                <w:sz w:val="4"/>
                <w:szCs w:val="4"/>
              </w:rPr>
            </w:r>
          </w:p>
        </w:tc>
        <w:tc>
          <w:tcPr>
            <w:tcW w:w="405" w:type="dxa"/>
            <w:tcBorders/>
            <w:shd w:fill="auto" w:val="clear"/>
            <w:tcMar>
              <w:bottom w:w="0" w:type="dxa"/>
            </w:tcMar>
            <w:vAlign w:val="bottom"/>
          </w:tcPr>
          <w:p>
            <w:pPr>
              <w:pStyle w:val="TableContents"/>
              <w:spacing w:before="0" w:after="283"/>
              <w:rPr>
                <w:sz w:val="4"/>
                <w:szCs w:val="4"/>
              </w:rPr>
            </w:pPr>
            <w:r>
              <w:rPr>
                <w:sz w:val="4"/>
                <w:szCs w:val="4"/>
              </w:rPr>
            </w:r>
          </w:p>
        </w:tc>
      </w:tr>
      <w:tr>
        <w:trPr/>
        <w:tc>
          <w:tcPr>
            <w:tcW w:w="4494"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261"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68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X</w:t>
            </w:r>
          </w:p>
        </w:tc>
        <w:tc>
          <w:tcPr>
            <w:tcW w:w="560"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487" w:type="dxa"/>
            <w:tcBorders/>
            <w:shd w:fill="C0C0C0" w:val="clear"/>
            <w:tcMar>
              <w:bottom w:w="0" w:type="dxa"/>
            </w:tcMar>
            <w:vAlign w:val="bottom"/>
          </w:tcPr>
          <w:p>
            <w:pPr>
              <w:pStyle w:val="TableContents"/>
              <w:spacing w:before="0" w:after="283"/>
              <w:rPr>
                <w:sz w:val="4"/>
                <w:szCs w:val="4"/>
              </w:rPr>
            </w:pPr>
            <w:r>
              <w:rPr>
                <w:sz w:val="4"/>
                <w:szCs w:val="4"/>
              </w:rPr>
            </w:r>
          </w:p>
        </w:tc>
        <w:tc>
          <w:tcPr>
            <w:tcW w:w="405" w:type="dxa"/>
            <w:tcBorders/>
            <w:shd w:fill="C0C0C0" w:val="clear"/>
            <w:tcMar>
              <w:bottom w:w="0" w:type="dxa"/>
            </w:tcMar>
            <w:vAlign w:val="bottom"/>
          </w:tcPr>
          <w:p>
            <w:pPr>
              <w:pStyle w:val="TableContents"/>
              <w:spacing w:before="0" w:after="283"/>
              <w:rPr>
                <w:sz w:val="4"/>
                <w:szCs w:val="4"/>
              </w:rPr>
            </w:pPr>
            <w:r>
              <w:rPr>
                <w:sz w:val="4"/>
                <w:szCs w:val="4"/>
              </w:rPr>
            </w:r>
          </w:p>
        </w:tc>
      </w:tr>
      <w:tr>
        <w:trPr/>
        <w:tc>
          <w:tcPr>
            <w:tcW w:w="4494"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318" w:type="dxa"/>
            <w:tcBorders/>
            <w:shd w:fill="auto" w:val="clear"/>
            <w:tcMar>
              <w:bottom w:w="0" w:type="dxa"/>
            </w:tcMar>
            <w:vAlign w:val="bottom"/>
          </w:tcPr>
          <w:p>
            <w:pPr>
              <w:pStyle w:val="TableContents"/>
              <w:spacing w:before="0" w:after="283"/>
              <w:rPr>
                <w:sz w:val="4"/>
                <w:szCs w:val="4"/>
              </w:rPr>
            </w:pPr>
            <w:r>
              <w:rPr>
                <w:sz w:val="4"/>
                <w:szCs w:val="4"/>
              </w:rPr>
            </w:r>
          </w:p>
        </w:tc>
        <w:tc>
          <w:tcPr>
            <w:tcW w:w="318" w:type="dxa"/>
            <w:tcBorders/>
            <w:shd w:fill="auto" w:val="clear"/>
            <w:tcMar>
              <w:bottom w:w="0" w:type="dxa"/>
            </w:tcMar>
            <w:vAlign w:val="bottom"/>
          </w:tcPr>
          <w:p>
            <w:pPr>
              <w:pStyle w:val="TableContents"/>
              <w:spacing w:before="0" w:after="283"/>
              <w:jc w:val="center"/>
              <w:rPr/>
            </w:pPr>
            <w:r>
              <w:rPr/>
              <w:t xml:space="preserve">     </w:t>
            </w:r>
          </w:p>
        </w:tc>
        <w:tc>
          <w:tcPr>
            <w:tcW w:w="261" w:type="dxa"/>
            <w:tcBorders/>
            <w:shd w:fill="auto" w:val="clear"/>
            <w:tcMar>
              <w:bottom w:w="0" w:type="dxa"/>
            </w:tcMar>
            <w:vAlign w:val="bottom"/>
          </w:tcPr>
          <w:p>
            <w:pPr>
              <w:pStyle w:val="TableContents"/>
              <w:spacing w:before="0" w:after="283"/>
              <w:rPr/>
            </w:pPr>
            <w:r>
              <w:rPr/>
              <w:t xml:space="preserve">    </w:t>
            </w:r>
          </w:p>
        </w:tc>
        <w:tc>
          <w:tcPr>
            <w:tcW w:w="318" w:type="dxa"/>
            <w:tcBorders/>
            <w:shd w:fill="auto" w:val="clear"/>
            <w:tcMar>
              <w:bottom w:w="0" w:type="dxa"/>
            </w:tcMar>
            <w:vAlign w:val="bottom"/>
          </w:tcPr>
          <w:p>
            <w:pPr>
              <w:pStyle w:val="TableContents"/>
              <w:spacing w:before="0" w:after="283"/>
              <w:rPr>
                <w:sz w:val="4"/>
                <w:szCs w:val="4"/>
              </w:rPr>
            </w:pPr>
            <w:r>
              <w:rPr>
                <w:sz w:val="4"/>
                <w:szCs w:val="4"/>
              </w:rPr>
            </w:r>
          </w:p>
        </w:tc>
        <w:tc>
          <w:tcPr>
            <w:tcW w:w="685"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X</w:t>
            </w:r>
          </w:p>
        </w:tc>
        <w:tc>
          <w:tcPr>
            <w:tcW w:w="560" w:type="dxa"/>
            <w:tcBorders/>
            <w:shd w:fill="auto" w:val="clear"/>
            <w:tcMar>
              <w:bottom w:w="0" w:type="dxa"/>
            </w:tcMar>
            <w:vAlign w:val="bottom"/>
          </w:tcPr>
          <w:p>
            <w:pPr>
              <w:pStyle w:val="TableContents"/>
              <w:spacing w:before="0" w:after="283"/>
              <w:rPr>
                <w:sz w:val="20"/>
              </w:rPr>
            </w:pPr>
            <w:r>
              <w:rPr>
                <w:sz w:val="20"/>
              </w:rPr>
              <w:t>*</w:t>
            </w:r>
          </w:p>
        </w:tc>
        <w:tc>
          <w:tcPr>
            <w:tcW w:w="318" w:type="dxa"/>
            <w:tcBorders/>
            <w:shd w:fill="auto" w:val="clear"/>
            <w:tcMar>
              <w:bottom w:w="0" w:type="dxa"/>
            </w:tcMar>
            <w:vAlign w:val="bottom"/>
          </w:tcPr>
          <w:p>
            <w:pPr>
              <w:pStyle w:val="TableContents"/>
              <w:spacing w:before="0" w:after="283"/>
              <w:rPr>
                <w:sz w:val="4"/>
                <w:szCs w:val="4"/>
              </w:rPr>
            </w:pPr>
            <w:r>
              <w:rPr>
                <w:sz w:val="4"/>
                <w:szCs w:val="4"/>
              </w:rPr>
            </w:r>
          </w:p>
        </w:tc>
        <w:tc>
          <w:tcPr>
            <w:tcW w:w="487" w:type="dxa"/>
            <w:tcBorders/>
            <w:shd w:fill="auto" w:val="clear"/>
            <w:tcMar>
              <w:bottom w:w="0" w:type="dxa"/>
            </w:tcMar>
            <w:vAlign w:val="bottom"/>
          </w:tcPr>
          <w:p>
            <w:pPr>
              <w:pStyle w:val="TableContents"/>
              <w:spacing w:before="0" w:after="283"/>
              <w:rPr>
                <w:sz w:val="4"/>
                <w:szCs w:val="4"/>
              </w:rPr>
            </w:pPr>
            <w:r>
              <w:rPr>
                <w:sz w:val="4"/>
                <w:szCs w:val="4"/>
              </w:rPr>
            </w:r>
          </w:p>
        </w:tc>
        <w:tc>
          <w:tcPr>
            <w:tcW w:w="405" w:type="dxa"/>
            <w:tcBorders/>
            <w:shd w:fill="auto" w:val="clear"/>
            <w:tcMar>
              <w:bottom w:w="0" w:type="dxa"/>
            </w:tcMar>
            <w:vAlign w:val="bottom"/>
          </w:tcPr>
          <w:p>
            <w:pPr>
              <w:pStyle w:val="TableContents"/>
              <w:spacing w:before="0" w:after="283"/>
              <w:rPr>
                <w:sz w:val="4"/>
                <w:szCs w:val="4"/>
              </w:rPr>
            </w:pPr>
            <w:r>
              <w:rPr>
                <w:sz w:val="4"/>
                <w:szCs w:val="4"/>
              </w:rPr>
            </w:r>
          </w:p>
        </w:tc>
      </w:tr>
      <w:tr>
        <w:trPr/>
        <w:tc>
          <w:tcPr>
            <w:tcW w:w="4494"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X</w:t>
            </w:r>
          </w:p>
        </w:tc>
        <w:tc>
          <w:tcPr>
            <w:tcW w:w="261" w:type="dxa"/>
            <w:tcBorders/>
            <w:shd w:fill="C0C0C0" w:val="clear"/>
            <w:tcMar>
              <w:bottom w:w="0" w:type="dxa"/>
            </w:tcMar>
            <w:vAlign w:val="bottom"/>
          </w:tcPr>
          <w:p>
            <w:pPr>
              <w:pStyle w:val="TableContents"/>
              <w:spacing w:before="0" w:after="283"/>
              <w:rPr>
                <w:sz w:val="20"/>
              </w:rPr>
            </w:pPr>
            <w:r>
              <w:rPr>
                <w:sz w:val="20"/>
              </w:rPr>
              <w:t>*</w:t>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685" w:type="dxa"/>
            <w:tcBorders/>
            <w:shd w:fill="C0C0C0" w:val="clear"/>
            <w:tcMar>
              <w:bottom w:w="0" w:type="dxa"/>
            </w:tcMar>
            <w:vAlign w:val="bottom"/>
          </w:tcPr>
          <w:p>
            <w:pPr>
              <w:pStyle w:val="TableContents"/>
              <w:spacing w:before="0" w:after="283"/>
              <w:rPr>
                <w:sz w:val="4"/>
                <w:szCs w:val="4"/>
              </w:rPr>
            </w:pPr>
            <w:r>
              <w:rPr>
                <w:sz w:val="4"/>
                <w:szCs w:val="4"/>
              </w:rPr>
            </w:r>
          </w:p>
        </w:tc>
        <w:tc>
          <w:tcPr>
            <w:tcW w:w="560"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487" w:type="dxa"/>
            <w:tcBorders/>
            <w:shd w:fill="C0C0C0" w:val="clear"/>
            <w:tcMar>
              <w:bottom w:w="0" w:type="dxa"/>
            </w:tcMar>
            <w:vAlign w:val="bottom"/>
          </w:tcPr>
          <w:p>
            <w:pPr>
              <w:pStyle w:val="TableContents"/>
              <w:spacing w:before="0" w:after="283"/>
              <w:rPr>
                <w:sz w:val="4"/>
                <w:szCs w:val="4"/>
              </w:rPr>
            </w:pPr>
            <w:r>
              <w:rPr>
                <w:sz w:val="4"/>
                <w:szCs w:val="4"/>
              </w:rPr>
            </w:r>
          </w:p>
        </w:tc>
        <w:tc>
          <w:tcPr>
            <w:tcW w:w="405" w:type="dxa"/>
            <w:tcBorders/>
            <w:shd w:fill="C0C0C0" w:val="clear"/>
            <w:tcMar>
              <w:bottom w:w="0" w:type="dxa"/>
            </w:tcMar>
            <w:vAlign w:val="bottom"/>
          </w:tcPr>
          <w:p>
            <w:pPr>
              <w:pStyle w:val="TableContents"/>
              <w:spacing w:before="0" w:after="283"/>
              <w:rPr>
                <w:sz w:val="4"/>
                <w:szCs w:val="4"/>
              </w:rPr>
            </w:pPr>
            <w:r>
              <w:rPr>
                <w:sz w:val="4"/>
                <w:szCs w:val="4"/>
              </w:rPr>
            </w:r>
          </w:p>
        </w:tc>
      </w:tr>
      <w:tr>
        <w:trPr/>
        <w:tc>
          <w:tcPr>
            <w:tcW w:w="4494" w:type="dxa"/>
            <w:tcBorders>
              <w:bottom w:val="sing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Lawrence E. Washow</w:t>
            </w:r>
          </w:p>
        </w:tc>
        <w:tc>
          <w:tcPr>
            <w:tcW w:w="318" w:type="dxa"/>
            <w:tcBorders>
              <w:bottom w:val="single" w:sz="8" w:space="0" w:color="000000"/>
            </w:tcBorders>
            <w:shd w:fill="auto" w:val="clear"/>
            <w:vAlign w:val="bottom"/>
          </w:tcPr>
          <w:p>
            <w:pPr>
              <w:pStyle w:val="TableContents"/>
              <w:spacing w:before="0" w:after="283"/>
              <w:rPr>
                <w:sz w:val="4"/>
                <w:szCs w:val="4"/>
              </w:rPr>
            </w:pPr>
            <w:r>
              <w:rPr>
                <w:sz w:val="4"/>
                <w:szCs w:val="4"/>
              </w:rPr>
            </w:r>
          </w:p>
        </w:tc>
        <w:tc>
          <w:tcPr>
            <w:tcW w:w="318" w:type="dxa"/>
            <w:tcBorders>
              <w:bottom w:val="sing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X</w:t>
            </w:r>
          </w:p>
        </w:tc>
        <w:tc>
          <w:tcPr>
            <w:tcW w:w="261" w:type="dxa"/>
            <w:tcBorders>
              <w:bottom w:val="single" w:sz="8" w:space="0" w:color="000000"/>
            </w:tcBorders>
            <w:shd w:fill="auto" w:val="clear"/>
            <w:vAlign w:val="bottom"/>
          </w:tcPr>
          <w:p>
            <w:pPr>
              <w:pStyle w:val="TableContents"/>
              <w:spacing w:before="0" w:after="283"/>
              <w:rPr>
                <w:sz w:val="4"/>
                <w:szCs w:val="4"/>
              </w:rPr>
            </w:pPr>
            <w:r>
              <w:rPr>
                <w:sz w:val="4"/>
                <w:szCs w:val="4"/>
              </w:rPr>
            </w:r>
          </w:p>
        </w:tc>
        <w:tc>
          <w:tcPr>
            <w:tcW w:w="318" w:type="dxa"/>
            <w:tcBorders>
              <w:bottom w:val="single" w:sz="8" w:space="0" w:color="000000"/>
            </w:tcBorders>
            <w:shd w:fill="auto" w:val="clear"/>
            <w:vAlign w:val="bottom"/>
          </w:tcPr>
          <w:p>
            <w:pPr>
              <w:pStyle w:val="TableContents"/>
              <w:spacing w:before="0" w:after="283"/>
              <w:rPr>
                <w:sz w:val="4"/>
                <w:szCs w:val="4"/>
              </w:rPr>
            </w:pPr>
            <w:r>
              <w:rPr>
                <w:sz w:val="4"/>
                <w:szCs w:val="4"/>
              </w:rPr>
            </w:r>
          </w:p>
        </w:tc>
        <w:tc>
          <w:tcPr>
            <w:tcW w:w="685" w:type="dxa"/>
            <w:tcBorders>
              <w:bottom w:val="single" w:sz="8" w:space="0" w:color="000000"/>
            </w:tcBorders>
            <w:shd w:fill="auto" w:val="clear"/>
            <w:vAlign w:val="bottom"/>
          </w:tcPr>
          <w:p>
            <w:pPr>
              <w:pStyle w:val="TableContents"/>
              <w:spacing w:before="0" w:after="283"/>
              <w:rPr>
                <w:sz w:val="4"/>
                <w:szCs w:val="4"/>
              </w:rPr>
            </w:pPr>
            <w:r>
              <w:rPr>
                <w:sz w:val="4"/>
                <w:szCs w:val="4"/>
              </w:rPr>
            </w:r>
          </w:p>
        </w:tc>
        <w:tc>
          <w:tcPr>
            <w:tcW w:w="560" w:type="dxa"/>
            <w:tcBorders>
              <w:bottom w:val="single" w:sz="8" w:space="0" w:color="000000"/>
            </w:tcBorders>
            <w:shd w:fill="auto" w:val="clear"/>
            <w:vAlign w:val="bottom"/>
          </w:tcPr>
          <w:p>
            <w:pPr>
              <w:pStyle w:val="TableContents"/>
              <w:spacing w:before="0" w:after="283"/>
              <w:rPr>
                <w:sz w:val="4"/>
                <w:szCs w:val="4"/>
              </w:rPr>
            </w:pPr>
            <w:r>
              <w:rPr>
                <w:sz w:val="4"/>
                <w:szCs w:val="4"/>
              </w:rPr>
            </w:r>
          </w:p>
        </w:tc>
        <w:tc>
          <w:tcPr>
            <w:tcW w:w="318" w:type="dxa"/>
            <w:tcBorders>
              <w:bottom w:val="single" w:sz="8" w:space="0" w:color="000000"/>
            </w:tcBorders>
            <w:shd w:fill="auto" w:val="clear"/>
            <w:vAlign w:val="bottom"/>
          </w:tcPr>
          <w:p>
            <w:pPr>
              <w:pStyle w:val="TableContents"/>
              <w:spacing w:before="0" w:after="283"/>
              <w:rPr>
                <w:sz w:val="4"/>
                <w:szCs w:val="4"/>
              </w:rPr>
            </w:pPr>
            <w:r>
              <w:rPr>
                <w:sz w:val="4"/>
                <w:szCs w:val="4"/>
              </w:rPr>
            </w:r>
          </w:p>
        </w:tc>
        <w:tc>
          <w:tcPr>
            <w:tcW w:w="487" w:type="dxa"/>
            <w:tcBorders>
              <w:bottom w:val="single" w:sz="8" w:space="0" w:color="000000"/>
            </w:tcBorders>
            <w:shd w:fill="auto" w:val="clear"/>
            <w:vAlign w:val="bottom"/>
          </w:tcPr>
          <w:p>
            <w:pPr>
              <w:pStyle w:val="TableContents"/>
              <w:spacing w:before="0" w:after="283"/>
              <w:rPr>
                <w:sz w:val="4"/>
                <w:szCs w:val="4"/>
              </w:rPr>
            </w:pPr>
            <w:r>
              <w:rPr>
                <w:sz w:val="4"/>
                <w:szCs w:val="4"/>
              </w:rPr>
            </w:r>
          </w:p>
        </w:tc>
        <w:tc>
          <w:tcPr>
            <w:tcW w:w="405" w:type="dxa"/>
            <w:tcBorders>
              <w:bottom w:val="single" w:sz="8" w:space="0" w:color="000000"/>
            </w:tcBorders>
            <w:shd w:fill="auto" w:val="clear"/>
            <w:vAlign w:val="bottom"/>
          </w:tcPr>
          <w:p>
            <w:pPr>
              <w:pStyle w:val="TableContents"/>
              <w:spacing w:before="0" w:after="283"/>
              <w:rPr>
                <w:sz w:val="4"/>
                <w:szCs w:val="4"/>
              </w:rPr>
            </w:pPr>
            <w:r>
              <w:rPr>
                <w:sz w:val="4"/>
                <w:szCs w:val="4"/>
              </w:rPr>
            </w:r>
          </w:p>
        </w:tc>
      </w:tr>
      <w:tr>
        <w:trPr/>
        <w:tc>
          <w:tcPr>
            <w:tcW w:w="4494"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Number of Meetings</w:t>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261"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685" w:type="dxa"/>
            <w:tcBorders/>
            <w:shd w:fill="C0C0C0" w:val="clear"/>
            <w:tcMar>
              <w:bottom w:w="0" w:type="dxa"/>
            </w:tcMar>
            <w:vAlign w:val="bottom"/>
          </w:tcPr>
          <w:p>
            <w:pPr>
              <w:pStyle w:val="TableContents"/>
              <w:spacing w:before="0" w:after="283"/>
              <w:rPr>
                <w:sz w:val="4"/>
                <w:szCs w:val="4"/>
              </w:rPr>
            </w:pPr>
            <w:r>
              <w:rPr>
                <w:sz w:val="4"/>
                <w:szCs w:val="4"/>
              </w:rPr>
            </w:r>
          </w:p>
        </w:tc>
        <w:tc>
          <w:tcPr>
            <w:tcW w:w="560"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487" w:type="dxa"/>
            <w:tcBorders/>
            <w:shd w:fill="C0C0C0" w:val="clear"/>
            <w:tcMar>
              <w:bottom w:w="0" w:type="dxa"/>
            </w:tcMar>
            <w:vAlign w:val="bottom"/>
          </w:tcPr>
          <w:p>
            <w:pPr>
              <w:pStyle w:val="TableContents"/>
              <w:spacing w:before="0" w:after="283"/>
              <w:rPr>
                <w:sz w:val="4"/>
                <w:szCs w:val="4"/>
              </w:rPr>
            </w:pPr>
            <w:r>
              <w:rPr>
                <w:sz w:val="4"/>
                <w:szCs w:val="4"/>
              </w:rPr>
            </w:r>
          </w:p>
        </w:tc>
        <w:tc>
          <w:tcPr>
            <w:tcW w:w="405" w:type="dxa"/>
            <w:tcBorders/>
            <w:shd w:fill="C0C0C0" w:val="clear"/>
            <w:tcMar>
              <w:bottom w:w="0" w:type="dxa"/>
            </w:tcMar>
            <w:vAlign w:val="bottom"/>
          </w:tcPr>
          <w:p>
            <w:pPr>
              <w:pStyle w:val="TableContents"/>
              <w:spacing w:before="0" w:after="283"/>
              <w:rPr>
                <w:sz w:val="4"/>
                <w:szCs w:val="4"/>
              </w:rPr>
            </w:pPr>
            <w:r>
              <w:rPr>
                <w:sz w:val="4"/>
                <w:szCs w:val="4"/>
              </w:rPr>
            </w:r>
          </w:p>
        </w:tc>
      </w:tr>
      <w:tr>
        <w:trPr/>
        <w:tc>
          <w:tcPr>
            <w:tcW w:w="4494"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in Fiscal 2013</w:t>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61"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68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560" w:type="dxa"/>
            <w:tcBorders/>
            <w:shd w:fill="C0C0C0" w:val="clear"/>
            <w:tcMar>
              <w:bottom w:w="0" w:type="dxa"/>
            </w:tcMar>
            <w:vAlign w:val="bottom"/>
          </w:tcPr>
          <w:p>
            <w:pPr>
              <w:pStyle w:val="TableContents"/>
              <w:spacing w:before="0" w:after="283"/>
              <w:rPr>
                <w:sz w:val="4"/>
                <w:szCs w:val="4"/>
              </w:rPr>
            </w:pPr>
            <w:r>
              <w:rPr>
                <w:sz w:val="4"/>
                <w:szCs w:val="4"/>
              </w:rPr>
            </w:r>
          </w:p>
        </w:tc>
        <w:tc>
          <w:tcPr>
            <w:tcW w:w="318" w:type="dxa"/>
            <w:tcBorders/>
            <w:shd w:fill="C0C0C0" w:val="clear"/>
            <w:tcMar>
              <w:bottom w:w="0" w:type="dxa"/>
            </w:tcMar>
            <w:vAlign w:val="bottom"/>
          </w:tcPr>
          <w:p>
            <w:pPr>
              <w:pStyle w:val="TableContents"/>
              <w:spacing w:before="0" w:after="283"/>
              <w:rPr>
                <w:sz w:val="4"/>
                <w:szCs w:val="4"/>
              </w:rPr>
            </w:pPr>
            <w:r>
              <w:rPr>
                <w:sz w:val="4"/>
                <w:szCs w:val="4"/>
              </w:rPr>
            </w:r>
          </w:p>
        </w:tc>
        <w:tc>
          <w:tcPr>
            <w:tcW w:w="487"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405" w:type="dxa"/>
            <w:tcBorders/>
            <w:shd w:fill="C0C0C0" w:val="clear"/>
            <w:tcMar>
              <w:bottom w:w="0" w:type="dxa"/>
            </w:tcMar>
            <w:vAlign w:val="bottom"/>
          </w:tcPr>
          <w:p>
            <w:pPr>
              <w:pStyle w:val="TableContents"/>
              <w:spacing w:before="0" w:after="283"/>
              <w:rPr>
                <w:sz w:val="4"/>
                <w:szCs w:val="4"/>
              </w:rPr>
            </w:pPr>
            <w:r>
              <w:rPr>
                <w:sz w:val="4"/>
                <w:szCs w:val="4"/>
              </w:rPr>
            </w:r>
          </w:p>
        </w:tc>
      </w:tr>
    </w:tbl>
    <w:p>
      <w:pPr>
        <w:pStyle w:val="TextBody"/>
        <w:spacing w:before="0" w:after="0"/>
        <w:rPr/>
      </w:pPr>
      <w:r>
        <w:rPr/>
      </w:r>
    </w:p>
    <w:tbl>
      <w:tblPr>
        <w:tblW w:w="4000" w:type="pct"/>
        <w:jc w:val="center"/>
        <w:tblInd w:w="0" w:type="dxa"/>
        <w:tblCellMar>
          <w:top w:w="0" w:type="dxa"/>
          <w:left w:w="0" w:type="dxa"/>
          <w:bottom w:w="0" w:type="dxa"/>
          <w:right w:w="0" w:type="dxa"/>
        </w:tblCellMar>
      </w:tblPr>
      <w:tblGrid>
        <w:gridCol w:w="8164"/>
      </w:tblGrid>
      <w:tr>
        <w:trPr/>
        <w:tc>
          <w:tcPr>
            <w:tcW w:w="816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Chairman</w:t>
            </w:r>
          </w:p>
        </w:tc>
      </w:tr>
    </w:tbl>
    <w:p>
      <w:pPr>
        <w:pStyle w:val="TextBody"/>
        <w:jc w:val="both"/>
        <w:rPr>
          <w:rFonts w:ascii="Times New Roman" w:hAnsi="Times New Roman"/>
          <w:sz w:val="20"/>
        </w:rPr>
      </w:pPr>
      <w:r>
        <w:rPr>
          <w:rFonts w:ascii="Times New Roman" w:hAnsi="Times New Roman"/>
          <w:sz w:val="20"/>
        </w:rPr>
        <w:t>During fiscal 2013, our Board of Directors held five meetings. As of the beginning of the 2013 fiscal year, Paul E. Suckow replaced J. Steven Cole as chairman of our Audit Committee. Arnold W. Donald resigned from our Board of Directors effective January 23, 2013. In accordance with the Companys Amended and Restated By-Laws, our Board of Directors appointed Lawrence E. Washow to fill Mr. Donalds vacancy as a member of the Board and as a member of our Audit Committee effective February 26, 2013. Each director attended 100% of the aggregate number of meetings of our Board of Directors during the period for which he was a director and 100% of the aggregate number of meetings of committees during the periods that he served on such committees.</w:t>
      </w:r>
    </w:p>
    <w:p>
      <w:pPr>
        <w:pStyle w:val="TextBody"/>
        <w:jc w:val="both"/>
        <w:rPr>
          <w:rFonts w:ascii="Times New Roman" w:hAnsi="Times New Roman"/>
          <w:b/>
          <w:i/>
          <w:sz w:val="20"/>
        </w:rPr>
      </w:pPr>
      <w:r>
        <w:rPr>
          <w:rFonts w:ascii="Times New Roman" w:hAnsi="Times New Roman"/>
          <w:b/>
          <w:i/>
          <w:sz w:val="20"/>
        </w:rPr>
        <w:t>Audit Committee</w:t>
      </w:r>
    </w:p>
    <w:p>
      <w:pPr>
        <w:pStyle w:val="TextBody"/>
        <w:jc w:val="both"/>
        <w:rPr/>
      </w:pPr>
      <w:r>
        <w:rPr/>
        <w:t>     </w:t>
      </w:r>
      <w:r>
        <w:rPr>
          <w:rFonts w:ascii="Times New Roman" w:hAnsi="Times New Roman"/>
          <w:sz w:val="20"/>
        </w:rPr>
        <w:t>The Audit Committee Charter sets out the duties and responsibilities of our Audit Committee. Those duties include, without limitation:</w:t>
      </w:r>
    </w:p>
    <w:p>
      <w:pPr>
        <w:pStyle w:val="TextBody"/>
        <w:numPr>
          <w:ilvl w:val="0"/>
          <w:numId w:val="4"/>
        </w:numPr>
        <w:tabs>
          <w:tab w:val="clear" w:pos="1134"/>
          <w:tab w:val="left" w:pos="707" w:leader="none"/>
        </w:tabs>
        <w:spacing w:before="0" w:after="0"/>
        <w:ind w:left="707" w:hanging="283"/>
        <w:jc w:val="both"/>
        <w:rPr>
          <w:sz w:val="20"/>
        </w:rPr>
      </w:pPr>
      <w:r>
        <w:rPr>
          <w:rFonts w:ascii="Times New Roman" w:hAnsi="Times New Roman"/>
          <w:sz w:val="20"/>
        </w:rPr>
        <w:t>selection and appointment of the independent auditor, review of its independence and of other services provided by it, and of the fees and other arrangements regarding its services;</w:t>
        <w:br/>
        <w:t> </w:t>
      </w:r>
      <w:r>
        <w:rPr>
          <w:sz w:val="20"/>
        </w:rPr>
        <w:t xml:space="preserve"> </w:t>
      </w:r>
    </w:p>
    <w:p>
      <w:pPr>
        <w:pStyle w:val="TextBody"/>
        <w:numPr>
          <w:ilvl w:val="0"/>
          <w:numId w:val="4"/>
        </w:numPr>
        <w:tabs>
          <w:tab w:val="clear" w:pos="1134"/>
          <w:tab w:val="left" w:pos="707" w:leader="none"/>
        </w:tabs>
        <w:spacing w:before="0" w:after="0"/>
        <w:ind w:left="707" w:hanging="283"/>
        <w:jc w:val="both"/>
        <w:rPr>
          <w:sz w:val="20"/>
        </w:rPr>
      </w:pPr>
      <w:r>
        <w:rPr>
          <w:rFonts w:ascii="Times New Roman" w:hAnsi="Times New Roman"/>
          <w:sz w:val="20"/>
        </w:rPr>
        <w:t>review with the independent auditor and management of the scope of the audit, and of significant financial reporting issues and judgments;</w:t>
        <w:br/>
        <w:t> </w:t>
      </w:r>
      <w:r>
        <w:rPr>
          <w:sz w:val="20"/>
        </w:rPr>
        <w:t xml:space="preserve"> </w:t>
      </w:r>
    </w:p>
    <w:p>
      <w:pPr>
        <w:pStyle w:val="TextBody"/>
        <w:numPr>
          <w:ilvl w:val="0"/>
          <w:numId w:val="4"/>
        </w:numPr>
        <w:tabs>
          <w:tab w:val="clear" w:pos="1134"/>
          <w:tab w:val="left" w:pos="707" w:leader="none"/>
        </w:tabs>
        <w:spacing w:before="0" w:after="0"/>
        <w:ind w:left="707" w:hanging="283"/>
        <w:jc w:val="both"/>
        <w:rPr>
          <w:sz w:val="20"/>
        </w:rPr>
      </w:pPr>
      <w:r>
        <w:rPr>
          <w:rFonts w:ascii="Times New Roman" w:hAnsi="Times New Roman"/>
          <w:sz w:val="20"/>
        </w:rPr>
        <w:t>review with the independent auditor and management of the annual audited financial statements and of the quarterly financial statements and press releases;</w:t>
        <w:br/>
        <w:t> </w:t>
      </w:r>
      <w:r>
        <w:rPr>
          <w:sz w:val="20"/>
        </w:rPr>
        <w:t xml:space="preserve"> </w:t>
      </w:r>
    </w:p>
    <w:p>
      <w:pPr>
        <w:pStyle w:val="TextBody"/>
        <w:numPr>
          <w:ilvl w:val="0"/>
          <w:numId w:val="4"/>
        </w:numPr>
        <w:tabs>
          <w:tab w:val="clear" w:pos="1134"/>
          <w:tab w:val="left" w:pos="707" w:leader="none"/>
        </w:tabs>
        <w:spacing w:before="0" w:after="0"/>
        <w:ind w:left="707" w:hanging="283"/>
        <w:jc w:val="both"/>
        <w:rPr>
          <w:sz w:val="20"/>
        </w:rPr>
      </w:pPr>
      <w:r>
        <w:rPr>
          <w:rFonts w:ascii="Times New Roman" w:hAnsi="Times New Roman"/>
          <w:sz w:val="20"/>
        </w:rPr>
        <w:t>review with the independent auditor and management of the quality and adequacy of internal controls; and</w:t>
        <w:br/>
        <w:t> </w:t>
      </w:r>
      <w:r>
        <w:rPr>
          <w:sz w:val="20"/>
        </w:rPr>
        <w:t xml:space="preserve"> </w:t>
      </w:r>
    </w:p>
    <w:p>
      <w:pPr>
        <w:pStyle w:val="TextBody"/>
        <w:numPr>
          <w:ilvl w:val="0"/>
          <w:numId w:val="4"/>
        </w:numPr>
        <w:tabs>
          <w:tab w:val="clear" w:pos="1134"/>
          <w:tab w:val="left" w:pos="707" w:leader="none"/>
        </w:tabs>
        <w:ind w:left="707" w:hanging="283"/>
        <w:jc w:val="both"/>
        <w:rPr>
          <w:sz w:val="20"/>
        </w:rPr>
      </w:pPr>
      <w:r>
        <w:rPr>
          <w:rFonts w:ascii="Times New Roman" w:hAnsi="Times New Roman"/>
          <w:sz w:val="20"/>
        </w:rPr>
        <w:t>preparation of the report required by SEC rules to be included in this Proxy Statement.</w:t>
      </w:r>
      <w:r>
        <w:rPr>
          <w:sz w:val="20"/>
        </w:rPr>
        <w:t xml:space="preserve"> </w:t>
      </w:r>
    </w:p>
    <w:p>
      <w:pPr>
        <w:pStyle w:val="TextBody"/>
        <w:jc w:val="both"/>
        <w:rPr>
          <w:rFonts w:ascii="Times New Roman" w:hAnsi="Times New Roman"/>
          <w:sz w:val="20"/>
        </w:rPr>
      </w:pPr>
      <w:r>
        <w:rPr>
          <w:rFonts w:ascii="Times New Roman" w:hAnsi="Times New Roman"/>
          <w:sz w:val="20"/>
        </w:rPr>
        <w:t>A copy of our Audit Committee Charter is available on our website at www.oildri.com and will be provided without charge to any person upon request submitted to Investor Relations, Oil-Dri Corporation of America, 410 North Michigan Avenue, Suite 400, Chicago, Illinois 60611-4213.</w:t>
      </w:r>
    </w:p>
    <w:p>
      <w:pPr>
        <w:pStyle w:val="TextBody"/>
        <w:jc w:val="both"/>
        <w:rPr/>
      </w:pPr>
      <w:r>
        <w:rPr/>
        <w:t>     </w:t>
      </w:r>
      <w:r>
        <w:rPr>
          <w:rFonts w:ascii="Times New Roman" w:hAnsi="Times New Roman"/>
          <w:sz w:val="20"/>
        </w:rPr>
        <w:t>Our Board of Directors has determined that each member of our Audit Committee meets the independence and experience requirements of the NYSE. Our Board of Directors also has determined that each member of our Audit Committee is an audit committee financial expert within the meaning of SEC rules and that each member meets the accounting or related financial management expertise standard required by NYSE rules.</w:t>
      </w:r>
    </w:p>
    <w:p>
      <w:pPr>
        <w:pStyle w:val="TextBody"/>
        <w:jc w:val="center"/>
        <w:rPr>
          <w:rFonts w:ascii="Times New Roman" w:hAnsi="Times New Roman"/>
          <w:sz w:val="20"/>
        </w:rPr>
      </w:pPr>
      <w:r>
        <w:rPr>
          <w:rFonts w:ascii="Times New Roman" w:hAnsi="Times New Roman"/>
          <w:sz w:val="20"/>
        </w:rPr>
        <w:t>14</w:t>
      </w:r>
    </w:p>
    <w:p>
      <w:pPr>
        <w:pStyle w:val="HorizontalLine"/>
        <w:pBdr>
          <w:bottom w:val="single" w:sz="12" w:space="0" w:color="808080"/>
        </w:pBdr>
        <w:rPr/>
      </w:pPr>
      <w:r>
        <w:rPr/>
      </w:r>
    </w:p>
    <w:p>
      <w:pPr>
        <w:pStyle w:val="TextBody"/>
        <w:rPr/>
      </w:pPr>
      <w:r>
        <w:rPr/>
      </w:r>
    </w:p>
    <w:p>
      <w:pPr>
        <w:pStyle w:val="TextBody"/>
        <w:jc w:val="both"/>
        <w:rPr>
          <w:rFonts w:ascii="Times New Roman" w:hAnsi="Times New Roman"/>
          <w:b/>
          <w:i/>
          <w:sz w:val="20"/>
        </w:rPr>
      </w:pPr>
      <w:r>
        <w:rPr>
          <w:rFonts w:ascii="Times New Roman" w:hAnsi="Times New Roman"/>
          <w:b/>
          <w:i/>
          <w:sz w:val="20"/>
        </w:rPr>
        <w:t>Compensation Committee</w:t>
      </w:r>
    </w:p>
    <w:p>
      <w:pPr>
        <w:pStyle w:val="TextBody"/>
        <w:jc w:val="both"/>
        <w:rPr/>
      </w:pPr>
      <w:r>
        <w:rPr/>
        <w:t>     </w:t>
      </w:r>
      <w:r>
        <w:rPr>
          <w:rFonts w:ascii="Times New Roman" w:hAnsi="Times New Roman"/>
          <w:sz w:val="20"/>
        </w:rPr>
        <w:t>Our Compensation Committee is responsible for review and general oversight of our compensation programs, including all programs in which our executive officers participate. Specifically, our Compensation Committee is responsible for:</w:t>
      </w:r>
    </w:p>
    <w:p>
      <w:pPr>
        <w:pStyle w:val="TextBody"/>
        <w:numPr>
          <w:ilvl w:val="0"/>
          <w:numId w:val="5"/>
        </w:numPr>
        <w:tabs>
          <w:tab w:val="clear" w:pos="1134"/>
          <w:tab w:val="left" w:pos="707" w:leader="none"/>
        </w:tabs>
        <w:spacing w:before="0" w:after="0"/>
        <w:ind w:left="707" w:hanging="283"/>
        <w:jc w:val="both"/>
        <w:rPr>
          <w:sz w:val="20"/>
        </w:rPr>
      </w:pPr>
      <w:r>
        <w:rPr>
          <w:rFonts w:ascii="Times New Roman" w:hAnsi="Times New Roman"/>
          <w:sz w:val="20"/>
        </w:rPr>
        <w:t>determining the compensation, including benefits, of our CEO after reviewing the recommendation of the Chairman of the Board;</w:t>
        <w:br/>
        <w:t> </w:t>
      </w:r>
      <w:r>
        <w:rPr>
          <w:sz w:val="20"/>
        </w:rPr>
        <w:t xml:space="preserve"> </w:t>
      </w:r>
    </w:p>
    <w:p>
      <w:pPr>
        <w:pStyle w:val="TextBody"/>
        <w:numPr>
          <w:ilvl w:val="0"/>
          <w:numId w:val="5"/>
        </w:numPr>
        <w:tabs>
          <w:tab w:val="clear" w:pos="1134"/>
          <w:tab w:val="left" w:pos="707" w:leader="none"/>
        </w:tabs>
        <w:spacing w:before="0" w:after="0"/>
        <w:ind w:left="707" w:hanging="283"/>
        <w:jc w:val="both"/>
        <w:rPr>
          <w:sz w:val="20"/>
        </w:rPr>
      </w:pPr>
      <w:r>
        <w:rPr>
          <w:rFonts w:ascii="Times New Roman" w:hAnsi="Times New Roman"/>
          <w:sz w:val="20"/>
        </w:rPr>
        <w:t>determining the reasonableness of and approving the compensation of our other executive officers as recommended by our CEO (subject to our CEOs authority to make changes in compensation under certain circumstances during the course of a fiscal year);</w:t>
        <w:br/>
        <w:t> </w:t>
      </w:r>
      <w:r>
        <w:rPr>
          <w:sz w:val="20"/>
        </w:rPr>
        <w:t xml:space="preserve"> </w:t>
      </w:r>
    </w:p>
    <w:p>
      <w:pPr>
        <w:pStyle w:val="TextBody"/>
        <w:numPr>
          <w:ilvl w:val="0"/>
          <w:numId w:val="5"/>
        </w:numPr>
        <w:tabs>
          <w:tab w:val="clear" w:pos="1134"/>
          <w:tab w:val="left" w:pos="707" w:leader="none"/>
        </w:tabs>
        <w:spacing w:before="0" w:after="0"/>
        <w:ind w:left="707" w:hanging="283"/>
        <w:jc w:val="both"/>
        <w:rPr>
          <w:sz w:val="20"/>
        </w:rPr>
      </w:pPr>
      <w:r>
        <w:rPr>
          <w:rFonts w:ascii="Times New Roman" w:hAnsi="Times New Roman"/>
          <w:sz w:val="20"/>
        </w:rPr>
        <w:t>reviewing and approving the reasonableness of performance measures and payout ranges under our annual incentive plan as these relate to our executive officers (subject to our CEOs authority to make changes to such performance measures and payout ranges under certain circumstances</w:t>
      </w:r>
      <w:r>
        <w:rPr>
          <w:sz w:val="20"/>
        </w:rPr>
        <w:t xml:space="preserve"> </w:t>
      </w:r>
      <w:r>
        <w:rPr>
          <w:rFonts w:ascii="Times New Roman" w:hAnsi="Times New Roman"/>
          <w:sz w:val="20"/>
        </w:rPr>
        <w:t>during the course of a fiscal year) and setting payout ranges for our CEO;</w:t>
        <w:br/>
        <w:t> </w:t>
      </w:r>
      <w:r>
        <w:rPr>
          <w:sz w:val="20"/>
        </w:rPr>
        <w:t xml:space="preserve"> </w:t>
      </w:r>
    </w:p>
    <w:p>
      <w:pPr>
        <w:pStyle w:val="TextBody"/>
        <w:numPr>
          <w:ilvl w:val="0"/>
          <w:numId w:val="5"/>
        </w:numPr>
        <w:tabs>
          <w:tab w:val="clear" w:pos="1134"/>
          <w:tab w:val="left" w:pos="707" w:leader="none"/>
        </w:tabs>
        <w:spacing w:before="0" w:after="0"/>
        <w:ind w:left="707" w:hanging="283"/>
        <w:jc w:val="both"/>
        <w:rPr>
          <w:sz w:val="20"/>
        </w:rPr>
      </w:pPr>
      <w:r>
        <w:rPr>
          <w:rFonts w:ascii="Times New Roman" w:hAnsi="Times New Roman"/>
          <w:sz w:val="20"/>
        </w:rPr>
        <w:t>administration of our equity incentive plans with assistance from our human resources staff and granting awards under those plans to employees, including our executive officers, and to non-employee directors; and</w:t>
        <w:br/>
        <w:t> </w:t>
      </w:r>
      <w:r>
        <w:rPr>
          <w:sz w:val="20"/>
        </w:rPr>
        <w:t xml:space="preserve"> </w:t>
      </w:r>
    </w:p>
    <w:p>
      <w:pPr>
        <w:pStyle w:val="TextBody"/>
        <w:numPr>
          <w:ilvl w:val="0"/>
          <w:numId w:val="5"/>
        </w:numPr>
        <w:tabs>
          <w:tab w:val="clear" w:pos="1134"/>
          <w:tab w:val="left" w:pos="707" w:leader="none"/>
        </w:tabs>
        <w:ind w:left="707" w:hanging="283"/>
        <w:jc w:val="both"/>
        <w:rPr>
          <w:sz w:val="20"/>
        </w:rPr>
      </w:pPr>
      <w:r>
        <w:rPr>
          <w:rFonts w:ascii="Times New Roman" w:hAnsi="Times New Roman"/>
          <w:sz w:val="20"/>
        </w:rPr>
        <w:t>making recommendations to our Board of Directors or stockholders on compensation-related matters.</w:t>
      </w:r>
      <w:r>
        <w:rPr>
          <w:sz w:val="20"/>
        </w:rPr>
        <w:t xml:space="preserve"> </w:t>
      </w:r>
    </w:p>
    <w:p>
      <w:pPr>
        <w:pStyle w:val="TextBody"/>
        <w:jc w:val="both"/>
        <w:rPr/>
      </w:pPr>
      <w:r>
        <w:rPr/>
        <w:t>     </w:t>
      </w:r>
      <w:r>
        <w:rPr>
          <w:rFonts w:ascii="Times New Roman" w:hAnsi="Times New Roman"/>
          <w:sz w:val="20"/>
        </w:rPr>
        <w:t>In carrying out these responsibilities, our Compensation Committee acts on recommendations from and consults with the Chairman of the Board and our CEO. During fiscal 2013, our Compensation Committee did not retain an executive compensation consultant. Additional details of our processes and procedures for considering and determining executive compensation are in the Compensation Discussion and Analysis.</w:t>
      </w:r>
    </w:p>
    <w:p>
      <w:pPr>
        <w:pStyle w:val="TextBody"/>
        <w:jc w:val="both"/>
        <w:rPr/>
      </w:pPr>
      <w:r>
        <w:rPr/>
        <w:t>     </w:t>
      </w:r>
      <w:r>
        <w:rPr>
          <w:rFonts w:ascii="Times New Roman" w:hAnsi="Times New Roman"/>
          <w:sz w:val="20"/>
        </w:rPr>
        <w:t>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w:t>
      </w:r>
    </w:p>
    <w:p>
      <w:pPr>
        <w:pStyle w:val="TextBody"/>
        <w:jc w:val="both"/>
        <w:rPr/>
      </w:pPr>
      <w:r>
        <w:rPr/>
        <w:t>     </w:t>
      </w:r>
      <w:r>
        <w:rPr>
          <w:rFonts w:ascii="Times New Roman" w:hAnsi="Times New Roman"/>
          <w:sz w:val="20"/>
        </w:rPr>
        <w:t>Two members of our Compensation Committee, Messrs. Selig and Miller, are non-employee directors within the meaning of Rule 16b-3 under the Securities Exchange Act of 1934, as amended, and are authorized to act independently with respect to awards made under our equity incentive plans to individuals subject to Section 16 of that act, including our executive officers and directors.</w:t>
      </w:r>
    </w:p>
    <w:p>
      <w:pPr>
        <w:pStyle w:val="TextBody"/>
        <w:jc w:val="both"/>
        <w:rPr/>
      </w:pPr>
      <w:r>
        <w:rPr/>
        <w:t>     </w:t>
      </w:r>
      <w:r>
        <w:rPr>
          <w:rFonts w:ascii="Times New Roman" w:hAnsi="Times New Roman"/>
          <w:sz w:val="20"/>
        </w:rPr>
        <w:t>As allowed by a controlled company exemption from the NYSE Corporate Governance Standards, our Compensation Committee is not comprised entirely of independent directors; two members, Messrs. Miller and Nemeroff, have not been determined by our Board of Directors to be independent directors. As also allowed by this controlled company exemption, our Compensation Committee does not have a written charter.</w:t>
      </w:r>
    </w:p>
    <w:p>
      <w:pPr>
        <w:pStyle w:val="TextBody"/>
        <w:jc w:val="center"/>
        <w:rPr>
          <w:rFonts w:ascii="Times New Roman" w:hAnsi="Times New Roman"/>
          <w:sz w:val="20"/>
        </w:rPr>
      </w:pPr>
      <w:r>
        <w:rPr>
          <w:rFonts w:ascii="Times New Roman" w:hAnsi="Times New Roman"/>
          <w:sz w:val="20"/>
        </w:rPr>
        <w:t>15</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Compensation Committee Interlocks and Insider Participation</w:t>
      </w:r>
    </w:p>
    <w:p>
      <w:pPr>
        <w:pStyle w:val="TextBody"/>
        <w:jc w:val="both"/>
        <w:rPr/>
      </w:pPr>
      <w:r>
        <w:rPr/>
        <w:t xml:space="preserve">     </w:t>
      </w:r>
      <w:r>
        <w:rPr>
          <w:rFonts w:ascii="Times New Roman" w:hAnsi="Times New Roman"/>
          <w:sz w:val="20"/>
        </w:rPr>
        <w:t>With the exception of Mr. Miller, who served as an officer of the Company from 1989 to 2000, none of the members of our Compensation Committee is or ever has been an executive officer or employee of the Company. Mr. Nemeroff, a member of our Compensation Committee, is President and Chief Executive Officer of Vedder Price P.C., a law firm that regularly provides services to the Company. There are no Compensation Committee interlocks as defined by SEC rules.</w:t>
      </w:r>
    </w:p>
    <w:p>
      <w:pPr>
        <w:pStyle w:val="TextBody"/>
        <w:jc w:val="both"/>
        <w:rPr>
          <w:rFonts w:ascii="Times New Roman" w:hAnsi="Times New Roman"/>
          <w:b/>
          <w:i/>
          <w:sz w:val="20"/>
        </w:rPr>
      </w:pPr>
      <w:r>
        <w:rPr>
          <w:rFonts w:ascii="Times New Roman" w:hAnsi="Times New Roman"/>
          <w:b/>
          <w:i/>
          <w:sz w:val="20"/>
        </w:rPr>
        <w:t>Executive Committee</w:t>
      </w:r>
    </w:p>
    <w:p>
      <w:pPr>
        <w:pStyle w:val="TextBody"/>
        <w:jc w:val="both"/>
        <w:rPr/>
      </w:pPr>
      <w:r>
        <w:rPr/>
        <w:t xml:space="preserve">     </w:t>
      </w:r>
      <w:r>
        <w:rPr>
          <w:rFonts w:ascii="Times New Roman" w:hAnsi="Times New Roman"/>
          <w:sz w:val="20"/>
        </w:rPr>
        <w:t>Our Executive Committee has all of the powers and authority of our Board of Directors in the management of our business and other affairs, subject only to any limitations provided for in our Certificate of Incorporation and Amended and Restated By-Laws (each as amended from time to time) or imposed by applicable law or the NYSE Corporate Governance Standards. Our Executive Committee does not have a written charter. Our Executive Committee did not hold any meetings during fiscal 2013 and historically has only exercised its authority to act on behalf of the Board of Directors in limited circumstances.</w:t>
      </w:r>
    </w:p>
    <w:p>
      <w:pPr>
        <w:pStyle w:val="TextBody"/>
        <w:jc w:val="center"/>
        <w:rPr>
          <w:rFonts w:ascii="Times New Roman" w:hAnsi="Times New Roman"/>
          <w:b/>
          <w:sz w:val="20"/>
        </w:rPr>
      </w:pPr>
      <w:r>
        <w:rPr>
          <w:rFonts w:ascii="Times New Roman" w:hAnsi="Times New Roman"/>
          <w:b/>
          <w:sz w:val="20"/>
        </w:rPr>
        <w:t>Director Nominations</w:t>
      </w:r>
    </w:p>
    <w:p>
      <w:pPr>
        <w:pStyle w:val="TextBody"/>
        <w:jc w:val="both"/>
        <w:rPr/>
      </w:pPr>
      <w:r>
        <w:rPr/>
        <w:t xml:space="preserve">     </w:t>
      </w:r>
      <w:r>
        <w:rPr>
          <w:rFonts w:ascii="Times New Roman" w:hAnsi="Times New Roman"/>
          <w:sz w:val="20"/>
        </w:rPr>
        <w:t>As allowed by a controlled company exemption from the NYSE Corporate Governance Standards, we do not have a standing nominating committee or other committee of our Board of Directors performing a similar function. As a controlled company, and with five of our eight current directors having served on our Board of Directors for at least 10 years, the Board of Directors believes it is appropriate for the Company not to have a nominating committee. It has been our practice, as reflected in our Corporate Governance Guidelines, that our Chairman, Richard M. Jaffee, recommends to the entire Board of Directors candidates for nomination to the Board of Directors. Directors Richard M. Jaffee, Daniel S. Jaffee, Joseph C. Miller and Michael A. Nemeroff, who have not been determined by the Board of Directors to be independent, participate along with the independent directors in the nominating process. Our Board of Directors may also solicit ideas for possible candidates from a number of sources, including our executives, individuals personally known to members of the Board of Directors and executive search firms.</w:t>
      </w:r>
    </w:p>
    <w:p>
      <w:pPr>
        <w:pStyle w:val="TextBody"/>
        <w:jc w:val="both"/>
        <w:rPr/>
      </w:pPr>
      <w:r>
        <w:rPr/>
        <w:t xml:space="preserve">     </w:t>
      </w:r>
      <w:r>
        <w:rPr>
          <w:rFonts w:ascii="Times New Roman" w:hAnsi="Times New Roman"/>
          <w:sz w:val="20"/>
        </w:rPr>
        <w:t>Our Corporate Governance Guidelines provide that a director who would be 75 years of age or older at the time of election may not stand for re-election unless our Board of Directors postpones or otherwise waives the age 75 service limit as to that director. At its October 16, 2013 meeting, our Board of Directors granted such a waiver with respect to Richard M. Jaffee, our Chairman, J. Steven Cole and Allan H. Selig, chairman of our Compensation Committee. Our Board of Directors considered a waiver of the age 75 service limit in these cases appropriate and in the best interests of the Company in light of Messrs. Jaffees, Coles and Seligs valuable expertise and experience.</w:t>
      </w:r>
    </w:p>
    <w:p>
      <w:pPr>
        <w:pStyle w:val="TextBody"/>
        <w:jc w:val="both"/>
        <w:rPr/>
      </w:pPr>
      <w:r>
        <w:rPr/>
        <w:t xml:space="preserve">     </w:t>
      </w:r>
      <w:r>
        <w:rPr>
          <w:rFonts w:ascii="Times New Roman" w:hAnsi="Times New Roman"/>
          <w:sz w:val="20"/>
        </w:rPr>
        <w:t>We will consider recommendations from stockholders of potential candidates for service on our Board of Directors. Stockholder recommendations of candidates for possible nomination to our Board of Directors must be in writing and must be given either by personal delivery or by United States mail, postage prepaid, to our Corporate Secretary no later than 90 days prior to the anniversary of the date we first mailed our proxy materials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member of our Board of Directors; and any other information relating to such candidate that would be required to be disclosed in solicitations of proxies for elections of directors, or would otherwise be required, pursuant to SEC rules. 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w:t>
      </w:r>
    </w:p>
    <w:p>
      <w:pPr>
        <w:pStyle w:val="TextBody"/>
        <w:jc w:val="center"/>
        <w:rPr>
          <w:rFonts w:ascii="Times New Roman" w:hAnsi="Times New Roman"/>
          <w:sz w:val="20"/>
        </w:rPr>
      </w:pPr>
      <w:r>
        <w:rPr>
          <w:rFonts w:ascii="Times New Roman" w:hAnsi="Times New Roman"/>
          <w:sz w:val="20"/>
        </w:rPr>
        <w:t>16</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pStyle w:val="TextBody"/>
        <w:jc w:val="both"/>
        <w:rPr/>
      </w:pPr>
      <w:r>
        <w:rPr/>
        <w:t xml:space="preserve">     </w:t>
      </w:r>
      <w:r>
        <w:rPr>
          <w:rFonts w:ascii="Times New Roman" w:hAnsi="Times New Roman"/>
          <w:sz w:val="20"/>
        </w:rPr>
        <w:t>In evaluating candidates for director, our Board of Directors seeks directors who will best represent the long-term interests of our stockholders. The view of our Board of Directors is that all directors should possess the highest personal and professional ethics, integrity and values. In evaluating the suitability of the candidates, the Board of Directors takes into consideration such factors as it deems appropriate. These factors may include, among other things, issues of character, judgment, independence, age, expertise, diversity of experience, absence of conflicts of interest, length of service and other commitments. Our Board of Directors evaluates these factors, among others, and considers each individual candidate in the context of the current perceived needs of our Board of Directors as a whole and of committees of the Board of Directors. Although we do not have a formal diversity policy, our Board of Directors considers diversity in evaluating candidates for membership to the Board of Directors. As outlined in our Corporate Governance Guidelines, the Boards objective in choosing candidates is to assemble membership for each committee of the Board of Directors and our Board of Directors as a whole that represents diverse viewpoints that will guide the Company effectively in pursuit of its strategic goals.</w:t>
      </w:r>
    </w:p>
    <w:p>
      <w:pPr>
        <w:pStyle w:val="TextBody"/>
        <w:jc w:val="center"/>
        <w:rPr>
          <w:rFonts w:ascii="Times New Roman" w:hAnsi="Times New Roman"/>
          <w:b/>
          <w:sz w:val="20"/>
        </w:rPr>
      </w:pPr>
      <w:r>
        <w:rPr>
          <w:rFonts w:ascii="Times New Roman" w:hAnsi="Times New Roman"/>
          <w:b/>
          <w:sz w:val="20"/>
        </w:rPr>
        <w:t>Board Leadership Structure and Role in Risk Oversight</w:t>
      </w:r>
    </w:p>
    <w:p>
      <w:pPr>
        <w:pStyle w:val="TextBody"/>
        <w:jc w:val="both"/>
        <w:rPr/>
      </w:pPr>
      <w:r>
        <w:rPr/>
        <w:t xml:space="preserve">     </w:t>
      </w:r>
      <w:r>
        <w:rPr>
          <w:rFonts w:ascii="Times New Roman" w:hAnsi="Times New Roman"/>
          <w:sz w:val="20"/>
        </w:rPr>
        <w:t>Our Board of Directors does not have a policy regarding the separation of the roles of Chairman of the Board and Chief Executive Officer. Currently the roles are separate, but have been combined in the past. Under our Corporate Governance Guidelines, we believe that this issue is simply a part of the larger succession planning process and that it is in the best interests of the Company for the Board of Directors to make a specific determination whenever either office becomes vacant. Our Board of Directors receives regular reports from our CEO, CFO and other members of our senior management regarding areas of significant risk to the Company, including operational, strategic, legal, regulatory and financial risks. Certain risks that are under the purview of a committee are monitored by that committee, which then reports to the full Board of Directors as appropriate. For example, our internal audit function, which identifies and manages a wide area of risk company-wide, reports to the Audit Committee and senior management, who in turn report significant developments to the full Board of Directors.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to the Compensation Committee and senior management, who in turn report significant developments to the full Board of Directors.</w:t>
      </w:r>
    </w:p>
    <w:p>
      <w:pPr>
        <w:pStyle w:val="TextBody"/>
        <w:jc w:val="center"/>
        <w:rPr>
          <w:rFonts w:ascii="Times New Roman" w:hAnsi="Times New Roman"/>
          <w:sz w:val="20"/>
        </w:rPr>
      </w:pPr>
      <w:r>
        <w:rPr>
          <w:rFonts w:ascii="Times New Roman" w:hAnsi="Times New Roman"/>
          <w:sz w:val="20"/>
        </w:rPr>
        <w:t>17</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Communication with the Board of Directors</w:t>
      </w:r>
    </w:p>
    <w:p>
      <w:pPr>
        <w:pStyle w:val="TextBody"/>
        <w:jc w:val="both"/>
        <w:rPr/>
      </w:pPr>
      <w:r>
        <w:rPr/>
        <w:t xml:space="preserve">     </w:t>
      </w:r>
      <w:r>
        <w:rPr>
          <w:rFonts w:ascii="Times New Roman" w:hAnsi="Times New Roman"/>
          <w:sz w:val="20"/>
        </w:rPr>
        <w:t>Our annual meeting of stockholders provides an opportunity each year for stockholders to ask questions of, or otherwise communicate directly with, members of our Board of Directors. It has been our practice, as reflected in our Corporate Governance Guidelines, that all directors attend in person each annual meeting of stockholders. All but one of the members of the Board of Directors attended the 2012 annual meeting in person.</w:t>
      </w:r>
    </w:p>
    <w:p>
      <w:pPr>
        <w:pStyle w:val="TextBody"/>
        <w:jc w:val="both"/>
        <w:rPr/>
      </w:pPr>
      <w:r>
        <w:rPr/>
        <w:t xml:space="preserve">     </w:t>
      </w:r>
      <w:r>
        <w:rPr>
          <w:rFonts w:ascii="Times New Roman" w:hAnsi="Times New Roman"/>
          <w:sz w:val="20"/>
        </w:rPr>
        <w:t>In addition, any stockholder or other interested party may communicate in writing with our Board of Directors, our Audit Committee, our non-management directors, or a particular director by sending a letter addressed to: Board of Directors, Audit Committee, Non-Management Directors or a particular director at Oil-Dri Corporation of America, c/o Corporate Secretary, 410 North Michigan Avenue, Suite 400, Chicago, Illinois 60611-4213. Stockholders may also report concerns anonymously in this manner.</w:t>
      </w:r>
    </w:p>
    <w:p>
      <w:pPr>
        <w:pStyle w:val="TextBody"/>
        <w:jc w:val="center"/>
        <w:rPr>
          <w:rFonts w:ascii="Times New Roman" w:hAnsi="Times New Roman"/>
          <w:b/>
          <w:sz w:val="20"/>
        </w:rPr>
      </w:pPr>
      <w:r>
        <w:rPr>
          <w:rFonts w:ascii="Times New Roman" w:hAnsi="Times New Roman"/>
          <w:b/>
          <w:sz w:val="20"/>
        </w:rPr>
        <w:t>Director Compensation</w:t>
      </w:r>
    </w:p>
    <w:p>
      <w:pPr>
        <w:pStyle w:val="TextBody"/>
        <w:jc w:val="both"/>
        <w:rPr/>
      </w:pPr>
      <w:r>
        <w:rPr/>
        <w:t xml:space="preserve">     </w:t>
      </w:r>
      <w:r>
        <w:rPr>
          <w:rFonts w:ascii="Times New Roman" w:hAnsi="Times New Roman"/>
          <w:sz w:val="20"/>
        </w:rPr>
        <w:t>We seek to provide a competitive compensation program to attract and retain quality non-employee directors. The compensation received by our non-employee directors, other than Richard M. Jaffee (whose consulting agreement is described in the following paragraph), consists of an annual cash retainer of $18,000 and a $3,000 fee for each Board or committee meeting attended in person ($1,500 for attendance by phone). In addition, Mr. Suckow received a $12,000 cash retainer as chairman of our Audit Committee and Mr. Selig received a $6,000 cash retainer as chairman of our Compensation Committee. Employee directors do not receive additional compensation for their service on our Board of Directors. Mr. Miller also receives a pension benefit under our pension plan earned during his years of service as an employee.</w:t>
      </w:r>
    </w:p>
    <w:p>
      <w:pPr>
        <w:pStyle w:val="TextBody"/>
        <w:jc w:val="both"/>
        <w:rPr/>
      </w:pPr>
      <w:r>
        <w:rPr/>
        <w:t xml:space="preserve">     </w:t>
      </w:r>
      <w:r>
        <w:rPr>
          <w:rFonts w:ascii="Times New Roman" w:hAnsi="Times New Roman"/>
          <w:sz w:val="20"/>
        </w:rPr>
        <w:t>We have a consulting agreement with Richard M. Jaffee, Chairman of our Board of Directors, that was originally entered into in October 1989 and has since been amended four times. The initial term of the agreement (as amended) expired on January 31, 2011; however, pursuant to the terms thereof, it automatically renews for successive one-year periods thereafter unless either party gives the other at least 90 days prior written notice of termination. No termination notice has been given by either party and thus the current renewal term of the agreement expires on January 31, 2015. Under the terms of the agreement, Mr. Jaffee performs all assignments given him from time to time by our Board of Directors or our CEO. He receives an annual consulting fee of $240,000; he does not receive a retainer or any meeting fees as director. We also provide him with an office and administrative support. In addition, we provide lifetime coverage to Mr. Jaffee and his spouse under our medical plan at no cost to them. This coverage is secondary to the coverage provided to them by Medicare. Because we have a self-insured medical plan, our cost for this coverage is the amount of any actual medical claims we pay. We also pay Mr. Jaffee an annuity of $45,725 annually that he earned during an earlier five years (2001 to 2006) of his consulting agreement. All directors are eligible to defer cash compensation that they receive from the Company into our executive deferred compensation plan. Mr. Jaffee chose to defer the full amount of his consulting fees and his annuity into our executive deferred compensation plan in fiscal 2013. Mr. Jaffee also receives a pension benefit under our pension plan earned during his years of service as an employee.</w:t>
      </w:r>
    </w:p>
    <w:p>
      <w:pPr>
        <w:pStyle w:val="TextBody"/>
        <w:jc w:val="center"/>
        <w:rPr>
          <w:rFonts w:ascii="Times New Roman" w:hAnsi="Times New Roman"/>
          <w:sz w:val="20"/>
        </w:rPr>
      </w:pPr>
      <w:r>
        <w:rPr>
          <w:rFonts w:ascii="Times New Roman" w:hAnsi="Times New Roman"/>
          <w:sz w:val="20"/>
        </w:rPr>
        <w:t>18</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The following table sets forth information about compensation paid to our directors for their service in fiscal 2013.</w:t>
      </w:r>
    </w:p>
    <w:p>
      <w:pPr>
        <w:pStyle w:val="TextBody"/>
        <w:jc w:val="center"/>
        <w:rPr>
          <w:rFonts w:ascii="Times New Roman" w:hAnsi="Times New Roman"/>
          <w:b/>
          <w:sz w:val="20"/>
        </w:rPr>
      </w:pPr>
      <w:r>
        <w:rPr>
          <w:rFonts w:ascii="Times New Roman" w:hAnsi="Times New Roman"/>
          <w:b/>
          <w:sz w:val="20"/>
        </w:rPr>
        <w:t>Director Compensation Table</w:t>
      </w:r>
    </w:p>
    <w:tbl>
      <w:tblPr>
        <w:tblW w:w="10590" w:type="dxa"/>
        <w:jc w:val="left"/>
        <w:tblInd w:w="0" w:type="dxa"/>
        <w:tblCellMar>
          <w:top w:w="0" w:type="dxa"/>
          <w:left w:w="0" w:type="dxa"/>
          <w:bottom w:w="0" w:type="dxa"/>
          <w:right w:w="0" w:type="dxa"/>
        </w:tblCellMar>
      </w:tblPr>
      <w:tblGrid>
        <w:gridCol w:w="2015"/>
        <w:gridCol w:w="860"/>
        <w:gridCol w:w="300"/>
        <w:gridCol w:w="665"/>
        <w:gridCol w:w="300"/>
        <w:gridCol w:w="665"/>
        <w:gridCol w:w="300"/>
        <w:gridCol w:w="1235"/>
        <w:gridCol w:w="300"/>
        <w:gridCol w:w="1235"/>
        <w:gridCol w:w="300"/>
        <w:gridCol w:w="1235"/>
        <w:gridCol w:w="300"/>
        <w:gridCol w:w="125"/>
        <w:gridCol w:w="755"/>
      </w:tblGrid>
      <w:tr>
        <w:trPr/>
        <w:tc>
          <w:tcPr>
            <w:tcW w:w="201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Change in</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r>
      <w:tr>
        <w:trPr/>
        <w:tc>
          <w:tcPr>
            <w:tcW w:w="201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Pension Value</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r>
      <w:tr>
        <w:trPr/>
        <w:tc>
          <w:tcPr>
            <w:tcW w:w="201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and</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r>
      <w:tr>
        <w:trPr/>
        <w:tc>
          <w:tcPr>
            <w:tcW w:w="201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Nonqualified</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r>
      <w:tr>
        <w:trPr/>
        <w:tc>
          <w:tcPr>
            <w:tcW w:w="201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Fees</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r>
      <w:tr>
        <w:trPr/>
        <w:tc>
          <w:tcPr>
            <w:tcW w:w="201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Earned</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Option</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Non-Equity</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r>
      <w:tr>
        <w:trPr/>
        <w:tc>
          <w:tcPr>
            <w:tcW w:w="201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or Paid in</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Awards</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Incentive</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Earnings</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All Other</w:t>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r>
      <w:tr>
        <w:trPr/>
        <w:tc>
          <w:tcPr>
            <w:tcW w:w="201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30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Awards</w:t>
            </w:r>
          </w:p>
        </w:tc>
        <w:tc>
          <w:tcPr>
            <w:tcW w:w="30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0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00" w:type="dxa"/>
            <w:tcBorders/>
            <w:shd w:fill="auto" w:val="clear"/>
            <w:vAlign w:val="bottom"/>
          </w:tcPr>
          <w:p>
            <w:pPr>
              <w:pStyle w:val="TableContents"/>
              <w:spacing w:before="0" w:after="283"/>
              <w:jc w:val="center"/>
              <w:rPr/>
            </w:pPr>
            <w:r>
              <w:rPr/>
              <w:t>     </w:t>
            </w:r>
          </w:p>
        </w:tc>
        <w:tc>
          <w:tcPr>
            <w:tcW w:w="88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201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86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66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66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23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23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23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88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Richard M. Jaffee</w:t>
            </w:r>
          </w:p>
        </w:tc>
        <w:tc>
          <w:tcPr>
            <w:tcW w:w="8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$ 83,690</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$ 240,000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sz w:val="20"/>
              </w:rPr>
            </w:pPr>
            <w:r>
              <w:rPr>
                <w:sz w:val="20"/>
              </w:rPr>
              <w:t>$</w:t>
            </w:r>
          </w:p>
        </w:tc>
        <w:tc>
          <w:tcPr>
            <w:tcW w:w="755" w:type="dxa"/>
            <w:tcBorders/>
            <w:shd w:fill="C0C0C0" w:val="clear"/>
            <w:vAlign w:val="bottom"/>
          </w:tcPr>
          <w:p>
            <w:pPr>
              <w:pStyle w:val="TableContents"/>
              <w:spacing w:before="0" w:after="283"/>
              <w:jc w:val="right"/>
              <w:rPr/>
            </w:pPr>
            <w:r>
              <w:rPr/>
              <w:t> </w:t>
            </w:r>
            <w:r>
              <w:rPr>
                <w:rFonts w:ascii="Times New Roman" w:hAnsi="Times New Roman"/>
                <w:sz w:val="20"/>
              </w:rPr>
              <w:t>323,690</w:t>
            </w:r>
          </w:p>
        </w:tc>
      </w:tr>
      <w:tr>
        <w:trPr/>
        <w:tc>
          <w:tcPr>
            <w:tcW w:w="20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 (3)</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8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$ 45,000</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sz w:val="20"/>
              </w:rPr>
            </w:pPr>
            <w:r>
              <w:rPr>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45,000</w:t>
            </w:r>
          </w:p>
        </w:tc>
      </w:tr>
      <w:tr>
        <w:trPr/>
        <w:tc>
          <w:tcPr>
            <w:tcW w:w="20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Arnold W. Donald (4)</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$ 27,000</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jc w:val="right"/>
              <w:rPr>
                <w:sz w:val="20"/>
              </w:rPr>
            </w:pPr>
            <w:r>
              <w:rPr>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27,000</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8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$ 37,500</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sz w:val="20"/>
              </w:rPr>
            </w:pPr>
            <w:r>
              <w:rPr>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37,500</w:t>
            </w:r>
          </w:p>
        </w:tc>
      </w:tr>
      <w:tr>
        <w:trPr/>
        <w:tc>
          <w:tcPr>
            <w:tcW w:w="20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$ 36,000</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jc w:val="right"/>
              <w:rPr>
                <w:sz w:val="20"/>
              </w:rPr>
            </w:pPr>
            <w:r>
              <w:rPr>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36,000</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8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$ 39,000</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sz w:val="20"/>
              </w:rPr>
            </w:pPr>
            <w:r>
              <w:rPr>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39,000</w:t>
            </w:r>
          </w:p>
        </w:tc>
      </w:tr>
      <w:tr>
        <w:trPr/>
        <w:tc>
          <w:tcPr>
            <w:tcW w:w="20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$ 54,000</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jc w:val="right"/>
              <w:rPr>
                <w:sz w:val="20"/>
              </w:rPr>
            </w:pPr>
            <w:r>
              <w:rPr>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54,000</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Lawrence E. Washow (5)</w:t>
            </w:r>
          </w:p>
        </w:tc>
        <w:tc>
          <w:tcPr>
            <w:tcW w:w="8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$ 30,000</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sz w:val="20"/>
              </w:rPr>
            </w:pPr>
            <w:r>
              <w:rPr>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r>
    </w:tbl>
    <w:p>
      <w:pPr>
        <w:pStyle w:val="TextBody"/>
        <w:rPr/>
      </w:pPr>
      <w:r>
        <w:rPr/>
      </w:r>
    </w:p>
    <w:p>
      <w:pPr>
        <w:pStyle w:val="TextBody"/>
        <w:jc w:val="both"/>
        <w:rPr>
          <w:rFonts w:ascii="Times New Roman" w:hAnsi="Times New Roman"/>
          <w:sz w:val="20"/>
        </w:rPr>
      </w:pPr>
      <w:r>
        <w:rPr>
          <w:rFonts w:ascii="Times New Roman" w:hAnsi="Times New Roman"/>
          <w:sz w:val="20"/>
        </w:rPr>
        <w:t>(1) There were no option awards to directors in fiscal 2013. Option awards outstanding as of July 31, 2013 are shown in the Directors Option Awards Outstanding Table below.</w:t>
      </w:r>
    </w:p>
    <w:p>
      <w:pPr>
        <w:pStyle w:val="TextBody"/>
        <w:jc w:val="both"/>
        <w:rPr>
          <w:rFonts w:ascii="Times New Roman" w:hAnsi="Times New Roman"/>
          <w:sz w:val="20"/>
        </w:rPr>
      </w:pPr>
      <w:r>
        <w:rPr>
          <w:rFonts w:ascii="Times New Roman" w:hAnsi="Times New Roman"/>
          <w:sz w:val="20"/>
        </w:rPr>
        <w:t>(2) The amount shown consists of earnings in excess of 120% of the applicable federal rate on the aggregate balances in our executive deferred compensation plan in which Richard M. Jaffee, Chairman of our Board of Directors, participates. A portion of the aggregate balances in this plan earns a rate of return of 2.5% in excess of Moodys Annual Average of Yields on Aaa bonds, while the remainder earns a return equal to our long-term cost of borrowing plus 1%. No director other than Mr. Jaffee has elected to participate in this plan. In fiscal 2013, Mr. Jaffee received distributions of $75,648 from his account in this plan associated with deferrals he made while an employee and officer of the Company.</w:t>
      </w:r>
    </w:p>
    <w:p>
      <w:pPr>
        <w:pStyle w:val="TextBody"/>
        <w:jc w:val="both"/>
        <w:rPr>
          <w:rFonts w:ascii="Times New Roman" w:hAnsi="Times New Roman"/>
          <w:sz w:val="20"/>
        </w:rPr>
      </w:pPr>
      <w:r>
        <w:rPr>
          <w:rFonts w:ascii="Times New Roman" w:hAnsi="Times New Roman"/>
          <w:sz w:val="20"/>
        </w:rPr>
        <w:t>(3) Directors who are also employees do not receive additional compensation for their service on our Board of Directors. See the Summary Compensation Table that is a part of the Executive Compensation section of this Proxy Statement for information regarding Mr. Jaffees compensation as our President and Chief Executive Officer.</w:t>
      </w:r>
    </w:p>
    <w:p>
      <w:pPr>
        <w:pStyle w:val="TextBody"/>
        <w:jc w:val="both"/>
        <w:rPr>
          <w:rFonts w:ascii="Times New Roman" w:hAnsi="Times New Roman"/>
          <w:sz w:val="20"/>
        </w:rPr>
      </w:pPr>
      <w:r>
        <w:rPr>
          <w:rFonts w:ascii="Times New Roman" w:hAnsi="Times New Roman"/>
          <w:sz w:val="20"/>
        </w:rPr>
        <w:t>(4) Mr. Donald resigned from the Board effective January 23, 2013.</w:t>
      </w:r>
    </w:p>
    <w:p>
      <w:pPr>
        <w:pStyle w:val="TextBody"/>
        <w:jc w:val="both"/>
        <w:rPr>
          <w:rFonts w:ascii="Times New Roman" w:hAnsi="Times New Roman"/>
          <w:sz w:val="20"/>
        </w:rPr>
      </w:pPr>
      <w:r>
        <w:rPr>
          <w:rFonts w:ascii="Times New Roman" w:hAnsi="Times New Roman"/>
          <w:sz w:val="20"/>
        </w:rPr>
        <w:t>(5) In accordance with the Companys Amended and Restated By-Laws, the Board appointed Mr. Washow to fill Mr. Donalds vacancy as a member of the Board effective February 26, 2013.</w:t>
      </w:r>
    </w:p>
    <w:p>
      <w:pPr>
        <w:pStyle w:val="TextBody"/>
        <w:jc w:val="center"/>
        <w:rPr>
          <w:rFonts w:ascii="Times New Roman" w:hAnsi="Times New Roman"/>
          <w:b/>
          <w:sz w:val="20"/>
        </w:rPr>
      </w:pPr>
      <w:r>
        <w:rPr>
          <w:rFonts w:ascii="Times New Roman" w:hAnsi="Times New Roman"/>
          <w:b/>
          <w:sz w:val="20"/>
        </w:rPr>
        <w:t>Directors Option Awards Outstanding Table</w:t>
      </w:r>
    </w:p>
    <w:p>
      <w:pPr>
        <w:pStyle w:val="TextBody"/>
        <w:jc w:val="both"/>
        <w:rPr/>
      </w:pPr>
      <w:r>
        <w:rPr/>
        <w:t xml:space="preserve">     </w:t>
      </w:r>
      <w:r>
        <w:rPr>
          <w:rFonts w:ascii="Times New Roman" w:hAnsi="Times New Roman"/>
          <w:sz w:val="20"/>
        </w:rPr>
        <w:t>As of July 31, 2013, our directors held the following options to purchase shares of our Common Stock.</w:t>
      </w:r>
    </w:p>
    <w:tbl>
      <w:tblPr>
        <w:tblW w:w="2500" w:type="pct"/>
        <w:jc w:val="center"/>
        <w:tblInd w:w="0" w:type="dxa"/>
        <w:tblCellMar>
          <w:top w:w="0" w:type="dxa"/>
          <w:left w:w="0" w:type="dxa"/>
          <w:bottom w:w="28" w:type="dxa"/>
          <w:right w:w="0" w:type="dxa"/>
        </w:tblCellMar>
      </w:tblPr>
      <w:tblGrid>
        <w:gridCol w:w="2680"/>
        <w:gridCol w:w="2422"/>
      </w:tblGrid>
      <w:tr>
        <w:trPr/>
        <w:tc>
          <w:tcPr>
            <w:tcW w:w="2680"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2422" w:type="dxa"/>
            <w:tcBorders>
              <w:bottom w:val="single" w:sz="8" w:space="0" w:color="000000"/>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Number of Shares</w:t>
            </w:r>
          </w:p>
        </w:tc>
      </w:tr>
      <w:tr>
        <w:trPr/>
        <w:tc>
          <w:tcPr>
            <w:tcW w:w="268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242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r>
      <w:tr>
        <w:trPr/>
        <w:tc>
          <w:tcPr>
            <w:tcW w:w="2680"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242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r>
    </w:tbl>
    <w:p>
      <w:pPr>
        <w:pStyle w:val="TextBody"/>
        <w:rPr/>
      </w:pPr>
      <w:r>
        <w:rPr/>
      </w:r>
    </w:p>
    <w:p>
      <w:pPr>
        <w:pStyle w:val="TextBody"/>
        <w:jc w:val="center"/>
        <w:rPr>
          <w:rFonts w:ascii="Times New Roman" w:hAnsi="Times New Roman"/>
          <w:sz w:val="20"/>
        </w:rPr>
      </w:pPr>
      <w:r>
        <w:rPr>
          <w:rFonts w:ascii="Times New Roman" w:hAnsi="Times New Roman"/>
          <w:sz w:val="20"/>
        </w:rPr>
        <w:t>19</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Corporate Governance Guidelines and Code of Ethics</w:t>
      </w:r>
    </w:p>
    <w:p>
      <w:pPr>
        <w:pStyle w:val="TextBody"/>
        <w:jc w:val="both"/>
        <w:rPr/>
      </w:pPr>
      <w:r>
        <w:rPr/>
        <w:t xml:space="preserve">     </w:t>
      </w:r>
      <w:r>
        <w:rPr>
          <w:rFonts w:ascii="Times New Roman" w:hAnsi="Times New Roman"/>
          <w:sz w:val="20"/>
        </w:rPr>
        <w:t>We have adopted Corporate Governance Guidelines and a Code of Ethics and Business Conduct. The Code of Ethics and Business Conduct applies to all our employees, officers and directors. The Corporate Governance Guidelines and the Code of Ethics and Business Conduct are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a controlled company exemption from the NYSE Corporate Governance Standards, we do not have a corporate governance committee.</w:t>
      </w:r>
    </w:p>
    <w:p>
      <w:pPr>
        <w:pStyle w:val="TextBody"/>
        <w:jc w:val="center"/>
        <w:rPr>
          <w:rFonts w:ascii="Times New Roman" w:hAnsi="Times New Roman"/>
          <w:b/>
          <w:sz w:val="20"/>
        </w:rPr>
      </w:pPr>
      <w:r>
        <w:rPr>
          <w:rFonts w:ascii="Times New Roman" w:hAnsi="Times New Roman"/>
          <w:b/>
          <w:sz w:val="20"/>
        </w:rPr>
        <w:t>Certain Relationships and Related Party Transactions</w:t>
      </w:r>
    </w:p>
    <w:p>
      <w:pPr>
        <w:pStyle w:val="TextBody"/>
        <w:jc w:val="both"/>
        <w:rPr/>
      </w:pPr>
      <w:r>
        <w:rPr/>
        <w:t xml:space="preserve">     </w:t>
      </w:r>
      <w:r>
        <w:rPr>
          <w:rFonts w:ascii="Times New Roman" w:hAnsi="Times New Roman"/>
          <w:sz w:val="20"/>
        </w:rPr>
        <w:t>Our policy concerning related party transactions is included in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or her family receives personal benefits as a result of his or her position with the Company; transactions between the Company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our business. 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 Each transaction is then evaluated at an appropriate management level to determine if it 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w:t>
      </w:r>
    </w:p>
    <w:p>
      <w:pPr>
        <w:pStyle w:val="TextBody"/>
        <w:jc w:val="both"/>
        <w:rPr/>
      </w:pPr>
      <w:r>
        <w:rPr/>
        <w:t xml:space="preserve">     </w:t>
      </w:r>
      <w:r>
        <w:rPr>
          <w:rFonts w:ascii="Times New Roman" w:hAnsi="Times New Roman"/>
          <w:sz w:val="20"/>
        </w:rPr>
        <w:t>As a company controlled by the family of its founder, from time to time we employ family members of current and former employees or directors, but only if they are at least as qualified as other applicants. All offers of employment made to family members of current employees must be approved by our CEO.</w:t>
      </w:r>
    </w:p>
    <w:p>
      <w:pPr>
        <w:pStyle w:val="TextBody"/>
        <w:jc w:val="both"/>
        <w:rPr/>
      </w:pPr>
      <w:r>
        <w:rPr/>
        <w:t xml:space="preserve">     </w:t>
      </w:r>
      <w:r>
        <w:rPr>
          <w:rFonts w:ascii="Times New Roman" w:hAnsi="Times New Roman"/>
          <w:sz w:val="20"/>
        </w:rPr>
        <w:t>We employ Karen Jaffee Cofsky on a part-time basis as Vice President of Compensation and Benefits. She is the daughter of Richard M. Jaffee, the Chairman of our Board of Directors. She is also the spouse of Thomas F. Cofsky and the sister of Daniel S. Jaffee, both of whom are named executive officers of the Company. Mrs. Cofskys compensation is based on her education, experience and the responsibilities of her position. For fiscal 2013, Mrs. Cofsky received a salary of $87,334 and an annual incentive bonus award of $43,667 and an executive deferred bonus award of $17,467 under our annual incentive plan.</w:t>
      </w:r>
    </w:p>
    <w:p>
      <w:pPr>
        <w:pStyle w:val="TextBody"/>
        <w:jc w:val="both"/>
        <w:rPr/>
      </w:pPr>
      <w:r>
        <w:rPr/>
        <w:t xml:space="preserve">     </w:t>
      </w:r>
      <w:r>
        <w:rPr>
          <w:rFonts w:ascii="Times New Roman" w:hAnsi="Times New Roman"/>
          <w:sz w:val="20"/>
        </w:rPr>
        <w:t>Michael A. Nemeroff, a member of our Board of Directors and of its Compensation Committee, is the President and Chief Executive Officer as well as a director of Vedder Price P.C., a law firm that regularly provides services to the Company. During fiscal 2013, we paid Vedder Price P.C. $59,162 for services provided to the Company.</w:t>
      </w:r>
    </w:p>
    <w:p>
      <w:pPr>
        <w:pStyle w:val="TextBody"/>
        <w:jc w:val="center"/>
        <w:rPr>
          <w:rFonts w:ascii="Times New Roman" w:hAnsi="Times New Roman"/>
          <w:sz w:val="20"/>
        </w:rPr>
      </w:pPr>
      <w:r>
        <w:rPr>
          <w:rFonts w:ascii="Times New Roman" w:hAnsi="Times New Roman"/>
          <w:sz w:val="20"/>
        </w:rPr>
        <w:t>20</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Report of the Audit Committee of the Board of Directors</w:t>
      </w:r>
    </w:p>
    <w:p>
      <w:pPr>
        <w:pStyle w:val="TextBody"/>
        <w:jc w:val="both"/>
        <w:rPr/>
      </w:pPr>
      <w:r>
        <w:rPr/>
        <w:t xml:space="preserve">     </w:t>
      </w:r>
      <w:r>
        <w:rPr>
          <w:rFonts w:ascii="Times New Roman" w:hAnsi="Times New Roman"/>
          <w:sz w:val="20"/>
        </w:rPr>
        <w:t>The Audit Committee is a standing committee of the Board of Directors comprised solely of independent directors in compliance with the NYSE Corporate Governance Standards. In accordance with its written charter (which is available on our website at www.oildri.com), the Audit Committee assists the Board of Directors in fulfilling its responsibility for monitoring the integrity of our accounting, auditing, financial reporting and internal controls practices, and our compliance with legal and regulatory requirements.</w:t>
      </w:r>
    </w:p>
    <w:p>
      <w:pPr>
        <w:pStyle w:val="TextBody"/>
        <w:jc w:val="both"/>
        <w:rPr/>
      </w:pPr>
      <w:r>
        <w:rPr/>
        <w:t xml:space="preserve">     </w:t>
      </w:r>
      <w:r>
        <w:rPr>
          <w:rFonts w:ascii="Times New Roman" w:hAnsi="Times New Roman"/>
          <w:sz w:val="20"/>
        </w:rPr>
        <w:t>Our management is primarily responsible for our financial statements and reporting process, including our accounting and financial reporting principles, internal control over financial reporting and disclosure controls and procedures. PricewaterhouseCoopers LLP, our independent registered public accounting firm, is responsible for auditing our consolidated financial statements in accordance with the auditing standards of the Public Company Accounting Oversight Board (United States) and for issuing a report on those statements. PricewaterhouseCoopers LLP is also responsible for expressing an opinion on the effectiveness of our internal control over financial reporting. The Audit Committee oversees the financial reporting process on behalf of the Board of Directors. The Audit Committee relies on the expertise and knowledge of our management, internal auditors and independent auditor in carrying out its oversight responsibilities.</w:t>
      </w:r>
    </w:p>
    <w:p>
      <w:pPr>
        <w:pStyle w:val="TextBody"/>
        <w:jc w:val="both"/>
        <w:rPr/>
      </w:pPr>
      <w:r>
        <w:rPr/>
        <w:t xml:space="preserve">     </w:t>
      </w:r>
      <w:r>
        <w:rPr>
          <w:rFonts w:ascii="Times New Roman" w:hAnsi="Times New Roman"/>
          <w:sz w:val="20"/>
        </w:rPr>
        <w:t>The Audit Committee reviewed and discussed our audited consolidated financial statements and related footnotes for fiscal 2013 and our independent auditors report on those financial statements with our management and internal audit manager.</w:t>
      </w:r>
    </w:p>
    <w:p>
      <w:pPr>
        <w:pStyle w:val="TextBody"/>
        <w:jc w:val="both"/>
        <w:rPr/>
      </w:pPr>
      <w:r>
        <w:rPr/>
        <w:t xml:space="preserve">     </w:t>
      </w:r>
      <w:r>
        <w:rPr>
          <w:rFonts w:ascii="Times New Roman" w:hAnsi="Times New Roman"/>
          <w:sz w:val="20"/>
        </w:rPr>
        <w:t>The Audit Committee discussed with PricewaterhouseCoopers LLP the matters required to be discussed by Statement on Auditing Standards No. 61, as amended (AICPA, Professional Standards, Vol. 1. AU Section 380), as adopted by the Public Company Accounting Oversight Board in Rule 3200T.</w:t>
      </w:r>
    </w:p>
    <w:p>
      <w:pPr>
        <w:pStyle w:val="TextBody"/>
        <w:jc w:val="both"/>
        <w:rPr/>
      </w:pPr>
      <w:r>
        <w:rPr/>
        <w:t xml:space="preserve">     </w:t>
      </w:r>
      <w:r>
        <w:rPr>
          <w:rFonts w:ascii="Times New Roman" w:hAnsi="Times New Roman"/>
          <w:sz w:val="20"/>
        </w:rPr>
        <w:t>The Audit Committee has received the written disclosures and the letter from PricewaterhouseCoopers LLP required by the applicable requirements of the Public Company Accounting Oversight Board regarding the independent auditors communications with the Audit Committee concerning independence and has discussed with PricewaterhouseCoopers LLP its independence.</w:t>
      </w:r>
    </w:p>
    <w:p>
      <w:pPr>
        <w:pStyle w:val="TextBody"/>
        <w:jc w:val="both"/>
        <w:rPr/>
      </w:pPr>
      <w:r>
        <w:rPr/>
        <w:t xml:space="preserve">     </w:t>
      </w:r>
      <w:r>
        <w:rPr>
          <w:rFonts w:ascii="Times New Roman" w:hAnsi="Times New Roman"/>
          <w:sz w:val="20"/>
        </w:rPr>
        <w:t>Based on the foregoing, the Audit Committee recommended to the Board of Directors that our audited consolidated financial statements for fiscal 2013 be included in our Annual Report on Form 10-K for fiscal 2013 filed with the SEC.</w:t>
      </w:r>
    </w:p>
    <w:tbl>
      <w:tblPr>
        <w:tblW w:w="2500" w:type="pct"/>
        <w:jc w:val="right"/>
        <w:tblInd w:w="0" w:type="dxa"/>
        <w:tblCellMar>
          <w:top w:w="0" w:type="dxa"/>
          <w:left w:w="0" w:type="dxa"/>
          <w:bottom w:w="0" w:type="dxa"/>
          <w:right w:w="0" w:type="dxa"/>
        </w:tblCellMar>
      </w:tblPr>
      <w:tblGrid>
        <w:gridCol w:w="5102"/>
      </w:tblGrid>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AUDIT COMMITTEE</w:t>
            </w:r>
          </w:p>
        </w:tc>
      </w:tr>
      <w:tr>
        <w:trPr/>
        <w:tc>
          <w:tcPr>
            <w:tcW w:w="5102" w:type="dxa"/>
            <w:tcBorders/>
            <w:shd w:fill="auto" w:val="clear"/>
            <w:vAlign w:val="center"/>
          </w:tcPr>
          <w:p>
            <w:pPr>
              <w:pStyle w:val="TableContents"/>
              <w:spacing w:before="0" w:after="283"/>
              <w:rPr/>
            </w:pPr>
            <w:r>
              <w:rPr/>
              <w:t> </w:t>
            </w:r>
          </w:p>
        </w:tc>
      </w:tr>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 Chairman</w:t>
            </w:r>
          </w:p>
        </w:tc>
      </w:tr>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r>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Lawrence E. Washow</w:t>
            </w:r>
          </w:p>
        </w:tc>
      </w:tr>
    </w:tbl>
    <w:p>
      <w:pPr>
        <w:pStyle w:val="TextBody"/>
        <w:rPr/>
      </w:pPr>
      <w:r>
        <w:rPr/>
      </w:r>
    </w:p>
    <w:p>
      <w:pPr>
        <w:pStyle w:val="TextBody"/>
        <w:jc w:val="center"/>
        <w:rPr>
          <w:rFonts w:ascii="Times New Roman" w:hAnsi="Times New Roman"/>
          <w:sz w:val="20"/>
        </w:rPr>
      </w:pPr>
      <w:r>
        <w:rPr>
          <w:rFonts w:ascii="Times New Roman" w:hAnsi="Times New Roman"/>
          <w:sz w:val="20"/>
        </w:rPr>
        <w:t>21</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rPr>
      </w:pPr>
      <w:r>
        <w:rPr>
          <w:rFonts w:ascii="Times New Roman" w:hAnsi="Times New Roman"/>
          <w:b/>
        </w:rPr>
        <w:t>EXECUTIVE OFFICERS</w:t>
      </w:r>
    </w:p>
    <w:p>
      <w:pPr>
        <w:pStyle w:val="TextBody"/>
        <w:jc w:val="both"/>
        <w:rPr>
          <w:rFonts w:ascii="Times New Roman" w:hAnsi="Times New Roman"/>
          <w:sz w:val="20"/>
        </w:rPr>
      </w:pPr>
      <w:r>
        <w:rPr>
          <w:rFonts w:ascii="Times New Roman" w:hAnsi="Times New Roman"/>
          <w:sz w:val="20"/>
        </w:rPr>
        <w:t>The following table gives certain information with respect to our current executive officers.</w:t>
      </w:r>
    </w:p>
    <w:tbl>
      <w:tblPr>
        <w:tblW w:w="5000" w:type="pct"/>
        <w:jc w:val="left"/>
        <w:tblInd w:w="0" w:type="dxa"/>
        <w:tblCellMar>
          <w:top w:w="0" w:type="dxa"/>
          <w:left w:w="0" w:type="dxa"/>
          <w:bottom w:w="28" w:type="dxa"/>
          <w:right w:w="0" w:type="dxa"/>
        </w:tblCellMar>
      </w:tblPr>
      <w:tblGrid>
        <w:gridCol w:w="1772"/>
        <w:gridCol w:w="642"/>
        <w:gridCol w:w="6839"/>
        <w:gridCol w:w="600"/>
        <w:gridCol w:w="352"/>
      </w:tblGrid>
      <w:tr>
        <w:trPr/>
        <w:tc>
          <w:tcPr>
            <w:tcW w:w="1772"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642" w:type="dxa"/>
            <w:tcBorders>
              <w:bottom w:val="single" w:sz="8" w:space="0" w:color="000000"/>
            </w:tcBorders>
            <w:shd w:fill="auto" w:val="clear"/>
            <w:vAlign w:val="bottom"/>
          </w:tcPr>
          <w:p>
            <w:pPr>
              <w:pStyle w:val="TableContents"/>
              <w:spacing w:before="0" w:after="283"/>
              <w:jc w:val="left"/>
              <w:rPr/>
            </w:pPr>
            <w:r>
              <w:rPr/>
              <w:t>          </w:t>
            </w:r>
          </w:p>
        </w:tc>
        <w:tc>
          <w:tcPr>
            <w:tcW w:w="6839"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Principal Occupation for Last Five Years</w:t>
            </w:r>
          </w:p>
        </w:tc>
        <w:tc>
          <w:tcPr>
            <w:tcW w:w="600" w:type="dxa"/>
            <w:tcBorders>
              <w:bottom w:val="single" w:sz="8" w:space="0" w:color="000000"/>
            </w:tcBorders>
            <w:shd w:fill="auto" w:val="clear"/>
            <w:vAlign w:val="bottom"/>
          </w:tcPr>
          <w:p>
            <w:pPr>
              <w:pStyle w:val="TableContents"/>
              <w:spacing w:before="0" w:after="283"/>
              <w:jc w:val="left"/>
              <w:rPr/>
            </w:pPr>
            <w:r>
              <w:rPr/>
              <w:t>          </w:t>
            </w:r>
          </w:p>
        </w:tc>
        <w:tc>
          <w:tcPr>
            <w:tcW w:w="352"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Age</w:t>
            </w:r>
          </w:p>
        </w:tc>
      </w:tr>
      <w:tr>
        <w:trPr/>
        <w:tc>
          <w:tcPr>
            <w:tcW w:w="1772" w:type="dxa"/>
            <w:tcBorders/>
            <w:shd w:fill="C0C0C0" w:val="clear"/>
            <w:tcMar>
              <w:bottom w:w="0" w:type="dxa"/>
            </w:tcMar>
          </w:tcPr>
          <w:p>
            <w:pPr>
              <w:pStyle w:val="TableContents"/>
              <w:spacing w:before="0" w:after="283"/>
              <w:jc w:val="both"/>
              <w:rPr>
                <w:rFonts w:ascii="Times New Roman" w:hAnsi="Times New Roman"/>
                <w:sz w:val="20"/>
              </w:rPr>
            </w:pPr>
            <w:r>
              <w:rPr>
                <w:rFonts w:ascii="Times New Roman" w:hAnsi="Times New Roman"/>
                <w:sz w:val="20"/>
              </w:rPr>
              <w:t>Daniel S. Jaffee (1)</w:t>
            </w:r>
          </w:p>
        </w:tc>
        <w:tc>
          <w:tcPr>
            <w:tcW w:w="642" w:type="dxa"/>
            <w:tcBorders/>
            <w:shd w:fill="C0C0C0" w:val="clear"/>
            <w:tcMar>
              <w:bottom w:w="0" w:type="dxa"/>
            </w:tcMar>
          </w:tcPr>
          <w:p>
            <w:pPr>
              <w:pStyle w:val="TableContents"/>
              <w:spacing w:before="0" w:after="283"/>
              <w:rPr>
                <w:sz w:val="4"/>
                <w:szCs w:val="4"/>
              </w:rPr>
            </w:pPr>
            <w:r>
              <w:rPr>
                <w:sz w:val="4"/>
                <w:szCs w:val="4"/>
              </w:rPr>
            </w:r>
          </w:p>
        </w:tc>
        <w:tc>
          <w:tcPr>
            <w:tcW w:w="6839" w:type="dxa"/>
            <w:tcBorders/>
            <w:shd w:fill="C0C0C0" w:val="clear"/>
            <w:tcMar>
              <w:bottom w:w="0" w:type="dxa"/>
            </w:tcMar>
          </w:tcPr>
          <w:p>
            <w:pPr>
              <w:pStyle w:val="TableContents"/>
              <w:spacing w:before="0" w:after="283"/>
              <w:jc w:val="both"/>
              <w:rPr>
                <w:rFonts w:ascii="Times New Roman" w:hAnsi="Times New Roman"/>
                <w:sz w:val="20"/>
              </w:rPr>
            </w:pPr>
            <w:r>
              <w:rPr>
                <w:rFonts w:ascii="Times New Roman" w:hAnsi="Times New Roman"/>
                <w:sz w:val="20"/>
              </w:rPr>
              <w:t>President and Chief Executive Officer of the Company since 1997.</w:t>
            </w:r>
          </w:p>
        </w:tc>
        <w:tc>
          <w:tcPr>
            <w:tcW w:w="600" w:type="dxa"/>
            <w:tcBorders/>
            <w:shd w:fill="C0C0C0" w:val="clear"/>
            <w:tcMar>
              <w:bottom w:w="0" w:type="dxa"/>
            </w:tcMar>
          </w:tcPr>
          <w:p>
            <w:pPr>
              <w:pStyle w:val="TableContents"/>
              <w:spacing w:before="0" w:after="283"/>
              <w:rPr>
                <w:sz w:val="4"/>
                <w:szCs w:val="4"/>
              </w:rPr>
            </w:pPr>
            <w:r>
              <w:rPr>
                <w:sz w:val="4"/>
                <w:szCs w:val="4"/>
              </w:rPr>
            </w:r>
          </w:p>
        </w:tc>
        <w:tc>
          <w:tcPr>
            <w:tcW w:w="352" w:type="dxa"/>
            <w:tcBorders/>
            <w:shd w:fill="C0C0C0"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49</w:t>
            </w:r>
          </w:p>
        </w:tc>
      </w:tr>
      <w:tr>
        <w:trPr/>
        <w:tc>
          <w:tcPr>
            <w:tcW w:w="1772" w:type="dxa"/>
            <w:tcBorders/>
            <w:shd w:fill="auto" w:val="clear"/>
            <w:tcMar>
              <w:bottom w:w="0" w:type="dxa"/>
            </w:tcMar>
          </w:tcPr>
          <w:p>
            <w:pPr>
              <w:pStyle w:val="TableContents"/>
              <w:spacing w:before="0" w:after="283"/>
              <w:rPr>
                <w:sz w:val="4"/>
                <w:szCs w:val="4"/>
              </w:rPr>
            </w:pPr>
            <w:r>
              <w:rPr>
                <w:sz w:val="4"/>
                <w:szCs w:val="4"/>
              </w:rPr>
            </w:r>
          </w:p>
        </w:tc>
        <w:tc>
          <w:tcPr>
            <w:tcW w:w="642" w:type="dxa"/>
            <w:tcBorders/>
            <w:shd w:fill="auto" w:val="clear"/>
            <w:tcMar>
              <w:bottom w:w="0" w:type="dxa"/>
            </w:tcMar>
          </w:tcPr>
          <w:p>
            <w:pPr>
              <w:pStyle w:val="TableContents"/>
              <w:spacing w:before="0" w:after="283"/>
              <w:rPr>
                <w:sz w:val="4"/>
                <w:szCs w:val="4"/>
              </w:rPr>
            </w:pPr>
            <w:r>
              <w:rPr>
                <w:sz w:val="4"/>
                <w:szCs w:val="4"/>
              </w:rPr>
            </w:r>
          </w:p>
        </w:tc>
        <w:tc>
          <w:tcPr>
            <w:tcW w:w="6839" w:type="dxa"/>
            <w:tcBorders/>
            <w:shd w:fill="auto" w:val="clear"/>
            <w:tcMar>
              <w:bottom w:w="0" w:type="dxa"/>
            </w:tcMar>
          </w:tcPr>
          <w:p>
            <w:pPr>
              <w:pStyle w:val="TableContents"/>
              <w:spacing w:before="0" w:after="283"/>
              <w:jc w:val="left"/>
              <w:rPr/>
            </w:pPr>
            <w:r>
              <w:rPr/>
              <w:t> </w:t>
            </w:r>
          </w:p>
        </w:tc>
        <w:tc>
          <w:tcPr>
            <w:tcW w:w="600" w:type="dxa"/>
            <w:tcBorders/>
            <w:shd w:fill="auto" w:val="clear"/>
            <w:tcMar>
              <w:bottom w:w="0" w:type="dxa"/>
            </w:tcMar>
          </w:tcPr>
          <w:p>
            <w:pPr>
              <w:pStyle w:val="TableContents"/>
              <w:spacing w:before="0" w:after="283"/>
              <w:rPr>
                <w:sz w:val="4"/>
                <w:szCs w:val="4"/>
              </w:rPr>
            </w:pPr>
            <w:r>
              <w:rPr>
                <w:sz w:val="4"/>
                <w:szCs w:val="4"/>
              </w:rPr>
            </w:r>
          </w:p>
        </w:tc>
        <w:tc>
          <w:tcPr>
            <w:tcW w:w="352" w:type="dxa"/>
            <w:tcBorders/>
            <w:shd w:fill="auto" w:val="clear"/>
            <w:tcMar>
              <w:bottom w:w="0" w:type="dxa"/>
            </w:tcMar>
          </w:tcPr>
          <w:p>
            <w:pPr>
              <w:pStyle w:val="TableContents"/>
              <w:spacing w:before="0" w:after="283"/>
              <w:rPr>
                <w:sz w:val="4"/>
                <w:szCs w:val="4"/>
              </w:rPr>
            </w:pPr>
            <w:r>
              <w:rPr>
                <w:sz w:val="4"/>
                <w:szCs w:val="4"/>
              </w:rPr>
            </w:r>
          </w:p>
        </w:tc>
      </w:tr>
      <w:tr>
        <w:trPr/>
        <w:tc>
          <w:tcPr>
            <w:tcW w:w="1772" w:type="dxa"/>
            <w:tcBorders/>
            <w:shd w:fill="C0C0C0" w:val="clear"/>
            <w:tcMar>
              <w:bottom w:w="0" w:type="dxa"/>
            </w:tcMar>
          </w:tcPr>
          <w:p>
            <w:pPr>
              <w:pStyle w:val="TableContents"/>
              <w:spacing w:before="0" w:after="283"/>
              <w:jc w:val="both"/>
              <w:rPr>
                <w:rFonts w:ascii="Times New Roman" w:hAnsi="Times New Roman"/>
                <w:sz w:val="20"/>
              </w:rPr>
            </w:pPr>
            <w:r>
              <w:rPr>
                <w:rFonts w:ascii="Times New Roman" w:hAnsi="Times New Roman"/>
                <w:sz w:val="20"/>
              </w:rPr>
              <w:t>Daniel T. Smith</w:t>
            </w:r>
          </w:p>
        </w:tc>
        <w:tc>
          <w:tcPr>
            <w:tcW w:w="642" w:type="dxa"/>
            <w:tcBorders/>
            <w:shd w:fill="C0C0C0" w:val="clear"/>
            <w:tcMar>
              <w:bottom w:w="0" w:type="dxa"/>
            </w:tcMar>
          </w:tcPr>
          <w:p>
            <w:pPr>
              <w:pStyle w:val="TableContents"/>
              <w:spacing w:before="0" w:after="283"/>
              <w:rPr>
                <w:sz w:val="4"/>
                <w:szCs w:val="4"/>
              </w:rPr>
            </w:pPr>
            <w:r>
              <w:rPr>
                <w:sz w:val="4"/>
                <w:szCs w:val="4"/>
              </w:rPr>
            </w:r>
          </w:p>
        </w:tc>
        <w:tc>
          <w:tcPr>
            <w:tcW w:w="6839" w:type="dxa"/>
            <w:tcBorders/>
            <w:shd w:fill="C0C0C0"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Vice President and Chief Financial Officer of the Company since June 2012; Vice President, Chief Accounting Officer and Controller of the Company from February 2011 to May 2012; Vice President and Controller of the Company from 2001 to February 2011.</w:t>
            </w:r>
          </w:p>
        </w:tc>
        <w:tc>
          <w:tcPr>
            <w:tcW w:w="600" w:type="dxa"/>
            <w:tcBorders/>
            <w:shd w:fill="C0C0C0" w:val="clear"/>
            <w:tcMar>
              <w:bottom w:w="0" w:type="dxa"/>
            </w:tcMar>
          </w:tcPr>
          <w:p>
            <w:pPr>
              <w:pStyle w:val="TableContents"/>
              <w:spacing w:before="0" w:after="283"/>
              <w:rPr>
                <w:sz w:val="4"/>
                <w:szCs w:val="4"/>
              </w:rPr>
            </w:pPr>
            <w:r>
              <w:rPr>
                <w:sz w:val="4"/>
                <w:szCs w:val="4"/>
              </w:rPr>
            </w:r>
          </w:p>
        </w:tc>
        <w:tc>
          <w:tcPr>
            <w:tcW w:w="352" w:type="dxa"/>
            <w:tcBorders/>
            <w:shd w:fill="C0C0C0"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54</w:t>
            </w:r>
          </w:p>
        </w:tc>
      </w:tr>
      <w:tr>
        <w:trPr/>
        <w:tc>
          <w:tcPr>
            <w:tcW w:w="1772" w:type="dxa"/>
            <w:tcBorders/>
            <w:shd w:fill="auto" w:val="clear"/>
            <w:tcMar>
              <w:bottom w:w="0" w:type="dxa"/>
            </w:tcMar>
          </w:tcPr>
          <w:p>
            <w:pPr>
              <w:pStyle w:val="TableContents"/>
              <w:spacing w:before="0" w:after="283"/>
              <w:rPr>
                <w:sz w:val="4"/>
                <w:szCs w:val="4"/>
              </w:rPr>
            </w:pPr>
            <w:r>
              <w:rPr>
                <w:sz w:val="4"/>
                <w:szCs w:val="4"/>
              </w:rPr>
            </w:r>
          </w:p>
        </w:tc>
        <w:tc>
          <w:tcPr>
            <w:tcW w:w="642" w:type="dxa"/>
            <w:tcBorders/>
            <w:shd w:fill="auto" w:val="clear"/>
            <w:tcMar>
              <w:bottom w:w="0" w:type="dxa"/>
            </w:tcMar>
          </w:tcPr>
          <w:p>
            <w:pPr>
              <w:pStyle w:val="TableContents"/>
              <w:spacing w:before="0" w:after="283"/>
              <w:rPr>
                <w:sz w:val="4"/>
                <w:szCs w:val="4"/>
              </w:rPr>
            </w:pPr>
            <w:r>
              <w:rPr>
                <w:sz w:val="4"/>
                <w:szCs w:val="4"/>
              </w:rPr>
            </w:r>
          </w:p>
        </w:tc>
        <w:tc>
          <w:tcPr>
            <w:tcW w:w="6839" w:type="dxa"/>
            <w:tcBorders/>
            <w:shd w:fill="auto" w:val="clear"/>
            <w:tcMar>
              <w:bottom w:w="0" w:type="dxa"/>
            </w:tcMar>
          </w:tcPr>
          <w:p>
            <w:pPr>
              <w:pStyle w:val="TableContents"/>
              <w:spacing w:before="0" w:after="283"/>
              <w:jc w:val="left"/>
              <w:rPr/>
            </w:pPr>
            <w:r>
              <w:rPr/>
              <w:t> </w:t>
            </w:r>
          </w:p>
        </w:tc>
        <w:tc>
          <w:tcPr>
            <w:tcW w:w="600" w:type="dxa"/>
            <w:tcBorders/>
            <w:shd w:fill="auto" w:val="clear"/>
            <w:tcMar>
              <w:bottom w:w="0" w:type="dxa"/>
            </w:tcMar>
          </w:tcPr>
          <w:p>
            <w:pPr>
              <w:pStyle w:val="TableContents"/>
              <w:spacing w:before="0" w:after="283"/>
              <w:rPr>
                <w:sz w:val="4"/>
                <w:szCs w:val="4"/>
              </w:rPr>
            </w:pPr>
            <w:r>
              <w:rPr>
                <w:sz w:val="4"/>
                <w:szCs w:val="4"/>
              </w:rPr>
            </w:r>
          </w:p>
        </w:tc>
        <w:tc>
          <w:tcPr>
            <w:tcW w:w="352" w:type="dxa"/>
            <w:tcBorders/>
            <w:shd w:fill="auto" w:val="clear"/>
            <w:tcMar>
              <w:bottom w:w="0" w:type="dxa"/>
            </w:tcMar>
          </w:tcPr>
          <w:p>
            <w:pPr>
              <w:pStyle w:val="TableContents"/>
              <w:spacing w:before="0" w:after="283"/>
              <w:rPr>
                <w:sz w:val="4"/>
                <w:szCs w:val="4"/>
              </w:rPr>
            </w:pPr>
            <w:r>
              <w:rPr>
                <w:sz w:val="4"/>
                <w:szCs w:val="4"/>
              </w:rPr>
            </w:r>
          </w:p>
        </w:tc>
      </w:tr>
      <w:tr>
        <w:trPr/>
        <w:tc>
          <w:tcPr>
            <w:tcW w:w="1772" w:type="dxa"/>
            <w:tcBorders/>
            <w:shd w:fill="C0C0C0" w:val="clear"/>
            <w:tcMar>
              <w:bottom w:w="0" w:type="dxa"/>
            </w:tcMar>
          </w:tcPr>
          <w:p>
            <w:pPr>
              <w:pStyle w:val="TableContents"/>
              <w:spacing w:before="0" w:after="283"/>
              <w:jc w:val="both"/>
              <w:rPr>
                <w:rFonts w:ascii="Times New Roman" w:hAnsi="Times New Roman"/>
                <w:sz w:val="20"/>
              </w:rPr>
            </w:pPr>
            <w:r>
              <w:rPr>
                <w:rFonts w:ascii="Times New Roman" w:hAnsi="Times New Roman"/>
                <w:sz w:val="20"/>
              </w:rPr>
              <w:t>Thomas F. Cofsky (2)</w:t>
            </w:r>
          </w:p>
        </w:tc>
        <w:tc>
          <w:tcPr>
            <w:tcW w:w="642" w:type="dxa"/>
            <w:tcBorders/>
            <w:shd w:fill="C0C0C0" w:val="clear"/>
            <w:tcMar>
              <w:bottom w:w="0" w:type="dxa"/>
            </w:tcMar>
          </w:tcPr>
          <w:p>
            <w:pPr>
              <w:pStyle w:val="TableContents"/>
              <w:spacing w:before="0" w:after="283"/>
              <w:rPr>
                <w:sz w:val="4"/>
                <w:szCs w:val="4"/>
              </w:rPr>
            </w:pPr>
            <w:r>
              <w:rPr>
                <w:sz w:val="4"/>
                <w:szCs w:val="4"/>
              </w:rPr>
            </w:r>
          </w:p>
        </w:tc>
        <w:tc>
          <w:tcPr>
            <w:tcW w:w="6839" w:type="dxa"/>
            <w:tcBorders/>
            <w:shd w:fill="C0C0C0"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Vice President of Manufacturing of the Company since October 2011; Vice President of Manufacturing and Logistics of the Company from 1999 to October 2011.</w:t>
            </w:r>
          </w:p>
        </w:tc>
        <w:tc>
          <w:tcPr>
            <w:tcW w:w="600" w:type="dxa"/>
            <w:tcBorders/>
            <w:shd w:fill="C0C0C0" w:val="clear"/>
            <w:tcMar>
              <w:bottom w:w="0" w:type="dxa"/>
            </w:tcMar>
          </w:tcPr>
          <w:p>
            <w:pPr>
              <w:pStyle w:val="TableContents"/>
              <w:spacing w:before="0" w:after="283"/>
              <w:rPr>
                <w:sz w:val="4"/>
                <w:szCs w:val="4"/>
              </w:rPr>
            </w:pPr>
            <w:r>
              <w:rPr>
                <w:sz w:val="4"/>
                <w:szCs w:val="4"/>
              </w:rPr>
            </w:r>
          </w:p>
        </w:tc>
        <w:tc>
          <w:tcPr>
            <w:tcW w:w="352" w:type="dxa"/>
            <w:tcBorders/>
            <w:shd w:fill="C0C0C0"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53</w:t>
            </w:r>
          </w:p>
        </w:tc>
      </w:tr>
      <w:tr>
        <w:trPr/>
        <w:tc>
          <w:tcPr>
            <w:tcW w:w="1772" w:type="dxa"/>
            <w:tcBorders/>
            <w:shd w:fill="auto" w:val="clear"/>
            <w:tcMar>
              <w:bottom w:w="0" w:type="dxa"/>
            </w:tcMar>
          </w:tcPr>
          <w:p>
            <w:pPr>
              <w:pStyle w:val="TableContents"/>
              <w:spacing w:before="0" w:after="283"/>
              <w:rPr>
                <w:sz w:val="4"/>
                <w:szCs w:val="4"/>
              </w:rPr>
            </w:pPr>
            <w:r>
              <w:rPr>
                <w:sz w:val="4"/>
                <w:szCs w:val="4"/>
              </w:rPr>
            </w:r>
          </w:p>
        </w:tc>
        <w:tc>
          <w:tcPr>
            <w:tcW w:w="642" w:type="dxa"/>
            <w:tcBorders/>
            <w:shd w:fill="auto" w:val="clear"/>
            <w:tcMar>
              <w:bottom w:w="0" w:type="dxa"/>
            </w:tcMar>
          </w:tcPr>
          <w:p>
            <w:pPr>
              <w:pStyle w:val="TableContents"/>
              <w:spacing w:before="0" w:after="283"/>
              <w:rPr>
                <w:sz w:val="4"/>
                <w:szCs w:val="4"/>
              </w:rPr>
            </w:pPr>
            <w:r>
              <w:rPr>
                <w:sz w:val="4"/>
                <w:szCs w:val="4"/>
              </w:rPr>
            </w:r>
          </w:p>
        </w:tc>
        <w:tc>
          <w:tcPr>
            <w:tcW w:w="6839" w:type="dxa"/>
            <w:tcBorders/>
            <w:shd w:fill="auto" w:val="clear"/>
            <w:tcMar>
              <w:bottom w:w="0" w:type="dxa"/>
            </w:tcMar>
          </w:tcPr>
          <w:p>
            <w:pPr>
              <w:pStyle w:val="TableContents"/>
              <w:spacing w:before="0" w:after="283"/>
              <w:jc w:val="left"/>
              <w:rPr/>
            </w:pPr>
            <w:r>
              <w:rPr/>
              <w:t> </w:t>
            </w:r>
          </w:p>
        </w:tc>
        <w:tc>
          <w:tcPr>
            <w:tcW w:w="600" w:type="dxa"/>
            <w:tcBorders/>
            <w:shd w:fill="auto" w:val="clear"/>
            <w:tcMar>
              <w:bottom w:w="0" w:type="dxa"/>
            </w:tcMar>
          </w:tcPr>
          <w:p>
            <w:pPr>
              <w:pStyle w:val="TableContents"/>
              <w:spacing w:before="0" w:after="283"/>
              <w:rPr>
                <w:sz w:val="4"/>
                <w:szCs w:val="4"/>
              </w:rPr>
            </w:pPr>
            <w:r>
              <w:rPr>
                <w:sz w:val="4"/>
                <w:szCs w:val="4"/>
              </w:rPr>
            </w:r>
          </w:p>
        </w:tc>
        <w:tc>
          <w:tcPr>
            <w:tcW w:w="352" w:type="dxa"/>
            <w:tcBorders/>
            <w:shd w:fill="auto" w:val="clear"/>
            <w:tcMar>
              <w:bottom w:w="0" w:type="dxa"/>
            </w:tcMar>
          </w:tcPr>
          <w:p>
            <w:pPr>
              <w:pStyle w:val="TableContents"/>
              <w:spacing w:before="0" w:after="283"/>
              <w:rPr>
                <w:sz w:val="4"/>
                <w:szCs w:val="4"/>
              </w:rPr>
            </w:pPr>
            <w:r>
              <w:rPr>
                <w:sz w:val="4"/>
                <w:szCs w:val="4"/>
              </w:rPr>
            </w:r>
          </w:p>
        </w:tc>
      </w:tr>
      <w:tr>
        <w:trPr/>
        <w:tc>
          <w:tcPr>
            <w:tcW w:w="1772" w:type="dxa"/>
            <w:tcBorders/>
            <w:shd w:fill="C0C0C0" w:val="clear"/>
            <w:tcMar>
              <w:bottom w:w="0" w:type="dxa"/>
            </w:tcMar>
          </w:tcPr>
          <w:p>
            <w:pPr>
              <w:pStyle w:val="TableContents"/>
              <w:spacing w:before="0" w:after="283"/>
              <w:jc w:val="both"/>
              <w:rPr>
                <w:rFonts w:ascii="Times New Roman" w:hAnsi="Times New Roman"/>
                <w:sz w:val="20"/>
              </w:rPr>
            </w:pPr>
            <w:r>
              <w:rPr>
                <w:rFonts w:ascii="Times New Roman" w:hAnsi="Times New Roman"/>
                <w:sz w:val="20"/>
              </w:rPr>
              <w:t>Douglas A. Graham</w:t>
            </w:r>
          </w:p>
        </w:tc>
        <w:tc>
          <w:tcPr>
            <w:tcW w:w="642" w:type="dxa"/>
            <w:tcBorders/>
            <w:shd w:fill="C0C0C0" w:val="clear"/>
            <w:tcMar>
              <w:bottom w:w="0" w:type="dxa"/>
            </w:tcMar>
          </w:tcPr>
          <w:p>
            <w:pPr>
              <w:pStyle w:val="TableContents"/>
              <w:spacing w:before="0" w:after="283"/>
              <w:rPr>
                <w:sz w:val="4"/>
                <w:szCs w:val="4"/>
              </w:rPr>
            </w:pPr>
            <w:r>
              <w:rPr>
                <w:sz w:val="4"/>
                <w:szCs w:val="4"/>
              </w:rPr>
            </w:r>
          </w:p>
        </w:tc>
        <w:tc>
          <w:tcPr>
            <w:tcW w:w="6839" w:type="dxa"/>
            <w:tcBorders/>
            <w:shd w:fill="C0C0C0"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Vice President, General Counsel and Secretary of the Company since March 2011; General Counsel of the Company since February 2011; Assistant General Counsel at Commonwealth Edison Company from January 2008 to February 2011.</w:t>
            </w:r>
          </w:p>
        </w:tc>
        <w:tc>
          <w:tcPr>
            <w:tcW w:w="600" w:type="dxa"/>
            <w:tcBorders/>
            <w:shd w:fill="C0C0C0" w:val="clear"/>
            <w:tcMar>
              <w:bottom w:w="0" w:type="dxa"/>
            </w:tcMar>
          </w:tcPr>
          <w:p>
            <w:pPr>
              <w:pStyle w:val="TableContents"/>
              <w:spacing w:before="0" w:after="283"/>
              <w:rPr>
                <w:sz w:val="4"/>
                <w:szCs w:val="4"/>
              </w:rPr>
            </w:pPr>
            <w:r>
              <w:rPr>
                <w:sz w:val="4"/>
                <w:szCs w:val="4"/>
              </w:rPr>
            </w:r>
          </w:p>
        </w:tc>
        <w:tc>
          <w:tcPr>
            <w:tcW w:w="352" w:type="dxa"/>
            <w:tcBorders/>
            <w:shd w:fill="C0C0C0"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50</w:t>
            </w:r>
          </w:p>
        </w:tc>
      </w:tr>
      <w:tr>
        <w:trPr/>
        <w:tc>
          <w:tcPr>
            <w:tcW w:w="1772" w:type="dxa"/>
            <w:tcBorders/>
            <w:shd w:fill="auto" w:val="clear"/>
            <w:tcMar>
              <w:bottom w:w="0" w:type="dxa"/>
            </w:tcMar>
          </w:tcPr>
          <w:p>
            <w:pPr>
              <w:pStyle w:val="TableContents"/>
              <w:spacing w:before="0" w:after="283"/>
              <w:rPr>
                <w:sz w:val="4"/>
                <w:szCs w:val="4"/>
              </w:rPr>
            </w:pPr>
            <w:r>
              <w:rPr>
                <w:sz w:val="4"/>
                <w:szCs w:val="4"/>
              </w:rPr>
            </w:r>
          </w:p>
        </w:tc>
        <w:tc>
          <w:tcPr>
            <w:tcW w:w="642" w:type="dxa"/>
            <w:tcBorders/>
            <w:shd w:fill="auto" w:val="clear"/>
            <w:tcMar>
              <w:bottom w:w="0" w:type="dxa"/>
            </w:tcMar>
          </w:tcPr>
          <w:p>
            <w:pPr>
              <w:pStyle w:val="TableContents"/>
              <w:spacing w:before="0" w:after="283"/>
              <w:rPr>
                <w:sz w:val="4"/>
                <w:szCs w:val="4"/>
              </w:rPr>
            </w:pPr>
            <w:r>
              <w:rPr>
                <w:sz w:val="4"/>
                <w:szCs w:val="4"/>
              </w:rPr>
            </w:r>
          </w:p>
        </w:tc>
        <w:tc>
          <w:tcPr>
            <w:tcW w:w="6839" w:type="dxa"/>
            <w:tcBorders/>
            <w:shd w:fill="auto" w:val="clear"/>
            <w:tcMar>
              <w:bottom w:w="0" w:type="dxa"/>
            </w:tcMar>
          </w:tcPr>
          <w:p>
            <w:pPr>
              <w:pStyle w:val="TableContents"/>
              <w:spacing w:before="0" w:after="283"/>
              <w:jc w:val="left"/>
              <w:rPr/>
            </w:pPr>
            <w:r>
              <w:rPr/>
              <w:t> </w:t>
            </w:r>
          </w:p>
        </w:tc>
        <w:tc>
          <w:tcPr>
            <w:tcW w:w="600" w:type="dxa"/>
            <w:tcBorders/>
            <w:shd w:fill="auto" w:val="clear"/>
            <w:tcMar>
              <w:bottom w:w="0" w:type="dxa"/>
            </w:tcMar>
          </w:tcPr>
          <w:p>
            <w:pPr>
              <w:pStyle w:val="TableContents"/>
              <w:spacing w:before="0" w:after="283"/>
              <w:rPr>
                <w:sz w:val="4"/>
                <w:szCs w:val="4"/>
              </w:rPr>
            </w:pPr>
            <w:r>
              <w:rPr>
                <w:sz w:val="4"/>
                <w:szCs w:val="4"/>
              </w:rPr>
            </w:r>
          </w:p>
        </w:tc>
        <w:tc>
          <w:tcPr>
            <w:tcW w:w="352" w:type="dxa"/>
            <w:tcBorders/>
            <w:shd w:fill="auto" w:val="clear"/>
            <w:tcMar>
              <w:bottom w:w="0" w:type="dxa"/>
            </w:tcMar>
          </w:tcPr>
          <w:p>
            <w:pPr>
              <w:pStyle w:val="TableContents"/>
              <w:spacing w:before="0" w:after="283"/>
              <w:rPr>
                <w:sz w:val="4"/>
                <w:szCs w:val="4"/>
              </w:rPr>
            </w:pPr>
            <w:r>
              <w:rPr>
                <w:sz w:val="4"/>
                <w:szCs w:val="4"/>
              </w:rPr>
            </w:r>
          </w:p>
        </w:tc>
      </w:tr>
      <w:tr>
        <w:trPr/>
        <w:tc>
          <w:tcPr>
            <w:tcW w:w="1772" w:type="dxa"/>
            <w:tcBorders/>
            <w:shd w:fill="C0C0C0" w:val="clear"/>
            <w:tcMar>
              <w:bottom w:w="0" w:type="dxa"/>
            </w:tcMar>
          </w:tcPr>
          <w:p>
            <w:pPr>
              <w:pStyle w:val="TableContents"/>
              <w:spacing w:before="0" w:after="283"/>
              <w:jc w:val="both"/>
              <w:rPr>
                <w:rFonts w:ascii="Times New Roman" w:hAnsi="Times New Roman"/>
                <w:sz w:val="20"/>
              </w:rPr>
            </w:pPr>
            <w:r>
              <w:rPr>
                <w:rFonts w:ascii="Times New Roman" w:hAnsi="Times New Roman"/>
                <w:sz w:val="20"/>
              </w:rPr>
              <w:t>Paul D. Ziemnisky</w:t>
            </w:r>
          </w:p>
        </w:tc>
        <w:tc>
          <w:tcPr>
            <w:tcW w:w="642" w:type="dxa"/>
            <w:tcBorders/>
            <w:shd w:fill="C0C0C0" w:val="clear"/>
            <w:tcMar>
              <w:bottom w:w="0" w:type="dxa"/>
            </w:tcMar>
          </w:tcPr>
          <w:p>
            <w:pPr>
              <w:pStyle w:val="TableContents"/>
              <w:spacing w:before="0" w:after="283"/>
              <w:rPr>
                <w:sz w:val="4"/>
                <w:szCs w:val="4"/>
              </w:rPr>
            </w:pPr>
            <w:r>
              <w:rPr>
                <w:sz w:val="4"/>
                <w:szCs w:val="4"/>
              </w:rPr>
            </w:r>
          </w:p>
        </w:tc>
        <w:tc>
          <w:tcPr>
            <w:tcW w:w="6839" w:type="dxa"/>
            <w:tcBorders/>
            <w:shd w:fill="C0C0C0"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Vice President and General Manager, Consumer Packaged Goods of the Company since October 2013; General Manager, Consumer Packaged Goods of the Company since September 2013; Senior Vice President of Marketing, Lehigh Group, a division of Jarden Corporation from September 2010 to June 2013; Senior Marketing Director at Rust-Oleum Corporation from June 2008 to September 2010.</w:t>
            </w:r>
          </w:p>
        </w:tc>
        <w:tc>
          <w:tcPr>
            <w:tcW w:w="600" w:type="dxa"/>
            <w:tcBorders/>
            <w:shd w:fill="C0C0C0" w:val="clear"/>
            <w:tcMar>
              <w:bottom w:w="0" w:type="dxa"/>
            </w:tcMar>
          </w:tcPr>
          <w:p>
            <w:pPr>
              <w:pStyle w:val="TableContents"/>
              <w:spacing w:before="0" w:after="283"/>
              <w:rPr>
                <w:sz w:val="4"/>
                <w:szCs w:val="4"/>
              </w:rPr>
            </w:pPr>
            <w:r>
              <w:rPr>
                <w:sz w:val="4"/>
                <w:szCs w:val="4"/>
              </w:rPr>
            </w:r>
          </w:p>
        </w:tc>
        <w:tc>
          <w:tcPr>
            <w:tcW w:w="352" w:type="dxa"/>
            <w:tcBorders/>
            <w:shd w:fill="C0C0C0"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43</w:t>
            </w:r>
          </w:p>
        </w:tc>
      </w:tr>
    </w:tbl>
    <w:p>
      <w:pPr>
        <w:pStyle w:val="TextBody"/>
        <w:rPr/>
      </w:pPr>
      <w:r>
        <w:rPr/>
      </w:r>
    </w:p>
    <w:p>
      <w:pPr>
        <w:pStyle w:val="TextBody"/>
        <w:jc w:val="both"/>
        <w:rPr>
          <w:rFonts w:ascii="Times New Roman" w:hAnsi="Times New Roman"/>
          <w:sz w:val="20"/>
        </w:rPr>
      </w:pPr>
      <w:r>
        <w:rPr>
          <w:rFonts w:ascii="Times New Roman" w:hAnsi="Times New Roman"/>
          <w:sz w:val="20"/>
        </w:rPr>
        <w:t>All of our executive officers are appointed annually (other than Mr. Ziemnisky, who was appointed in October 2013) and serve at the pleasure of our Board of Directors.</w:t>
      </w:r>
    </w:p>
    <w:p>
      <w:pPr>
        <w:pStyle w:val="TextBody"/>
        <w:jc w:val="both"/>
        <w:rPr>
          <w:rFonts w:ascii="Times New Roman" w:hAnsi="Times New Roman"/>
          <w:sz w:val="20"/>
        </w:rPr>
      </w:pPr>
      <w:r>
        <w:rPr>
          <w:rFonts w:ascii="Times New Roman" w:hAnsi="Times New Roman"/>
          <w:sz w:val="20"/>
        </w:rPr>
        <w:t>(1) Of the persons in this table, only Daniel S. Jaffee is also a director. Daniel S. Jaffee is the son of our Chairman of the Board, Richard M. Jaffee, and the brother-in-law of Thomas F. Cofsky, an executive officer of the Company.</w:t>
      </w:r>
    </w:p>
    <w:p>
      <w:pPr>
        <w:pStyle w:val="TextBody"/>
        <w:jc w:val="both"/>
        <w:rPr>
          <w:rFonts w:ascii="Times New Roman" w:hAnsi="Times New Roman"/>
          <w:sz w:val="20"/>
        </w:rPr>
      </w:pPr>
      <w:r>
        <w:rPr>
          <w:rFonts w:ascii="Times New Roman" w:hAnsi="Times New Roman"/>
          <w:sz w:val="20"/>
        </w:rPr>
        <w:t>(2) Thomas F. Cofsky is Daniel S. Jaffees brother-in-law and the son-in-law of our Chairman of the Board, Richard M. Jaffee.</w:t>
      </w:r>
    </w:p>
    <w:p>
      <w:pPr>
        <w:pStyle w:val="TextBody"/>
        <w:jc w:val="center"/>
        <w:rPr>
          <w:rFonts w:ascii="Times New Roman" w:hAnsi="Times New Roman"/>
          <w:sz w:val="20"/>
        </w:rPr>
      </w:pPr>
      <w:r>
        <w:rPr>
          <w:rFonts w:ascii="Times New Roman" w:hAnsi="Times New Roman"/>
          <w:sz w:val="20"/>
        </w:rPr>
        <w:t>22</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rPr>
      </w:pPr>
      <w:r>
        <w:rPr>
          <w:rFonts w:ascii="Times New Roman" w:hAnsi="Times New Roman"/>
          <w:b/>
        </w:rPr>
        <w:t>EXECUTIVE COMPENSATION</w:t>
      </w:r>
    </w:p>
    <w:p>
      <w:pPr>
        <w:pStyle w:val="TextBody"/>
        <w:jc w:val="center"/>
        <w:rPr>
          <w:rFonts w:ascii="Times New Roman" w:hAnsi="Times New Roman"/>
          <w:b/>
          <w:sz w:val="20"/>
        </w:rPr>
      </w:pPr>
      <w:r>
        <w:rPr>
          <w:rFonts w:ascii="Times New Roman" w:hAnsi="Times New Roman"/>
          <w:b/>
          <w:sz w:val="20"/>
        </w:rPr>
        <w:t>Compensation Discussion and Analysis</w:t>
      </w:r>
    </w:p>
    <w:p>
      <w:pPr>
        <w:pStyle w:val="TextBody"/>
        <w:jc w:val="both"/>
        <w:rPr/>
      </w:pPr>
      <w:r>
        <w:rPr/>
        <w:t xml:space="preserve">     </w:t>
      </w:r>
      <w:r>
        <w:rPr>
          <w:rFonts w:ascii="Times New Roman" w:hAnsi="Times New Roman"/>
          <w:sz w:val="20"/>
        </w:rPr>
        <w:t>This Compensation Discussion and Analysis presents an overview of our compensation program, focusing on the elements of compensation awarded or paid to our executive officers, including the named executive officers. This Compensation Discussion and Analysis, the compensation tables and related narrative and tabular disclosures refer to the named executive officers for fiscal 2013, as defined by Item 402 of Regulation S-K. One of the named executive officers, Thierry R. Jean, left the Company after the end of fiscal 2013 but before the mailing of this Proxy Statement. Our current executive officers are listed on the preceding page.</w:t>
      </w:r>
    </w:p>
    <w:p>
      <w:pPr>
        <w:pStyle w:val="TextBody"/>
        <w:jc w:val="both"/>
        <w:rPr>
          <w:rFonts w:ascii="Times New Roman" w:hAnsi="Times New Roman"/>
          <w:b/>
          <w:sz w:val="20"/>
        </w:rPr>
      </w:pPr>
      <w:r>
        <w:rPr>
          <w:rFonts w:ascii="Times New Roman" w:hAnsi="Times New Roman"/>
          <w:b/>
          <w:sz w:val="20"/>
        </w:rPr>
        <w:t>Executive Summary</w:t>
      </w:r>
    </w:p>
    <w:p>
      <w:pPr>
        <w:pStyle w:val="TextBody"/>
        <w:jc w:val="both"/>
        <w:rPr/>
      </w:pPr>
      <w:r>
        <w:rPr/>
        <w:t xml:space="preserve">     </w:t>
      </w:r>
      <w:r>
        <w:rPr>
          <w:rFonts w:ascii="Times New Roman" w:hAnsi="Times New Roman"/>
          <w:sz w:val="20"/>
        </w:rPr>
        <w:t>Our executive compensation program is designed to attract and retain skilled executives and maintain a strong link between corporate financial performance and pay by rewarding achievement of company-wide goals. Our compensation philosophy and objectives emphasize teamwork and close collaboration between executive officers. We employ all executives at-will, without written employment agreements or a prospective severance plan. We provide modest perquisites that are designed to help executives fulfill their duties to the Company. None of our employees, including the named executive officers, are entitled to any payment or accelerated benefit upon change in control of the Company unless benefits are provided for in compensation plans that apply to all participants. We emphasize our core values and belief in teamwork by focusing on one corporate financial target for all salaried employees in our annual incentive plan. The annual incentive plan also involves communication to employees of expectations for the Companys performance and links Company performance and annual compensation. As a result, our annual incentive plan provides an opportunity for essentially all salaried employees (including our executive officers) to earn a performance-based cash incentive award. Through such broad-based participation, each salaried employee recognizes that he or she can contribute to our success. Finally, our compensation program provides equivalent benefits for all U.S.-based salaried employees and similar benefits for hourly-paid manufacturing employees.</w:t>
      </w:r>
    </w:p>
    <w:p>
      <w:pPr>
        <w:pStyle w:val="TextBody"/>
        <w:jc w:val="both"/>
        <w:rPr>
          <w:rFonts w:ascii="Times New Roman" w:hAnsi="Times New Roman"/>
          <w:b/>
          <w:i/>
          <w:sz w:val="20"/>
        </w:rPr>
      </w:pPr>
      <w:r>
        <w:rPr>
          <w:rFonts w:ascii="Times New Roman" w:hAnsi="Times New Roman"/>
          <w:b/>
          <w:i/>
          <w:sz w:val="20"/>
        </w:rPr>
        <w:t>Fiscal 2013</w:t>
      </w:r>
    </w:p>
    <w:p>
      <w:pPr>
        <w:pStyle w:val="TextBody"/>
        <w:jc w:val="both"/>
        <w:rPr/>
      </w:pPr>
      <w:r>
        <w:rPr/>
        <w:t xml:space="preserve">     </w:t>
      </w:r>
      <w:r>
        <w:rPr>
          <w:rFonts w:ascii="Times New Roman" w:hAnsi="Times New Roman"/>
          <w:sz w:val="20"/>
        </w:rPr>
        <w:t>Our fiscal 2013 corporate financial performance met the threshold for payment of a performance-based cash incentive award and exceeded the target and maximum achievement levels listed below. Our adjusted, pre-tax, pre-bonus income resulted in cash incentive bonuses being paid to eligible employees exempt from the overtime provisions of the Fair Labor Standard Act (the FLSA), including our executive officers (exempt employees), at 200% of target bonus. Since our fiscal 2013 corporate financial performance met the threshold for payment of a performance-based cash incentive award, cash incentive bonuses were paid to eligible employees not exempt from the overtime provisions of FLSA (non-exempt employees) at 100% of target bonus.</w:t>
      </w:r>
    </w:p>
    <w:p>
      <w:pPr>
        <w:pStyle w:val="TextBody"/>
        <w:jc w:val="both"/>
        <w:rPr/>
      </w:pPr>
      <w:r>
        <w:rPr/>
        <w:t xml:space="preserve">     </w:t>
      </w:r>
      <w:r>
        <w:rPr>
          <w:rFonts w:ascii="Times New Roman" w:hAnsi="Times New Roman"/>
          <w:sz w:val="20"/>
        </w:rPr>
        <w:t>Our fiscal 2013 corporate financial performance also met the threshold level for earning executive deferred bonus awards and exceeded the target and maximum achievement levels listed below. Our adjusted, pre-tax, pre-bonus income resulted in executive deferred bonus awards to our executive officers (other than our CEO and Vice President of Manufacturing) at 200% of target bonus. Annual cash and executive deferred bonus awards are shown in the Summary Compensation Table in the column captioned Non-Equity Incentive Plan Compensation.</w:t>
      </w:r>
    </w:p>
    <w:p>
      <w:pPr>
        <w:pStyle w:val="TextBody"/>
        <w:jc w:val="both"/>
        <w:rPr/>
      </w:pPr>
      <w:r>
        <w:rPr/>
        <w:t xml:space="preserve">     </w:t>
      </w:r>
      <w:r>
        <w:rPr>
          <w:rFonts w:ascii="Times New Roman" w:hAnsi="Times New Roman"/>
          <w:sz w:val="20"/>
        </w:rPr>
        <w:t>During fiscal 2013, we made two equity incentive awards to our CEO, Daniel S. Jaffee, one equity incentive award to our Vice President of Manufacturing, Thomas F. Cofsky, and one equity incentive award to our current Vice President and Chief Financial Officer, Daniel T. Smith under the terms of our 2006 Long Term Incentive Plan. At its October 9, 2012 meeting, our Compensation Committee made the following three equity awards: (i) an award of 3,906 restricted shares of Class B Stock to Mr. Jaffee, which is equal to the executive deferred bonus award he would have received had he not chosen to be excluded from that portion of our annual incentive plan for fiscal 2012, (ii) an award of 1,100 restricted shares of Class B Stock to Mr. Jaffee as a component of an increase in his compensation for fiscal year 2013, and (iii) an award of 2,344 restricted shares of Class B Stock to Mr. Cofsky, which is equal to the executive deferred bonus award he would have received had he not chosen to be excluded from that portion of our annual incentive plan for fiscal 2012. All of such restricted shares of Class B Stock awarded to Messrs. Jaffee and Cofsky will cliff vest in full on July 31, 2015, provided that Messrs. Jaffee and Cofsky (as applicable) are employed by us on that date. On April 1, 2013, Mr. Smith received an award of 1,000 restricted shares of Common Stock, all of which will cliff vest in full on April 1, 2015, provided Mr. Smith is employed by us on that date. No other equity awards were made to our executive officers during fiscal 2013.</w:t>
      </w:r>
    </w:p>
    <w:p>
      <w:pPr>
        <w:pStyle w:val="TextBody"/>
        <w:jc w:val="center"/>
        <w:rPr>
          <w:rFonts w:ascii="Times New Roman" w:hAnsi="Times New Roman"/>
          <w:sz w:val="20"/>
        </w:rPr>
      </w:pPr>
      <w:r>
        <w:rPr>
          <w:rFonts w:ascii="Times New Roman" w:hAnsi="Times New Roman"/>
          <w:sz w:val="20"/>
        </w:rPr>
        <w:t>23</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At its October 16, 2013 meeting, our Compensation Committee made one equity incentive award to our CEO, Daniel S. Jaffee, and one equity incentive award to our Vice President of Manufacturing, Thomas F. Cofsky. Mr. Jaffee received an award of 6,390 restricted shares of Class B Stock and Mr. Cofsky received an award of 3,791 restricted shares of Class B Stock, in each case, under the terms of our 2006 Long Term Incentive Plan. Each award fulfills the intention of the Compensation Committee stated at its October 9, 2012 meeting to grant Messrs. Jaffee and Cofsky an award equal to the executive deferred bonus award each would have received had he not chosen to be excluded from that portion of our annual incentive plan for fiscal 2013. The dollar value of each of the awards was calculated to equal the dollar amount of the executive deferred bonus award Messrs. Jaffee and Cofsky would have received under our annual incentive plan for fiscal 2013. Each such dollar value was then divided by the average closing sale price of the Companys Common Stock for the 30 trading days preceding the date of the grant (approximately $32.86) to determine the number of restricted shares to be granted. All of such restricted shares of Class B Stock awarded to Messrs. Jaffee and Cofsky will cliff vest in full on July 31, 2016, provided that Messrs. Jaffee and Cofsky (as applicable) are employed by us on that date.</w:t>
      </w:r>
    </w:p>
    <w:p>
      <w:pPr>
        <w:pStyle w:val="TextBody"/>
        <w:jc w:val="both"/>
        <w:rPr/>
      </w:pPr>
      <w:r>
        <w:rPr/>
        <w:t xml:space="preserve">     </w:t>
      </w:r>
      <w:r>
        <w:rPr>
          <w:rFonts w:ascii="Times New Roman" w:hAnsi="Times New Roman"/>
          <w:sz w:val="20"/>
        </w:rPr>
        <w:t>At its October 16, 2013 meeting, our Compensation Committee also conducted its annual review of our CEOs performance. The review included a report by the Chairman of our Board of Directors on our CEOs performance in fiscal 2013, a review of the total direct compensation our CEO received in fiscal 2013 (base salary, cash incentive and stock awards) and company-wide compensation data. Based on such review, our Compensation Committee desired to increase our CEOs base salary for fiscal year 2014 to $550,000, an increase of approximately 4.76%, to better reflect our Compensation Committees view of compensation for similarly situated executives and our CEOs contributions to the Company.</w:t>
      </w:r>
    </w:p>
    <w:p>
      <w:pPr>
        <w:pStyle w:val="TextBody"/>
        <w:jc w:val="both"/>
        <w:rPr>
          <w:rFonts w:ascii="Times New Roman" w:hAnsi="Times New Roman"/>
          <w:b/>
          <w:sz w:val="20"/>
        </w:rPr>
      </w:pPr>
      <w:r>
        <w:rPr>
          <w:rFonts w:ascii="Times New Roman" w:hAnsi="Times New Roman"/>
          <w:b/>
          <w:sz w:val="20"/>
        </w:rPr>
        <w:t>Compensation Philosophy and Objectives</w:t>
      </w:r>
    </w:p>
    <w:p>
      <w:pPr>
        <w:pStyle w:val="TextBody"/>
        <w:jc w:val="both"/>
        <w:rPr/>
      </w:pPr>
      <w:r>
        <w:rPr/>
        <w:t xml:space="preserve">     </w:t>
      </w:r>
      <w:r>
        <w:rPr>
          <w:rFonts w:ascii="Times New Roman" w:hAnsi="Times New Roman"/>
          <w:sz w:val="20"/>
        </w:rPr>
        <w:t>Our compensation philosophy is to provide total compensation opportunities, which include base salary, bonus and a full benefits package, that allow us to attract, retain and motivate the people we need to carry out our strategic plan, mission, goals and values. Our Compensation Committee oversees our philosophies and practices in the area of compensation and benefits (generally with regard to all employees and specifically with regard to our executive officers). Our Compensation Committee ensures that the total compensation paid to our executive officers is fair and reasonable.</w:t>
      </w:r>
    </w:p>
    <w:p>
      <w:pPr>
        <w:pStyle w:val="TextBody"/>
        <w:jc w:val="center"/>
        <w:rPr>
          <w:rFonts w:ascii="Times New Roman" w:hAnsi="Times New Roman"/>
          <w:sz w:val="20"/>
        </w:rPr>
      </w:pPr>
      <w:r>
        <w:rPr>
          <w:rFonts w:ascii="Times New Roman" w:hAnsi="Times New Roman"/>
          <w:sz w:val="20"/>
        </w:rPr>
        <w:t>24</w:t>
      </w:r>
    </w:p>
    <w:p>
      <w:pPr>
        <w:pStyle w:val="HorizontalLine"/>
        <w:pBdr>
          <w:bottom w:val="single" w:sz="12" w:space="0" w:color="808080"/>
        </w:pBdr>
        <w:rPr/>
      </w:pPr>
      <w:r>
        <w:rPr/>
      </w:r>
    </w:p>
    <w:p>
      <w:pPr>
        <w:pStyle w:val="TextBody"/>
        <w:rPr/>
      </w:pPr>
      <w:r>
        <w:rPr/>
      </w:r>
    </w:p>
    <w:p>
      <w:pPr>
        <w:pStyle w:val="TextBody"/>
        <w:jc w:val="both"/>
        <w:rPr>
          <w:rFonts w:ascii="Times New Roman" w:hAnsi="Times New Roman"/>
          <w:b/>
          <w:sz w:val="20"/>
        </w:rPr>
      </w:pPr>
      <w:r>
        <w:rPr>
          <w:rFonts w:ascii="Times New Roman" w:hAnsi="Times New Roman"/>
          <w:b/>
          <w:sz w:val="20"/>
        </w:rPr>
        <w:t>Compensation Policy</w:t>
      </w:r>
    </w:p>
    <w:p>
      <w:pPr>
        <w:pStyle w:val="TextBody"/>
        <w:jc w:val="both"/>
        <w:rPr/>
      </w:pPr>
      <w:r>
        <w:rPr/>
        <w:t xml:space="preserve">     </w:t>
      </w:r>
      <w:r>
        <w:rPr>
          <w:rFonts w:ascii="Times New Roman" w:hAnsi="Times New Roman"/>
          <w:sz w:val="20"/>
        </w:rPr>
        <w:t>Our compensation policy is to provide our executive officers and other salaried employees with compensation opportunities that:</w:t>
      </w:r>
    </w:p>
    <w:p>
      <w:pPr>
        <w:pStyle w:val="TextBody"/>
        <w:numPr>
          <w:ilvl w:val="0"/>
          <w:numId w:val="6"/>
        </w:numPr>
        <w:tabs>
          <w:tab w:val="clear" w:pos="1134"/>
          <w:tab w:val="left" w:pos="707" w:leader="none"/>
        </w:tabs>
        <w:spacing w:before="0" w:after="0"/>
        <w:ind w:left="707" w:hanging="283"/>
        <w:jc w:val="both"/>
        <w:rPr>
          <w:sz w:val="20"/>
        </w:rPr>
      </w:pPr>
      <w:r>
        <w:rPr>
          <w:rFonts w:ascii="Times New Roman" w:hAnsi="Times New Roman"/>
          <w:sz w:val="20"/>
        </w:rPr>
        <w:t>Are competitive with companies of comparable size;</w:t>
        <w:br/>
        <w:t> </w:t>
      </w:r>
      <w:r>
        <w:rPr>
          <w:sz w:val="20"/>
        </w:rPr>
        <w:t xml:space="preserve"> </w:t>
      </w:r>
    </w:p>
    <w:p>
      <w:pPr>
        <w:pStyle w:val="TextBody"/>
        <w:numPr>
          <w:ilvl w:val="0"/>
          <w:numId w:val="6"/>
        </w:numPr>
        <w:tabs>
          <w:tab w:val="clear" w:pos="1134"/>
          <w:tab w:val="left" w:pos="707" w:leader="none"/>
        </w:tabs>
        <w:spacing w:before="0" w:after="0"/>
        <w:ind w:left="707" w:hanging="283"/>
        <w:jc w:val="both"/>
        <w:rPr>
          <w:sz w:val="20"/>
        </w:rPr>
      </w:pPr>
      <w:r>
        <w:rPr>
          <w:rFonts w:ascii="Times New Roman" w:hAnsi="Times New Roman"/>
          <w:sz w:val="20"/>
        </w:rPr>
        <w:t>Align compensation with the Companys overall performance by including annual incentive</w:t>
      </w:r>
      <w:r>
        <w:rPr>
          <w:sz w:val="20"/>
        </w:rPr>
        <w:t xml:space="preserve"> </w:t>
      </w:r>
      <w:r>
        <w:rPr>
          <w:rFonts w:ascii="Times New Roman" w:hAnsi="Times New Roman"/>
          <w:sz w:val="20"/>
        </w:rPr>
        <w:t>opportunities based on Company performance or other pre-determined performance goals and</w:t>
      </w:r>
      <w:r>
        <w:rPr>
          <w:sz w:val="20"/>
        </w:rPr>
        <w:t xml:space="preserve"> </w:t>
      </w:r>
      <w:r>
        <w:rPr>
          <w:rFonts w:ascii="Times New Roman" w:hAnsi="Times New Roman"/>
          <w:sz w:val="20"/>
        </w:rPr>
        <w:t>employees levels of responsibility; and</w:t>
        <w:br/>
        <w:t> </w:t>
      </w:r>
      <w:r>
        <w:rPr>
          <w:sz w:val="20"/>
        </w:rPr>
        <w:t xml:space="preserve"> </w:t>
      </w:r>
    </w:p>
    <w:p>
      <w:pPr>
        <w:pStyle w:val="TextBody"/>
        <w:numPr>
          <w:ilvl w:val="0"/>
          <w:numId w:val="6"/>
        </w:numPr>
        <w:tabs>
          <w:tab w:val="clear" w:pos="1134"/>
          <w:tab w:val="left" w:pos="707" w:leader="none"/>
        </w:tabs>
        <w:ind w:left="707" w:hanging="283"/>
        <w:jc w:val="both"/>
        <w:rPr>
          <w:sz w:val="20"/>
        </w:rPr>
      </w:pPr>
      <w:r>
        <w:rPr>
          <w:rFonts w:ascii="Times New Roman" w:hAnsi="Times New Roman"/>
          <w:sz w:val="20"/>
        </w:rPr>
        <w:t>Provide longer-term incentives to executive officers and other senior managers to remain with the</w:t>
      </w:r>
      <w:r>
        <w:rPr>
          <w:sz w:val="20"/>
        </w:rPr>
        <w:t xml:space="preserve"> </w:t>
      </w:r>
      <w:r>
        <w:rPr>
          <w:rFonts w:ascii="Times New Roman" w:hAnsi="Times New Roman"/>
          <w:sz w:val="20"/>
        </w:rPr>
        <w:t>Company and contribute to our growth.</w:t>
      </w:r>
      <w:r>
        <w:rPr>
          <w:sz w:val="20"/>
        </w:rPr>
        <w:t xml:space="preserve"> </w:t>
      </w:r>
    </w:p>
    <w:p>
      <w:pPr>
        <w:pStyle w:val="TextBody"/>
        <w:jc w:val="both"/>
        <w:rPr/>
      </w:pPr>
      <w:r>
        <w:rPr/>
        <w:t xml:space="preserve">     </w:t>
      </w:r>
      <w:r>
        <w:rPr>
          <w:rFonts w:ascii="Times New Roman" w:hAnsi="Times New Roman"/>
          <w:sz w:val="20"/>
        </w:rPr>
        <w:t>When comparing our executive compensation with pertinent market data, we refer to publicly available salary surveys prepared and published by several large consulting firms and other information reflecting a broad range of entities. The surveys we review provide broad-based compensation data for a vast range of positions. We review these surveys and information to obtain a general understanding of current compensation practices for specific positions. On occasion, we also consult with our outside legal counsel whose expertise is in the area of executive compensation. We do not, however, target our executive officers compensation at a certain level or percentage based on other companies compensation arrangements. Based on our review of these sources, we believe that our compensation policy approximates the median of the marketplace in base salary and the 70</w:t>
      </w:r>
      <w:r>
        <w:rPr>
          <w:rFonts w:ascii="Times New Roman" w:hAnsi="Times New Roman"/>
          <w:position w:val="7"/>
          <w:sz w:val="16"/>
          <w:sz w:val="20"/>
        </w:rPr>
        <w:t xml:space="preserve">th </w:t>
      </w:r>
      <w:r>
        <w:rPr>
          <w:rFonts w:ascii="Times New Roman" w:hAnsi="Times New Roman"/>
          <w:sz w:val="20"/>
        </w:rPr>
        <w:t>percentile in total cash compensation, if full target bonus is paid under our annual incentive plan.</w:t>
      </w:r>
    </w:p>
    <w:p>
      <w:pPr>
        <w:pStyle w:val="TextBody"/>
        <w:jc w:val="both"/>
        <w:rPr>
          <w:rFonts w:ascii="Times New Roman" w:hAnsi="Times New Roman"/>
          <w:b/>
          <w:sz w:val="20"/>
        </w:rPr>
      </w:pPr>
      <w:r>
        <w:rPr>
          <w:rFonts w:ascii="Times New Roman" w:hAnsi="Times New Roman"/>
          <w:b/>
          <w:sz w:val="20"/>
        </w:rPr>
        <w:t>Overview of Executive Compensation Program and Components</w:t>
      </w:r>
    </w:p>
    <w:p>
      <w:pPr>
        <w:pStyle w:val="TextBody"/>
        <w:jc w:val="both"/>
        <w:rPr/>
      </w:pPr>
      <w:r>
        <w:rPr/>
        <w:t xml:space="preserve">     </w:t>
      </w:r>
      <w:r>
        <w:rPr>
          <w:rFonts w:ascii="Times New Roman" w:hAnsi="Times New Roman"/>
          <w:sz w:val="20"/>
        </w:rPr>
        <w:t>Our compensation program generally provides equivalent benefits for all U.S.-based salaried employees and similar benefits for hourly-paid manufacturing employees. We provide additional compensation for our senior managers, including our executive officers, designed to reward performance and provide retirement benefits commensurate with the executives earnings during their working lives. For fiscal 2013, the principal components of compensation for our executive officers were:</w:t>
      </w:r>
    </w:p>
    <w:p>
      <w:pPr>
        <w:pStyle w:val="TextBody"/>
        <w:numPr>
          <w:ilvl w:val="0"/>
          <w:numId w:val="7"/>
        </w:numPr>
        <w:tabs>
          <w:tab w:val="clear" w:pos="1134"/>
          <w:tab w:val="left" w:pos="707" w:leader="none"/>
        </w:tabs>
        <w:spacing w:before="0" w:after="0"/>
        <w:ind w:left="707" w:hanging="283"/>
        <w:jc w:val="both"/>
        <w:rPr>
          <w:sz w:val="20"/>
        </w:rPr>
      </w:pPr>
      <w:r>
        <w:rPr>
          <w:rFonts w:ascii="Times New Roman" w:hAnsi="Times New Roman"/>
          <w:sz w:val="20"/>
        </w:rPr>
        <w:t>Base salary;</w:t>
        <w:br/>
        <w:t> </w:t>
      </w:r>
      <w:r>
        <w:rPr>
          <w:sz w:val="20"/>
        </w:rPr>
        <w:t xml:space="preserve"> </w:t>
      </w:r>
    </w:p>
    <w:p>
      <w:pPr>
        <w:pStyle w:val="TextBody"/>
        <w:numPr>
          <w:ilvl w:val="0"/>
          <w:numId w:val="7"/>
        </w:numPr>
        <w:tabs>
          <w:tab w:val="clear" w:pos="1134"/>
          <w:tab w:val="left" w:pos="707" w:leader="none"/>
        </w:tabs>
        <w:spacing w:before="0" w:after="0"/>
        <w:ind w:left="707" w:hanging="283"/>
        <w:jc w:val="both"/>
        <w:rPr>
          <w:sz w:val="20"/>
        </w:rPr>
      </w:pPr>
      <w:r>
        <w:rPr>
          <w:rFonts w:ascii="Times New Roman" w:hAnsi="Times New Roman"/>
          <w:sz w:val="20"/>
        </w:rPr>
        <w:t>Annual performance-based cash incentive compensation;</w:t>
        <w:br/>
        <w:t> </w:t>
      </w:r>
      <w:r>
        <w:rPr>
          <w:sz w:val="20"/>
        </w:rPr>
        <w:t xml:space="preserve"> </w:t>
      </w:r>
    </w:p>
    <w:p>
      <w:pPr>
        <w:pStyle w:val="TextBody"/>
        <w:numPr>
          <w:ilvl w:val="0"/>
          <w:numId w:val="7"/>
        </w:numPr>
        <w:tabs>
          <w:tab w:val="clear" w:pos="1134"/>
          <w:tab w:val="left" w:pos="707" w:leader="none"/>
        </w:tabs>
        <w:spacing w:before="0" w:after="0"/>
        <w:ind w:left="707" w:hanging="283"/>
        <w:jc w:val="both"/>
        <w:rPr>
          <w:sz w:val="20"/>
        </w:rPr>
      </w:pPr>
      <w:r>
        <w:rPr>
          <w:rFonts w:ascii="Times New Roman" w:hAnsi="Times New Roman"/>
          <w:sz w:val="20"/>
        </w:rPr>
        <w:t>Deferred performance-based cash incentive compensation;</w:t>
        <w:br/>
        <w:t> </w:t>
      </w:r>
      <w:r>
        <w:rPr>
          <w:sz w:val="20"/>
        </w:rPr>
        <w:t xml:space="preserve"> </w:t>
      </w:r>
    </w:p>
    <w:p>
      <w:pPr>
        <w:pStyle w:val="TextBody"/>
        <w:numPr>
          <w:ilvl w:val="0"/>
          <w:numId w:val="7"/>
        </w:numPr>
        <w:tabs>
          <w:tab w:val="clear" w:pos="1134"/>
          <w:tab w:val="left" w:pos="707" w:leader="none"/>
        </w:tabs>
        <w:spacing w:before="0" w:after="0"/>
        <w:ind w:left="707" w:hanging="283"/>
        <w:jc w:val="both"/>
        <w:rPr>
          <w:sz w:val="20"/>
        </w:rPr>
      </w:pPr>
      <w:r>
        <w:rPr>
          <w:rFonts w:ascii="Times New Roman" w:hAnsi="Times New Roman"/>
          <w:sz w:val="20"/>
        </w:rPr>
        <w:t>Retirement benefits; and</w:t>
        <w:br/>
        <w:t> </w:t>
      </w:r>
      <w:r>
        <w:rPr>
          <w:sz w:val="20"/>
        </w:rPr>
        <w:t xml:space="preserve"> </w:t>
      </w:r>
    </w:p>
    <w:p>
      <w:pPr>
        <w:pStyle w:val="TextBody"/>
        <w:numPr>
          <w:ilvl w:val="0"/>
          <w:numId w:val="7"/>
        </w:numPr>
        <w:tabs>
          <w:tab w:val="clear" w:pos="1134"/>
          <w:tab w:val="left" w:pos="707" w:leader="none"/>
        </w:tabs>
        <w:ind w:left="707" w:hanging="283"/>
        <w:jc w:val="both"/>
        <w:rPr>
          <w:sz w:val="20"/>
        </w:rPr>
      </w:pPr>
      <w:r>
        <w:rPr>
          <w:rFonts w:ascii="Times New Roman" w:hAnsi="Times New Roman"/>
          <w:sz w:val="20"/>
        </w:rPr>
        <w:t>Health and welfare benefits and perquisites.</w:t>
      </w:r>
      <w:r>
        <w:rPr>
          <w:sz w:val="20"/>
        </w:rPr>
        <w:t xml:space="preserve"> </w:t>
      </w:r>
    </w:p>
    <w:p>
      <w:pPr>
        <w:pStyle w:val="TextBody"/>
        <w:jc w:val="both"/>
        <w:rPr/>
      </w:pPr>
      <w:r>
        <w:rPr/>
        <w:t xml:space="preserve">     </w:t>
      </w:r>
      <w:r>
        <w:rPr>
          <w:rStyle w:val="StrongEmphasis"/>
          <w:rFonts w:ascii="Times New Roman" w:hAnsi="Times New Roman"/>
          <w:sz w:val="20"/>
        </w:rPr>
        <w:t xml:space="preserve">Base Salary: </w:t>
      </w:r>
      <w:r>
        <w:rPr>
          <w:rFonts w:ascii="Times New Roman" w:hAnsi="Times New Roman"/>
          <w:sz w:val="20"/>
        </w:rPr>
        <w:t>Prior to the beginning of each fiscal year, our human resources staff presents to our Compensation Committee, for its review and approval, proposed merit increase guidelines and proposed shifts in the mid-points of all salary ranges and any proposed change in salary ranges for the upcoming fiscal year.</w:t>
      </w:r>
    </w:p>
    <w:p>
      <w:pPr>
        <w:pStyle w:val="TextBody"/>
        <w:jc w:val="both"/>
        <w:rPr/>
      </w:pPr>
      <w:r>
        <w:rPr/>
        <w:t xml:space="preserve">     </w:t>
      </w:r>
      <w:r>
        <w:rPr>
          <w:rFonts w:ascii="Times New Roman" w:hAnsi="Times New Roman"/>
          <w:sz w:val="20"/>
        </w:rPr>
        <w:t>Our Compensation Committee determines the base salary and other compensation to be paid to our CEO for the upcoming year and reviews and approves our CEOs goals and objectives for that year. In connection with its review and determination, our Compensation Committee considers the input of the Chairman of our Board of Directors, who conducts a detailed review of the performance of our CEO at the end of each fiscal year and presents that review to our Compensation Committee at its first regular meeting of each fiscal year. At that time, the Chairman of our Board of Directors also presents his recommendation for any change in base salary or other compensation components for our CEO and his recommendation for our CEOs goals and objectives for the upcoming year.</w:t>
      </w:r>
    </w:p>
    <w:p>
      <w:pPr>
        <w:pStyle w:val="TextBody"/>
        <w:jc w:val="center"/>
        <w:rPr>
          <w:rFonts w:ascii="Times New Roman" w:hAnsi="Times New Roman"/>
          <w:sz w:val="20"/>
        </w:rPr>
      </w:pPr>
      <w:r>
        <w:rPr>
          <w:rFonts w:ascii="Times New Roman" w:hAnsi="Times New Roman"/>
          <w:sz w:val="20"/>
        </w:rPr>
        <w:t>25</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Our Compensation Committee determines the reasonableness of and approves the compensation of our other executive officers as recommended by our CEO. In connection with such determinations, our CEO reviews the performance of, and proposes salary increases for, all managers who report to him, including executive officers other than himself. Any increases are generally based upon the individuals performance during the previous year and/or any significant change in responsibilities for the upcoming year. Our Compensation Committee reviews the reasonableness of any proposed changes in base salary and the total compensation package provided to our executive officers. In conducting its review and making its determinations, our Compensation Committee reviews a three-year history of base salary, cash incentive bonus targets and payouts, and gains on equity awards, prepared by our human resources staff. During the fiscal year, our CEO may change the base salary of the managers who report to him, including our executive officers, without prior approval of our Compensation Committee, due to significant changes in the individuals responsibilities, to be competitive in the market or for other business reasons. Our CEO exercised this authority during fiscal 2013 as shown below.</w:t>
      </w:r>
    </w:p>
    <w:p>
      <w:pPr>
        <w:pStyle w:val="TextBody"/>
        <w:jc w:val="both"/>
        <w:rPr/>
      </w:pPr>
      <w:r>
        <w:rPr/>
        <w:t xml:space="preserve">     </w:t>
      </w:r>
      <w:r>
        <w:rPr>
          <w:rFonts w:ascii="Times New Roman" w:hAnsi="Times New Roman"/>
          <w:sz w:val="20"/>
        </w:rPr>
        <w:t>During fiscal 2013, changes in base salary for the named executive officers were as follows:</w:t>
      </w:r>
    </w:p>
    <w:tbl>
      <w:tblPr>
        <w:tblW w:w="4000" w:type="pct"/>
        <w:jc w:val="center"/>
        <w:tblInd w:w="0" w:type="dxa"/>
        <w:tblCellMar>
          <w:top w:w="0" w:type="dxa"/>
          <w:left w:w="0" w:type="dxa"/>
          <w:bottom w:w="28" w:type="dxa"/>
          <w:right w:w="0" w:type="dxa"/>
        </w:tblCellMar>
      </w:tblPr>
      <w:tblGrid>
        <w:gridCol w:w="2454"/>
        <w:gridCol w:w="308"/>
        <w:gridCol w:w="1822"/>
        <w:gridCol w:w="308"/>
        <w:gridCol w:w="492"/>
        <w:gridCol w:w="656"/>
        <w:gridCol w:w="427"/>
        <w:gridCol w:w="308"/>
        <w:gridCol w:w="1389"/>
      </w:tblGrid>
      <w:tr>
        <w:trPr/>
        <w:tc>
          <w:tcPr>
            <w:tcW w:w="2454"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08" w:type="dxa"/>
            <w:tcBorders>
              <w:bottom w:val="single" w:sz="8" w:space="0" w:color="000000"/>
            </w:tcBorders>
            <w:shd w:fill="auto" w:val="clear"/>
            <w:vAlign w:val="bottom"/>
          </w:tcPr>
          <w:p>
            <w:pPr>
              <w:pStyle w:val="TableContents"/>
              <w:spacing w:before="0" w:after="283"/>
              <w:rPr>
                <w:sz w:val="4"/>
                <w:szCs w:val="4"/>
              </w:rPr>
            </w:pPr>
            <w:r>
              <w:rPr>
                <w:sz w:val="4"/>
                <w:szCs w:val="4"/>
              </w:rPr>
            </w:r>
          </w:p>
        </w:tc>
        <w:tc>
          <w:tcPr>
            <w:tcW w:w="1822"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Type of Change</w:t>
            </w:r>
          </w:p>
        </w:tc>
        <w:tc>
          <w:tcPr>
            <w:tcW w:w="308" w:type="dxa"/>
            <w:tcBorders>
              <w:bottom w:val="single" w:sz="8" w:space="0" w:color="000000"/>
            </w:tcBorders>
            <w:shd w:fill="auto" w:val="clear"/>
            <w:vAlign w:val="bottom"/>
          </w:tcPr>
          <w:p>
            <w:pPr>
              <w:pStyle w:val="TableContents"/>
              <w:spacing w:before="0" w:after="283"/>
              <w:rPr>
                <w:sz w:val="4"/>
                <w:szCs w:val="4"/>
              </w:rPr>
            </w:pPr>
            <w:r>
              <w:rPr>
                <w:sz w:val="4"/>
                <w:szCs w:val="4"/>
              </w:rPr>
            </w:r>
          </w:p>
        </w:tc>
        <w:tc>
          <w:tcPr>
            <w:tcW w:w="1575" w:type="dxa"/>
            <w:gridSpan w:val="3"/>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 of Change (1)</w:t>
            </w:r>
          </w:p>
        </w:tc>
        <w:tc>
          <w:tcPr>
            <w:tcW w:w="308" w:type="dxa"/>
            <w:tcBorders>
              <w:bottom w:val="single" w:sz="8" w:space="0" w:color="000000"/>
            </w:tcBorders>
            <w:shd w:fill="auto" w:val="clear"/>
            <w:vAlign w:val="bottom"/>
          </w:tcPr>
          <w:p>
            <w:pPr>
              <w:pStyle w:val="TableContents"/>
              <w:spacing w:before="0" w:after="283"/>
              <w:rPr>
                <w:sz w:val="4"/>
                <w:szCs w:val="4"/>
              </w:rPr>
            </w:pPr>
            <w:r>
              <w:rPr>
                <w:sz w:val="4"/>
                <w:szCs w:val="4"/>
              </w:rPr>
            </w:r>
          </w:p>
        </w:tc>
        <w:tc>
          <w:tcPr>
            <w:tcW w:w="1389"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 of Change (2)</w:t>
            </w:r>
          </w:p>
        </w:tc>
      </w:tr>
      <w:tr>
        <w:trPr/>
        <w:tc>
          <w:tcPr>
            <w:tcW w:w="2454"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Daniel S. Jaffee (3)</w:t>
            </w:r>
          </w:p>
        </w:tc>
        <w:tc>
          <w:tcPr>
            <w:tcW w:w="308" w:type="dxa"/>
            <w:tcBorders/>
            <w:shd w:fill="C0C0C0" w:val="clear"/>
            <w:tcMar>
              <w:bottom w:w="0" w:type="dxa"/>
            </w:tcMar>
            <w:vAlign w:val="bottom"/>
          </w:tcPr>
          <w:p>
            <w:pPr>
              <w:pStyle w:val="TableContents"/>
              <w:spacing w:before="0" w:after="283"/>
              <w:jc w:val="center"/>
              <w:rPr/>
            </w:pPr>
            <w:r>
              <w:rPr/>
              <w:t>     </w:t>
            </w:r>
          </w:p>
        </w:tc>
        <w:tc>
          <w:tcPr>
            <w:tcW w:w="1822"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Merit Increase</w:t>
            </w:r>
          </w:p>
        </w:tc>
        <w:tc>
          <w:tcPr>
            <w:tcW w:w="308" w:type="dxa"/>
            <w:tcBorders/>
            <w:shd w:fill="C0C0C0" w:val="clear"/>
            <w:tcMar>
              <w:bottom w:w="0" w:type="dxa"/>
            </w:tcMar>
            <w:vAlign w:val="bottom"/>
          </w:tcPr>
          <w:p>
            <w:pPr>
              <w:pStyle w:val="TableContents"/>
              <w:spacing w:before="0" w:after="283"/>
              <w:jc w:val="right"/>
              <w:rPr/>
            </w:pPr>
            <w:r>
              <w:rPr/>
              <w:t>     </w:t>
            </w:r>
          </w:p>
        </w:tc>
        <w:tc>
          <w:tcPr>
            <w:tcW w:w="492" w:type="dxa"/>
            <w:tcBorders/>
            <w:shd w:fill="C0C0C0" w:val="clear"/>
            <w:tcMar>
              <w:bottom w:w="0" w:type="dxa"/>
            </w:tcMar>
            <w:vAlign w:val="bottom"/>
          </w:tcPr>
          <w:p>
            <w:pPr>
              <w:pStyle w:val="TableContents"/>
              <w:spacing w:before="0" w:after="283"/>
              <w:jc w:val="right"/>
              <w:rPr/>
            </w:pPr>
            <w:r>
              <w:rPr/>
              <w:t xml:space="preserve">      </w:t>
            </w:r>
            <w:r>
              <w:rPr>
                <w:rFonts w:ascii="Times New Roman" w:hAnsi="Times New Roman"/>
                <w:sz w:val="20"/>
              </w:rPr>
              <w:t>$</w:t>
            </w:r>
          </w:p>
        </w:tc>
        <w:tc>
          <w:tcPr>
            <w:tcW w:w="656" w:type="dxa"/>
            <w:tcBorders/>
            <w:shd w:fill="C0C0C0" w:val="clear"/>
            <w:tcMar>
              <w:bottom w:w="0" w:type="dxa"/>
            </w:tcMar>
            <w:vAlign w:val="bottom"/>
          </w:tcPr>
          <w:p>
            <w:pPr>
              <w:pStyle w:val="TableContents"/>
              <w:spacing w:before="0" w:after="283"/>
              <w:jc w:val="right"/>
              <w:rPr/>
            </w:pPr>
            <w:r>
              <w:rPr/>
              <w:t> </w:t>
            </w:r>
            <w:r>
              <w:rPr>
                <w:rFonts w:ascii="Times New Roman" w:hAnsi="Times New Roman"/>
                <w:sz w:val="20"/>
              </w:rPr>
              <w:t>25,000</w:t>
            </w:r>
          </w:p>
        </w:tc>
        <w:tc>
          <w:tcPr>
            <w:tcW w:w="427" w:type="dxa"/>
            <w:tcBorders/>
            <w:shd w:fill="C0C0C0" w:val="clear"/>
            <w:tcMar>
              <w:bottom w:w="0" w:type="dxa"/>
            </w:tcMar>
            <w:vAlign w:val="bottom"/>
          </w:tcPr>
          <w:p>
            <w:pPr>
              <w:pStyle w:val="TableContents"/>
              <w:spacing w:before="0" w:after="283"/>
              <w:jc w:val="right"/>
              <w:rPr/>
            </w:pPr>
            <w:r>
              <w:rPr/>
              <w:t xml:space="preserve">       </w:t>
            </w:r>
          </w:p>
        </w:tc>
        <w:tc>
          <w:tcPr>
            <w:tcW w:w="308" w:type="dxa"/>
            <w:tcBorders/>
            <w:shd w:fill="C0C0C0" w:val="clear"/>
            <w:tcMar>
              <w:bottom w:w="0" w:type="dxa"/>
            </w:tcMar>
            <w:vAlign w:val="bottom"/>
          </w:tcPr>
          <w:p>
            <w:pPr>
              <w:pStyle w:val="TableContents"/>
              <w:spacing w:before="0" w:after="283"/>
              <w:jc w:val="right"/>
              <w:rPr/>
            </w:pPr>
            <w:r>
              <w:rPr/>
              <w:t>     </w:t>
            </w:r>
          </w:p>
        </w:tc>
        <w:tc>
          <w:tcPr>
            <w:tcW w:w="1389"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5.00%</w:t>
            </w:r>
          </w:p>
        </w:tc>
      </w:tr>
      <w:tr>
        <w:trPr/>
        <w:tc>
          <w:tcPr>
            <w:tcW w:w="2454"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8" w:type="dxa"/>
            <w:tcBorders/>
            <w:shd w:fill="auto" w:val="clear"/>
            <w:tcMar>
              <w:bottom w:w="0" w:type="dxa"/>
            </w:tcMar>
            <w:vAlign w:val="bottom"/>
          </w:tcPr>
          <w:p>
            <w:pPr>
              <w:pStyle w:val="TableContents"/>
              <w:spacing w:before="0" w:after="283"/>
              <w:rPr>
                <w:sz w:val="4"/>
                <w:szCs w:val="4"/>
              </w:rPr>
            </w:pPr>
            <w:r>
              <w:rPr>
                <w:sz w:val="4"/>
                <w:szCs w:val="4"/>
              </w:rPr>
            </w:r>
          </w:p>
        </w:tc>
        <w:tc>
          <w:tcPr>
            <w:tcW w:w="1822"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Merit Increase</w:t>
            </w:r>
          </w:p>
        </w:tc>
        <w:tc>
          <w:tcPr>
            <w:tcW w:w="308" w:type="dxa"/>
            <w:tcBorders/>
            <w:shd w:fill="auto" w:val="clear"/>
            <w:tcMar>
              <w:bottom w:w="0" w:type="dxa"/>
            </w:tcMar>
            <w:vAlign w:val="bottom"/>
          </w:tcPr>
          <w:p>
            <w:pPr>
              <w:pStyle w:val="TableContents"/>
              <w:spacing w:before="0" w:after="283"/>
              <w:rPr>
                <w:sz w:val="4"/>
                <w:szCs w:val="4"/>
              </w:rPr>
            </w:pPr>
            <w:r>
              <w:rPr>
                <w:sz w:val="4"/>
                <w:szCs w:val="4"/>
              </w:rPr>
            </w:r>
          </w:p>
        </w:tc>
        <w:tc>
          <w:tcPr>
            <w:tcW w:w="49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427" w:type="dxa"/>
            <w:tcBorders/>
            <w:shd w:fill="auto" w:val="clear"/>
            <w:tcMar>
              <w:bottom w:w="0" w:type="dxa"/>
            </w:tcMar>
            <w:vAlign w:val="bottom"/>
          </w:tcPr>
          <w:p>
            <w:pPr>
              <w:pStyle w:val="TableContents"/>
              <w:spacing w:before="0" w:after="283"/>
              <w:rPr>
                <w:sz w:val="4"/>
                <w:szCs w:val="4"/>
              </w:rPr>
            </w:pPr>
            <w:r>
              <w:rPr>
                <w:sz w:val="4"/>
                <w:szCs w:val="4"/>
              </w:rPr>
            </w:r>
          </w:p>
        </w:tc>
        <w:tc>
          <w:tcPr>
            <w:tcW w:w="308" w:type="dxa"/>
            <w:tcBorders/>
            <w:shd w:fill="auto" w:val="clear"/>
            <w:tcMar>
              <w:bottom w:w="0" w:type="dxa"/>
            </w:tcMar>
            <w:vAlign w:val="bottom"/>
          </w:tcPr>
          <w:p>
            <w:pPr>
              <w:pStyle w:val="TableContents"/>
              <w:spacing w:before="0" w:after="283"/>
              <w:rPr>
                <w:sz w:val="4"/>
                <w:szCs w:val="4"/>
              </w:rPr>
            </w:pPr>
            <w:r>
              <w:rPr>
                <w:sz w:val="4"/>
                <w:szCs w:val="4"/>
              </w:rPr>
            </w:r>
          </w:p>
        </w:tc>
        <w:tc>
          <w:tcPr>
            <w:tcW w:w="1389"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5.00%</w:t>
            </w:r>
          </w:p>
        </w:tc>
      </w:tr>
      <w:tr>
        <w:trPr/>
        <w:tc>
          <w:tcPr>
            <w:tcW w:w="2454"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8" w:type="dxa"/>
            <w:tcBorders/>
            <w:shd w:fill="C0C0C0" w:val="clear"/>
            <w:tcMar>
              <w:bottom w:w="0" w:type="dxa"/>
            </w:tcMar>
            <w:vAlign w:val="bottom"/>
          </w:tcPr>
          <w:p>
            <w:pPr>
              <w:pStyle w:val="TableContents"/>
              <w:spacing w:before="0" w:after="283"/>
              <w:rPr>
                <w:sz w:val="4"/>
                <w:szCs w:val="4"/>
              </w:rPr>
            </w:pPr>
            <w:r>
              <w:rPr>
                <w:sz w:val="4"/>
                <w:szCs w:val="4"/>
              </w:rPr>
            </w:r>
          </w:p>
        </w:tc>
        <w:tc>
          <w:tcPr>
            <w:tcW w:w="1822"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Merit/Market Increase</w:t>
            </w:r>
          </w:p>
        </w:tc>
        <w:tc>
          <w:tcPr>
            <w:tcW w:w="308" w:type="dxa"/>
            <w:tcBorders/>
            <w:shd w:fill="C0C0C0" w:val="clear"/>
            <w:tcMar>
              <w:bottom w:w="0" w:type="dxa"/>
            </w:tcMar>
            <w:vAlign w:val="bottom"/>
          </w:tcPr>
          <w:p>
            <w:pPr>
              <w:pStyle w:val="TableContents"/>
              <w:spacing w:before="0" w:after="283"/>
              <w:rPr>
                <w:sz w:val="4"/>
                <w:szCs w:val="4"/>
              </w:rPr>
            </w:pPr>
            <w:r>
              <w:rPr>
                <w:sz w:val="4"/>
                <w:szCs w:val="4"/>
              </w:rPr>
            </w:r>
          </w:p>
        </w:tc>
        <w:tc>
          <w:tcPr>
            <w:tcW w:w="49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427" w:type="dxa"/>
            <w:tcBorders/>
            <w:shd w:fill="C0C0C0" w:val="clear"/>
            <w:tcMar>
              <w:bottom w:w="0" w:type="dxa"/>
            </w:tcMar>
            <w:vAlign w:val="bottom"/>
          </w:tcPr>
          <w:p>
            <w:pPr>
              <w:pStyle w:val="TableContents"/>
              <w:spacing w:before="0" w:after="283"/>
              <w:rPr>
                <w:sz w:val="4"/>
                <w:szCs w:val="4"/>
              </w:rPr>
            </w:pPr>
            <w:r>
              <w:rPr>
                <w:sz w:val="4"/>
                <w:szCs w:val="4"/>
              </w:rPr>
            </w:r>
          </w:p>
        </w:tc>
        <w:tc>
          <w:tcPr>
            <w:tcW w:w="308" w:type="dxa"/>
            <w:tcBorders/>
            <w:shd w:fill="C0C0C0" w:val="clear"/>
            <w:tcMar>
              <w:bottom w:w="0" w:type="dxa"/>
            </w:tcMar>
            <w:vAlign w:val="bottom"/>
          </w:tcPr>
          <w:p>
            <w:pPr>
              <w:pStyle w:val="TableContents"/>
              <w:spacing w:before="0" w:after="283"/>
              <w:rPr>
                <w:sz w:val="4"/>
                <w:szCs w:val="4"/>
              </w:rPr>
            </w:pPr>
            <w:r>
              <w:rPr>
                <w:sz w:val="4"/>
                <w:szCs w:val="4"/>
              </w:rPr>
            </w:r>
          </w:p>
        </w:tc>
        <w:tc>
          <w:tcPr>
            <w:tcW w:w="1389"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4.17%</w:t>
            </w:r>
          </w:p>
        </w:tc>
      </w:tr>
      <w:tr>
        <w:trPr/>
        <w:tc>
          <w:tcPr>
            <w:tcW w:w="2454"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08" w:type="dxa"/>
            <w:tcBorders/>
            <w:shd w:fill="auto" w:val="clear"/>
            <w:tcMar>
              <w:bottom w:w="0" w:type="dxa"/>
            </w:tcMar>
            <w:vAlign w:val="bottom"/>
          </w:tcPr>
          <w:p>
            <w:pPr>
              <w:pStyle w:val="TableContents"/>
              <w:spacing w:before="0" w:after="283"/>
              <w:rPr>
                <w:sz w:val="4"/>
                <w:szCs w:val="4"/>
              </w:rPr>
            </w:pPr>
            <w:r>
              <w:rPr>
                <w:sz w:val="4"/>
                <w:szCs w:val="4"/>
              </w:rPr>
            </w:r>
          </w:p>
        </w:tc>
        <w:tc>
          <w:tcPr>
            <w:tcW w:w="1822"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Merit Increase</w:t>
            </w:r>
          </w:p>
        </w:tc>
        <w:tc>
          <w:tcPr>
            <w:tcW w:w="308" w:type="dxa"/>
            <w:tcBorders/>
            <w:shd w:fill="auto" w:val="clear"/>
            <w:tcMar>
              <w:bottom w:w="0" w:type="dxa"/>
            </w:tcMar>
            <w:vAlign w:val="bottom"/>
          </w:tcPr>
          <w:p>
            <w:pPr>
              <w:pStyle w:val="TableContents"/>
              <w:spacing w:before="0" w:after="283"/>
              <w:rPr>
                <w:sz w:val="4"/>
                <w:szCs w:val="4"/>
              </w:rPr>
            </w:pPr>
            <w:r>
              <w:rPr>
                <w:sz w:val="4"/>
                <w:szCs w:val="4"/>
              </w:rPr>
            </w:r>
          </w:p>
        </w:tc>
        <w:tc>
          <w:tcPr>
            <w:tcW w:w="49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427" w:type="dxa"/>
            <w:tcBorders/>
            <w:shd w:fill="auto" w:val="clear"/>
            <w:tcMar>
              <w:bottom w:w="0" w:type="dxa"/>
            </w:tcMar>
            <w:vAlign w:val="bottom"/>
          </w:tcPr>
          <w:p>
            <w:pPr>
              <w:pStyle w:val="TableContents"/>
              <w:spacing w:before="0" w:after="283"/>
              <w:rPr>
                <w:sz w:val="4"/>
                <w:szCs w:val="4"/>
              </w:rPr>
            </w:pPr>
            <w:r>
              <w:rPr>
                <w:sz w:val="4"/>
                <w:szCs w:val="4"/>
              </w:rPr>
            </w:r>
          </w:p>
        </w:tc>
        <w:tc>
          <w:tcPr>
            <w:tcW w:w="308" w:type="dxa"/>
            <w:tcBorders/>
            <w:shd w:fill="auto" w:val="clear"/>
            <w:tcMar>
              <w:bottom w:w="0" w:type="dxa"/>
            </w:tcMar>
            <w:vAlign w:val="bottom"/>
          </w:tcPr>
          <w:p>
            <w:pPr>
              <w:pStyle w:val="TableContents"/>
              <w:spacing w:before="0" w:after="283"/>
              <w:rPr>
                <w:sz w:val="4"/>
                <w:szCs w:val="4"/>
              </w:rPr>
            </w:pPr>
            <w:r>
              <w:rPr>
                <w:sz w:val="4"/>
                <w:szCs w:val="4"/>
              </w:rPr>
            </w:r>
          </w:p>
        </w:tc>
        <w:tc>
          <w:tcPr>
            <w:tcW w:w="1389"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2.56%</w:t>
            </w:r>
          </w:p>
        </w:tc>
      </w:tr>
      <w:tr>
        <w:trPr/>
        <w:tc>
          <w:tcPr>
            <w:tcW w:w="2454"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08" w:type="dxa"/>
            <w:tcBorders/>
            <w:shd w:fill="C0C0C0" w:val="clear"/>
            <w:tcMar>
              <w:bottom w:w="0" w:type="dxa"/>
            </w:tcMar>
            <w:vAlign w:val="bottom"/>
          </w:tcPr>
          <w:p>
            <w:pPr>
              <w:pStyle w:val="TableContents"/>
              <w:spacing w:before="0" w:after="283"/>
              <w:rPr>
                <w:sz w:val="4"/>
                <w:szCs w:val="4"/>
              </w:rPr>
            </w:pPr>
            <w:r>
              <w:rPr>
                <w:sz w:val="4"/>
                <w:szCs w:val="4"/>
              </w:rPr>
            </w:r>
          </w:p>
        </w:tc>
        <w:tc>
          <w:tcPr>
            <w:tcW w:w="1822"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Merit Increase</w:t>
            </w:r>
          </w:p>
        </w:tc>
        <w:tc>
          <w:tcPr>
            <w:tcW w:w="308" w:type="dxa"/>
            <w:tcBorders/>
            <w:shd w:fill="C0C0C0" w:val="clear"/>
            <w:tcMar>
              <w:bottom w:w="0" w:type="dxa"/>
            </w:tcMar>
            <w:vAlign w:val="bottom"/>
          </w:tcPr>
          <w:p>
            <w:pPr>
              <w:pStyle w:val="TableContents"/>
              <w:spacing w:before="0" w:after="283"/>
              <w:rPr>
                <w:sz w:val="4"/>
                <w:szCs w:val="4"/>
              </w:rPr>
            </w:pPr>
            <w:r>
              <w:rPr>
                <w:sz w:val="4"/>
                <w:szCs w:val="4"/>
              </w:rPr>
            </w:r>
          </w:p>
        </w:tc>
        <w:tc>
          <w:tcPr>
            <w:tcW w:w="49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427" w:type="dxa"/>
            <w:tcBorders/>
            <w:shd w:fill="C0C0C0" w:val="clear"/>
            <w:tcMar>
              <w:bottom w:w="0" w:type="dxa"/>
            </w:tcMar>
            <w:vAlign w:val="bottom"/>
          </w:tcPr>
          <w:p>
            <w:pPr>
              <w:pStyle w:val="TableContents"/>
              <w:spacing w:before="0" w:after="283"/>
              <w:rPr>
                <w:sz w:val="4"/>
                <w:szCs w:val="4"/>
              </w:rPr>
            </w:pPr>
            <w:r>
              <w:rPr>
                <w:sz w:val="4"/>
                <w:szCs w:val="4"/>
              </w:rPr>
            </w:r>
          </w:p>
        </w:tc>
        <w:tc>
          <w:tcPr>
            <w:tcW w:w="308" w:type="dxa"/>
            <w:tcBorders/>
            <w:shd w:fill="C0C0C0" w:val="clear"/>
            <w:tcMar>
              <w:bottom w:w="0" w:type="dxa"/>
            </w:tcMar>
            <w:vAlign w:val="bottom"/>
          </w:tcPr>
          <w:p>
            <w:pPr>
              <w:pStyle w:val="TableContents"/>
              <w:spacing w:before="0" w:after="283"/>
              <w:rPr>
                <w:sz w:val="4"/>
                <w:szCs w:val="4"/>
              </w:rPr>
            </w:pPr>
            <w:r>
              <w:rPr>
                <w:sz w:val="4"/>
                <w:szCs w:val="4"/>
              </w:rPr>
            </w:r>
          </w:p>
        </w:tc>
        <w:tc>
          <w:tcPr>
            <w:tcW w:w="1389"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2.50%</w:t>
            </w:r>
          </w:p>
        </w:tc>
      </w:tr>
    </w:tbl>
    <w:p>
      <w:pPr>
        <w:pStyle w:val="TextBody"/>
        <w:rPr/>
      </w:pPr>
      <w:r>
        <w:rPr/>
      </w:r>
    </w:p>
    <w:p>
      <w:pPr>
        <w:pStyle w:val="TextBody"/>
        <w:jc w:val="both"/>
        <w:rPr>
          <w:rFonts w:ascii="Times New Roman" w:hAnsi="Times New Roman"/>
          <w:sz w:val="20"/>
        </w:rPr>
      </w:pPr>
      <w:r>
        <w:rPr>
          <w:rFonts w:ascii="Times New Roman" w:hAnsi="Times New Roman"/>
          <w:sz w:val="20"/>
        </w:rPr>
        <w:t>(1) The $ of Change is the difference in dollars between the base salary in effect at July 31, 2012 (the end of fiscal 2012) and the base salary in effect at the end of fiscal 2013. Not all of the salary adjustments were effective at the beginning of fiscal 2013; some were effective later in the fiscal year.</w:t>
      </w:r>
    </w:p>
    <w:p>
      <w:pPr>
        <w:pStyle w:val="TextBody"/>
        <w:jc w:val="both"/>
        <w:rPr>
          <w:rFonts w:ascii="Times New Roman" w:hAnsi="Times New Roman"/>
          <w:sz w:val="20"/>
        </w:rPr>
      </w:pPr>
      <w:r>
        <w:rPr>
          <w:rFonts w:ascii="Times New Roman" w:hAnsi="Times New Roman"/>
          <w:sz w:val="20"/>
        </w:rPr>
        <w:t>(2) The % of Change is the dollar change as a percent of base salary in effect at the end of fiscal 2012.</w:t>
      </w:r>
    </w:p>
    <w:p>
      <w:pPr>
        <w:pStyle w:val="TextBody"/>
        <w:jc w:val="both"/>
        <w:rPr>
          <w:rFonts w:ascii="Times New Roman" w:hAnsi="Times New Roman"/>
          <w:sz w:val="20"/>
        </w:rPr>
      </w:pPr>
      <w:r>
        <w:rPr>
          <w:rFonts w:ascii="Times New Roman" w:hAnsi="Times New Roman"/>
          <w:sz w:val="20"/>
        </w:rPr>
        <w:t>(3) As noted above, our Compensation Committee determines the base salary and other compensation to be paid to our CEO.</w:t>
      </w:r>
    </w:p>
    <w:p>
      <w:pPr>
        <w:pStyle w:val="TextBody"/>
        <w:jc w:val="both"/>
        <w:rPr/>
      </w:pPr>
      <w:r>
        <w:rPr/>
        <w:t xml:space="preserve">     </w:t>
      </w:r>
      <w:r>
        <w:rPr>
          <w:rStyle w:val="StrongEmphasis"/>
          <w:rFonts w:ascii="Times New Roman" w:hAnsi="Times New Roman"/>
          <w:sz w:val="20"/>
        </w:rPr>
        <w:t xml:space="preserve">Annual and Deferred Incentive Compensation: </w:t>
      </w:r>
      <w:r>
        <w:rPr>
          <w:rFonts w:ascii="Times New Roman" w:hAnsi="Times New Roman"/>
          <w:sz w:val="20"/>
        </w:rPr>
        <w:t>Our annual incentive plan provides for a target bonus equal to a percentage of each eligible employees annual base salary. This percentage is generally determined by salary grade, which reflects the level of responsibility and expected contribution of the employees position to our financial results. For employees in the higher salary grades (including our executive officers), a larger proportion of their compensation takes the form of at-risk incentive compensation than is the case for employees in the lower salary grades. For some of these employees, there is also an opportunity to earn an executive deferred bonus award. As part of its annual review of executive compensation, our Compensation Committee sets the bonus opportunity as a percent of base salary for our CEO and determines the reasonableness of the bonus opportunity proposed by our CEO for our other executive officers.</w:t>
      </w:r>
    </w:p>
    <w:p>
      <w:pPr>
        <w:pStyle w:val="TextBody"/>
        <w:jc w:val="both"/>
        <w:rPr/>
      </w:pPr>
      <w:r>
        <w:rPr/>
        <w:t xml:space="preserve">     </w:t>
      </w:r>
      <w:r>
        <w:rPr>
          <w:rStyle w:val="Emphasis"/>
          <w:rFonts w:ascii="Times New Roman" w:hAnsi="Times New Roman"/>
          <w:sz w:val="20"/>
        </w:rPr>
        <w:t xml:space="preserve">Annual Incentive Compensation: </w:t>
      </w:r>
      <w:r>
        <w:rPr>
          <w:rFonts w:ascii="Times New Roman" w:hAnsi="Times New Roman"/>
          <w:sz w:val="20"/>
        </w:rPr>
        <w:t>Our annual incentive plan provides for the possibility of awards based on corporate financial performance. This measure serves to unite all salaried employees to work together to improve the Companys performance. Generally, if we meet our corporate financial performance target, full target bonus is paid to each eligible exempt employee. If we fail to meet our corporate financial performance target but meet certain financial performance thresholds, a bonus of less than 100% of target bonus may be paid. If we exceed our corporate financial performance target, bonuses above 100% of target may be paid; however, no employee can receive a bonus greater than 200% of target under this plan. Non-exempt employees would earn 100% of target bonus at the threshold level and at the other applicable levels. In addition, our annual incentive plan gives our CEO the discretion to adjust the performance measures, targets and payout ranges used for incentive purposes if our CEO determines such change is desirable in the interest of equitable treatment of our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Our adjusted, pre-tax, pre-bonus income for fiscal 2013 resulted in cash incentive bonuses being paid to eligible exempt employees at 200% of target bonus.</w:t>
      </w:r>
    </w:p>
    <w:p>
      <w:pPr>
        <w:pStyle w:val="TextBody"/>
        <w:jc w:val="center"/>
        <w:rPr>
          <w:rFonts w:ascii="Times New Roman" w:hAnsi="Times New Roman"/>
          <w:sz w:val="20"/>
        </w:rPr>
      </w:pPr>
      <w:r>
        <w:rPr>
          <w:rFonts w:ascii="Times New Roman" w:hAnsi="Times New Roman"/>
          <w:sz w:val="20"/>
        </w:rPr>
        <w:t>26</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b/>
          <w:i/>
          <w:sz w:val="20"/>
        </w:rPr>
        <w:t>Deferred Incentive Compensation:</w:t>
      </w:r>
      <w:r>
        <w:rPr>
          <w:rFonts w:ascii="Times New Roman" w:hAnsi="Times New Roman"/>
          <w:sz w:val="20"/>
        </w:rPr>
        <w:t xml:space="preserve"> Our annual incentive plan also provides the opportunity for our senior managers, including our executive officers, to earn an executive deferred bonus award. This award is designed to reward and retain talented executives. Payment of executive deferred bonus awards is deferred until the vesting date established for each fiscal years award. The annual incentive plan also provides for payout of executive deferred bonus awards upon death, retirement, disability or a change in control of the Company. We have established bookkeeping accounts for all executive deferred bonus awards, which earn interest at a rate equal to our long-term cost of borrowing plus 1%. At the request of each of our CEO and our Vice President of Manufacturing, neither was eligible for an executive deferred bonus award for fiscal 2013. All of our other executive officers were eligible. Executive deferred bonuses, if awarded for fiscal 2013 performance, would be deferred and paid in full at the end of three years (July 31, 2016) provided the executive is still employed by us at that time. Our annual incentive plan gives our CEO the discretion to adjust the performance measures, targets and payout ranges used for executive deferred bonus purposes if our CEO determines such change is desirable in the interest of equitable treatment of our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Our adjusted, pre-tax, pre-bonus income for fiscal 2013 resulted in executive deferred bonus awards to our executive officers (other than our CEO and Vice President of Manufacturing), at 200% of target bonus.</w:t>
      </w:r>
    </w:p>
    <w:p>
      <w:pPr>
        <w:pStyle w:val="TextBody"/>
        <w:jc w:val="both"/>
        <w:rPr/>
      </w:pPr>
      <w:r>
        <w:rPr/>
        <w:t xml:space="preserve">     </w:t>
      </w:r>
      <w:r>
        <w:rPr>
          <w:rFonts w:ascii="Times New Roman" w:hAnsi="Times New Roman"/>
          <w:sz w:val="20"/>
        </w:rPr>
        <w:t>Although each of our CEO and Vice President of Manufacturing was not a participant in the executive deferred bonus award portion of our annual incentive plan for fiscal 2013, our Compensation Committee considered the dollar value of an executive deferred bonus award that each would have received had he been a participant in that portion of our annual incentive plan as a reference in awarding each of them shares of restricted Class B Stock under our 2006 Long Term Incentive Plan in October 2013 (as described under Long-Term Equity Incentives below).</w:t>
      </w:r>
    </w:p>
    <w:p>
      <w:pPr>
        <w:pStyle w:val="TextBody"/>
        <w:jc w:val="both"/>
        <w:rPr/>
      </w:pPr>
      <w:r>
        <w:rPr/>
        <w:t xml:space="preserve">     </w:t>
      </w:r>
      <w:r>
        <w:rPr>
          <w:rStyle w:val="Emphasis"/>
          <w:rFonts w:ascii="Times New Roman" w:hAnsi="Times New Roman"/>
          <w:sz w:val="20"/>
        </w:rPr>
        <w:t xml:space="preserve">Operation of the Annual Incentive Plan: </w:t>
      </w:r>
      <w:r>
        <w:rPr>
          <w:rFonts w:ascii="Times New Roman" w:hAnsi="Times New Roman"/>
          <w:sz w:val="20"/>
        </w:rPr>
        <w:t>At the beginning of each fiscal year, our CEO presents to our Compensation Committee his proposal for the performance measures that will determine the calculation of the incentive bonus for that year, along with specific performance targets and payout ranges. Our CFO, Vice President of Human Resources and Vice President of Compensation and Benefits may each participate in this presentation as well. Our Compensation Committee reviews these performance measures, targets and payout ranges and determines their reasonableness as they relate to the total compensation of our executive officers.</w:t>
      </w:r>
    </w:p>
    <w:p>
      <w:pPr>
        <w:pStyle w:val="TextBody"/>
        <w:jc w:val="both"/>
        <w:rPr/>
      </w:pPr>
      <w:r>
        <w:rPr/>
        <w:t xml:space="preserve">     </w:t>
      </w:r>
      <w:r>
        <w:rPr>
          <w:rFonts w:ascii="Times New Roman" w:hAnsi="Times New Roman"/>
          <w:sz w:val="20"/>
        </w:rPr>
        <w:t>For fiscal 2013, the performance measure under the annual incentive plan was our adjusted pre-tax, pre-bonus income as compared with pre-tax, pre-bonus income specified in our fiscal 2013 annual incentive plan. Our adjusted pre-tax, pre-bonus income for fiscal 2013 was determined by adjusting pre-tax income as shown in our fiscal 2013 audited consolidated financial statements as follows: (i) adding the entire amount of annual incentive plan bonus, both cash and executive deferred, awarded for fiscal 2013; and (ii) subtracting the amortization for prior years executive deferred bonus awards. As a result of these adjustments, the financial performance measure under the annual incentive plan takes into consideration the full amount of any executive deferred bonus in the fiscal year for which it is awarded, rather than amortizing that bonus over its vesting period.</w:t>
      </w:r>
    </w:p>
    <w:p>
      <w:pPr>
        <w:pStyle w:val="TextBody"/>
        <w:jc w:val="center"/>
        <w:rPr>
          <w:rFonts w:ascii="Times New Roman" w:hAnsi="Times New Roman"/>
          <w:sz w:val="20"/>
        </w:rPr>
      </w:pPr>
      <w:r>
        <w:rPr>
          <w:rFonts w:ascii="Times New Roman" w:hAnsi="Times New Roman"/>
          <w:sz w:val="20"/>
        </w:rPr>
        <w:t>27</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Under that performance measure and after the effect of the adjustments described above, exempt employees, including our executive officers, would earn bonuses as shown below:</w:t>
      </w:r>
    </w:p>
    <w:tbl>
      <w:tblPr>
        <w:tblW w:w="2500" w:type="pct"/>
        <w:jc w:val="center"/>
        <w:tblInd w:w="0" w:type="dxa"/>
        <w:tblCellMar>
          <w:top w:w="0" w:type="dxa"/>
          <w:left w:w="0" w:type="dxa"/>
          <w:bottom w:w="0" w:type="dxa"/>
          <w:right w:w="0" w:type="dxa"/>
        </w:tblCellMar>
      </w:tblPr>
      <w:tblGrid>
        <w:gridCol w:w="1701"/>
        <w:gridCol w:w="300"/>
        <w:gridCol w:w="1580"/>
        <w:gridCol w:w="300"/>
        <w:gridCol w:w="785"/>
        <w:gridCol w:w="436"/>
      </w:tblGrid>
      <w:tr>
        <w:trPr/>
        <w:tc>
          <w:tcPr>
            <w:tcW w:w="170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58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Adjusted Pre-Tax</w:t>
            </w:r>
          </w:p>
        </w:tc>
        <w:tc>
          <w:tcPr>
            <w:tcW w:w="300" w:type="dxa"/>
            <w:tcBorders/>
            <w:shd w:fill="auto" w:val="clear"/>
            <w:vAlign w:val="bottom"/>
          </w:tcPr>
          <w:p>
            <w:pPr>
              <w:pStyle w:val="TableContents"/>
              <w:spacing w:before="0" w:after="283"/>
              <w:rPr>
                <w:sz w:val="4"/>
                <w:szCs w:val="4"/>
              </w:rPr>
            </w:pPr>
            <w:r>
              <w:rPr>
                <w:sz w:val="4"/>
                <w:szCs w:val="4"/>
              </w:rPr>
            </w:r>
          </w:p>
        </w:tc>
        <w:tc>
          <w:tcPr>
            <w:tcW w:w="122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 of Target</w:t>
            </w:r>
          </w:p>
        </w:tc>
      </w:tr>
      <w:tr>
        <w:trPr/>
        <w:tc>
          <w:tcPr>
            <w:tcW w:w="170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58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Pre-Bonus Income</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2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Bonus Earned</w:t>
            </w:r>
          </w:p>
        </w:tc>
      </w:tr>
      <w:tr>
        <w:trPr/>
        <w:tc>
          <w:tcPr>
            <w:tcW w:w="170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Threshold</w:t>
            </w:r>
          </w:p>
        </w:tc>
        <w:tc>
          <w:tcPr>
            <w:tcW w:w="300" w:type="dxa"/>
            <w:tcBorders/>
            <w:shd w:fill="C0C0C0" w:val="clear"/>
            <w:vAlign w:val="bottom"/>
          </w:tcPr>
          <w:p>
            <w:pPr>
              <w:pStyle w:val="TableContents"/>
              <w:spacing w:before="0" w:after="283"/>
              <w:rPr>
                <w:sz w:val="4"/>
                <w:szCs w:val="4"/>
              </w:rPr>
            </w:pPr>
            <w:r>
              <w:rPr>
                <w:sz w:val="4"/>
                <w:szCs w:val="4"/>
              </w:rPr>
            </w:r>
          </w:p>
        </w:tc>
        <w:tc>
          <w:tcPr>
            <w:tcW w:w="158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$ 12,245,000</w:t>
            </w:r>
          </w:p>
        </w:tc>
        <w:tc>
          <w:tcPr>
            <w:tcW w:w="300" w:type="dxa"/>
            <w:tcBorders/>
            <w:shd w:fill="C0C0C0" w:val="clear"/>
            <w:vAlign w:val="bottom"/>
          </w:tcPr>
          <w:p>
            <w:pPr>
              <w:pStyle w:val="TableContents"/>
              <w:spacing w:before="0" w:after="283"/>
              <w:rPr>
                <w:sz w:val="4"/>
                <w:szCs w:val="4"/>
              </w:rPr>
            </w:pPr>
            <w:r>
              <w:rPr>
                <w:sz w:val="4"/>
                <w:szCs w:val="4"/>
              </w:rPr>
            </w:r>
          </w:p>
        </w:tc>
        <w:tc>
          <w:tcPr>
            <w:tcW w:w="7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43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0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Target</w:t>
            </w:r>
          </w:p>
        </w:tc>
        <w:tc>
          <w:tcPr>
            <w:tcW w:w="300" w:type="dxa"/>
            <w:tcBorders/>
            <w:shd w:fill="auto" w:val="clear"/>
            <w:vAlign w:val="bottom"/>
          </w:tcPr>
          <w:p>
            <w:pPr>
              <w:pStyle w:val="TableContents"/>
              <w:spacing w:before="0" w:after="283"/>
              <w:rPr>
                <w:sz w:val="4"/>
                <w:szCs w:val="4"/>
              </w:rPr>
            </w:pPr>
            <w:r>
              <w:rPr>
                <w:sz w:val="4"/>
                <w:szCs w:val="4"/>
              </w:rPr>
            </w:r>
          </w:p>
        </w:tc>
        <w:tc>
          <w:tcPr>
            <w:tcW w:w="158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$ 17,043,000</w:t>
            </w:r>
          </w:p>
        </w:tc>
        <w:tc>
          <w:tcPr>
            <w:tcW w:w="300" w:type="dxa"/>
            <w:tcBorders/>
            <w:shd w:fill="auto" w:val="clear"/>
            <w:vAlign w:val="bottom"/>
          </w:tcPr>
          <w:p>
            <w:pPr>
              <w:pStyle w:val="TableContents"/>
              <w:spacing w:before="0" w:after="283"/>
              <w:rPr>
                <w:sz w:val="4"/>
                <w:szCs w:val="4"/>
              </w:rPr>
            </w:pPr>
            <w:r>
              <w:rPr>
                <w:sz w:val="4"/>
                <w:szCs w:val="4"/>
              </w:rPr>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43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0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Maximum</w:t>
            </w:r>
          </w:p>
        </w:tc>
        <w:tc>
          <w:tcPr>
            <w:tcW w:w="300" w:type="dxa"/>
            <w:tcBorders/>
            <w:shd w:fill="C0C0C0" w:val="clear"/>
            <w:vAlign w:val="bottom"/>
          </w:tcPr>
          <w:p>
            <w:pPr>
              <w:pStyle w:val="TableContents"/>
              <w:spacing w:before="0" w:after="283"/>
              <w:rPr>
                <w:sz w:val="4"/>
                <w:szCs w:val="4"/>
              </w:rPr>
            </w:pPr>
            <w:r>
              <w:rPr>
                <w:sz w:val="4"/>
                <w:szCs w:val="4"/>
              </w:rPr>
            </w:r>
          </w:p>
        </w:tc>
        <w:tc>
          <w:tcPr>
            <w:tcW w:w="158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$ 23,134,000</w:t>
            </w:r>
          </w:p>
        </w:tc>
        <w:tc>
          <w:tcPr>
            <w:tcW w:w="300" w:type="dxa"/>
            <w:tcBorders/>
            <w:shd w:fill="C0C0C0" w:val="clear"/>
            <w:vAlign w:val="bottom"/>
          </w:tcPr>
          <w:p>
            <w:pPr>
              <w:pStyle w:val="TableContents"/>
              <w:spacing w:before="0" w:after="283"/>
              <w:rPr>
                <w:sz w:val="4"/>
                <w:szCs w:val="4"/>
              </w:rPr>
            </w:pPr>
            <w:r>
              <w:rPr>
                <w:sz w:val="4"/>
                <w:szCs w:val="4"/>
              </w:rPr>
            </w:r>
          </w:p>
        </w:tc>
        <w:tc>
          <w:tcPr>
            <w:tcW w:w="7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43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rPr/>
      </w:pPr>
      <w:r>
        <w:rPr/>
      </w:r>
    </w:p>
    <w:p>
      <w:pPr>
        <w:pStyle w:val="TextBody"/>
        <w:jc w:val="both"/>
        <w:rPr>
          <w:rFonts w:ascii="Times New Roman" w:hAnsi="Times New Roman"/>
          <w:sz w:val="20"/>
        </w:rPr>
      </w:pPr>
      <w:r>
        <w:rPr>
          <w:rFonts w:ascii="Times New Roman" w:hAnsi="Times New Roman"/>
          <w:sz w:val="20"/>
        </w:rPr>
        <w:t>Additional targets were also specified. If performance fell between two of the specified targets, the target bonus payment percentage would be prorated. No executive deferred bonus was to be awarded unless 95% of target bonus was earned. Non-exempt employees would earn 100% of target bonus if payout were made at any of the levels listed above.</w:t>
      </w:r>
    </w:p>
    <w:p>
      <w:pPr>
        <w:pStyle w:val="TextBody"/>
        <w:jc w:val="both"/>
        <w:rPr/>
      </w:pPr>
      <w:r>
        <w:rPr/>
        <w:t xml:space="preserve">     </w:t>
      </w:r>
      <w:r>
        <w:rPr>
          <w:rFonts w:ascii="Times New Roman" w:hAnsi="Times New Roman"/>
          <w:sz w:val="20"/>
        </w:rPr>
        <w:t xml:space="preserve">The bonus opportunity for fiscal 2013 as a percent of base salary for the named executive officers is shown below: </w:t>
      </w:r>
    </w:p>
    <w:tbl>
      <w:tblPr>
        <w:tblW w:w="10390" w:type="dxa"/>
        <w:jc w:val="left"/>
        <w:tblInd w:w="0" w:type="dxa"/>
        <w:tblCellMar>
          <w:top w:w="0" w:type="dxa"/>
          <w:left w:w="0" w:type="dxa"/>
          <w:bottom w:w="0" w:type="dxa"/>
          <w:right w:w="0" w:type="dxa"/>
        </w:tblCellMar>
      </w:tblPr>
      <w:tblGrid>
        <w:gridCol w:w="1760"/>
        <w:gridCol w:w="300"/>
        <w:gridCol w:w="650"/>
        <w:gridCol w:w="180"/>
        <w:gridCol w:w="650"/>
        <w:gridCol w:w="180"/>
        <w:gridCol w:w="650"/>
        <w:gridCol w:w="180"/>
        <w:gridCol w:w="650"/>
        <w:gridCol w:w="180"/>
        <w:gridCol w:w="650"/>
        <w:gridCol w:w="180"/>
        <w:gridCol w:w="650"/>
        <w:gridCol w:w="180"/>
        <w:gridCol w:w="650"/>
        <w:gridCol w:w="180"/>
        <w:gridCol w:w="755"/>
        <w:gridCol w:w="180"/>
        <w:gridCol w:w="650"/>
        <w:gridCol w:w="180"/>
        <w:gridCol w:w="755"/>
      </w:tblGrid>
      <w:tr>
        <w:trPr/>
        <w:tc>
          <w:tcPr>
            <w:tcW w:w="17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8330" w:type="dxa"/>
            <w:gridSpan w:val="19"/>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Bonus Opportunity as a % of Base Salary</w:t>
            </w:r>
          </w:p>
        </w:tc>
      </w:tr>
      <w:tr>
        <w:trPr/>
        <w:tc>
          <w:tcPr>
            <w:tcW w:w="17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3140"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Threshold</w:t>
            </w:r>
          </w:p>
        </w:tc>
        <w:tc>
          <w:tcPr>
            <w:tcW w:w="180" w:type="dxa"/>
            <w:tcBorders/>
            <w:shd w:fill="auto" w:val="clear"/>
            <w:vAlign w:val="bottom"/>
          </w:tcPr>
          <w:p>
            <w:pPr>
              <w:pStyle w:val="TableContents"/>
              <w:spacing w:before="0" w:after="283"/>
              <w:rPr>
                <w:sz w:val="4"/>
                <w:szCs w:val="4"/>
              </w:rPr>
            </w:pPr>
            <w:r>
              <w:rPr>
                <w:sz w:val="4"/>
                <w:szCs w:val="4"/>
              </w:rPr>
            </w:r>
          </w:p>
        </w:tc>
        <w:tc>
          <w:tcPr>
            <w:tcW w:w="2310"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Target</w:t>
            </w:r>
          </w:p>
        </w:tc>
        <w:tc>
          <w:tcPr>
            <w:tcW w:w="180" w:type="dxa"/>
            <w:tcBorders/>
            <w:shd w:fill="auto" w:val="clear"/>
            <w:vAlign w:val="bottom"/>
          </w:tcPr>
          <w:p>
            <w:pPr>
              <w:pStyle w:val="TableContents"/>
              <w:spacing w:before="0" w:after="283"/>
              <w:rPr>
                <w:sz w:val="4"/>
                <w:szCs w:val="4"/>
              </w:rPr>
            </w:pPr>
            <w:r>
              <w:rPr>
                <w:sz w:val="4"/>
                <w:szCs w:val="4"/>
              </w:rPr>
            </w:r>
          </w:p>
        </w:tc>
        <w:tc>
          <w:tcPr>
            <w:tcW w:w="2520"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Maximum</w:t>
            </w:r>
          </w:p>
        </w:tc>
      </w:tr>
      <w:tr>
        <w:trPr/>
        <w:tc>
          <w:tcPr>
            <w:tcW w:w="17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r>
      <w:tr>
        <w:trPr/>
        <w:tc>
          <w:tcPr>
            <w:tcW w:w="17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Only</w:t>
            </w:r>
          </w:p>
        </w:tc>
        <w:tc>
          <w:tcPr>
            <w:tcW w:w="180" w:type="dxa"/>
            <w:tcBorders/>
            <w:shd w:fill="auto" w:val="clear"/>
            <w:vAlign w:val="bottom"/>
          </w:tcPr>
          <w:p>
            <w:pPr>
              <w:pStyle w:val="TableContents"/>
              <w:spacing w:before="0" w:after="283"/>
              <w:rPr>
                <w:sz w:val="4"/>
                <w:szCs w:val="4"/>
              </w:rPr>
            </w:pPr>
            <w:r>
              <w:rPr>
                <w:sz w:val="4"/>
                <w:szCs w:val="4"/>
              </w:rPr>
            </w:r>
          </w:p>
        </w:tc>
        <w:tc>
          <w:tcPr>
            <w:tcW w:w="2310" w:type="dxa"/>
            <w:gridSpan w:val="5"/>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r>
      <w:tr>
        <w:trPr/>
        <w:tc>
          <w:tcPr>
            <w:tcW w:w="17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180" w:type="dxa"/>
            <w:tcBorders/>
            <w:shd w:fill="auto" w:val="clear"/>
            <w:vAlign w:val="bottom"/>
          </w:tcPr>
          <w:p>
            <w:pPr>
              <w:pStyle w:val="TableContents"/>
              <w:spacing w:before="0" w:after="283"/>
              <w:rPr>
                <w:sz w:val="4"/>
                <w:szCs w:val="4"/>
              </w:rPr>
            </w:pPr>
            <w:r>
              <w:rPr>
                <w:sz w:val="4"/>
                <w:szCs w:val="4"/>
              </w:rPr>
            </w:r>
          </w:p>
        </w:tc>
        <w:tc>
          <w:tcPr>
            <w:tcW w:w="2310"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r>
      <w:tr>
        <w:trPr/>
        <w:tc>
          <w:tcPr>
            <w:tcW w:w="176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right"/>
              <w:rPr/>
            </w:pPr>
            <w:r>
              <w:rPr/>
              <w:t>     </w:t>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180" w:type="dxa"/>
            <w:tcBorders/>
            <w:shd w:fill="auto" w:val="clear"/>
            <w:vAlign w:val="bottom"/>
          </w:tcPr>
          <w:p>
            <w:pPr>
              <w:pStyle w:val="TableContents"/>
              <w:spacing w:before="0" w:after="283"/>
              <w:jc w:val="center"/>
              <w:rPr/>
            </w:pPr>
            <w:r>
              <w:rPr/>
              <w:t>   </w:t>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180" w:type="dxa"/>
            <w:tcBorders/>
            <w:shd w:fill="auto" w:val="clear"/>
            <w:vAlign w:val="bottom"/>
          </w:tcPr>
          <w:p>
            <w:pPr>
              <w:pStyle w:val="TableContents"/>
              <w:spacing w:before="0" w:after="283"/>
              <w:jc w:val="center"/>
              <w:rPr/>
            </w:pPr>
            <w:r>
              <w:rPr/>
              <w:t>   </w:t>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w:t>
            </w:r>
          </w:p>
        </w:tc>
        <w:tc>
          <w:tcPr>
            <w:tcW w:w="180" w:type="dxa"/>
            <w:tcBorders/>
            <w:shd w:fill="auto" w:val="clear"/>
            <w:vAlign w:val="bottom"/>
          </w:tcPr>
          <w:p>
            <w:pPr>
              <w:pStyle w:val="TableContents"/>
              <w:spacing w:before="0" w:after="283"/>
              <w:jc w:val="center"/>
              <w:rPr/>
            </w:pPr>
            <w:r>
              <w:rPr/>
              <w:t>   </w:t>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c>
          <w:tcPr>
            <w:tcW w:w="180" w:type="dxa"/>
            <w:tcBorders/>
            <w:shd w:fill="auto" w:val="clear"/>
            <w:vAlign w:val="bottom"/>
          </w:tcPr>
          <w:p>
            <w:pPr>
              <w:pStyle w:val="TableContents"/>
              <w:spacing w:before="0" w:after="283"/>
              <w:jc w:val="center"/>
              <w:rPr/>
            </w:pPr>
            <w:r>
              <w:rPr/>
              <w:t>   </w:t>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180" w:type="dxa"/>
            <w:tcBorders/>
            <w:shd w:fill="auto" w:val="clear"/>
            <w:vAlign w:val="bottom"/>
          </w:tcPr>
          <w:p>
            <w:pPr>
              <w:pStyle w:val="TableContents"/>
              <w:spacing w:before="0" w:after="283"/>
              <w:jc w:val="center"/>
              <w:rPr/>
            </w:pPr>
            <w:r>
              <w:rPr/>
              <w:t>   </w:t>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w:t>
            </w:r>
          </w:p>
        </w:tc>
        <w:tc>
          <w:tcPr>
            <w:tcW w:w="180" w:type="dxa"/>
            <w:tcBorders/>
            <w:shd w:fill="auto" w:val="clear"/>
            <w:vAlign w:val="bottom"/>
          </w:tcPr>
          <w:p>
            <w:pPr>
              <w:pStyle w:val="TableContents"/>
              <w:spacing w:before="0" w:after="283"/>
              <w:jc w:val="center"/>
              <w:rPr/>
            </w:pPr>
            <w:r>
              <w:rPr/>
              <w:t>   </w:t>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c>
          <w:tcPr>
            <w:tcW w:w="180" w:type="dxa"/>
            <w:tcBorders/>
            <w:shd w:fill="auto" w:val="clear"/>
            <w:vAlign w:val="bottom"/>
          </w:tcPr>
          <w:p>
            <w:pPr>
              <w:pStyle w:val="TableContents"/>
              <w:spacing w:before="0" w:after="283"/>
              <w:jc w:val="center"/>
              <w:rPr/>
            </w:pPr>
            <w:r>
              <w:rPr/>
              <w:t>   </w:t>
            </w:r>
          </w:p>
        </w:tc>
        <w:tc>
          <w:tcPr>
            <w:tcW w:w="7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180" w:type="dxa"/>
            <w:tcBorders/>
            <w:shd w:fill="auto" w:val="clear"/>
            <w:vAlign w:val="bottom"/>
          </w:tcPr>
          <w:p>
            <w:pPr>
              <w:pStyle w:val="TableContents"/>
              <w:spacing w:before="0" w:after="283"/>
              <w:jc w:val="center"/>
              <w:rPr/>
            </w:pPr>
            <w:r>
              <w:rPr/>
              <w:t>   </w:t>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w:t>
            </w:r>
          </w:p>
        </w:tc>
        <w:tc>
          <w:tcPr>
            <w:tcW w:w="180" w:type="dxa"/>
            <w:tcBorders/>
            <w:shd w:fill="auto" w:val="clear"/>
            <w:vAlign w:val="bottom"/>
          </w:tcPr>
          <w:p>
            <w:pPr>
              <w:pStyle w:val="TableContents"/>
              <w:spacing w:before="0" w:after="283"/>
              <w:jc w:val="center"/>
              <w:rPr/>
            </w:pPr>
            <w:r>
              <w:rPr/>
              <w:t>   </w:t>
            </w:r>
          </w:p>
        </w:tc>
        <w:tc>
          <w:tcPr>
            <w:tcW w:w="7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17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r>
      <w:tr>
        <w:trPr/>
        <w:tc>
          <w:tcPr>
            <w:tcW w:w="17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 (3)</w:t>
            </w:r>
          </w:p>
        </w:tc>
        <w:tc>
          <w:tcPr>
            <w:tcW w:w="30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12.50%</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47.50%</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47.50%</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80"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80"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r>
      <w:tr>
        <w:trPr/>
        <w:tc>
          <w:tcPr>
            <w:tcW w:w="17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8.750%</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33.25%</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19.00%</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52.25%</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35.00%</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55.00%</w:t>
            </w:r>
          </w:p>
        </w:tc>
        <w:tc>
          <w:tcPr>
            <w:tcW w:w="18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70.00%</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18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110.00%</w:t>
            </w:r>
          </w:p>
        </w:tc>
      </w:tr>
      <w:tr>
        <w:trPr/>
        <w:tc>
          <w:tcPr>
            <w:tcW w:w="17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 (3)</w:t>
            </w:r>
          </w:p>
        </w:tc>
        <w:tc>
          <w:tcPr>
            <w:tcW w:w="30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38.00%</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38.00%</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180"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80.00%</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80"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80.00%</w:t>
            </w:r>
          </w:p>
        </w:tc>
      </w:tr>
      <w:tr>
        <w:trPr/>
        <w:tc>
          <w:tcPr>
            <w:tcW w:w="17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8.750%</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33.25%</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11.40%</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44.65%</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35.00%</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12.00%</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47.00%</w:t>
            </w:r>
          </w:p>
        </w:tc>
        <w:tc>
          <w:tcPr>
            <w:tcW w:w="18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70.00%</w:t>
            </w:r>
          </w:p>
        </w:tc>
        <w:tc>
          <w:tcPr>
            <w:tcW w:w="18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24.00%</w:t>
            </w:r>
          </w:p>
        </w:tc>
        <w:tc>
          <w:tcPr>
            <w:tcW w:w="18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94.00%</w:t>
            </w:r>
          </w:p>
        </w:tc>
      </w:tr>
      <w:tr>
        <w:trPr/>
        <w:tc>
          <w:tcPr>
            <w:tcW w:w="17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0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8.750%</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33.25%</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14.25%</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47.50%</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35.00%</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80"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70.00%</w:t>
            </w:r>
          </w:p>
        </w:tc>
        <w:tc>
          <w:tcPr>
            <w:tcW w:w="18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180"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r>
    </w:tbl>
    <w:p>
      <w:pPr>
        <w:pStyle w:val="TextBody"/>
        <w:rPr/>
      </w:pPr>
      <w:r>
        <w:rPr/>
      </w:r>
    </w:p>
    <w:p>
      <w:pPr>
        <w:pStyle w:val="TextBody"/>
        <w:jc w:val="both"/>
        <w:rPr>
          <w:rFonts w:ascii="Times New Roman" w:hAnsi="Times New Roman"/>
          <w:sz w:val="20"/>
        </w:rPr>
      </w:pPr>
      <w:r>
        <w:rPr>
          <w:rFonts w:ascii="Times New Roman" w:hAnsi="Times New Roman"/>
          <w:sz w:val="20"/>
        </w:rPr>
        <w:t>(1) The threshold for payment of a cash bonus was adjusted pre-tax, pre-bonus income corresponding to the achievement of 84% of our fiscal 2013 annual incentive plan. That achievement level would result in payment of 25% of target cash bonus. No executive deferred bonus would be awarded at that level of performance.</w:t>
      </w:r>
    </w:p>
    <w:p>
      <w:pPr>
        <w:pStyle w:val="TextBody"/>
        <w:jc w:val="both"/>
        <w:rPr>
          <w:rFonts w:ascii="Times New Roman" w:hAnsi="Times New Roman"/>
          <w:sz w:val="20"/>
        </w:rPr>
      </w:pPr>
      <w:r>
        <w:rPr>
          <w:rFonts w:ascii="Times New Roman" w:hAnsi="Times New Roman"/>
          <w:sz w:val="20"/>
        </w:rPr>
        <w:t>(2) The threshold for earning of an executive deferred bonus award was adjusted pre-tax, pre-bonus income corresponding to the achievement of 95% of our fiscal 2013 annual incentive plan. That achievement level would result in an award of 75% of target bonus for both cash and executive deferred bonuses.</w:t>
      </w:r>
    </w:p>
    <w:p>
      <w:pPr>
        <w:pStyle w:val="TextBody"/>
        <w:jc w:val="both"/>
        <w:rPr>
          <w:rFonts w:ascii="Times New Roman" w:hAnsi="Times New Roman"/>
          <w:sz w:val="20"/>
        </w:rPr>
      </w:pPr>
      <w:r>
        <w:rPr>
          <w:rFonts w:ascii="Times New Roman" w:hAnsi="Times New Roman"/>
          <w:sz w:val="20"/>
        </w:rPr>
        <w:t>(3) At the request of each of Messrs. Jaffee and Cofsky, neither was eligible for an executive deferred bonus award for fiscal 2013.</w:t>
      </w:r>
    </w:p>
    <w:p>
      <w:pPr>
        <w:pStyle w:val="TextBody"/>
        <w:jc w:val="both"/>
        <w:rPr/>
      </w:pPr>
      <w:r>
        <w:rPr/>
        <w:t xml:space="preserve">     </w:t>
      </w:r>
      <w:r>
        <w:rPr>
          <w:rFonts w:ascii="Times New Roman" w:hAnsi="Times New Roman"/>
          <w:sz w:val="20"/>
        </w:rPr>
        <w:t>Our fiscal 2013 corporate financial performance met the threshold for payment of a performance-based cash incentive award and exceeded the target and maximum achievement levels listed above. Therefore, our adjusted, pre-tax, pre-bonus income resulted in cash incentive bonuses being paid to eligible exempt employees, including our executive officers, at 200% of target bonus. In addition, our fiscal 2013 corporate financial performance met the threshold level for earning executive deferred bonus awards. Annual cash and executive deferred bonus awards are shown in the Summary Compensation Table in the column captioned Non-Equity Incentive Plan Compensation.</w:t>
      </w:r>
    </w:p>
    <w:p>
      <w:pPr>
        <w:pStyle w:val="TextBody"/>
        <w:jc w:val="center"/>
        <w:rPr>
          <w:rFonts w:ascii="Times New Roman" w:hAnsi="Times New Roman"/>
          <w:sz w:val="20"/>
        </w:rPr>
      </w:pPr>
      <w:r>
        <w:rPr>
          <w:rFonts w:ascii="Times New Roman" w:hAnsi="Times New Roman"/>
          <w:sz w:val="20"/>
        </w:rPr>
        <w:t>28</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In addition to the discretionary authority of our CEO described above to adjust the performance measures, targets and payout ranges for our employees generally, our CEO may also exercise discretion in determining the incentive bonus to be paid under the annual incentive plan to any employee, including our executive officers (except himself), by:</w:t>
      </w:r>
    </w:p>
    <w:p>
      <w:pPr>
        <w:pStyle w:val="TextBody"/>
        <w:numPr>
          <w:ilvl w:val="0"/>
          <w:numId w:val="8"/>
        </w:numPr>
        <w:tabs>
          <w:tab w:val="clear" w:pos="1134"/>
          <w:tab w:val="left" w:pos="707" w:leader="none"/>
        </w:tabs>
        <w:spacing w:before="0" w:after="0"/>
        <w:ind w:left="707" w:hanging="283"/>
        <w:jc w:val="both"/>
        <w:rPr>
          <w:sz w:val="20"/>
        </w:rPr>
      </w:pPr>
      <w:r>
        <w:rPr>
          <w:rFonts w:ascii="Times New Roman" w:hAnsi="Times New Roman"/>
          <w:sz w:val="20"/>
        </w:rPr>
        <w:t>Increasing or decreasing any participants percent of corporate financial performance bonus</w:t>
      </w:r>
      <w:r>
        <w:rPr>
          <w:sz w:val="20"/>
        </w:rPr>
        <w:t xml:space="preserve"> </w:t>
      </w:r>
      <w:r>
        <w:rPr>
          <w:rFonts w:ascii="Times New Roman" w:hAnsi="Times New Roman"/>
          <w:sz w:val="20"/>
        </w:rPr>
        <w:t>earned by up to 25 percentage points, subject to limitations specified in the annual incentive plan. For example, if according to the corporate financial performance measure 75% of the corporate</w:t>
      </w:r>
      <w:r>
        <w:rPr>
          <w:sz w:val="20"/>
        </w:rPr>
        <w:t xml:space="preserve"> </w:t>
      </w:r>
      <w:r>
        <w:rPr>
          <w:rFonts w:ascii="Times New Roman" w:hAnsi="Times New Roman"/>
          <w:sz w:val="20"/>
        </w:rPr>
        <w:t>financial performance bonus has been earned, our CEO may adjust an individual participants</w:t>
      </w:r>
      <w:r>
        <w:rPr>
          <w:sz w:val="20"/>
        </w:rPr>
        <w:t xml:space="preserve"> </w:t>
      </w:r>
      <w:r>
        <w:rPr>
          <w:rFonts w:ascii="Times New Roman" w:hAnsi="Times New Roman"/>
          <w:sz w:val="20"/>
        </w:rPr>
        <w:t>percent of corporate financial performance bonus earned to as little as 50% or as much as 100%.</w:t>
        <w:br/>
        <w:t> </w:t>
      </w:r>
      <w:r>
        <w:rPr>
          <w:sz w:val="20"/>
        </w:rPr>
        <w:t xml:space="preserve"> </w:t>
      </w:r>
    </w:p>
    <w:p>
      <w:pPr>
        <w:pStyle w:val="TextBody"/>
        <w:numPr>
          <w:ilvl w:val="0"/>
          <w:numId w:val="8"/>
        </w:numPr>
        <w:tabs>
          <w:tab w:val="clear" w:pos="1134"/>
          <w:tab w:val="left" w:pos="707" w:leader="none"/>
        </w:tabs>
        <w:spacing w:before="0" w:after="0"/>
        <w:ind w:left="707" w:hanging="283"/>
        <w:jc w:val="both"/>
        <w:rPr>
          <w:sz w:val="20"/>
        </w:rPr>
      </w:pPr>
      <w:r>
        <w:rPr>
          <w:rFonts w:ascii="Times New Roman" w:hAnsi="Times New Roman"/>
          <w:sz w:val="20"/>
        </w:rPr>
        <w:t>Adjusting individual executive deferred bonus awards downward or upward, based on the</w:t>
      </w:r>
      <w:r>
        <w:rPr>
          <w:sz w:val="20"/>
        </w:rPr>
        <w:t xml:space="preserve"> </w:t>
      </w:r>
      <w:r>
        <w:rPr>
          <w:rFonts w:ascii="Times New Roman" w:hAnsi="Times New Roman"/>
          <w:sz w:val="20"/>
        </w:rPr>
        <w:t>participants individual performance and/or the performance of the participants department or</w:t>
      </w:r>
      <w:r>
        <w:rPr>
          <w:sz w:val="20"/>
        </w:rPr>
        <w:t xml:space="preserve"> </w:t>
      </w:r>
      <w:r>
        <w:rPr>
          <w:rFonts w:ascii="Times New Roman" w:hAnsi="Times New Roman"/>
          <w:sz w:val="20"/>
        </w:rPr>
        <w:t>division.</w:t>
        <w:br/>
        <w:t> </w:t>
      </w:r>
      <w:r>
        <w:rPr>
          <w:sz w:val="20"/>
        </w:rPr>
        <w:t xml:space="preserve"> </w:t>
      </w:r>
    </w:p>
    <w:p>
      <w:pPr>
        <w:pStyle w:val="TextBody"/>
        <w:numPr>
          <w:ilvl w:val="0"/>
          <w:numId w:val="8"/>
        </w:numPr>
        <w:tabs>
          <w:tab w:val="clear" w:pos="1134"/>
          <w:tab w:val="left" w:pos="707" w:leader="none"/>
        </w:tabs>
        <w:ind w:left="707" w:hanging="283"/>
        <w:jc w:val="both"/>
        <w:rPr>
          <w:sz w:val="20"/>
        </w:rPr>
      </w:pPr>
      <w:r>
        <w:rPr>
          <w:rFonts w:ascii="Times New Roman" w:hAnsi="Times New Roman"/>
          <w:sz w:val="20"/>
        </w:rPr>
        <w:t>Awarding a bonus under the annual incentive plan of up to 25% of target bonus (and up to 100%</w:t>
      </w:r>
      <w:r>
        <w:rPr>
          <w:sz w:val="20"/>
        </w:rPr>
        <w:t xml:space="preserve"> </w:t>
      </w:r>
      <w:r>
        <w:rPr>
          <w:rFonts w:ascii="Times New Roman" w:hAnsi="Times New Roman"/>
          <w:sz w:val="20"/>
        </w:rPr>
        <w:t>of target bonus for non-exempt employees) if the Company fails to achieve the minimum</w:t>
      </w:r>
      <w:r>
        <w:rPr>
          <w:sz w:val="20"/>
        </w:rPr>
        <w:t xml:space="preserve"> </w:t>
      </w:r>
      <w:r>
        <w:rPr>
          <w:rFonts w:ascii="Times New Roman" w:hAnsi="Times New Roman"/>
          <w:sz w:val="20"/>
        </w:rPr>
        <w:t>performance otherwise required for payment of an award.</w:t>
      </w:r>
      <w:r>
        <w:rPr>
          <w:sz w:val="20"/>
        </w:rPr>
        <w:t xml:space="preserve"> </w:t>
      </w:r>
    </w:p>
    <w:p>
      <w:pPr>
        <w:pStyle w:val="TextBody"/>
        <w:jc w:val="both"/>
        <w:rPr/>
      </w:pPr>
      <w:r>
        <w:rPr/>
        <w:t xml:space="preserve">     </w:t>
      </w:r>
      <w:r>
        <w:rPr>
          <w:rFonts w:ascii="Times New Roman" w:hAnsi="Times New Roman"/>
          <w:sz w:val="20"/>
        </w:rPr>
        <w:t>Our CEO exercised this discretion in approving the payment of an annual incentive bonus award for fiscal 2013 to Thierry R. Jean even though Mr. Jean did not meet certain service conditions set forth in our annual incentive plan since he resigned from the Company effective September 19, 2013. Our Compensation Committee ratified the payment of the annual incentive bonus award to Mr. Jean at its October 16, 2013 meeting.</w:t>
      </w:r>
    </w:p>
    <w:p>
      <w:pPr>
        <w:pStyle w:val="TextBody"/>
        <w:jc w:val="both"/>
        <w:rPr/>
      </w:pPr>
      <w:r>
        <w:rPr/>
        <w:t xml:space="preserve">     </w:t>
      </w:r>
      <w:r>
        <w:rPr>
          <w:rFonts w:ascii="Times New Roman" w:hAnsi="Times New Roman"/>
          <w:sz w:val="20"/>
        </w:rPr>
        <w:t>At its October 16, 2013 meeting, our Compensation Committee also reviewed the annual incentive plan performance measure and targets suggested by our CEO for the fiscal year beginning August 1, 2013 (fiscal 2014). The performance measure continues to be corporate financial performance as measured by achievement of target pre-tax, pre-bonus income as specified in the fiscal 2014 annual incentive plan. Annual incentive plan target pre-tax, pre-bonus income for fiscal 2014 will be determined by adjusting pre-tax income as shown in our fiscal 2014 audited consolidated financial statements in the same manner as described above for fiscal 2013.</w:t>
      </w:r>
    </w:p>
    <w:p>
      <w:pPr>
        <w:pStyle w:val="TextBody"/>
        <w:jc w:val="both"/>
        <w:rPr/>
      </w:pPr>
      <w:r>
        <w:rPr/>
        <w:t xml:space="preserve">     </w:t>
      </w:r>
      <w:r>
        <w:rPr>
          <w:rStyle w:val="StrongEmphasis"/>
          <w:rFonts w:ascii="Times New Roman" w:hAnsi="Times New Roman"/>
          <w:sz w:val="20"/>
        </w:rPr>
        <w:t xml:space="preserve">Retirement Benefits: </w:t>
      </w:r>
      <w:r>
        <w:rPr>
          <w:rFonts w:ascii="Times New Roman" w:hAnsi="Times New Roman"/>
          <w:sz w:val="20"/>
        </w:rPr>
        <w:t>We seek to retain highly qualified executives, including our executive officers, and reward them for their service, by providing the following retirement benefit plans:</w:t>
      </w:r>
    </w:p>
    <w:p>
      <w:pPr>
        <w:pStyle w:val="TextBody"/>
        <w:numPr>
          <w:ilvl w:val="0"/>
          <w:numId w:val="9"/>
        </w:numPr>
        <w:tabs>
          <w:tab w:val="clear" w:pos="1134"/>
          <w:tab w:val="left" w:pos="707" w:leader="none"/>
        </w:tabs>
        <w:spacing w:before="0" w:after="0"/>
        <w:ind w:left="707" w:hanging="283"/>
        <w:jc w:val="both"/>
        <w:rPr>
          <w:sz w:val="20"/>
        </w:rPr>
      </w:pPr>
      <w:r>
        <w:rPr>
          <w:rFonts w:ascii="Times New Roman" w:hAnsi="Times New Roman"/>
          <w:sz w:val="20"/>
        </w:rPr>
        <w:t>Defined benefit pension plan;</w:t>
        <w:br/>
        <w:t> </w:t>
      </w:r>
      <w:r>
        <w:rPr>
          <w:sz w:val="20"/>
        </w:rPr>
        <w:t xml:space="preserve"> </w:t>
      </w:r>
    </w:p>
    <w:p>
      <w:pPr>
        <w:pStyle w:val="TextBody"/>
        <w:numPr>
          <w:ilvl w:val="0"/>
          <w:numId w:val="9"/>
        </w:numPr>
        <w:tabs>
          <w:tab w:val="clear" w:pos="1134"/>
          <w:tab w:val="left" w:pos="707" w:leader="none"/>
        </w:tabs>
        <w:spacing w:before="0" w:after="0"/>
        <w:ind w:left="707" w:hanging="283"/>
        <w:jc w:val="both"/>
        <w:rPr>
          <w:sz w:val="20"/>
        </w:rPr>
      </w:pPr>
      <w:r>
        <w:rPr>
          <w:rFonts w:ascii="Times New Roman" w:hAnsi="Times New Roman"/>
          <w:sz w:val="20"/>
        </w:rPr>
        <w:t>Supplemental executive retirement plan (SERP);</w:t>
        <w:br/>
        <w:t> </w:t>
      </w:r>
      <w:r>
        <w:rPr>
          <w:sz w:val="20"/>
        </w:rPr>
        <w:t xml:space="preserve"> </w:t>
      </w:r>
    </w:p>
    <w:p>
      <w:pPr>
        <w:pStyle w:val="TextBody"/>
        <w:numPr>
          <w:ilvl w:val="0"/>
          <w:numId w:val="9"/>
        </w:numPr>
        <w:tabs>
          <w:tab w:val="clear" w:pos="1134"/>
          <w:tab w:val="left" w:pos="707" w:leader="none"/>
        </w:tabs>
        <w:spacing w:before="0" w:after="0"/>
        <w:ind w:left="707" w:hanging="283"/>
        <w:jc w:val="both"/>
        <w:rPr>
          <w:sz w:val="20"/>
        </w:rPr>
      </w:pPr>
      <w:r>
        <w:rPr>
          <w:rFonts w:ascii="Times New Roman" w:hAnsi="Times New Roman"/>
          <w:sz w:val="20"/>
        </w:rPr>
        <w:t>Defined contribution retirement plan; and</w:t>
        <w:br/>
        <w:t> </w:t>
      </w:r>
      <w:r>
        <w:rPr>
          <w:sz w:val="20"/>
        </w:rPr>
        <w:t xml:space="preserve"> </w:t>
      </w:r>
    </w:p>
    <w:p>
      <w:pPr>
        <w:pStyle w:val="TextBody"/>
        <w:numPr>
          <w:ilvl w:val="0"/>
          <w:numId w:val="9"/>
        </w:numPr>
        <w:tabs>
          <w:tab w:val="clear" w:pos="1134"/>
          <w:tab w:val="left" w:pos="707" w:leader="none"/>
        </w:tabs>
        <w:ind w:left="707" w:hanging="283"/>
        <w:jc w:val="both"/>
        <w:rPr>
          <w:sz w:val="20"/>
        </w:rPr>
      </w:pPr>
      <w:r>
        <w:rPr>
          <w:rFonts w:ascii="Times New Roman" w:hAnsi="Times New Roman"/>
          <w:sz w:val="20"/>
        </w:rPr>
        <w:t>Executive deferred compensation plan.</w:t>
      </w:r>
      <w:r>
        <w:rPr>
          <w:sz w:val="20"/>
        </w:rPr>
        <w:t xml:space="preserve"> </w:t>
      </w:r>
    </w:p>
    <w:p>
      <w:pPr>
        <w:pStyle w:val="TextBody"/>
        <w:jc w:val="both"/>
        <w:rPr>
          <w:rFonts w:ascii="Times New Roman" w:hAnsi="Times New Roman"/>
          <w:sz w:val="20"/>
        </w:rPr>
      </w:pPr>
      <w:r>
        <w:rPr>
          <w:rFonts w:ascii="Times New Roman" w:hAnsi="Times New Roman"/>
          <w:sz w:val="20"/>
        </w:rPr>
        <w:t>Retirement benefits under these plans are funded by a combination of employer and employee contributions as described below, thus encouraging employees to take an active part in saving for their own retirement years.</w:t>
      </w:r>
    </w:p>
    <w:p>
      <w:pPr>
        <w:pStyle w:val="TextBody"/>
        <w:numPr>
          <w:ilvl w:val="0"/>
          <w:numId w:val="10"/>
        </w:numPr>
        <w:tabs>
          <w:tab w:val="clear" w:pos="1134"/>
          <w:tab w:val="left" w:pos="707" w:leader="none"/>
        </w:tabs>
        <w:ind w:left="707" w:hanging="283"/>
        <w:jc w:val="both"/>
        <w:rPr>
          <w:sz w:val="20"/>
        </w:rPr>
      </w:pPr>
      <w:r>
        <w:rPr>
          <w:rFonts w:ascii="Times New Roman" w:hAnsi="Times New Roman"/>
          <w:b/>
          <w:sz w:val="20"/>
        </w:rPr>
        <w:t xml:space="preserve">Defined benefit pension plan: </w:t>
      </w:r>
      <w:r>
        <w:rPr>
          <w:rFonts w:ascii="Times New Roman" w:hAnsi="Times New Roman"/>
          <w:sz w:val="20"/>
        </w:rPr>
        <w:t>All U.S.-based employees participate in our Company-funded</w:t>
      </w:r>
      <w:r>
        <w:rPr>
          <w:sz w:val="20"/>
        </w:rPr>
        <w:t xml:space="preserve"> </w:t>
      </w:r>
      <w:r>
        <w:rPr>
          <w:rFonts w:ascii="Times New Roman" w:hAnsi="Times New Roman"/>
          <w:sz w:val="20"/>
        </w:rPr>
        <w:t>defined benefit pension plan. For salaried employees, the pension plan provides for pension</w:t>
      </w:r>
      <w:r>
        <w:rPr>
          <w:sz w:val="20"/>
        </w:rPr>
        <w:t xml:space="preserve"> </w:t>
      </w:r>
      <w:r>
        <w:rPr>
          <w:rFonts w:ascii="Times New Roman" w:hAnsi="Times New Roman"/>
          <w:sz w:val="20"/>
        </w:rPr>
        <w:t>benefits based on credited years of service and certain cash compensation (principally, base salary</w:t>
      </w:r>
      <w:r>
        <w:rPr>
          <w:sz w:val="20"/>
        </w:rPr>
        <w:t xml:space="preserve"> </w:t>
      </w:r>
      <w:r>
        <w:rPr>
          <w:rFonts w:ascii="Times New Roman" w:hAnsi="Times New Roman"/>
          <w:sz w:val="20"/>
        </w:rPr>
        <w:t>and commissions) earned during the highest paid consecutive five years during the last 10 years</w:t>
      </w:r>
      <w:r>
        <w:rPr>
          <w:sz w:val="20"/>
        </w:rPr>
        <w:t xml:space="preserve"> </w:t>
      </w:r>
      <w:r>
        <w:rPr>
          <w:rFonts w:ascii="Times New Roman" w:hAnsi="Times New Roman"/>
          <w:sz w:val="20"/>
        </w:rPr>
        <w:t>of employment. Our hourly-paid manufacturing employees also participate, but with a different</w:t>
      </w:r>
      <w:r>
        <w:rPr>
          <w:sz w:val="20"/>
        </w:rPr>
        <w:t xml:space="preserve"> </w:t>
      </w:r>
      <w:r>
        <w:rPr>
          <w:rFonts w:ascii="Times New Roman" w:hAnsi="Times New Roman"/>
          <w:sz w:val="20"/>
        </w:rPr>
        <w:t>pension benefit formula.</w:t>
      </w:r>
      <w:r>
        <w:rPr>
          <w:sz w:val="20"/>
        </w:rPr>
        <w:t xml:space="preserve"> </w:t>
      </w:r>
    </w:p>
    <w:p>
      <w:pPr>
        <w:pStyle w:val="TextBody"/>
        <w:jc w:val="center"/>
        <w:rPr>
          <w:rFonts w:ascii="Times New Roman" w:hAnsi="Times New Roman"/>
          <w:sz w:val="20"/>
        </w:rPr>
      </w:pPr>
      <w:r>
        <w:rPr>
          <w:rFonts w:ascii="Times New Roman" w:hAnsi="Times New Roman"/>
          <w:sz w:val="20"/>
        </w:rPr>
        <w:t>29</w:t>
      </w:r>
    </w:p>
    <w:p>
      <w:pPr>
        <w:pStyle w:val="HorizontalLine"/>
        <w:pBdr>
          <w:bottom w:val="single" w:sz="12" w:space="0" w:color="808080"/>
        </w:pBdr>
        <w:rPr/>
      </w:pPr>
      <w:r>
        <w:rPr/>
      </w:r>
    </w:p>
    <w:p>
      <w:pPr>
        <w:pStyle w:val="TextBody"/>
        <w:rPr/>
      </w:pPr>
      <w:r>
        <w:rPr/>
      </w:r>
    </w:p>
    <w:p>
      <w:pPr>
        <w:pStyle w:val="TextBody"/>
        <w:numPr>
          <w:ilvl w:val="0"/>
          <w:numId w:val="11"/>
        </w:numPr>
        <w:tabs>
          <w:tab w:val="clear" w:pos="1134"/>
          <w:tab w:val="left" w:pos="707" w:leader="none"/>
        </w:tabs>
        <w:spacing w:before="0" w:after="0"/>
        <w:ind w:left="707" w:hanging="283"/>
        <w:jc w:val="both"/>
        <w:rPr>
          <w:sz w:val="20"/>
        </w:rPr>
      </w:pPr>
      <w:r>
        <w:rPr>
          <w:rFonts w:ascii="Times New Roman" w:hAnsi="Times New Roman"/>
          <w:b/>
          <w:sz w:val="20"/>
        </w:rPr>
        <w:t xml:space="preserve">SERP: </w:t>
      </w:r>
      <w:r>
        <w:rPr>
          <w:rFonts w:ascii="Times New Roman" w:hAnsi="Times New Roman"/>
          <w:sz w:val="20"/>
        </w:rPr>
        <w:t>Our SERP provides benefits that would have been provided under our pension plan absent</w:t>
      </w:r>
      <w:r>
        <w:rPr>
          <w:sz w:val="20"/>
        </w:rPr>
        <w:t xml:space="preserve"> </w:t>
      </w:r>
      <w:r>
        <w:rPr>
          <w:rFonts w:ascii="Times New Roman" w:hAnsi="Times New Roman"/>
          <w:sz w:val="20"/>
        </w:rPr>
        <w:t>the Internal Revenue Code of 1986, as amended (the Code), limitations on benefits and on</w:t>
      </w:r>
      <w:r>
        <w:rPr>
          <w:sz w:val="20"/>
        </w:rPr>
        <w:t xml:space="preserve"> </w:t>
      </w:r>
      <w:r>
        <w:rPr>
          <w:rFonts w:ascii="Times New Roman" w:hAnsi="Times New Roman"/>
          <w:sz w:val="20"/>
        </w:rPr>
        <w:t>compensation for purposes of calculating benefits, offset by the actual pension benefits. Benefits</w:t>
      </w:r>
      <w:r>
        <w:rPr>
          <w:sz w:val="20"/>
        </w:rPr>
        <w:t xml:space="preserve"> </w:t>
      </w:r>
      <w:r>
        <w:rPr>
          <w:rFonts w:ascii="Times New Roman" w:hAnsi="Times New Roman"/>
          <w:sz w:val="20"/>
        </w:rPr>
        <w:t>under the SERP will be paid from our general assets. All employees whose pension plan benefits</w:t>
      </w:r>
      <w:r>
        <w:rPr>
          <w:sz w:val="20"/>
        </w:rPr>
        <w:t xml:space="preserve"> </w:t>
      </w:r>
      <w:r>
        <w:rPr>
          <w:rFonts w:ascii="Times New Roman" w:hAnsi="Times New Roman"/>
          <w:sz w:val="20"/>
        </w:rPr>
        <w:t>are limited by the Code will participate in the SERP. Currently, our CEO is the only participant.</w:t>
        <w:br/>
        <w:t> </w:t>
      </w:r>
      <w:r>
        <w:rPr>
          <w:sz w:val="20"/>
        </w:rPr>
        <w:t xml:space="preserve"> </w:t>
      </w:r>
    </w:p>
    <w:p>
      <w:pPr>
        <w:pStyle w:val="TextBody"/>
        <w:numPr>
          <w:ilvl w:val="0"/>
          <w:numId w:val="11"/>
        </w:numPr>
        <w:tabs>
          <w:tab w:val="clear" w:pos="1134"/>
          <w:tab w:val="left" w:pos="707" w:leader="none"/>
        </w:tabs>
        <w:ind w:left="707" w:hanging="283"/>
        <w:jc w:val="both"/>
        <w:rPr>
          <w:sz w:val="20"/>
        </w:rPr>
      </w:pPr>
      <w:r>
        <w:rPr>
          <w:rFonts w:ascii="Times New Roman" w:hAnsi="Times New Roman"/>
          <w:b/>
          <w:sz w:val="20"/>
        </w:rPr>
        <w:t xml:space="preserve">Defined contribution retirement plan: </w:t>
      </w:r>
      <w:r>
        <w:rPr>
          <w:rFonts w:ascii="Times New Roman" w:hAnsi="Times New Roman"/>
          <w:sz w:val="20"/>
        </w:rPr>
        <w:t>All U.S.-based employees are eligible to participate in</w:t>
      </w:r>
      <w:r>
        <w:rPr>
          <w:sz w:val="20"/>
        </w:rPr>
        <w:t xml:space="preserve"> </w:t>
      </w:r>
      <w:r>
        <w:rPr>
          <w:rFonts w:ascii="Times New Roman" w:hAnsi="Times New Roman"/>
          <w:sz w:val="20"/>
        </w:rPr>
        <w:t>our 401(k) retirement savings plan. Employees may contribute from 2% to 50% of eligible</w:t>
      </w:r>
      <w:r>
        <w:rPr>
          <w:sz w:val="20"/>
        </w:rPr>
        <w:t xml:space="preserve"> </w:t>
      </w:r>
      <w:r>
        <w:rPr>
          <w:rFonts w:ascii="Times New Roman" w:hAnsi="Times New Roman"/>
          <w:sz w:val="20"/>
        </w:rPr>
        <w:t>compensation on a tax-deferred basis, subject to Code limits. We make a matching contribution</w:t>
      </w:r>
      <w:r>
        <w:rPr>
          <w:sz w:val="20"/>
        </w:rPr>
        <w:t xml:space="preserve"> </w:t>
      </w:r>
      <w:r>
        <w:rPr>
          <w:rFonts w:ascii="Times New Roman" w:hAnsi="Times New Roman"/>
          <w:sz w:val="20"/>
        </w:rPr>
        <w:t>of $0.50 for each $1.00 of the first 4% of compensation that employees contribute. For employees</w:t>
      </w:r>
      <w:r>
        <w:rPr>
          <w:sz w:val="20"/>
        </w:rPr>
        <w:t xml:space="preserve"> </w:t>
      </w:r>
      <w:r>
        <w:rPr>
          <w:rFonts w:ascii="Times New Roman" w:hAnsi="Times New Roman"/>
          <w:sz w:val="20"/>
        </w:rPr>
        <w:t>that were hired prior to May 1, 2012, our matching contribution is immediately vested. For</w:t>
      </w:r>
      <w:r>
        <w:rPr>
          <w:sz w:val="20"/>
        </w:rPr>
        <w:t xml:space="preserve"> </w:t>
      </w:r>
      <w:r>
        <w:rPr>
          <w:rFonts w:ascii="Times New Roman" w:hAnsi="Times New Roman"/>
          <w:sz w:val="20"/>
        </w:rPr>
        <w:t>employees that were hired on or after May 1, 2012, the Companys matching contribution vests in</w:t>
      </w:r>
      <w:r>
        <w:rPr>
          <w:sz w:val="20"/>
        </w:rPr>
        <w:t xml:space="preserve"> </w:t>
      </w:r>
      <w:r>
        <w:rPr>
          <w:rFonts w:ascii="Times New Roman" w:hAnsi="Times New Roman"/>
          <w:sz w:val="20"/>
        </w:rPr>
        <w:t>accordance with the following schedule:</w:t>
      </w:r>
      <w:r>
        <w:rPr>
          <w:sz w:val="20"/>
        </w:rPr>
        <w:t xml:space="preserve"> </w:t>
      </w:r>
    </w:p>
    <w:tbl>
      <w:tblPr>
        <w:tblW w:w="3000" w:type="pct"/>
        <w:jc w:val="center"/>
        <w:tblInd w:w="0" w:type="dxa"/>
        <w:tblCellMar>
          <w:top w:w="0" w:type="dxa"/>
          <w:left w:w="0" w:type="dxa"/>
          <w:bottom w:w="0" w:type="dxa"/>
          <w:right w:w="0" w:type="dxa"/>
        </w:tblCellMar>
      </w:tblPr>
      <w:tblGrid>
        <w:gridCol w:w="1339"/>
        <w:gridCol w:w="2002"/>
        <w:gridCol w:w="2782"/>
      </w:tblGrid>
      <w:tr>
        <w:trPr/>
        <w:tc>
          <w:tcPr>
            <w:tcW w:w="133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Years</w:t>
            </w:r>
          </w:p>
        </w:tc>
        <w:tc>
          <w:tcPr>
            <w:tcW w:w="2002" w:type="dxa"/>
            <w:tcBorders/>
            <w:shd w:fill="auto" w:val="clear"/>
            <w:vAlign w:val="bottom"/>
          </w:tcPr>
          <w:p>
            <w:pPr>
              <w:pStyle w:val="TableContents"/>
              <w:spacing w:before="0" w:after="283"/>
              <w:rPr>
                <w:sz w:val="4"/>
                <w:szCs w:val="4"/>
              </w:rPr>
            </w:pPr>
            <w:r>
              <w:rPr>
                <w:sz w:val="4"/>
                <w:szCs w:val="4"/>
              </w:rPr>
            </w:r>
          </w:p>
        </w:tc>
        <w:tc>
          <w:tcPr>
            <w:tcW w:w="278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Vested Percentage of Companys</w:t>
            </w:r>
          </w:p>
        </w:tc>
      </w:tr>
      <w:tr>
        <w:trPr/>
        <w:tc>
          <w:tcPr>
            <w:tcW w:w="1339"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of Service</w:t>
            </w:r>
          </w:p>
        </w:tc>
        <w:tc>
          <w:tcPr>
            <w:tcW w:w="2002" w:type="dxa"/>
            <w:tcBorders/>
            <w:shd w:fill="auto" w:val="clear"/>
            <w:vAlign w:val="bottom"/>
          </w:tcPr>
          <w:p>
            <w:pPr>
              <w:pStyle w:val="TableContents"/>
              <w:spacing w:before="0" w:after="283"/>
              <w:rPr>
                <w:sz w:val="4"/>
                <w:szCs w:val="4"/>
              </w:rPr>
            </w:pPr>
            <w:r>
              <w:rPr>
                <w:sz w:val="4"/>
                <w:szCs w:val="4"/>
              </w:rPr>
            </w:r>
          </w:p>
        </w:tc>
        <w:tc>
          <w:tcPr>
            <w:tcW w:w="2782"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Matching Contribution</w:t>
            </w:r>
          </w:p>
        </w:tc>
      </w:tr>
      <w:tr>
        <w:trPr/>
        <w:tc>
          <w:tcPr>
            <w:tcW w:w="133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1 but less than 2</w:t>
            </w:r>
          </w:p>
        </w:tc>
        <w:tc>
          <w:tcPr>
            <w:tcW w:w="2002" w:type="dxa"/>
            <w:tcBorders/>
            <w:shd w:fill="C0C0C0" w:val="clear"/>
            <w:vAlign w:val="bottom"/>
          </w:tcPr>
          <w:p>
            <w:pPr>
              <w:pStyle w:val="TableContents"/>
              <w:spacing w:before="0" w:after="283"/>
              <w:rPr>
                <w:sz w:val="4"/>
                <w:szCs w:val="4"/>
              </w:rPr>
            </w:pPr>
            <w:r>
              <w:rPr>
                <w:sz w:val="4"/>
                <w:szCs w:val="4"/>
              </w:rPr>
            </w:r>
          </w:p>
        </w:tc>
        <w:tc>
          <w:tcPr>
            <w:tcW w:w="278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20%</w:t>
            </w:r>
          </w:p>
        </w:tc>
      </w:tr>
      <w:tr>
        <w:trPr/>
        <w:tc>
          <w:tcPr>
            <w:tcW w:w="133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 but less than 3</w:t>
            </w:r>
          </w:p>
        </w:tc>
        <w:tc>
          <w:tcPr>
            <w:tcW w:w="2002" w:type="dxa"/>
            <w:tcBorders/>
            <w:shd w:fill="auto" w:val="clear"/>
            <w:vAlign w:val="bottom"/>
          </w:tcPr>
          <w:p>
            <w:pPr>
              <w:pStyle w:val="TableContents"/>
              <w:spacing w:before="0" w:after="283"/>
              <w:jc w:val="center"/>
              <w:rPr/>
            </w:pPr>
            <w:r>
              <w:rPr/>
              <w:t> </w:t>
            </w:r>
          </w:p>
        </w:tc>
        <w:tc>
          <w:tcPr>
            <w:tcW w:w="278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40%</w:t>
            </w:r>
          </w:p>
        </w:tc>
      </w:tr>
      <w:tr>
        <w:trPr/>
        <w:tc>
          <w:tcPr>
            <w:tcW w:w="133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3 but less than 4</w:t>
            </w:r>
          </w:p>
        </w:tc>
        <w:tc>
          <w:tcPr>
            <w:tcW w:w="2002" w:type="dxa"/>
            <w:tcBorders/>
            <w:shd w:fill="C0C0C0" w:val="clear"/>
            <w:vAlign w:val="bottom"/>
          </w:tcPr>
          <w:p>
            <w:pPr>
              <w:pStyle w:val="TableContents"/>
              <w:spacing w:before="0" w:after="283"/>
              <w:rPr>
                <w:sz w:val="4"/>
                <w:szCs w:val="4"/>
              </w:rPr>
            </w:pPr>
            <w:r>
              <w:rPr>
                <w:sz w:val="4"/>
                <w:szCs w:val="4"/>
              </w:rPr>
            </w:r>
          </w:p>
        </w:tc>
        <w:tc>
          <w:tcPr>
            <w:tcW w:w="278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60%</w:t>
            </w:r>
          </w:p>
        </w:tc>
      </w:tr>
      <w:tr>
        <w:trPr/>
        <w:tc>
          <w:tcPr>
            <w:tcW w:w="133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 but less than 5</w:t>
            </w:r>
          </w:p>
        </w:tc>
        <w:tc>
          <w:tcPr>
            <w:tcW w:w="2002" w:type="dxa"/>
            <w:tcBorders/>
            <w:shd w:fill="auto" w:val="clear"/>
            <w:vAlign w:val="bottom"/>
          </w:tcPr>
          <w:p>
            <w:pPr>
              <w:pStyle w:val="TableContents"/>
              <w:spacing w:before="0" w:after="283"/>
              <w:rPr>
                <w:sz w:val="4"/>
                <w:szCs w:val="4"/>
              </w:rPr>
            </w:pPr>
            <w:r>
              <w:rPr>
                <w:sz w:val="4"/>
                <w:szCs w:val="4"/>
              </w:rPr>
            </w:r>
          </w:p>
        </w:tc>
        <w:tc>
          <w:tcPr>
            <w:tcW w:w="278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80%</w:t>
            </w:r>
          </w:p>
        </w:tc>
      </w:tr>
      <w:tr>
        <w:trPr/>
        <w:tc>
          <w:tcPr>
            <w:tcW w:w="133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5 or more</w:t>
            </w:r>
          </w:p>
        </w:tc>
        <w:tc>
          <w:tcPr>
            <w:tcW w:w="2002" w:type="dxa"/>
            <w:tcBorders/>
            <w:shd w:fill="C0C0C0" w:val="clear"/>
            <w:vAlign w:val="bottom"/>
          </w:tcPr>
          <w:p>
            <w:pPr>
              <w:pStyle w:val="TableContents"/>
              <w:spacing w:before="0" w:after="283"/>
              <w:rPr>
                <w:sz w:val="4"/>
                <w:szCs w:val="4"/>
              </w:rPr>
            </w:pPr>
            <w:r>
              <w:rPr>
                <w:sz w:val="4"/>
                <w:szCs w:val="4"/>
              </w:rPr>
            </w:r>
          </w:p>
        </w:tc>
        <w:tc>
          <w:tcPr>
            <w:tcW w:w="278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100%</w:t>
            </w:r>
          </w:p>
        </w:tc>
      </w:tr>
    </w:tbl>
    <w:p>
      <w:pPr>
        <w:pStyle w:val="TextBody"/>
        <w:rPr/>
      </w:pPr>
      <w:r>
        <w:rPr/>
      </w:r>
    </w:p>
    <w:p>
      <w:pPr>
        <w:pStyle w:val="TextBody"/>
        <w:pBdr/>
        <w:jc w:val="both"/>
        <w:rPr>
          <w:rFonts w:ascii="Times New Roman" w:hAnsi="Times New Roman"/>
          <w:sz w:val="20"/>
        </w:rPr>
      </w:pPr>
      <w:r>
        <w:rPr>
          <w:rFonts w:ascii="Times New Roman" w:hAnsi="Times New Roman"/>
          <w:sz w:val="20"/>
        </w:rPr>
        <w:t>If an employee is subject to the above vesting schedule and retires on or after such employees 65th birthday, the unvested portion, if any, of the Companys matching contribution becomes vested.</w:t>
      </w:r>
    </w:p>
    <w:p>
      <w:pPr>
        <w:pStyle w:val="TextBody"/>
        <w:numPr>
          <w:ilvl w:val="0"/>
          <w:numId w:val="12"/>
        </w:numPr>
        <w:tabs>
          <w:tab w:val="clear" w:pos="1134"/>
          <w:tab w:val="left" w:pos="707" w:leader="none"/>
        </w:tabs>
        <w:ind w:left="707" w:hanging="283"/>
        <w:jc w:val="both"/>
        <w:rPr>
          <w:sz w:val="20"/>
        </w:rPr>
      </w:pPr>
      <w:r>
        <w:rPr>
          <w:rFonts w:ascii="Times New Roman" w:hAnsi="Times New Roman"/>
          <w:b/>
          <w:sz w:val="20"/>
        </w:rPr>
        <w:t xml:space="preserve">Executive deferred compensation plan: </w:t>
      </w:r>
      <w:r>
        <w:rPr>
          <w:rFonts w:ascii="Times New Roman" w:hAnsi="Times New Roman"/>
          <w:sz w:val="20"/>
        </w:rPr>
        <w:t>We provide an executive deferred compensation plan</w:t>
      </w:r>
      <w:r>
        <w:rPr>
          <w:sz w:val="20"/>
        </w:rPr>
        <w:t xml:space="preserve"> </w:t>
      </w:r>
      <w:r>
        <w:rPr>
          <w:rFonts w:ascii="Times New Roman" w:hAnsi="Times New Roman"/>
          <w:sz w:val="20"/>
        </w:rPr>
        <w:t>to assist executives and non-employee directors in saving for retirement or other financial needs. All executive officers are eligible to participate in this plan. Participating executives may defer up</w:t>
      </w:r>
      <w:r>
        <w:rPr>
          <w:sz w:val="20"/>
        </w:rPr>
        <w:t xml:space="preserve"> </w:t>
      </w:r>
      <w:r>
        <w:rPr>
          <w:rFonts w:ascii="Times New Roman" w:hAnsi="Times New Roman"/>
          <w:sz w:val="20"/>
        </w:rPr>
        <w:t>to 50% of base salary and 100% of annual incentive bonus into the plan. We make no</w:t>
      </w:r>
      <w:r>
        <w:rPr>
          <w:sz w:val="20"/>
        </w:rPr>
        <w:t xml:space="preserve"> </w:t>
      </w:r>
      <w:r>
        <w:rPr>
          <w:rFonts w:ascii="Times New Roman" w:hAnsi="Times New Roman"/>
          <w:sz w:val="20"/>
        </w:rPr>
        <w:t>contributions. Executives deferrals earn interest at a rate equal to our long-term cost of</w:t>
      </w:r>
      <w:r>
        <w:rPr>
          <w:sz w:val="20"/>
        </w:rPr>
        <w:t xml:space="preserve"> </w:t>
      </w:r>
      <w:r>
        <w:rPr>
          <w:rFonts w:ascii="Times New Roman" w:hAnsi="Times New Roman"/>
          <w:sz w:val="20"/>
        </w:rPr>
        <w:t>borrowing plus 1%.</w:t>
      </w:r>
      <w:r>
        <w:rPr>
          <w:sz w:val="20"/>
        </w:rPr>
        <w:t xml:space="preserve"> </w:t>
      </w:r>
    </w:p>
    <w:p>
      <w:pPr>
        <w:pStyle w:val="TextBody"/>
        <w:jc w:val="both"/>
        <w:rPr>
          <w:rFonts w:ascii="Times New Roman" w:hAnsi="Times New Roman"/>
          <w:b/>
          <w:i/>
          <w:sz w:val="20"/>
        </w:rPr>
      </w:pPr>
      <w:r>
        <w:rPr>
          <w:rFonts w:ascii="Times New Roman" w:hAnsi="Times New Roman"/>
          <w:b/>
          <w:i/>
          <w:sz w:val="20"/>
        </w:rPr>
        <w:t>Retirement Benefits for the Named Executive Officers shown in the Tables:</w:t>
      </w:r>
    </w:p>
    <w:p>
      <w:pPr>
        <w:pStyle w:val="TextBody"/>
        <w:numPr>
          <w:ilvl w:val="0"/>
          <w:numId w:val="13"/>
        </w:numPr>
        <w:tabs>
          <w:tab w:val="clear" w:pos="1134"/>
          <w:tab w:val="left" w:pos="707" w:leader="none"/>
        </w:tabs>
        <w:spacing w:before="0" w:after="0"/>
        <w:ind w:left="707" w:hanging="283"/>
        <w:jc w:val="both"/>
        <w:rPr>
          <w:sz w:val="20"/>
        </w:rPr>
      </w:pPr>
      <w:r>
        <w:rPr>
          <w:rFonts w:ascii="Times New Roman" w:hAnsi="Times New Roman"/>
          <w:sz w:val="20"/>
        </w:rPr>
        <w:t>Summary Compensation Table: The actuarial change in pension and SERP benefits and earnings</w:t>
      </w:r>
      <w:r>
        <w:rPr>
          <w:sz w:val="20"/>
        </w:rPr>
        <w:t xml:space="preserve"> </w:t>
      </w:r>
      <w:r>
        <w:rPr>
          <w:rFonts w:ascii="Times New Roman" w:hAnsi="Times New Roman"/>
          <w:sz w:val="20"/>
        </w:rPr>
        <w:t>in excess of 120% of the applicable federal rate on deferred compensation plan balances are</w:t>
      </w:r>
      <w:r>
        <w:rPr>
          <w:sz w:val="20"/>
        </w:rPr>
        <w:t xml:space="preserve"> </w:t>
      </w:r>
      <w:r>
        <w:rPr>
          <w:rFonts w:ascii="Times New Roman" w:hAnsi="Times New Roman"/>
          <w:sz w:val="20"/>
        </w:rPr>
        <w:t>included in the Change in Pension Value and Nonqualified Deferred Compensation Earnings</w:t>
      </w:r>
      <w:r>
        <w:rPr>
          <w:sz w:val="20"/>
        </w:rPr>
        <w:t xml:space="preserve"> </w:t>
      </w:r>
      <w:r>
        <w:rPr>
          <w:rFonts w:ascii="Times New Roman" w:hAnsi="Times New Roman"/>
          <w:sz w:val="20"/>
        </w:rPr>
        <w:t>column of the Summary Compensation Table. Our contribution to the 401(k) retirement savings</w:t>
      </w:r>
      <w:r>
        <w:rPr>
          <w:sz w:val="20"/>
        </w:rPr>
        <w:t xml:space="preserve"> </w:t>
      </w:r>
      <w:r>
        <w:rPr>
          <w:rFonts w:ascii="Times New Roman" w:hAnsi="Times New Roman"/>
          <w:sz w:val="20"/>
        </w:rPr>
        <w:t>plan is included in the All Other Compensation column of that table.</w:t>
        <w:br/>
        <w:t> </w:t>
      </w:r>
      <w:r>
        <w:rPr>
          <w:sz w:val="20"/>
        </w:rPr>
        <w:t xml:space="preserve"> </w:t>
      </w:r>
    </w:p>
    <w:p>
      <w:pPr>
        <w:pStyle w:val="TextBody"/>
        <w:numPr>
          <w:ilvl w:val="0"/>
          <w:numId w:val="13"/>
        </w:numPr>
        <w:tabs>
          <w:tab w:val="clear" w:pos="1134"/>
          <w:tab w:val="left" w:pos="707" w:leader="none"/>
        </w:tabs>
        <w:spacing w:before="0" w:after="0"/>
        <w:ind w:left="707" w:hanging="283"/>
        <w:jc w:val="both"/>
        <w:rPr>
          <w:sz w:val="20"/>
        </w:rPr>
      </w:pPr>
      <w:r>
        <w:rPr>
          <w:rFonts w:ascii="Times New Roman" w:hAnsi="Times New Roman"/>
          <w:sz w:val="20"/>
        </w:rPr>
        <w:t>Pension Benefits Table: The present value of the accumulated benefits under the pension plan and</w:t>
      </w:r>
      <w:r>
        <w:rPr>
          <w:sz w:val="20"/>
        </w:rPr>
        <w:t xml:space="preserve"> </w:t>
      </w:r>
      <w:r>
        <w:rPr>
          <w:rFonts w:ascii="Times New Roman" w:hAnsi="Times New Roman"/>
          <w:sz w:val="20"/>
        </w:rPr>
        <w:t>the SERP is shown in the Present Value of Accumulated Benefits column of the Pension</w:t>
      </w:r>
      <w:r>
        <w:rPr>
          <w:sz w:val="20"/>
        </w:rPr>
        <w:t xml:space="preserve"> </w:t>
      </w:r>
      <w:r>
        <w:rPr>
          <w:rFonts w:ascii="Times New Roman" w:hAnsi="Times New Roman"/>
          <w:sz w:val="20"/>
        </w:rPr>
        <w:t>Benefits Table.</w:t>
        <w:br/>
        <w:t> </w:t>
      </w:r>
      <w:r>
        <w:rPr>
          <w:sz w:val="20"/>
        </w:rPr>
        <w:t xml:space="preserve"> </w:t>
      </w:r>
    </w:p>
    <w:p>
      <w:pPr>
        <w:pStyle w:val="TextBody"/>
        <w:numPr>
          <w:ilvl w:val="0"/>
          <w:numId w:val="13"/>
        </w:numPr>
        <w:tabs>
          <w:tab w:val="clear" w:pos="1134"/>
          <w:tab w:val="left" w:pos="707" w:leader="none"/>
        </w:tabs>
        <w:ind w:left="707" w:hanging="283"/>
        <w:jc w:val="both"/>
        <w:rPr>
          <w:sz w:val="20"/>
        </w:rPr>
      </w:pPr>
      <w:r>
        <w:rPr>
          <w:rFonts w:ascii="Times New Roman" w:hAnsi="Times New Roman"/>
          <w:sz w:val="20"/>
        </w:rPr>
        <w:t>Nonqualified Deferred Compensation Table: Contributions by the named executive officers to</w:t>
      </w:r>
      <w:r>
        <w:rPr>
          <w:sz w:val="20"/>
        </w:rPr>
        <w:t xml:space="preserve"> </w:t>
      </w:r>
      <w:r>
        <w:rPr>
          <w:rFonts w:ascii="Times New Roman" w:hAnsi="Times New Roman"/>
          <w:sz w:val="20"/>
        </w:rPr>
        <w:t>our executive deferred compensation plan are shown in the Executive Contributions in Last</w:t>
      </w:r>
      <w:r>
        <w:rPr>
          <w:sz w:val="20"/>
        </w:rPr>
        <w:t xml:space="preserve"> </w:t>
      </w:r>
      <w:r>
        <w:rPr>
          <w:rFonts w:ascii="Times New Roman" w:hAnsi="Times New Roman"/>
          <w:sz w:val="20"/>
        </w:rPr>
        <w:t>Fiscal Year column of the Nonqualified Deferred Compensation Table. Earnings on balances in</w:t>
      </w:r>
      <w:r>
        <w:rPr>
          <w:sz w:val="20"/>
        </w:rPr>
        <w:t xml:space="preserve"> </w:t>
      </w:r>
      <w:r>
        <w:rPr>
          <w:rFonts w:ascii="Times New Roman" w:hAnsi="Times New Roman"/>
          <w:sz w:val="20"/>
        </w:rPr>
        <w:t>that plan are included in the Aggregate Earnings in Last Fiscal Year column of that table.</w:t>
      </w:r>
      <w:r>
        <w:rPr>
          <w:sz w:val="20"/>
        </w:rPr>
        <w:t xml:space="preserve"> </w:t>
      </w:r>
    </w:p>
    <w:p>
      <w:pPr>
        <w:pStyle w:val="TextBody"/>
        <w:jc w:val="center"/>
        <w:rPr>
          <w:rFonts w:ascii="Times New Roman" w:hAnsi="Times New Roman"/>
          <w:sz w:val="20"/>
        </w:rPr>
      </w:pPr>
      <w:r>
        <w:rPr>
          <w:rFonts w:ascii="Times New Roman" w:hAnsi="Times New Roman"/>
          <w:sz w:val="20"/>
        </w:rPr>
        <w:t>30</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b/>
          <w:sz w:val="20"/>
        </w:rPr>
        <w:t>Other Benefits:</w:t>
      </w:r>
      <w:r>
        <w:rPr>
          <w:rFonts w:ascii="Times New Roman" w:hAnsi="Times New Roman"/>
          <w:sz w:val="20"/>
        </w:rPr>
        <w:t xml:space="preserve"> We provide health and welfare benefits, including medical and dental coverage and life and long-term disability insurance, which are available to our executive officers on the same terms as they are available to other employees. These benefits help us attract and retain talented employees and provide assistance to current employees and their families.</w:t>
      </w:r>
    </w:p>
    <w:p>
      <w:pPr>
        <w:pStyle w:val="TextBody"/>
        <w:jc w:val="both"/>
        <w:rPr/>
      </w:pPr>
      <w:r>
        <w:rPr/>
        <w:t xml:space="preserve">     </w:t>
      </w:r>
      <w:r>
        <w:rPr>
          <w:rFonts w:ascii="Times New Roman" w:hAnsi="Times New Roman"/>
          <w:sz w:val="20"/>
        </w:rPr>
        <w:t>We provide limited perquisites to the named executive officers to assist them in carrying out their duties. These perquisites may include a car allowance and paid parking. The value of these benefits is included in the All Other Compensation column of the Summary Compensation Table.</w:t>
      </w:r>
    </w:p>
    <w:p>
      <w:pPr>
        <w:pStyle w:val="TextBody"/>
        <w:jc w:val="both"/>
        <w:rPr/>
      </w:pPr>
      <w:r>
        <w:rPr/>
        <w:t xml:space="preserve">     </w:t>
      </w:r>
      <w:r>
        <w:rPr>
          <w:rStyle w:val="StrongEmphasis"/>
          <w:rFonts w:ascii="Times New Roman" w:hAnsi="Times New Roman"/>
          <w:sz w:val="20"/>
        </w:rPr>
        <w:t xml:space="preserve">Employment and Severance Arrangements: </w:t>
      </w:r>
      <w:r>
        <w:rPr>
          <w:rFonts w:ascii="Times New Roman" w:hAnsi="Times New Roman"/>
          <w:sz w:val="20"/>
        </w:rPr>
        <w:t>We do not generally enter into written employment or prospective severance agreements with our executive officers, nor do we have a prospective severance plan that covers any of our executive officers. Currently, our only provisions for benefits upon termination of employment or change in control are in existing compensation plans and apply to all participants in those plans. For example, our equity incentive plans contain provisions for immediate vesting of benefits upon change in control, retirement, disability or death. The Benefits Upon Termination or Change in Control Table contains additional information concerning benefits upon the termination of employment of the named executive officers.</w:t>
      </w:r>
    </w:p>
    <w:p>
      <w:pPr>
        <w:pStyle w:val="TextBody"/>
        <w:jc w:val="both"/>
        <w:rPr/>
      </w:pPr>
      <w:r>
        <w:rPr/>
        <w:t xml:space="preserve">     </w:t>
      </w:r>
      <w:r>
        <w:rPr>
          <w:rStyle w:val="StrongEmphasis"/>
          <w:rFonts w:ascii="Times New Roman" w:hAnsi="Times New Roman"/>
          <w:sz w:val="20"/>
        </w:rPr>
        <w:t xml:space="preserve">Long-Term Equity Incentives: </w:t>
      </w:r>
      <w:r>
        <w:rPr>
          <w:rFonts w:ascii="Times New Roman" w:hAnsi="Times New Roman"/>
          <w:sz w:val="20"/>
        </w:rPr>
        <w:t>We favor performance-based cash incentives under our annual incentive plan over the use of equity incentive compensation. We continue to recognize, however, that long-term equity incentive compensation can be important in attracting and retaining key employees and outside directors. Grants to our CEO have historically consisted of annual equity awards associated with his wish to be excluded from the executive deferred bonus portion of our annual incentive plan and periodic, multi-year equity awards intended to provide additional incentive.</w:t>
      </w:r>
    </w:p>
    <w:p>
      <w:pPr>
        <w:pStyle w:val="TextBody"/>
        <w:jc w:val="both"/>
        <w:rPr/>
      </w:pPr>
      <w:r>
        <w:rPr/>
        <w:t xml:space="preserve">     </w:t>
      </w:r>
      <w:r>
        <w:rPr>
          <w:rFonts w:ascii="Times New Roman" w:hAnsi="Times New Roman"/>
          <w:sz w:val="20"/>
        </w:rPr>
        <w:t>At its October 16, 2013 meeting, our Compensation Committee made one equity incentive award to our CEO, Daniel S. Jaffee, and one equity incentive award to our Vice President of Manufacturing, Thomas F. Cofsky. Mr. Jaffee received an award of 6,390 restricted shares of Class B Stock and Mr. Cofsky received an award of 3,791 restricted shares of Class B Stock, in each case, under the terms of our 2006 Long Term Incentive Plan. Each award fulfills the intention of the Compensation Committee stated at its October 9, 2012 meeting to grant Messrs. Jaffee and Cofsky an award equal to the executive deferred bonus award each would have received had he not chosen to be excluded from that portion of our annual incentive plan for fiscal 2013. The dollar value of each of the awards was calculated to equal the dollar amount of the executive deferred bonus award Messrs. Jaffee and Cofsky would have received under our annual incentive plan for fiscal 2013. Each such dollar value was then divided by the average closing sale price of the Companys Common Stock for the 30 trading days preceding the date of the grant (approximately $32.86) to determine the number of restricted shares to be granted. All of such restricted shares of Class B Stock awarded to Messrs. Jaffee and Cofsky will cliff vest in full on July 31, 2016, provided that Messrs. Jaffee and Cofsky (as applicable) are employed by us on that date.</w:t>
      </w:r>
    </w:p>
    <w:p>
      <w:pPr>
        <w:pStyle w:val="TextBody"/>
        <w:jc w:val="both"/>
        <w:rPr/>
      </w:pPr>
      <w:r>
        <w:rPr/>
        <w:t xml:space="preserve">     </w:t>
      </w:r>
      <w:r>
        <w:rPr>
          <w:rFonts w:ascii="Times New Roman" w:hAnsi="Times New Roman"/>
          <w:sz w:val="20"/>
        </w:rPr>
        <w:t>At its October 16, 2013 meeting, our Compensation Committee also stated its current intention to grant to our CEO, Daniel S. Jaffee, and our Vice President of Manufacturing, Thomas F. Cofsky, at a meeting following the end of fiscal 2014, awards of restricted shares of Class B Stock under the terms of our 2006 Long Term Incentive Plan, if each executive would have received an executive deferred bonus award as a result of our corporate financial performance in fiscal 2014 had they each been participants in that portion of our annual incentive plan. (As was the case in fiscal years 2008 through 2013, Mr. Jaffee has requested that he not be eligible for an executive deferred bonus award in fiscal 2014. Mr. Cofsky has also made this request for fiscal 2014, as he did for fiscal years 2011 through 2013.) If corporate financial performance for fiscal 2014 meets the performance threshold for an award, an award may be granted for fiscal 2014 performance. If an award is granted, we anticipate that the number of restricted shares awarded would be determined by dividing the amount, if any, of an executive deferred bonus award each executive would have received under our annual incentive plan for fiscal 2014, had they each been participants in that portion of our annual incentive plan, by the average closing sale price of our Common Stock for the 30 trading days preceding the date of the grant (or other similar measure determined to be appropriate by our Compensation Committee).</w:t>
      </w:r>
    </w:p>
    <w:p>
      <w:pPr>
        <w:pStyle w:val="TextBody"/>
        <w:jc w:val="center"/>
        <w:rPr>
          <w:rFonts w:ascii="Times New Roman" w:hAnsi="Times New Roman"/>
          <w:sz w:val="20"/>
        </w:rPr>
      </w:pPr>
      <w:r>
        <w:rPr>
          <w:rFonts w:ascii="Times New Roman" w:hAnsi="Times New Roman"/>
          <w:sz w:val="20"/>
        </w:rPr>
        <w:t>31</w:t>
      </w:r>
    </w:p>
    <w:p>
      <w:pPr>
        <w:pStyle w:val="HorizontalLine"/>
        <w:pBdr>
          <w:bottom w:val="single" w:sz="12" w:space="0" w:color="808080"/>
        </w:pBdr>
        <w:rPr/>
      </w:pPr>
      <w:r>
        <w:rPr/>
      </w:r>
    </w:p>
    <w:p>
      <w:pPr>
        <w:pStyle w:val="TextBody"/>
        <w:rPr/>
      </w:pPr>
      <w:r>
        <w:rPr/>
      </w:r>
    </w:p>
    <w:p>
      <w:pPr>
        <w:pStyle w:val="TextBody"/>
        <w:jc w:val="both"/>
        <w:rPr/>
      </w:pPr>
      <w:r>
        <w:rPr/>
        <w:t xml:space="preserve">     </w:t>
      </w:r>
      <w:r>
        <w:rPr>
          <w:rStyle w:val="StrongEmphasis"/>
          <w:rFonts w:ascii="Times New Roman" w:hAnsi="Times New Roman"/>
          <w:sz w:val="20"/>
        </w:rPr>
        <w:t xml:space="preserve">Equity Grant Practices: </w:t>
      </w:r>
      <w:r>
        <w:rPr>
          <w:rFonts w:ascii="Times New Roman" w:hAnsi="Times New Roman"/>
          <w:sz w:val="20"/>
        </w:rPr>
        <w:t xml:space="preserve">We have a formal equity grant policy, adopted by our Board of Directors in 2007 and amended in 2012, which provides that equity awards generally should be made by our Compensation Committee at a regularly scheduled meeting or by our CEO under limited authority granted to him. Our CEO may make grants of either stock options or restricted stock, but the total number of either stock options or shares of restricted stock that our CEO may grant is limited, and the maximum employee award is designated by the employees salary grade. Our CEO may generally make awards only four times each year, during the two-week period beginning the third business day following our quarterly earnings release. If the grant date is not an NYSE trading day, then the grant date will be the immediately preceding NYSE trading day. </w:t>
      </w:r>
    </w:p>
    <w:p>
      <w:pPr>
        <w:pStyle w:val="TextBody"/>
        <w:jc w:val="both"/>
        <w:rPr/>
      </w:pPr>
      <w:r>
        <w:rPr/>
        <w:t xml:space="preserve">     </w:t>
      </w:r>
      <w:r>
        <w:rPr>
          <w:rFonts w:ascii="Times New Roman" w:hAnsi="Times New Roman"/>
          <w:sz w:val="20"/>
        </w:rPr>
        <w:t>Prior to the adoption of our formal policy, in the case of grants made by our Compensation Committee, the grant date has been determined in accordance with the requirements of Financial Accounting Standards Board Accounting Standards Codification Topic 718 (ASC 718). The exercise price has always been the closing sale price of our Common Stock on the date of grant.</w:t>
      </w:r>
    </w:p>
    <w:p>
      <w:pPr>
        <w:pStyle w:val="TextBody"/>
        <w:jc w:val="both"/>
        <w:rPr/>
      </w:pPr>
      <w:r>
        <w:rPr/>
        <w:t xml:space="preserve">     </w:t>
      </w:r>
      <w:r>
        <w:rPr>
          <w:rStyle w:val="StrongEmphasis"/>
          <w:rFonts w:ascii="Times New Roman" w:hAnsi="Times New Roman"/>
          <w:sz w:val="20"/>
        </w:rPr>
        <w:t xml:space="preserve">Stock Ownership Guidelines: </w:t>
      </w:r>
      <w:r>
        <w:rPr>
          <w:rFonts w:ascii="Times New Roman" w:hAnsi="Times New Roman"/>
          <w:sz w:val="20"/>
        </w:rPr>
        <w:t>We do not have guidelines or requirements for stock ownership by our executive officers or our directors. See Security Ownership of Management below for information on beneficial ownership of our Common Stock and Class B Stock by our directors and executive officers.</w:t>
      </w:r>
    </w:p>
    <w:p>
      <w:pPr>
        <w:pStyle w:val="TextBody"/>
        <w:jc w:val="center"/>
        <w:rPr>
          <w:rFonts w:ascii="Times New Roman" w:hAnsi="Times New Roman"/>
          <w:b/>
          <w:sz w:val="20"/>
        </w:rPr>
      </w:pPr>
      <w:r>
        <w:rPr>
          <w:rFonts w:ascii="Times New Roman" w:hAnsi="Times New Roman"/>
          <w:b/>
          <w:sz w:val="20"/>
        </w:rPr>
        <w:t>Tax and Accounting Implications</w:t>
      </w:r>
    </w:p>
    <w:p>
      <w:pPr>
        <w:pStyle w:val="TextBody"/>
        <w:jc w:val="both"/>
        <w:rPr/>
      </w:pPr>
      <w:r>
        <w:rPr/>
        <w:t xml:space="preserve">     </w:t>
      </w:r>
      <w:r>
        <w:rPr>
          <w:rStyle w:val="StrongEmphasis"/>
          <w:rFonts w:ascii="Times New Roman" w:hAnsi="Times New Roman"/>
          <w:sz w:val="20"/>
        </w:rPr>
        <w:t xml:space="preserve">Limitation on Tax Deductibility: </w:t>
      </w:r>
      <w:r>
        <w:rPr>
          <w:rFonts w:ascii="Times New Roman" w:hAnsi="Times New Roman"/>
          <w:sz w:val="20"/>
        </w:rPr>
        <w:t>Section 162(m) of the Code limits to $1 million the tax deduction we may take for compensation paid to our CEO and the other named executive officers unless the compensation is performance-based and paid under a formal compensation plan that meets the Codes requirements. Currently, awards made by our Compensation Committee do not qualify for the performance-based exception to the limitation on deductibility. Historically, Section 162(m) has not had a material effect on our compensation philosophy, tax planning or financial reporting. To maintain flexibility, however, we have no policy requiring that all compensation paid to the named executive officers be fully deductible.</w:t>
      </w:r>
    </w:p>
    <w:p>
      <w:pPr>
        <w:pStyle w:val="TextBody"/>
        <w:jc w:val="both"/>
        <w:rPr/>
      </w:pPr>
      <w:r>
        <w:rPr/>
        <w:t xml:space="preserve">     </w:t>
      </w:r>
      <w:r>
        <w:rPr>
          <w:rStyle w:val="StrongEmphasis"/>
          <w:rFonts w:ascii="Times New Roman" w:hAnsi="Times New Roman"/>
          <w:sz w:val="20"/>
        </w:rPr>
        <w:t xml:space="preserve">Nonqualified Deferred Compensation: </w:t>
      </w:r>
      <w:r>
        <w:rPr>
          <w:rFonts w:ascii="Times New Roman" w:hAnsi="Times New Roman"/>
          <w:sz w:val="20"/>
        </w:rPr>
        <w:t>We intend that all of our benefit plans comply with Section 409A of the Code. We amended and restated all of our benefit plans that include deferred compensation elements in compliance with Section 409A. We believe we have been operating in good faith with Section 409A since its January 1, 2005 effective date.</w:t>
      </w:r>
    </w:p>
    <w:p>
      <w:pPr>
        <w:pStyle w:val="TextBody"/>
        <w:jc w:val="both"/>
        <w:rPr/>
      </w:pPr>
      <w:r>
        <w:rPr/>
        <w:t xml:space="preserve">     </w:t>
      </w:r>
      <w:r>
        <w:rPr>
          <w:rStyle w:val="StrongEmphasis"/>
          <w:rFonts w:ascii="Times New Roman" w:hAnsi="Times New Roman"/>
          <w:sz w:val="20"/>
        </w:rPr>
        <w:t xml:space="preserve">Accounting for Stock-Based Compensation: </w:t>
      </w:r>
      <w:r>
        <w:rPr>
          <w:rFonts w:ascii="Times New Roman" w:hAnsi="Times New Roman"/>
          <w:sz w:val="20"/>
        </w:rPr>
        <w:t>We account for stock-based payments under our equity incentive plans in accordance with ASC 718.</w:t>
      </w:r>
    </w:p>
    <w:p>
      <w:pPr>
        <w:pStyle w:val="TextBody"/>
        <w:jc w:val="center"/>
        <w:rPr>
          <w:rFonts w:ascii="Times New Roman" w:hAnsi="Times New Roman"/>
          <w:sz w:val="20"/>
        </w:rPr>
      </w:pPr>
      <w:r>
        <w:rPr>
          <w:rFonts w:ascii="Times New Roman" w:hAnsi="Times New Roman"/>
          <w:sz w:val="20"/>
        </w:rPr>
        <w:t>32</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Report of the Compensation Committee of the Board of Directors</w:t>
      </w:r>
    </w:p>
    <w:p>
      <w:pPr>
        <w:pStyle w:val="TextBody"/>
        <w:jc w:val="both"/>
        <w:rPr/>
      </w:pPr>
      <w:r>
        <w:rPr/>
        <w:t xml:space="preserve">     </w:t>
      </w:r>
      <w:r>
        <w:rPr>
          <w:rFonts w:ascii="Times New Roman" w:hAnsi="Times New Roman"/>
          <w:sz w:val="20"/>
        </w:rPr>
        <w:t>The Compensation Committee reviewed and discussed with our management the foregoing Compensation Discussion and Analysis. Based on that review and discussion, the Compensation Committee recommended to the Board of Directors that the Compensation Discussion and Analysis be included in this Proxy Statement.</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COMPENSATION COMMITTEE</w:t>
            </w:r>
          </w:p>
        </w:tc>
      </w:tr>
      <w:tr>
        <w:trPr/>
        <w:tc>
          <w:tcPr>
            <w:tcW w:w="4082" w:type="dxa"/>
            <w:tcBorders/>
            <w:shd w:fill="auto" w:val="clear"/>
            <w:vAlign w:val="center"/>
          </w:tcPr>
          <w:p>
            <w:pPr>
              <w:pStyle w:val="TableContents"/>
              <w:spacing w:before="0" w:after="283"/>
              <w:rPr/>
            </w:pPr>
            <w:r>
              <w:rPr/>
              <w:t xml:space="preserve">  </w:t>
            </w:r>
          </w:p>
        </w:tc>
      </w:tr>
      <w:tr>
        <w:trPr/>
        <w:tc>
          <w:tcPr>
            <w:tcW w:w="408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 Chairman</w:t>
            </w:r>
          </w:p>
        </w:tc>
      </w:tr>
      <w:tr>
        <w:trPr/>
        <w:tc>
          <w:tcPr>
            <w:tcW w:w="408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r>
      <w:tr>
        <w:trPr/>
        <w:tc>
          <w:tcPr>
            <w:tcW w:w="408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r>
    </w:tbl>
    <w:p>
      <w:pPr>
        <w:pStyle w:val="TextBody"/>
        <w:rPr/>
      </w:pPr>
      <w:r>
        <w:rPr/>
      </w:r>
    </w:p>
    <w:p>
      <w:pPr>
        <w:pStyle w:val="TextBody"/>
        <w:jc w:val="center"/>
        <w:rPr>
          <w:rFonts w:ascii="Times New Roman" w:hAnsi="Times New Roman"/>
          <w:sz w:val="20"/>
        </w:rPr>
      </w:pPr>
      <w:r>
        <w:rPr>
          <w:rFonts w:ascii="Times New Roman" w:hAnsi="Times New Roman"/>
          <w:sz w:val="20"/>
        </w:rPr>
        <w:t>33</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Summary Compensation Table</w:t>
      </w:r>
    </w:p>
    <w:p>
      <w:pPr>
        <w:pStyle w:val="TextBody"/>
        <w:jc w:val="both"/>
        <w:rPr/>
      </w:pPr>
      <w:r>
        <w:rPr/>
        <w:t xml:space="preserve">     </w:t>
      </w:r>
      <w:r>
        <w:rPr>
          <w:rFonts w:ascii="Times New Roman" w:hAnsi="Times New Roman"/>
          <w:sz w:val="20"/>
        </w:rPr>
        <w:t>The following table summarizes the total compensation earned by the named executive officers for services provided to the Company during the years detailed below.</w:t>
      </w:r>
    </w:p>
    <w:tbl>
      <w:tblPr>
        <w:tblW w:w="13970" w:type="dxa"/>
        <w:jc w:val="left"/>
        <w:tblInd w:w="0" w:type="dxa"/>
        <w:tblCellMar>
          <w:top w:w="0" w:type="dxa"/>
          <w:left w:w="0" w:type="dxa"/>
          <w:bottom w:w="0" w:type="dxa"/>
          <w:right w:w="0" w:type="dxa"/>
        </w:tblCellMar>
      </w:tblPr>
      <w:tblGrid>
        <w:gridCol w:w="1910"/>
        <w:gridCol w:w="300"/>
        <w:gridCol w:w="530"/>
        <w:gridCol w:w="300"/>
        <w:gridCol w:w="125"/>
        <w:gridCol w:w="755"/>
        <w:gridCol w:w="300"/>
        <w:gridCol w:w="125"/>
        <w:gridCol w:w="650"/>
        <w:gridCol w:w="300"/>
        <w:gridCol w:w="125"/>
        <w:gridCol w:w="1025"/>
        <w:gridCol w:w="300"/>
        <w:gridCol w:w="665"/>
        <w:gridCol w:w="300"/>
        <w:gridCol w:w="134"/>
        <w:gridCol w:w="1101"/>
        <w:gridCol w:w="300"/>
        <w:gridCol w:w="725"/>
        <w:gridCol w:w="815"/>
        <w:gridCol w:w="300"/>
        <w:gridCol w:w="905"/>
        <w:gridCol w:w="650"/>
        <w:gridCol w:w="300"/>
        <w:gridCol w:w="125"/>
        <w:gridCol w:w="905"/>
      </w:tblGrid>
      <w:tr>
        <w:trPr/>
        <w:tc>
          <w:tcPr>
            <w:tcW w:w="191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110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5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Change in</w:t>
            </w:r>
          </w:p>
        </w:tc>
        <w:tc>
          <w:tcPr>
            <w:tcW w:w="300"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bottom"/>
          </w:tcPr>
          <w:p>
            <w:pPr>
              <w:pStyle w:val="TableContents"/>
              <w:spacing w:before="0" w:after="283"/>
              <w:rPr>
                <w:sz w:val="4"/>
                <w:szCs w:val="4"/>
              </w:rPr>
            </w:pPr>
            <w:r>
              <w:rPr>
                <w:sz w:val="4"/>
                <w:szCs w:val="4"/>
              </w:rPr>
            </w:r>
          </w:p>
        </w:tc>
      </w:tr>
      <w:tr>
        <w:trPr/>
        <w:tc>
          <w:tcPr>
            <w:tcW w:w="191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110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5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Pension Value</w:t>
            </w:r>
          </w:p>
        </w:tc>
        <w:tc>
          <w:tcPr>
            <w:tcW w:w="300"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bottom"/>
          </w:tcPr>
          <w:p>
            <w:pPr>
              <w:pStyle w:val="TableContents"/>
              <w:spacing w:before="0" w:after="283"/>
              <w:rPr>
                <w:sz w:val="4"/>
                <w:szCs w:val="4"/>
              </w:rPr>
            </w:pPr>
            <w:r>
              <w:rPr>
                <w:sz w:val="4"/>
                <w:szCs w:val="4"/>
              </w:rPr>
            </w:r>
          </w:p>
        </w:tc>
      </w:tr>
      <w:tr>
        <w:trPr/>
        <w:tc>
          <w:tcPr>
            <w:tcW w:w="191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110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5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and</w:t>
            </w:r>
          </w:p>
        </w:tc>
        <w:tc>
          <w:tcPr>
            <w:tcW w:w="300"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bottom"/>
          </w:tcPr>
          <w:p>
            <w:pPr>
              <w:pStyle w:val="TableContents"/>
              <w:spacing w:before="0" w:after="283"/>
              <w:rPr>
                <w:sz w:val="4"/>
                <w:szCs w:val="4"/>
              </w:rPr>
            </w:pPr>
            <w:r>
              <w:rPr>
                <w:sz w:val="4"/>
                <w:szCs w:val="4"/>
              </w:rPr>
            </w:r>
          </w:p>
        </w:tc>
      </w:tr>
      <w:tr>
        <w:trPr/>
        <w:tc>
          <w:tcPr>
            <w:tcW w:w="191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110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5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Nonqualified</w:t>
            </w:r>
          </w:p>
        </w:tc>
        <w:tc>
          <w:tcPr>
            <w:tcW w:w="300"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bottom"/>
          </w:tcPr>
          <w:p>
            <w:pPr>
              <w:pStyle w:val="TableContents"/>
              <w:spacing w:before="0" w:after="283"/>
              <w:rPr>
                <w:sz w:val="4"/>
                <w:szCs w:val="4"/>
              </w:rPr>
            </w:pPr>
            <w:r>
              <w:rPr>
                <w:sz w:val="4"/>
                <w:szCs w:val="4"/>
              </w:rPr>
            </w:r>
          </w:p>
        </w:tc>
      </w:tr>
      <w:tr>
        <w:trPr/>
        <w:tc>
          <w:tcPr>
            <w:tcW w:w="191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left"/>
              <w:rPr/>
            </w:pPr>
            <w:r>
              <w:rPr/>
              <w:t>     </w:t>
            </w:r>
          </w:p>
        </w:tc>
        <w:tc>
          <w:tcPr>
            <w:tcW w:w="5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Non-Equity</w:t>
            </w:r>
          </w:p>
        </w:tc>
        <w:tc>
          <w:tcPr>
            <w:tcW w:w="300" w:type="dxa"/>
            <w:tcBorders/>
            <w:shd w:fill="auto" w:val="clear"/>
            <w:vAlign w:val="bottom"/>
          </w:tcPr>
          <w:p>
            <w:pPr>
              <w:pStyle w:val="TableContents"/>
              <w:spacing w:before="0" w:after="283"/>
              <w:jc w:val="center"/>
              <w:rPr/>
            </w:pPr>
            <w:r>
              <w:rPr/>
              <w:t>     </w:t>
            </w:r>
          </w:p>
        </w:tc>
        <w:tc>
          <w:tcPr>
            <w:tcW w:w="15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300" w:type="dxa"/>
            <w:tcBorders/>
            <w:shd w:fill="auto" w:val="clear"/>
            <w:vAlign w:val="bottom"/>
          </w:tcPr>
          <w:p>
            <w:pPr>
              <w:pStyle w:val="TableContents"/>
              <w:spacing w:before="0" w:after="283"/>
              <w:jc w:val="center"/>
              <w:rPr/>
            </w:pPr>
            <w:r>
              <w:rPr/>
              <w:t>     </w:t>
            </w:r>
          </w:p>
        </w:tc>
        <w:tc>
          <w:tcPr>
            <w:tcW w:w="90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bottom"/>
          </w:tcPr>
          <w:p>
            <w:pPr>
              <w:pStyle w:val="TableContents"/>
              <w:spacing w:before="0" w:after="283"/>
              <w:rPr>
                <w:sz w:val="4"/>
                <w:szCs w:val="4"/>
              </w:rPr>
            </w:pPr>
            <w:r>
              <w:rPr>
                <w:sz w:val="4"/>
                <w:szCs w:val="4"/>
              </w:rPr>
            </w:r>
          </w:p>
        </w:tc>
      </w:tr>
      <w:tr>
        <w:trPr/>
        <w:tc>
          <w:tcPr>
            <w:tcW w:w="191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5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center"/>
              <w:rPr/>
            </w:pPr>
            <w:r>
              <w:rPr>
                <w:rStyle w:val="StrongEmphasis"/>
                <w:rFonts w:ascii="Times New Roman" w:hAnsi="Times New Roman"/>
                <w:sz w:val="20"/>
              </w:rPr>
              <w:t>Option</w:t>
            </w:r>
          </w:p>
        </w:tc>
        <w:tc>
          <w:tcPr>
            <w:tcW w:w="300"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jc w:val="center"/>
              <w:rPr/>
            </w:pPr>
            <w:r>
              <w:rPr>
                <w:rStyle w:val="StrongEmphasis"/>
                <w:rFonts w:ascii="Times New Roman" w:hAnsi="Times New Roman"/>
                <w:sz w:val="20"/>
              </w:rPr>
              <w:t>Incentive Plan</w:t>
            </w:r>
          </w:p>
        </w:tc>
        <w:tc>
          <w:tcPr>
            <w:tcW w:w="300" w:type="dxa"/>
            <w:tcBorders/>
            <w:shd w:fill="auto" w:val="clear"/>
            <w:vAlign w:val="bottom"/>
          </w:tcPr>
          <w:p>
            <w:pPr>
              <w:pStyle w:val="TableContents"/>
              <w:spacing w:before="0" w:after="283"/>
              <w:jc w:val="center"/>
              <w:rPr/>
            </w:pPr>
            <w:r>
              <w:rPr/>
              <w:t> </w:t>
            </w:r>
          </w:p>
        </w:tc>
        <w:tc>
          <w:tcPr>
            <w:tcW w:w="1540" w:type="dxa"/>
            <w:gridSpan w:val="2"/>
            <w:tcBorders/>
            <w:shd w:fill="auto" w:val="clear"/>
            <w:vAlign w:val="bottom"/>
          </w:tcPr>
          <w:p>
            <w:pPr>
              <w:pStyle w:val="TableContents"/>
              <w:spacing w:before="0" w:after="283"/>
              <w:jc w:val="center"/>
              <w:rPr/>
            </w:pPr>
            <w:r>
              <w:rPr>
                <w:rStyle w:val="StrongEmphasis"/>
                <w:rFonts w:ascii="Times New Roman" w:hAnsi="Times New Roman"/>
                <w:sz w:val="20"/>
              </w:rPr>
              <w:t>Compensation</w:t>
            </w:r>
          </w:p>
        </w:tc>
        <w:tc>
          <w:tcPr>
            <w:tcW w:w="300" w:type="dxa"/>
            <w:tcBorders/>
            <w:shd w:fill="auto" w:val="clear"/>
            <w:vAlign w:val="bottom"/>
          </w:tcPr>
          <w:p>
            <w:pPr>
              <w:pStyle w:val="TableContents"/>
              <w:spacing w:before="0" w:after="283"/>
              <w:rPr>
                <w:sz w:val="4"/>
                <w:szCs w:val="4"/>
              </w:rPr>
            </w:pPr>
            <w:r>
              <w:rPr>
                <w:sz w:val="4"/>
                <w:szCs w:val="4"/>
              </w:rPr>
            </w:r>
          </w:p>
        </w:tc>
        <w:tc>
          <w:tcPr>
            <w:tcW w:w="15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All Other</w:t>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bottom"/>
          </w:tcPr>
          <w:p>
            <w:pPr>
              <w:pStyle w:val="TableContents"/>
              <w:spacing w:before="0" w:after="283"/>
              <w:rPr>
                <w:sz w:val="4"/>
                <w:szCs w:val="4"/>
              </w:rPr>
            </w:pPr>
            <w:r>
              <w:rPr>
                <w:sz w:val="4"/>
                <w:szCs w:val="4"/>
              </w:rPr>
            </w:r>
          </w:p>
        </w:tc>
      </w:tr>
      <w:tr>
        <w:trPr/>
        <w:tc>
          <w:tcPr>
            <w:tcW w:w="191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5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Awards</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center"/>
              <w:rPr/>
            </w:pPr>
            <w:r>
              <w:rPr>
                <w:rStyle w:val="StrongEmphasis"/>
                <w:rFonts w:ascii="Times New Roman" w:hAnsi="Times New Roman"/>
                <w:sz w:val="20"/>
              </w:rPr>
              <w:t>Awards</w:t>
            </w:r>
          </w:p>
        </w:tc>
        <w:tc>
          <w:tcPr>
            <w:tcW w:w="300"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jc w:val="center"/>
              <w:rPr/>
            </w:pPr>
            <w:r>
              <w:rPr>
                <w:rStyle w:val="StrongEmphasis"/>
                <w:rFonts w:ascii="Times New Roman" w:hAnsi="Times New Roman"/>
                <w:sz w:val="20"/>
              </w:rPr>
              <w:t>Compensation</w:t>
            </w:r>
          </w:p>
        </w:tc>
        <w:tc>
          <w:tcPr>
            <w:tcW w:w="300" w:type="dxa"/>
            <w:tcBorders/>
            <w:shd w:fill="auto" w:val="clear"/>
            <w:vAlign w:val="bottom"/>
          </w:tcPr>
          <w:p>
            <w:pPr>
              <w:pStyle w:val="TableContents"/>
              <w:spacing w:before="0" w:after="283"/>
              <w:rPr>
                <w:sz w:val="4"/>
                <w:szCs w:val="4"/>
              </w:rPr>
            </w:pPr>
            <w:r>
              <w:rPr>
                <w:sz w:val="4"/>
                <w:szCs w:val="4"/>
              </w:rPr>
            </w:r>
          </w:p>
        </w:tc>
        <w:tc>
          <w:tcPr>
            <w:tcW w:w="15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Earnings</w:t>
            </w:r>
          </w:p>
        </w:tc>
        <w:tc>
          <w:tcPr>
            <w:tcW w:w="300" w:type="dxa"/>
            <w:tcBorders/>
            <w:shd w:fill="auto" w:val="clear"/>
            <w:vAlign w:val="bottom"/>
          </w:tcPr>
          <w:p>
            <w:pPr>
              <w:pStyle w:val="TableContents"/>
              <w:spacing w:before="0" w:after="283"/>
              <w:rPr>
                <w:sz w:val="4"/>
                <w:szCs w:val="4"/>
              </w:rPr>
            </w:pPr>
            <w:r>
              <w:rPr>
                <w:sz w:val="4"/>
                <w:szCs w:val="4"/>
              </w:rPr>
            </w:r>
          </w:p>
        </w:tc>
        <w:tc>
          <w:tcPr>
            <w:tcW w:w="15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bottom"/>
          </w:tcPr>
          <w:p>
            <w:pPr>
              <w:pStyle w:val="TableContents"/>
              <w:spacing w:before="0" w:after="283"/>
              <w:rPr>
                <w:sz w:val="4"/>
                <w:szCs w:val="4"/>
              </w:rPr>
            </w:pPr>
            <w:r>
              <w:rPr>
                <w:sz w:val="4"/>
                <w:szCs w:val="4"/>
              </w:rPr>
            </w:r>
          </w:p>
        </w:tc>
      </w:tr>
      <w:tr>
        <w:trPr/>
        <w:tc>
          <w:tcPr>
            <w:tcW w:w="1910"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 and Principal</w:t>
            </w:r>
          </w:p>
        </w:tc>
        <w:tc>
          <w:tcPr>
            <w:tcW w:w="30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Fiscal</w:t>
            </w:r>
          </w:p>
        </w:tc>
        <w:tc>
          <w:tcPr>
            <w:tcW w:w="300" w:type="dxa"/>
            <w:tcBorders/>
            <w:shd w:fill="auto" w:val="clear"/>
            <w:vAlign w:val="bottom"/>
          </w:tcPr>
          <w:p>
            <w:pPr>
              <w:pStyle w:val="TableContents"/>
              <w:spacing w:before="0" w:after="283"/>
              <w:rPr>
                <w:sz w:val="4"/>
                <w:szCs w:val="4"/>
              </w:rPr>
            </w:pPr>
            <w:r>
              <w:rPr>
                <w:sz w:val="4"/>
                <w:szCs w:val="4"/>
              </w:rPr>
            </w:r>
          </w:p>
        </w:tc>
        <w:tc>
          <w:tcPr>
            <w:tcW w:w="88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Salary</w:t>
            </w:r>
          </w:p>
        </w:tc>
        <w:tc>
          <w:tcPr>
            <w:tcW w:w="300" w:type="dxa"/>
            <w:tcBorders/>
            <w:shd w:fill="auto" w:val="clear"/>
            <w:vAlign w:val="bottom"/>
          </w:tcPr>
          <w:p>
            <w:pPr>
              <w:pStyle w:val="TableContents"/>
              <w:spacing w:before="0" w:after="283"/>
              <w:rPr>
                <w:sz w:val="4"/>
                <w:szCs w:val="4"/>
              </w:rPr>
            </w:pPr>
            <w:r>
              <w:rPr>
                <w:sz w:val="4"/>
                <w:szCs w:val="4"/>
              </w:rPr>
            </w:r>
          </w:p>
        </w:tc>
        <w:tc>
          <w:tcPr>
            <w:tcW w:w="77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00" w:type="dxa"/>
            <w:tcBorders/>
            <w:shd w:fill="auto" w:val="clear"/>
            <w:vAlign w:val="bottom"/>
          </w:tcPr>
          <w:p>
            <w:pPr>
              <w:pStyle w:val="TableContents"/>
              <w:spacing w:before="0" w:after="283"/>
              <w:rPr>
                <w:sz w:val="4"/>
                <w:szCs w:val="4"/>
              </w:rPr>
            </w:pPr>
            <w:r>
              <w:rPr>
                <w:sz w:val="4"/>
                <w:szCs w:val="4"/>
              </w:rPr>
            </w:r>
          </w:p>
        </w:tc>
        <w:tc>
          <w:tcPr>
            <w:tcW w:w="115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5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55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03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191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Position</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53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Year</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88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77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15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66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54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(3)</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55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(4)</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03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2013</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525,000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249,543</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525,000</w:t>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jc w:val="right"/>
              <w:rPr/>
            </w:pPr>
            <w:r>
              <w:rPr/>
              <w:t xml:space="preserve">          </w:t>
            </w:r>
            <w:r>
              <w:rPr>
                <w:rFonts w:ascii="Times New Roman" w:hAnsi="Times New Roman"/>
                <w:sz w:val="20"/>
              </w:rPr>
              <w:t>$</w:t>
            </w:r>
          </w:p>
        </w:tc>
        <w:tc>
          <w:tcPr>
            <w:tcW w:w="8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(51,153)</w:t>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jc w:val="right"/>
              <w:rPr/>
            </w:pPr>
            <w:r>
              <w:rPr/>
              <w:t xml:space="preserve">             </w:t>
            </w:r>
            <w:r>
              <w:rPr>
                <w:rFonts w:ascii="Times New Roman" w:hAnsi="Times New Roman"/>
                <w:sz w:val="20"/>
              </w:rPr>
              <w:t>$</w:t>
            </w:r>
          </w:p>
        </w:tc>
        <w:tc>
          <w:tcPr>
            <w:tcW w:w="650" w:type="dxa"/>
            <w:tcBorders/>
            <w:shd w:fill="C0C0C0" w:val="clear"/>
            <w:vAlign w:val="bottom"/>
          </w:tcPr>
          <w:p>
            <w:pPr>
              <w:pStyle w:val="TableContents"/>
              <w:spacing w:before="0" w:after="283"/>
              <w:jc w:val="right"/>
              <w:rPr/>
            </w:pPr>
            <w:r>
              <w:rPr/>
              <w:t> </w:t>
            </w:r>
            <w:r>
              <w:rPr>
                <w:rFonts w:ascii="Times New Roman" w:hAnsi="Times New Roman"/>
                <w:sz w:val="20"/>
              </w:rPr>
              <w:t>69,081</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pPr>
            <w:r>
              <w:rPr/>
              <w:t> </w:t>
            </w:r>
            <w:r>
              <w:rPr>
                <w:rFonts w:ascii="Times New Roman" w:hAnsi="Times New Roman"/>
                <w:sz w:val="20"/>
              </w:rPr>
              <w:t>1,317,471</w:t>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President and Chief</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2012</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89,447</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314,058</w:t>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76,933</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1,230,438</w:t>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Executive Officer</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2011</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425,000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2,727,500</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80,750</w:t>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83,793</w:t>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42,823</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3,359,866</w:t>
            </w:r>
          </w:p>
        </w:tc>
      </w:tr>
      <w:tr>
        <w:trPr/>
        <w:tc>
          <w:tcPr>
            <w:tcW w:w="13970" w:type="dxa"/>
            <w:gridSpan w:val="26"/>
            <w:tcBorders/>
            <w:shd w:fill="auto" w:val="clear"/>
            <w:vAlign w:val="center"/>
          </w:tcPr>
          <w:p>
            <w:pPr>
              <w:pStyle w:val="TableContents"/>
              <w:spacing w:before="0" w:after="283"/>
              <w:rPr/>
            </w:pPr>
            <w:r>
              <w:rPr/>
              <w:t> </w:t>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2013</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201,667</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26,300</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221,833</w:t>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2,874</w:t>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7,594</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460,268</w:t>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Vice President, Chief</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2012</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181,667</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10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82,059</w:t>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45,844</w:t>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5,429</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314,999</w:t>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Financial Officer</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2011</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170,849</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10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19,477</w:t>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16,043</w:t>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8,980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215,349</w:t>
            </w:r>
          </w:p>
        </w:tc>
      </w:tr>
      <w:tr>
        <w:trPr/>
        <w:tc>
          <w:tcPr>
            <w:tcW w:w="13970" w:type="dxa"/>
            <w:gridSpan w:val="26"/>
            <w:tcBorders/>
            <w:shd w:fill="auto" w:val="clear"/>
            <w:vAlign w:val="center"/>
          </w:tcPr>
          <w:p>
            <w:pPr>
              <w:pStyle w:val="TableContents"/>
              <w:spacing w:before="0" w:after="283"/>
              <w:rPr/>
            </w:pPr>
            <w:r>
              <w:rPr/>
              <w:t> </w:t>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2013</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249,167</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133,102</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199,333</w:t>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(10,414)</w:t>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20,868</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592,056</w:t>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Vice President of</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2012</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238,525</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96,258</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95,410</w:t>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131,425</w:t>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16,804</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578,422</w:t>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Manufacturing</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2011</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221,942</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10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33,735</w:t>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47,215</w:t>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22,929</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325,821</w:t>
            </w:r>
          </w:p>
        </w:tc>
      </w:tr>
      <w:tr>
        <w:trPr/>
        <w:tc>
          <w:tcPr>
            <w:tcW w:w="13970" w:type="dxa"/>
            <w:gridSpan w:val="26"/>
            <w:tcBorders/>
            <w:shd w:fill="auto" w:val="clear"/>
            <w:vAlign w:val="center"/>
          </w:tcPr>
          <w:p>
            <w:pPr>
              <w:pStyle w:val="TableContents"/>
              <w:spacing w:before="0" w:after="283"/>
              <w:rPr/>
            </w:pPr>
            <w:r>
              <w:rPr/>
              <w:t> </w:t>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 (5)</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2013</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197,500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10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185,650</w:t>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7,252</w:t>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12,981</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403,383</w:t>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Vice President,</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2012</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190,000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10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80,693</w:t>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13,238</w:t>
            </w:r>
          </w:p>
        </w:tc>
        <w:tc>
          <w:tcPr>
            <w:tcW w:w="300" w:type="dxa"/>
            <w:tcBorders/>
            <w:shd w:fill="C0C0C0" w:val="clear"/>
            <w:vAlign w:val="bottom"/>
          </w:tcPr>
          <w:p>
            <w:pPr>
              <w:pStyle w:val="TableContents"/>
              <w:spacing w:before="0" w:after="283"/>
              <w:jc w:val="left"/>
              <w:rPr/>
            </w:pPr>
            <w:r>
              <w:rPr/>
              <w:t> </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11,519</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295,450</w:t>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General Counsel</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102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rPr>
                <w:sz w:val="4"/>
                <w:szCs w:val="4"/>
              </w:rPr>
            </w:pPr>
            <w:r>
              <w:rPr>
                <w:sz w:val="4"/>
                <w:szCs w:val="4"/>
              </w:rPr>
            </w:r>
          </w:p>
        </w:tc>
        <w:tc>
          <w:tcPr>
            <w:tcW w:w="110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rPr>
                <w:sz w:val="4"/>
                <w:szCs w:val="4"/>
              </w:rPr>
            </w:pPr>
            <w:r>
              <w:rPr>
                <w:sz w:val="4"/>
                <w:szCs w:val="4"/>
              </w:rPr>
            </w:r>
          </w:p>
        </w:tc>
        <w:tc>
          <w:tcPr>
            <w:tcW w:w="81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rPr>
                <w:sz w:val="4"/>
                <w:szCs w:val="4"/>
              </w:rPr>
            </w:pPr>
            <w:r>
              <w:rPr>
                <w:sz w:val="4"/>
                <w:szCs w:val="4"/>
              </w:rPr>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And Secretary</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102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rPr>
                <w:sz w:val="4"/>
                <w:szCs w:val="4"/>
              </w:rPr>
            </w:pPr>
            <w:r>
              <w:rPr>
                <w:sz w:val="4"/>
                <w:szCs w:val="4"/>
              </w:rPr>
            </w:r>
          </w:p>
        </w:tc>
        <w:tc>
          <w:tcPr>
            <w:tcW w:w="110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rPr>
                <w:sz w:val="4"/>
                <w:szCs w:val="4"/>
              </w:rPr>
            </w:pPr>
            <w:r>
              <w:rPr>
                <w:sz w:val="4"/>
                <w:szCs w:val="4"/>
              </w:rPr>
            </w:r>
          </w:p>
        </w:tc>
        <w:tc>
          <w:tcPr>
            <w:tcW w:w="81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rPr>
                <w:sz w:val="4"/>
                <w:szCs w:val="4"/>
              </w:rPr>
            </w:pPr>
            <w:r>
              <w:rPr>
                <w:sz w:val="4"/>
                <w:szCs w:val="4"/>
              </w:rPr>
            </w:r>
          </w:p>
        </w:tc>
      </w:tr>
      <w:tr>
        <w:trPr/>
        <w:tc>
          <w:tcPr>
            <w:tcW w:w="13970" w:type="dxa"/>
            <w:gridSpan w:val="26"/>
            <w:tcBorders/>
            <w:shd w:fill="auto" w:val="clear"/>
            <w:vAlign w:val="center"/>
          </w:tcPr>
          <w:p>
            <w:pPr>
              <w:pStyle w:val="TableContents"/>
              <w:spacing w:before="0" w:after="283"/>
              <w:rPr/>
            </w:pPr>
            <w:r>
              <w:rPr/>
              <w:t> </w:t>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 (6)</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2013</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C0C0C0" w:val="clear"/>
            <w:vAlign w:val="bottom"/>
          </w:tcPr>
          <w:p>
            <w:pPr>
              <w:pStyle w:val="TableContents"/>
              <w:spacing w:before="0" w:after="283"/>
              <w:jc w:val="right"/>
              <w:rPr/>
            </w:pPr>
            <w:r>
              <w:rPr/>
              <w:t> </w:t>
            </w:r>
            <w:r>
              <w:rPr>
                <w:rFonts w:ascii="Times New Roman" w:hAnsi="Times New Roman"/>
                <w:sz w:val="20"/>
              </w:rPr>
              <w:t>205,000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10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1" w:type="dxa"/>
            <w:tcBorders/>
            <w:shd w:fill="C0C0C0" w:val="clear"/>
            <w:vAlign w:val="bottom"/>
          </w:tcPr>
          <w:p>
            <w:pPr>
              <w:pStyle w:val="TableContents"/>
              <w:spacing w:before="0" w:after="283"/>
              <w:jc w:val="right"/>
              <w:rPr/>
            </w:pPr>
            <w:r>
              <w:rPr/>
              <w:t> </w:t>
            </w:r>
            <w:r>
              <w:rPr>
                <w:rFonts w:ascii="Times New Roman" w:hAnsi="Times New Roman"/>
                <w:sz w:val="20"/>
              </w:rPr>
              <w:t>205,000 (8)</w:t>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pPr>
            <w:r>
              <w:rPr/>
              <w:t> </w:t>
            </w:r>
            <w:r>
              <w:rPr>
                <w:rFonts w:ascii="Times New Roman" w:hAnsi="Times New Roman"/>
                <w:sz w:val="20"/>
              </w:rPr>
              <w:t>6,546 (9)</w:t>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11,833</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448,379</w:t>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Vice President, General</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2012</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66,667</w:t>
            </w:r>
          </w:p>
        </w:tc>
        <w:tc>
          <w:tcPr>
            <w:tcW w:w="300" w:type="dxa"/>
            <w:tcBorders/>
            <w:shd w:fill="C0C0C0" w:val="clear"/>
            <w:vAlign w:val="bottom"/>
          </w:tcPr>
          <w:p>
            <w:pPr>
              <w:pStyle w:val="TableContents"/>
              <w:spacing w:before="0" w:after="283"/>
              <w:jc w:val="right"/>
              <w:rPr/>
            </w:pPr>
            <w:r>
              <w:rPr/>
              <w:t> </w:t>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pPr>
            <w:r>
              <w:rPr/>
              <w:t> </w:t>
            </w:r>
            <w:r>
              <w:rPr>
                <w:rFonts w:ascii="Times New Roman" w:hAnsi="Times New Roman"/>
                <w:sz w:val="20"/>
              </w:rPr>
              <w:t>20,000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5" w:type="dxa"/>
            <w:tcBorders/>
            <w:shd w:fill="C0C0C0" w:val="clear"/>
            <w:vAlign w:val="bottom"/>
          </w:tcPr>
          <w:p>
            <w:pPr>
              <w:pStyle w:val="TableContents"/>
              <w:spacing w:before="0" w:after="283"/>
              <w:jc w:val="right"/>
              <w:rPr/>
            </w:pPr>
            <w:r>
              <w:rPr/>
              <w:t> </w:t>
            </w:r>
            <w:r>
              <w:rPr>
                <w:rFonts w:ascii="Times New Roman" w:hAnsi="Times New Roman"/>
                <w:sz w:val="20"/>
              </w:rPr>
              <w:t>109,000 (7)</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23,333</w:t>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3,155 (9)</w:t>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1,850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224,005</w:t>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Manager, Consumer</w:t>
            </w:r>
          </w:p>
        </w:tc>
        <w:tc>
          <w:tcPr>
            <w:tcW w:w="300" w:type="dxa"/>
            <w:tcBorders/>
            <w:shd w:fill="C0C0C0" w:val="clear"/>
            <w:vAlign w:val="bottom"/>
          </w:tcPr>
          <w:p>
            <w:pPr>
              <w:pStyle w:val="TableContents"/>
              <w:spacing w:before="0" w:after="283"/>
              <w:jc w:val="left"/>
              <w:rPr/>
            </w:pPr>
            <w:r>
              <w:rPr/>
              <w:t> </w:t>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75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rPr>
                <w:sz w:val="4"/>
                <w:szCs w:val="4"/>
              </w:rPr>
            </w:pPr>
            <w:r>
              <w:rPr>
                <w:sz w:val="4"/>
                <w:szCs w:val="4"/>
              </w:rPr>
            </w:r>
          </w:p>
        </w:tc>
        <w:tc>
          <w:tcPr>
            <w:tcW w:w="102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left"/>
              <w:rPr/>
            </w:pPr>
            <w:r>
              <w:rPr/>
              <w:t> </w:t>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left"/>
              <w:rPr/>
            </w:pPr>
            <w:r>
              <w:rPr/>
              <w:t> </w:t>
            </w:r>
          </w:p>
        </w:tc>
        <w:tc>
          <w:tcPr>
            <w:tcW w:w="134" w:type="dxa"/>
            <w:tcBorders/>
            <w:shd w:fill="C0C0C0" w:val="clear"/>
            <w:vAlign w:val="bottom"/>
          </w:tcPr>
          <w:p>
            <w:pPr>
              <w:pStyle w:val="TableContents"/>
              <w:spacing w:before="0" w:after="283"/>
              <w:rPr>
                <w:sz w:val="4"/>
                <w:szCs w:val="4"/>
              </w:rPr>
            </w:pPr>
            <w:r>
              <w:rPr>
                <w:sz w:val="4"/>
                <w:szCs w:val="4"/>
              </w:rPr>
            </w:r>
          </w:p>
        </w:tc>
        <w:tc>
          <w:tcPr>
            <w:tcW w:w="110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left"/>
              <w:rPr/>
            </w:pPr>
            <w:r>
              <w:rPr/>
              <w:t> </w:t>
            </w:r>
          </w:p>
        </w:tc>
        <w:tc>
          <w:tcPr>
            <w:tcW w:w="725" w:type="dxa"/>
            <w:tcBorders/>
            <w:shd w:fill="C0C0C0" w:val="clear"/>
            <w:vAlign w:val="bottom"/>
          </w:tcPr>
          <w:p>
            <w:pPr>
              <w:pStyle w:val="TableContents"/>
              <w:spacing w:before="0" w:after="283"/>
              <w:rPr>
                <w:sz w:val="4"/>
                <w:szCs w:val="4"/>
              </w:rPr>
            </w:pPr>
            <w:r>
              <w:rPr>
                <w:sz w:val="4"/>
                <w:szCs w:val="4"/>
              </w:rPr>
            </w:r>
          </w:p>
        </w:tc>
        <w:tc>
          <w:tcPr>
            <w:tcW w:w="81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rPr>
                <w:sz w:val="4"/>
                <w:szCs w:val="4"/>
              </w:rPr>
            </w:pPr>
            <w:r>
              <w:rPr>
                <w:sz w:val="4"/>
                <w:szCs w:val="4"/>
              </w:rPr>
            </w:r>
          </w:p>
        </w:tc>
      </w:tr>
      <w:tr>
        <w:trPr/>
        <w:tc>
          <w:tcPr>
            <w:tcW w:w="19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Packaged Goods</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pPr>
            <w:r>
              <w:rPr/>
              <w:t> </w:t>
            </w:r>
          </w:p>
        </w:tc>
        <w:tc>
          <w:tcPr>
            <w:tcW w:w="102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134" w:type="dxa"/>
            <w:tcBorders/>
            <w:shd w:fill="C0C0C0" w:val="clear"/>
            <w:vAlign w:val="bottom"/>
          </w:tcPr>
          <w:p>
            <w:pPr>
              <w:pStyle w:val="TableContents"/>
              <w:spacing w:before="0" w:after="283"/>
              <w:rPr>
                <w:sz w:val="4"/>
                <w:szCs w:val="4"/>
              </w:rPr>
            </w:pPr>
            <w:r>
              <w:rPr>
                <w:sz w:val="4"/>
                <w:szCs w:val="4"/>
              </w:rPr>
            </w:r>
          </w:p>
        </w:tc>
        <w:tc>
          <w:tcPr>
            <w:tcW w:w="110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rPr>
                <w:sz w:val="4"/>
                <w:szCs w:val="4"/>
              </w:rPr>
            </w:pPr>
            <w:r>
              <w:rPr>
                <w:sz w:val="4"/>
                <w:szCs w:val="4"/>
              </w:rPr>
            </w:r>
          </w:p>
        </w:tc>
        <w:tc>
          <w:tcPr>
            <w:tcW w:w="81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905" w:type="dxa"/>
            <w:tcBorders/>
            <w:shd w:fill="C0C0C0" w:val="clear"/>
            <w:vAlign w:val="bottom"/>
          </w:tcPr>
          <w:p>
            <w:pPr>
              <w:pStyle w:val="TableContents"/>
              <w:spacing w:before="0" w:after="283"/>
              <w:rPr>
                <w:sz w:val="4"/>
                <w:szCs w:val="4"/>
              </w:rPr>
            </w:pPr>
            <w:r>
              <w:rPr>
                <w:sz w:val="4"/>
                <w:szCs w:val="4"/>
              </w:rPr>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(1) The amounts reported reflect the grant date fair value of awards computed in accordance with ASC 718. For stock awards, the grant date fair value is the number of shares granted multiplied by the closing price of our Common Stock on the award date. For option awards, the grant date fair value is the number of shares granted multiplied by the Black Scholes value. The assumptions used in the Black Scholes calculation are disclosed in Note 8 of the notes to our audited consolidated financial statements included in our Annual Report on Form 10-K for fiscal 2013. The grant date fair value of an award reflects the accounting expense and may not represent the actual value that will be realized. There were no new option awards to the named executive officers during fiscal 2013. </w:t>
      </w:r>
    </w:p>
    <w:p>
      <w:pPr>
        <w:pStyle w:val="TextBody"/>
        <w:jc w:val="both"/>
        <w:rPr>
          <w:rFonts w:ascii="Times New Roman" w:hAnsi="Times New Roman"/>
          <w:sz w:val="20"/>
        </w:rPr>
      </w:pPr>
      <w:r>
        <w:rPr>
          <w:rFonts w:ascii="Times New Roman" w:hAnsi="Times New Roman"/>
          <w:sz w:val="20"/>
        </w:rPr>
        <w:t>(2) The 2013 amounts reflect award of 200% of target cash bonuses and 200% of executive deferred bonuses under our annual incentive plan for fiscal 2013. Cash bonuses earned are paid following completion of the specified fiscal year. Executive deferred bonuses are awarded based on performance during the specified fiscal year and generally become payable according to a vesting schedule established by our Compensation Committee for each fiscal years award as described under Compensation Discussion and Analysis  Annual and Deferred Incentive Compensation. Executive deferred bonuses awarded for fiscal 2013 will vest on July 31, 2016.</w:t>
      </w:r>
    </w:p>
    <w:p>
      <w:pPr>
        <w:pStyle w:val="TextBody"/>
        <w:jc w:val="center"/>
        <w:rPr>
          <w:rFonts w:ascii="Times New Roman" w:hAnsi="Times New Roman"/>
          <w:sz w:val="20"/>
        </w:rPr>
      </w:pPr>
      <w:r>
        <w:rPr>
          <w:rFonts w:ascii="Times New Roman" w:hAnsi="Times New Roman"/>
          <w:sz w:val="20"/>
        </w:rPr>
        <w:t>34</w:t>
      </w:r>
    </w:p>
    <w:p>
      <w:pPr>
        <w:pStyle w:val="HorizontalLine"/>
        <w:pBdr>
          <w:bottom w:val="single" w:sz="12" w:space="0" w:color="808080"/>
        </w:pBdr>
        <w:rPr/>
      </w:pPr>
      <w:r>
        <w:rPr/>
      </w:r>
    </w:p>
    <w:p>
      <w:pPr>
        <w:pStyle w:val="TextBody"/>
        <w:rPr/>
      </w:pPr>
      <w:r>
        <w:rPr/>
      </w:r>
    </w:p>
    <w:p>
      <w:pPr>
        <w:pStyle w:val="TextBody"/>
        <w:jc w:val="both"/>
        <w:rPr>
          <w:rFonts w:ascii="Times New Roman" w:hAnsi="Times New Roman"/>
          <w:sz w:val="20"/>
        </w:rPr>
      </w:pPr>
      <w:r>
        <w:rPr>
          <w:rFonts w:ascii="Times New Roman" w:hAnsi="Times New Roman"/>
          <w:sz w:val="20"/>
        </w:rPr>
        <w:t>(3) The amounts shown in this column for fiscal 2013 are described in the following table:</w:t>
      </w:r>
    </w:p>
    <w:p>
      <w:pPr>
        <w:pStyle w:val="TextBody"/>
        <w:jc w:val="center"/>
        <w:rPr>
          <w:rFonts w:ascii="Times New Roman" w:hAnsi="Times New Roman"/>
          <w:b/>
          <w:sz w:val="20"/>
        </w:rPr>
      </w:pPr>
      <w:r>
        <w:rPr>
          <w:rFonts w:ascii="Times New Roman" w:hAnsi="Times New Roman"/>
          <w:b/>
          <w:sz w:val="20"/>
        </w:rPr>
        <w:t>Change in Pension Value and Nonqualified Deferred Compensation Earnings Table</w:t>
      </w:r>
    </w:p>
    <w:tbl>
      <w:tblPr>
        <w:tblW w:w="4000" w:type="pct"/>
        <w:jc w:val="center"/>
        <w:tblInd w:w="0" w:type="dxa"/>
        <w:tblCellMar>
          <w:top w:w="0" w:type="dxa"/>
          <w:left w:w="0" w:type="dxa"/>
          <w:bottom w:w="0" w:type="dxa"/>
          <w:right w:w="0" w:type="dxa"/>
        </w:tblCellMar>
      </w:tblPr>
      <w:tblGrid>
        <w:gridCol w:w="2967"/>
        <w:gridCol w:w="305"/>
        <w:gridCol w:w="190"/>
        <w:gridCol w:w="138"/>
        <w:gridCol w:w="792"/>
        <w:gridCol w:w="339"/>
        <w:gridCol w:w="190"/>
        <w:gridCol w:w="305"/>
        <w:gridCol w:w="420"/>
        <w:gridCol w:w="138"/>
        <w:gridCol w:w="677"/>
        <w:gridCol w:w="420"/>
        <w:gridCol w:w="305"/>
        <w:gridCol w:w="138"/>
        <w:gridCol w:w="735"/>
        <w:gridCol w:w="105"/>
      </w:tblGrid>
      <w:tr>
        <w:trPr/>
        <w:tc>
          <w:tcPr>
            <w:tcW w:w="2967"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792" w:type="dxa"/>
            <w:tcBorders/>
            <w:shd w:fill="auto" w:val="clear"/>
            <w:vAlign w:val="bottom"/>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655"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Nonqualified</w:t>
            </w:r>
          </w:p>
        </w:tc>
        <w:tc>
          <w:tcPr>
            <w:tcW w:w="305"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r>
      <w:tr>
        <w:trPr/>
        <w:tc>
          <w:tcPr>
            <w:tcW w:w="2967"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792" w:type="dxa"/>
            <w:tcBorders/>
            <w:shd w:fill="auto" w:val="clear"/>
            <w:vAlign w:val="bottom"/>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655"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305"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r>
      <w:tr>
        <w:trPr/>
        <w:tc>
          <w:tcPr>
            <w:tcW w:w="2967"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649" w:type="dxa"/>
            <w:gridSpan w:val="5"/>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Change in</w:t>
            </w:r>
          </w:p>
        </w:tc>
        <w:tc>
          <w:tcPr>
            <w:tcW w:w="305" w:type="dxa"/>
            <w:tcBorders/>
            <w:shd w:fill="auto" w:val="clear"/>
            <w:vAlign w:val="bottom"/>
          </w:tcPr>
          <w:p>
            <w:pPr>
              <w:pStyle w:val="TableContents"/>
              <w:spacing w:before="0" w:after="283"/>
              <w:rPr>
                <w:sz w:val="4"/>
                <w:szCs w:val="4"/>
              </w:rPr>
            </w:pPr>
            <w:r>
              <w:rPr>
                <w:sz w:val="4"/>
                <w:szCs w:val="4"/>
              </w:rPr>
            </w:r>
          </w:p>
        </w:tc>
        <w:tc>
          <w:tcPr>
            <w:tcW w:w="1655"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05"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r>
      <w:tr>
        <w:trPr/>
        <w:tc>
          <w:tcPr>
            <w:tcW w:w="2967"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649" w:type="dxa"/>
            <w:gridSpan w:val="5"/>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Pension Value</w:t>
            </w:r>
          </w:p>
        </w:tc>
        <w:tc>
          <w:tcPr>
            <w:tcW w:w="305" w:type="dxa"/>
            <w:tcBorders/>
            <w:shd w:fill="auto" w:val="clear"/>
            <w:vAlign w:val="bottom"/>
          </w:tcPr>
          <w:p>
            <w:pPr>
              <w:pStyle w:val="TableContents"/>
              <w:spacing w:before="0" w:after="283"/>
              <w:rPr>
                <w:sz w:val="4"/>
                <w:szCs w:val="4"/>
              </w:rPr>
            </w:pPr>
            <w:r>
              <w:rPr>
                <w:sz w:val="4"/>
                <w:szCs w:val="4"/>
              </w:rPr>
            </w:r>
          </w:p>
        </w:tc>
        <w:tc>
          <w:tcPr>
            <w:tcW w:w="1655"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Earnings</w:t>
            </w:r>
          </w:p>
        </w:tc>
        <w:tc>
          <w:tcPr>
            <w:tcW w:w="305"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r>
      <w:tr>
        <w:trPr/>
        <w:tc>
          <w:tcPr>
            <w:tcW w:w="2967"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649" w:type="dxa"/>
            <w:gridSpan w:val="5"/>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5" w:type="dxa"/>
            <w:tcBorders/>
            <w:shd w:fill="auto" w:val="clear"/>
            <w:vAlign w:val="bottom"/>
          </w:tcPr>
          <w:p>
            <w:pPr>
              <w:pStyle w:val="TableContents"/>
              <w:spacing w:before="0" w:after="283"/>
              <w:rPr>
                <w:sz w:val="4"/>
                <w:szCs w:val="4"/>
              </w:rPr>
            </w:pPr>
            <w:r>
              <w:rPr>
                <w:sz w:val="4"/>
                <w:szCs w:val="4"/>
              </w:rPr>
            </w:r>
          </w:p>
        </w:tc>
        <w:tc>
          <w:tcPr>
            <w:tcW w:w="1655"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5"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r>
      <w:tr>
        <w:trPr/>
        <w:tc>
          <w:tcPr>
            <w:tcW w:w="2967"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0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649"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(A)</w:t>
            </w:r>
          </w:p>
        </w:tc>
        <w:tc>
          <w:tcPr>
            <w:tcW w:w="305"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655"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(B)</w:t>
            </w:r>
          </w:p>
        </w:tc>
        <w:tc>
          <w:tcPr>
            <w:tcW w:w="305"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78" w:type="dxa"/>
            <w:gridSpan w:val="3"/>
            <w:tcBorders>
              <w:bottom w:val="single" w:sz="8" w:space="0" w:color="000000"/>
            </w:tcBorders>
            <w:shd w:fill="auto" w:val="clear"/>
            <w:tcMar>
              <w:bottom w:w="28" w:type="dxa"/>
            </w:tcMar>
            <w:vAlign w:val="bottom"/>
          </w:tcPr>
          <w:p>
            <w:pPr>
              <w:pStyle w:val="TableContents"/>
              <w:spacing w:before="0" w:after="283"/>
              <w:jc w:val="center"/>
              <w:rPr/>
            </w:pPr>
            <w:r>
              <w:rPr>
                <w:rStyle w:val="StrongEmphasis"/>
                <w:rFonts w:ascii="Times New Roman" w:hAnsi="Times New Roman"/>
                <w:sz w:val="20"/>
              </w:rPr>
              <w:t>Total</w:t>
            </w:r>
          </w:p>
        </w:tc>
      </w:tr>
      <w:tr>
        <w:trPr/>
        <w:tc>
          <w:tcPr>
            <w:tcW w:w="296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5" w:type="dxa"/>
            <w:tcBorders/>
            <w:shd w:fill="C0C0C0" w:val="clear"/>
            <w:vAlign w:val="bottom"/>
          </w:tcPr>
          <w:p>
            <w:pPr>
              <w:pStyle w:val="TableContents"/>
              <w:spacing w:before="0" w:after="283"/>
              <w:rPr>
                <w:sz w:val="4"/>
                <w:szCs w:val="4"/>
              </w:rPr>
            </w:pPr>
            <w:r>
              <w:rPr>
                <w:sz w:val="4"/>
                <w:szCs w:val="4"/>
              </w:rPr>
            </w:r>
          </w:p>
        </w:tc>
        <w:tc>
          <w:tcPr>
            <w:tcW w:w="190" w:type="dxa"/>
            <w:tcBorders/>
            <w:shd w:fill="C0C0C0" w:val="clear"/>
            <w:vAlign w:val="bottom"/>
          </w:tcPr>
          <w:p>
            <w:pPr>
              <w:pStyle w:val="TableContents"/>
              <w:spacing w:before="0" w:after="283"/>
              <w:jc w:val="left"/>
              <w:rPr/>
            </w:pPr>
            <w:r>
              <w:rPr/>
              <w:t xml:space="preserve">   </w:t>
            </w:r>
          </w:p>
        </w:tc>
        <w:tc>
          <w:tcPr>
            <w:tcW w:w="13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9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(69,268)</w:t>
            </w:r>
          </w:p>
        </w:tc>
        <w:tc>
          <w:tcPr>
            <w:tcW w:w="339" w:type="dxa"/>
            <w:tcBorders/>
            <w:shd w:fill="C0C0C0" w:val="clear"/>
            <w:vAlign w:val="bottom"/>
          </w:tcPr>
          <w:p>
            <w:pPr>
              <w:pStyle w:val="TableContents"/>
              <w:spacing w:before="0" w:after="283"/>
              <w:rPr>
                <w:sz w:val="4"/>
                <w:szCs w:val="4"/>
              </w:rPr>
            </w:pPr>
            <w:r>
              <w:rPr>
                <w:sz w:val="4"/>
                <w:szCs w:val="4"/>
              </w:rPr>
            </w:r>
          </w:p>
        </w:tc>
        <w:tc>
          <w:tcPr>
            <w:tcW w:w="190" w:type="dxa"/>
            <w:tcBorders/>
            <w:shd w:fill="C0C0C0" w:val="clear"/>
            <w:vAlign w:val="bottom"/>
          </w:tcPr>
          <w:p>
            <w:pPr>
              <w:pStyle w:val="TableContents"/>
              <w:spacing w:before="0" w:after="283"/>
              <w:jc w:val="left"/>
              <w:rPr/>
            </w:pPr>
            <w:r>
              <w:rPr/>
              <w:t>   </w:t>
            </w:r>
          </w:p>
        </w:tc>
        <w:tc>
          <w:tcPr>
            <w:tcW w:w="305"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77" w:type="dxa"/>
            <w:tcBorders/>
            <w:shd w:fill="C0C0C0" w:val="clear"/>
            <w:vAlign w:val="bottom"/>
          </w:tcPr>
          <w:p>
            <w:pPr>
              <w:pStyle w:val="TableContents"/>
              <w:spacing w:before="0" w:after="283"/>
              <w:jc w:val="right"/>
              <w:rPr/>
            </w:pPr>
            <w:r>
              <w:rPr/>
              <w:t> </w:t>
            </w:r>
            <w:r>
              <w:rPr>
                <w:rFonts w:ascii="Times New Roman" w:hAnsi="Times New Roman"/>
                <w:sz w:val="20"/>
              </w:rPr>
              <w:t>18,115</w:t>
            </w:r>
          </w:p>
        </w:tc>
        <w:tc>
          <w:tcPr>
            <w:tcW w:w="420" w:type="dxa"/>
            <w:tcBorders/>
            <w:shd w:fill="C0C0C0" w:val="clear"/>
            <w:vAlign w:val="bottom"/>
          </w:tcPr>
          <w:p>
            <w:pPr>
              <w:pStyle w:val="TableContents"/>
              <w:spacing w:before="0" w:after="283"/>
              <w:jc w:val="left"/>
              <w:rPr/>
            </w:pPr>
            <w:r>
              <w:rPr/>
              <w:t xml:space="preserve">       </w:t>
            </w:r>
          </w:p>
        </w:tc>
        <w:tc>
          <w:tcPr>
            <w:tcW w:w="305" w:type="dxa"/>
            <w:tcBorders/>
            <w:shd w:fill="C0C0C0" w:val="clear"/>
            <w:vAlign w:val="bottom"/>
          </w:tcPr>
          <w:p>
            <w:pPr>
              <w:pStyle w:val="TableContents"/>
              <w:spacing w:before="0" w:after="283"/>
              <w:rPr>
                <w:sz w:val="4"/>
                <w:szCs w:val="4"/>
              </w:rPr>
            </w:pPr>
            <w:r>
              <w:rPr>
                <w:sz w:val="4"/>
                <w:szCs w:val="4"/>
              </w:rPr>
            </w:r>
          </w:p>
        </w:tc>
        <w:tc>
          <w:tcPr>
            <w:tcW w:w="13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35" w:type="dxa"/>
            <w:tcBorders/>
            <w:shd w:fill="C0C0C0" w:val="clear"/>
            <w:vAlign w:val="bottom"/>
          </w:tcPr>
          <w:p>
            <w:pPr>
              <w:pStyle w:val="TableContents"/>
              <w:spacing w:before="0" w:after="283"/>
              <w:jc w:val="right"/>
              <w:rPr/>
            </w:pPr>
            <w:r>
              <w:rPr/>
              <w:t> </w:t>
            </w:r>
            <w:r>
              <w:rPr>
                <w:rFonts w:ascii="Times New Roman" w:hAnsi="Times New Roman"/>
                <w:sz w:val="20"/>
              </w:rPr>
              <w:t>(51,153</w:t>
            </w:r>
          </w:p>
        </w:tc>
        <w:tc>
          <w:tcPr>
            <w:tcW w:w="10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96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5"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(9,374)</w:t>
            </w:r>
          </w:p>
        </w:tc>
        <w:tc>
          <w:tcPr>
            <w:tcW w:w="3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12,248</w:t>
            </w:r>
          </w:p>
        </w:tc>
        <w:tc>
          <w:tcPr>
            <w:tcW w:w="420"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2,874</w:t>
            </w:r>
          </w:p>
        </w:tc>
        <w:tc>
          <w:tcPr>
            <w:tcW w:w="105" w:type="dxa"/>
            <w:tcBorders/>
            <w:shd w:fill="auto" w:val="clear"/>
            <w:vAlign w:val="bottom"/>
          </w:tcPr>
          <w:p>
            <w:pPr>
              <w:pStyle w:val="TableContents"/>
              <w:spacing w:before="0" w:after="283"/>
              <w:rPr>
                <w:sz w:val="4"/>
                <w:szCs w:val="4"/>
              </w:rPr>
            </w:pPr>
            <w:r>
              <w:rPr>
                <w:sz w:val="4"/>
                <w:szCs w:val="4"/>
              </w:rPr>
            </w:r>
          </w:p>
        </w:tc>
      </w:tr>
      <w:tr>
        <w:trPr/>
        <w:tc>
          <w:tcPr>
            <w:tcW w:w="296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5" w:type="dxa"/>
            <w:tcBorders/>
            <w:shd w:fill="C0C0C0" w:val="clear"/>
            <w:vAlign w:val="bottom"/>
          </w:tcPr>
          <w:p>
            <w:pPr>
              <w:pStyle w:val="TableContents"/>
              <w:spacing w:before="0" w:after="283"/>
              <w:rPr>
                <w:sz w:val="4"/>
                <w:szCs w:val="4"/>
              </w:rPr>
            </w:pPr>
            <w:r>
              <w:rPr>
                <w:sz w:val="4"/>
                <w:szCs w:val="4"/>
              </w:rPr>
            </w:r>
          </w:p>
        </w:tc>
        <w:tc>
          <w:tcPr>
            <w:tcW w:w="190" w:type="dxa"/>
            <w:tcBorders/>
            <w:shd w:fill="C0C0C0" w:val="clear"/>
            <w:vAlign w:val="bottom"/>
          </w:tcPr>
          <w:p>
            <w:pPr>
              <w:pStyle w:val="TableContents"/>
              <w:spacing w:before="0" w:after="283"/>
              <w:rPr>
                <w:sz w:val="4"/>
                <w:szCs w:val="4"/>
              </w:rPr>
            </w:pPr>
            <w:r>
              <w:rPr>
                <w:sz w:val="4"/>
                <w:szCs w:val="4"/>
              </w:rPr>
            </w:r>
          </w:p>
        </w:tc>
        <w:tc>
          <w:tcPr>
            <w:tcW w:w="13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92" w:type="dxa"/>
            <w:tcBorders/>
            <w:shd w:fill="C0C0C0" w:val="clear"/>
            <w:vAlign w:val="bottom"/>
          </w:tcPr>
          <w:p>
            <w:pPr>
              <w:pStyle w:val="TableContents"/>
              <w:spacing w:before="0" w:after="283"/>
              <w:jc w:val="right"/>
              <w:rPr/>
            </w:pPr>
            <w:r>
              <w:rPr/>
              <w:t> </w:t>
            </w:r>
            <w:r>
              <w:rPr>
                <w:rFonts w:ascii="Times New Roman" w:hAnsi="Times New Roman"/>
                <w:sz w:val="20"/>
              </w:rPr>
              <w:t>(25,986)</w:t>
            </w:r>
          </w:p>
        </w:tc>
        <w:tc>
          <w:tcPr>
            <w:tcW w:w="339" w:type="dxa"/>
            <w:tcBorders/>
            <w:shd w:fill="C0C0C0" w:val="clear"/>
            <w:vAlign w:val="bottom"/>
          </w:tcPr>
          <w:p>
            <w:pPr>
              <w:pStyle w:val="TableContents"/>
              <w:spacing w:before="0" w:after="283"/>
              <w:rPr>
                <w:sz w:val="4"/>
                <w:szCs w:val="4"/>
              </w:rPr>
            </w:pPr>
            <w:r>
              <w:rPr>
                <w:sz w:val="4"/>
                <w:szCs w:val="4"/>
              </w:rPr>
            </w:r>
          </w:p>
        </w:tc>
        <w:tc>
          <w:tcPr>
            <w:tcW w:w="190" w:type="dxa"/>
            <w:tcBorders/>
            <w:shd w:fill="C0C0C0" w:val="clear"/>
            <w:vAlign w:val="bottom"/>
          </w:tcPr>
          <w:p>
            <w:pPr>
              <w:pStyle w:val="TableContents"/>
              <w:spacing w:before="0" w:after="283"/>
              <w:rPr>
                <w:sz w:val="4"/>
                <w:szCs w:val="4"/>
              </w:rPr>
            </w:pPr>
            <w:r>
              <w:rPr>
                <w:sz w:val="4"/>
                <w:szCs w:val="4"/>
              </w:rPr>
            </w:r>
          </w:p>
        </w:tc>
        <w:tc>
          <w:tcPr>
            <w:tcW w:w="305"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3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7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15,572</w:t>
            </w:r>
          </w:p>
        </w:tc>
        <w:tc>
          <w:tcPr>
            <w:tcW w:w="420" w:type="dxa"/>
            <w:tcBorders/>
            <w:shd w:fill="C0C0C0" w:val="clear"/>
            <w:vAlign w:val="bottom"/>
          </w:tcPr>
          <w:p>
            <w:pPr>
              <w:pStyle w:val="TableContents"/>
              <w:spacing w:before="0" w:after="283"/>
              <w:rPr>
                <w:sz w:val="4"/>
                <w:szCs w:val="4"/>
              </w:rPr>
            </w:pPr>
            <w:r>
              <w:rPr>
                <w:sz w:val="4"/>
                <w:szCs w:val="4"/>
              </w:rPr>
            </w:r>
          </w:p>
        </w:tc>
        <w:tc>
          <w:tcPr>
            <w:tcW w:w="305" w:type="dxa"/>
            <w:tcBorders/>
            <w:shd w:fill="C0C0C0" w:val="clear"/>
            <w:vAlign w:val="bottom"/>
          </w:tcPr>
          <w:p>
            <w:pPr>
              <w:pStyle w:val="TableContents"/>
              <w:spacing w:before="0" w:after="283"/>
              <w:rPr>
                <w:sz w:val="4"/>
                <w:szCs w:val="4"/>
              </w:rPr>
            </w:pPr>
            <w:r>
              <w:rPr>
                <w:sz w:val="4"/>
                <w:szCs w:val="4"/>
              </w:rPr>
            </w:r>
          </w:p>
        </w:tc>
        <w:tc>
          <w:tcPr>
            <w:tcW w:w="13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(10,414</w:t>
            </w:r>
          </w:p>
        </w:tc>
        <w:tc>
          <w:tcPr>
            <w:tcW w:w="10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96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05" w:type="dxa"/>
            <w:tcBorders/>
            <w:shd w:fill="auto" w:val="clear"/>
            <w:vAlign w:val="bottom"/>
          </w:tcPr>
          <w:p>
            <w:pPr>
              <w:pStyle w:val="TableContents"/>
              <w:spacing w:before="0" w:after="283"/>
              <w:jc w:val="left"/>
              <w:rPr/>
            </w:pPr>
            <w:r>
              <w:rPr/>
              <w:t> </w:t>
            </w:r>
          </w:p>
        </w:tc>
        <w:tc>
          <w:tcPr>
            <w:tcW w:w="190" w:type="dxa"/>
            <w:tcBorders/>
            <w:shd w:fill="auto" w:val="clear"/>
            <w:vAlign w:val="bottom"/>
          </w:tcPr>
          <w:p>
            <w:pPr>
              <w:pStyle w:val="TableContents"/>
              <w:spacing w:before="0" w:after="283"/>
              <w:jc w:val="left"/>
              <w:rPr/>
            </w:pPr>
            <w:r>
              <w:rPr/>
              <w:t> </w:t>
            </w:r>
          </w:p>
        </w:tc>
        <w:tc>
          <w:tcPr>
            <w:tcW w:w="1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6,523</w:t>
            </w:r>
          </w:p>
        </w:tc>
        <w:tc>
          <w:tcPr>
            <w:tcW w:w="3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jc w:val="left"/>
              <w:rPr/>
            </w:pPr>
            <w:r>
              <w:rPr/>
              <w:t> </w:t>
            </w:r>
          </w:p>
        </w:tc>
        <w:tc>
          <w:tcPr>
            <w:tcW w:w="420" w:type="dxa"/>
            <w:tcBorders/>
            <w:shd w:fill="auto" w:val="clear"/>
            <w:vAlign w:val="bottom"/>
          </w:tcPr>
          <w:p>
            <w:pPr>
              <w:pStyle w:val="TableContents"/>
              <w:spacing w:before="0" w:after="283"/>
              <w:jc w:val="left"/>
              <w:rPr/>
            </w:pPr>
            <w:r>
              <w:rPr/>
              <w:t> </w:t>
            </w:r>
          </w:p>
        </w:tc>
        <w:tc>
          <w:tcPr>
            <w:tcW w:w="1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729</w:t>
            </w:r>
          </w:p>
        </w:tc>
        <w:tc>
          <w:tcPr>
            <w:tcW w:w="420"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7,252</w:t>
            </w:r>
          </w:p>
        </w:tc>
        <w:tc>
          <w:tcPr>
            <w:tcW w:w="105" w:type="dxa"/>
            <w:tcBorders/>
            <w:shd w:fill="auto" w:val="clear"/>
            <w:vAlign w:val="bottom"/>
          </w:tcPr>
          <w:p>
            <w:pPr>
              <w:pStyle w:val="TableContents"/>
              <w:spacing w:before="0" w:after="283"/>
              <w:rPr>
                <w:sz w:val="4"/>
                <w:szCs w:val="4"/>
              </w:rPr>
            </w:pPr>
            <w:r>
              <w:rPr>
                <w:sz w:val="4"/>
                <w:szCs w:val="4"/>
              </w:rPr>
            </w:r>
          </w:p>
        </w:tc>
      </w:tr>
      <w:tr>
        <w:trPr/>
        <w:tc>
          <w:tcPr>
            <w:tcW w:w="296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05" w:type="dxa"/>
            <w:tcBorders/>
            <w:shd w:fill="C0C0C0" w:val="clear"/>
            <w:vAlign w:val="bottom"/>
          </w:tcPr>
          <w:p>
            <w:pPr>
              <w:pStyle w:val="TableContents"/>
              <w:spacing w:before="0" w:after="283"/>
              <w:rPr>
                <w:sz w:val="4"/>
                <w:szCs w:val="4"/>
              </w:rPr>
            </w:pPr>
            <w:r>
              <w:rPr>
                <w:sz w:val="4"/>
                <w:szCs w:val="4"/>
              </w:rPr>
            </w:r>
          </w:p>
        </w:tc>
        <w:tc>
          <w:tcPr>
            <w:tcW w:w="190" w:type="dxa"/>
            <w:tcBorders/>
            <w:shd w:fill="C0C0C0" w:val="clear"/>
            <w:vAlign w:val="bottom"/>
          </w:tcPr>
          <w:p>
            <w:pPr>
              <w:pStyle w:val="TableContents"/>
              <w:spacing w:before="0" w:after="283"/>
              <w:rPr>
                <w:sz w:val="4"/>
                <w:szCs w:val="4"/>
              </w:rPr>
            </w:pPr>
            <w:r>
              <w:rPr>
                <w:sz w:val="4"/>
                <w:szCs w:val="4"/>
              </w:rPr>
            </w:r>
          </w:p>
        </w:tc>
        <w:tc>
          <w:tcPr>
            <w:tcW w:w="13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9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6,546</w:t>
            </w:r>
          </w:p>
        </w:tc>
        <w:tc>
          <w:tcPr>
            <w:tcW w:w="339" w:type="dxa"/>
            <w:tcBorders/>
            <w:shd w:fill="C0C0C0" w:val="clear"/>
            <w:vAlign w:val="bottom"/>
          </w:tcPr>
          <w:p>
            <w:pPr>
              <w:pStyle w:val="TableContents"/>
              <w:spacing w:before="0" w:after="283"/>
              <w:jc w:val="left"/>
              <w:rPr/>
            </w:pPr>
            <w:r>
              <w:rPr/>
              <w:t> </w:t>
            </w:r>
            <w:r>
              <w:rPr>
                <w:rFonts w:ascii="Times New Roman" w:hAnsi="Times New Roman"/>
                <w:sz w:val="20"/>
              </w:rPr>
              <w:t>(C)</w:t>
            </w:r>
          </w:p>
        </w:tc>
        <w:tc>
          <w:tcPr>
            <w:tcW w:w="190" w:type="dxa"/>
            <w:tcBorders/>
            <w:shd w:fill="C0C0C0" w:val="clear"/>
            <w:vAlign w:val="bottom"/>
          </w:tcPr>
          <w:p>
            <w:pPr>
              <w:pStyle w:val="TableContents"/>
              <w:spacing w:before="0" w:after="283"/>
              <w:rPr>
                <w:sz w:val="4"/>
                <w:szCs w:val="4"/>
              </w:rPr>
            </w:pPr>
            <w:r>
              <w:rPr>
                <w:sz w:val="4"/>
                <w:szCs w:val="4"/>
              </w:rPr>
            </w:r>
          </w:p>
        </w:tc>
        <w:tc>
          <w:tcPr>
            <w:tcW w:w="305"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38" w:type="dxa"/>
            <w:tcBorders/>
            <w:shd w:fill="C0C0C0" w:val="clear"/>
            <w:vAlign w:val="bottom"/>
          </w:tcPr>
          <w:p>
            <w:pPr>
              <w:pStyle w:val="TableContents"/>
              <w:spacing w:before="0" w:after="283"/>
              <w:rPr>
                <w:sz w:val="4"/>
                <w:szCs w:val="4"/>
              </w:rPr>
            </w:pPr>
            <w:r>
              <w:rPr>
                <w:sz w:val="4"/>
                <w:szCs w:val="4"/>
              </w:rPr>
            </w:r>
          </w:p>
        </w:tc>
        <w:tc>
          <w:tcPr>
            <w:tcW w:w="67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 (D)</w:t>
            </w:r>
          </w:p>
        </w:tc>
        <w:tc>
          <w:tcPr>
            <w:tcW w:w="420" w:type="dxa"/>
            <w:tcBorders/>
            <w:shd w:fill="C0C0C0" w:val="clear"/>
            <w:vAlign w:val="bottom"/>
          </w:tcPr>
          <w:p>
            <w:pPr>
              <w:pStyle w:val="TableContents"/>
              <w:spacing w:before="0" w:after="283"/>
              <w:rPr>
                <w:sz w:val="4"/>
                <w:szCs w:val="4"/>
              </w:rPr>
            </w:pPr>
            <w:r>
              <w:rPr>
                <w:sz w:val="4"/>
                <w:szCs w:val="4"/>
              </w:rPr>
            </w:r>
          </w:p>
        </w:tc>
        <w:tc>
          <w:tcPr>
            <w:tcW w:w="305" w:type="dxa"/>
            <w:tcBorders/>
            <w:shd w:fill="C0C0C0" w:val="clear"/>
            <w:vAlign w:val="bottom"/>
          </w:tcPr>
          <w:p>
            <w:pPr>
              <w:pStyle w:val="TableContents"/>
              <w:spacing w:before="0" w:after="283"/>
              <w:rPr>
                <w:sz w:val="4"/>
                <w:szCs w:val="4"/>
              </w:rPr>
            </w:pPr>
            <w:r>
              <w:rPr>
                <w:sz w:val="4"/>
                <w:szCs w:val="4"/>
              </w:rPr>
            </w:r>
          </w:p>
        </w:tc>
        <w:tc>
          <w:tcPr>
            <w:tcW w:w="13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6,546</w:t>
            </w:r>
          </w:p>
        </w:tc>
        <w:tc>
          <w:tcPr>
            <w:tcW w:w="105" w:type="dxa"/>
            <w:tcBorders/>
            <w:shd w:fill="C0C0C0" w:val="clear"/>
            <w:vAlign w:val="bottom"/>
          </w:tcPr>
          <w:p>
            <w:pPr>
              <w:pStyle w:val="TableContents"/>
              <w:spacing w:before="0" w:after="283"/>
              <w:rPr>
                <w:sz w:val="4"/>
                <w:szCs w:val="4"/>
              </w:rPr>
            </w:pPr>
            <w:r>
              <w:rPr>
                <w:sz w:val="4"/>
                <w:szCs w:val="4"/>
              </w:rPr>
            </w:r>
          </w:p>
        </w:tc>
      </w:tr>
    </w:tbl>
    <w:p>
      <w:pPr>
        <w:pStyle w:val="TextBody"/>
        <w:rPr/>
      </w:pPr>
      <w:r>
        <w:rPr/>
      </w:r>
    </w:p>
    <w:p>
      <w:pPr>
        <w:pStyle w:val="TextBody"/>
        <w:ind w:left="0" w:right="0" w:firstLine="300"/>
        <w:jc w:val="both"/>
        <w:rPr>
          <w:rFonts w:ascii="Times New Roman" w:hAnsi="Times New Roman"/>
          <w:sz w:val="20"/>
        </w:rPr>
      </w:pPr>
      <w:r>
        <w:rPr>
          <w:rFonts w:ascii="Times New Roman" w:hAnsi="Times New Roman"/>
          <w:sz w:val="20"/>
        </w:rPr>
        <w:t>(A) The amounts shown include the change in the actuarial present value of benefits under our pension plan during the fiscal year. For Daniel S. Jaffee, the amount shown also includes the change in the actuarial present value of benefits under our SERP. For fiscal 2013, the actuarial present values of benefits under our pension plan and our SERP decreased for some participants due to the use of a higher discount rate in the actuarial calculation of our postretirement benefit obligations.</w:t>
      </w:r>
    </w:p>
    <w:p>
      <w:pPr>
        <w:pStyle w:val="TextBody"/>
        <w:ind w:left="0" w:right="0" w:firstLine="300"/>
        <w:jc w:val="both"/>
        <w:rPr>
          <w:rFonts w:ascii="Times New Roman" w:hAnsi="Times New Roman"/>
          <w:sz w:val="20"/>
        </w:rPr>
      </w:pPr>
      <w:r>
        <w:rPr>
          <w:rFonts w:ascii="Times New Roman" w:hAnsi="Times New Roman"/>
          <w:sz w:val="20"/>
        </w:rPr>
        <w:t>(B) The amount shown for Daniel S. Jaffee represents earnings from our executive deferred compensation plan that exceed 120% of the applicable federal rate. The amounts shown for Messrs. Cofsky and Smith each represent earnings from our executive deferred compensation plan and earnings from the executive deferred bonus portion of our annual incentive plan that exceed 120% of the applicable federal rate. The amount shown for Mr. Graham represents earnings from the executive deferred bonus portion of our annual incentive plan that exceed 120% of the applicable federal rate.</w:t>
      </w:r>
    </w:p>
    <w:p>
      <w:pPr>
        <w:pStyle w:val="TextBody"/>
        <w:ind w:left="0" w:right="0" w:firstLine="300"/>
        <w:jc w:val="both"/>
        <w:rPr>
          <w:rFonts w:ascii="Times New Roman" w:hAnsi="Times New Roman"/>
          <w:sz w:val="20"/>
        </w:rPr>
      </w:pPr>
      <w:r>
        <w:rPr>
          <w:rFonts w:ascii="Times New Roman" w:hAnsi="Times New Roman"/>
          <w:sz w:val="20"/>
        </w:rPr>
        <w:t>(C) Because Thierry R. Jean did not meet certain service conditions set forth in our defined benefit pension plan, no payment thereunder was paid or is owed to Mr. Jean in connection with his departure from the Company or otherwise.</w:t>
      </w:r>
    </w:p>
    <w:p>
      <w:pPr>
        <w:pStyle w:val="TextBody"/>
        <w:ind w:left="0" w:right="0" w:firstLine="300"/>
        <w:jc w:val="both"/>
        <w:rPr>
          <w:rFonts w:ascii="Times New Roman" w:hAnsi="Times New Roman"/>
          <w:sz w:val="20"/>
        </w:rPr>
      </w:pPr>
      <w:r>
        <w:rPr>
          <w:rFonts w:ascii="Times New Roman" w:hAnsi="Times New Roman"/>
          <w:sz w:val="20"/>
        </w:rPr>
        <w:t>(D) The amount shown for Mr. Jean is zero because he did not elect to defer any compensation into our executive deferred compensation plan and did not have any earnings on prior year awards from the executive deferred bonus portion of our annual incentive plan.</w:t>
      </w:r>
    </w:p>
    <w:p>
      <w:pPr>
        <w:pStyle w:val="TextBody"/>
        <w:jc w:val="center"/>
        <w:rPr>
          <w:rFonts w:ascii="Times New Roman" w:hAnsi="Times New Roman"/>
          <w:sz w:val="20"/>
        </w:rPr>
      </w:pPr>
      <w:r>
        <w:rPr>
          <w:rFonts w:ascii="Times New Roman" w:hAnsi="Times New Roman"/>
          <w:sz w:val="20"/>
        </w:rPr>
        <w:t>35</w:t>
      </w:r>
    </w:p>
    <w:p>
      <w:pPr>
        <w:pStyle w:val="HorizontalLine"/>
        <w:pBdr>
          <w:bottom w:val="single" w:sz="12" w:space="0" w:color="808080"/>
        </w:pBdr>
        <w:rPr/>
      </w:pPr>
      <w:r>
        <w:rPr/>
      </w:r>
    </w:p>
    <w:p>
      <w:pPr>
        <w:pStyle w:val="TextBody"/>
        <w:rPr/>
      </w:pPr>
      <w:r>
        <w:rPr/>
      </w:r>
    </w:p>
    <w:p>
      <w:pPr>
        <w:pStyle w:val="TextBody"/>
        <w:jc w:val="both"/>
        <w:rPr>
          <w:rFonts w:ascii="Times New Roman" w:hAnsi="Times New Roman"/>
          <w:sz w:val="20"/>
        </w:rPr>
      </w:pPr>
      <w:r>
        <w:rPr>
          <w:rFonts w:ascii="Times New Roman" w:hAnsi="Times New Roman"/>
          <w:sz w:val="20"/>
        </w:rPr>
        <w:t>(4) The amounts shown in this column for fiscal 2013 are described in the following table:</w:t>
      </w:r>
    </w:p>
    <w:tbl>
      <w:tblPr>
        <w:tblW w:w="10815" w:type="dxa"/>
        <w:jc w:val="left"/>
        <w:tblInd w:w="0" w:type="dxa"/>
        <w:tblCellMar>
          <w:top w:w="0" w:type="dxa"/>
          <w:left w:w="0" w:type="dxa"/>
          <w:bottom w:w="0" w:type="dxa"/>
          <w:right w:w="0" w:type="dxa"/>
        </w:tblCellMar>
      </w:tblPr>
      <w:tblGrid>
        <w:gridCol w:w="1595"/>
        <w:gridCol w:w="300"/>
        <w:gridCol w:w="180"/>
        <w:gridCol w:w="125"/>
        <w:gridCol w:w="650"/>
        <w:gridCol w:w="240"/>
        <w:gridCol w:w="300"/>
        <w:gridCol w:w="240"/>
        <w:gridCol w:w="125"/>
        <w:gridCol w:w="650"/>
        <w:gridCol w:w="120"/>
        <w:gridCol w:w="300"/>
        <w:gridCol w:w="540"/>
        <w:gridCol w:w="125"/>
        <w:gridCol w:w="545"/>
        <w:gridCol w:w="480"/>
        <w:gridCol w:w="300"/>
        <w:gridCol w:w="360"/>
        <w:gridCol w:w="125"/>
        <w:gridCol w:w="545"/>
        <w:gridCol w:w="360"/>
        <w:gridCol w:w="300"/>
        <w:gridCol w:w="1235"/>
        <w:gridCol w:w="300"/>
        <w:gridCol w:w="125"/>
        <w:gridCol w:w="650"/>
      </w:tblGrid>
      <w:tr>
        <w:trPr/>
        <w:tc>
          <w:tcPr>
            <w:tcW w:w="10815" w:type="dxa"/>
            <w:gridSpan w:val="26"/>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All Other Compensation Table</w:t>
            </w:r>
          </w:p>
        </w:tc>
      </w:tr>
      <w:tr>
        <w:trPr/>
        <w:tc>
          <w:tcPr>
            <w:tcW w:w="10815" w:type="dxa"/>
            <w:gridSpan w:val="26"/>
            <w:tcBorders/>
            <w:shd w:fill="auto" w:val="clear"/>
            <w:vAlign w:val="center"/>
          </w:tcPr>
          <w:p>
            <w:pPr>
              <w:pStyle w:val="TableContents"/>
              <w:spacing w:before="0" w:after="283"/>
              <w:jc w:val="center"/>
              <w:rPr/>
            </w:pPr>
            <w:r>
              <w:rPr/>
              <w:t> </w:t>
            </w:r>
          </w:p>
        </w:tc>
      </w:tr>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35"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Dividends</w:t>
            </w:r>
          </w:p>
        </w:tc>
        <w:tc>
          <w:tcPr>
            <w:tcW w:w="300" w:type="dxa"/>
            <w:tcBorders/>
            <w:shd w:fill="auto" w:val="clear"/>
            <w:vAlign w:val="bottom"/>
          </w:tcPr>
          <w:p>
            <w:pPr>
              <w:pStyle w:val="TableContents"/>
              <w:spacing w:before="0" w:after="283"/>
              <w:rPr>
                <w:sz w:val="4"/>
                <w:szCs w:val="4"/>
              </w:rPr>
            </w:pPr>
            <w:r>
              <w:rPr>
                <w:sz w:val="4"/>
                <w:szCs w:val="4"/>
              </w:rPr>
            </w:r>
          </w:p>
        </w:tc>
        <w:tc>
          <w:tcPr>
            <w:tcW w:w="54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135"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w:t>
            </w:r>
          </w:p>
        </w:tc>
        <w:tc>
          <w:tcPr>
            <w:tcW w:w="300" w:type="dxa"/>
            <w:tcBorders/>
            <w:shd w:fill="auto" w:val="clear"/>
            <w:vAlign w:val="bottom"/>
          </w:tcPr>
          <w:p>
            <w:pPr>
              <w:pStyle w:val="TableContents"/>
              <w:spacing w:before="0" w:after="283"/>
              <w:jc w:val="center"/>
              <w:rPr/>
            </w:pPr>
            <w:r>
              <w:rPr/>
              <w:t>     </w:t>
            </w:r>
          </w:p>
        </w:tc>
        <w:tc>
          <w:tcPr>
            <w:tcW w:w="1690"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Interest Earned</w:t>
            </w:r>
          </w:p>
        </w:tc>
        <w:tc>
          <w:tcPr>
            <w:tcW w:w="300" w:type="dxa"/>
            <w:tcBorders/>
            <w:shd w:fill="auto" w:val="clear"/>
            <w:vAlign w:val="bottom"/>
          </w:tcPr>
          <w:p>
            <w:pPr>
              <w:pStyle w:val="TableContents"/>
              <w:spacing w:before="0" w:after="283"/>
              <w:jc w:val="center"/>
              <w:rPr/>
            </w:pPr>
            <w:r>
              <w:rPr/>
              <w:t>     </w:t>
            </w:r>
          </w:p>
        </w:tc>
        <w:tc>
          <w:tcPr>
            <w:tcW w:w="1390"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401(k) Plan</w:t>
            </w:r>
          </w:p>
        </w:tc>
        <w:tc>
          <w:tcPr>
            <w:tcW w:w="30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35"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Unvested</w:t>
            </w:r>
          </w:p>
        </w:tc>
        <w:tc>
          <w:tcPr>
            <w:tcW w:w="300" w:type="dxa"/>
            <w:tcBorders/>
            <w:shd w:fill="auto" w:val="clear"/>
            <w:vAlign w:val="bottom"/>
          </w:tcPr>
          <w:p>
            <w:pPr>
              <w:pStyle w:val="TableContents"/>
              <w:spacing w:before="0" w:after="283"/>
              <w:rPr>
                <w:sz w:val="4"/>
                <w:szCs w:val="4"/>
              </w:rPr>
            </w:pPr>
            <w:r>
              <w:rPr>
                <w:sz w:val="4"/>
                <w:szCs w:val="4"/>
              </w:rPr>
            </w:r>
          </w:p>
        </w:tc>
        <w:tc>
          <w:tcPr>
            <w:tcW w:w="1690"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 Executive</w:t>
            </w:r>
          </w:p>
        </w:tc>
        <w:tc>
          <w:tcPr>
            <w:tcW w:w="300" w:type="dxa"/>
            <w:tcBorders/>
            <w:shd w:fill="auto" w:val="clear"/>
            <w:vAlign w:val="bottom"/>
          </w:tcPr>
          <w:p>
            <w:pPr>
              <w:pStyle w:val="TableContents"/>
              <w:spacing w:before="0" w:after="283"/>
              <w:rPr>
                <w:sz w:val="4"/>
                <w:szCs w:val="4"/>
              </w:rPr>
            </w:pPr>
            <w:r>
              <w:rPr>
                <w:sz w:val="4"/>
                <w:szCs w:val="4"/>
              </w:rPr>
            </w:r>
          </w:p>
        </w:tc>
        <w:tc>
          <w:tcPr>
            <w:tcW w:w="1390"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Company</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Post-</w:t>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95"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Perquisites</w:t>
            </w:r>
          </w:p>
        </w:tc>
        <w:tc>
          <w:tcPr>
            <w:tcW w:w="300" w:type="dxa"/>
            <w:tcBorders/>
            <w:shd w:fill="auto" w:val="clear"/>
            <w:vAlign w:val="bottom"/>
          </w:tcPr>
          <w:p>
            <w:pPr>
              <w:pStyle w:val="TableContents"/>
              <w:spacing w:before="0" w:after="283"/>
              <w:rPr>
                <w:sz w:val="4"/>
                <w:szCs w:val="4"/>
              </w:rPr>
            </w:pPr>
            <w:r>
              <w:rPr>
                <w:sz w:val="4"/>
                <w:szCs w:val="4"/>
              </w:rPr>
            </w:r>
          </w:p>
        </w:tc>
        <w:tc>
          <w:tcPr>
            <w:tcW w:w="1135"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Restricted</w:t>
            </w:r>
          </w:p>
        </w:tc>
        <w:tc>
          <w:tcPr>
            <w:tcW w:w="300" w:type="dxa"/>
            <w:tcBorders/>
            <w:shd w:fill="auto" w:val="clear"/>
            <w:vAlign w:val="bottom"/>
          </w:tcPr>
          <w:p>
            <w:pPr>
              <w:pStyle w:val="TableContents"/>
              <w:spacing w:before="0" w:after="283"/>
              <w:rPr>
                <w:sz w:val="4"/>
                <w:szCs w:val="4"/>
              </w:rPr>
            </w:pPr>
            <w:r>
              <w:rPr>
                <w:sz w:val="4"/>
                <w:szCs w:val="4"/>
              </w:rPr>
            </w:r>
          </w:p>
        </w:tc>
        <w:tc>
          <w:tcPr>
            <w:tcW w:w="1690"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 Bonus</w:t>
            </w:r>
          </w:p>
        </w:tc>
        <w:tc>
          <w:tcPr>
            <w:tcW w:w="300" w:type="dxa"/>
            <w:tcBorders/>
            <w:shd w:fill="auto" w:val="clear"/>
            <w:vAlign w:val="bottom"/>
          </w:tcPr>
          <w:p>
            <w:pPr>
              <w:pStyle w:val="TableContents"/>
              <w:spacing w:before="0" w:after="283"/>
              <w:rPr>
                <w:sz w:val="4"/>
                <w:szCs w:val="4"/>
              </w:rPr>
            </w:pPr>
            <w:r>
              <w:rPr>
                <w:sz w:val="4"/>
                <w:szCs w:val="4"/>
              </w:rPr>
            </w:r>
          </w:p>
        </w:tc>
        <w:tc>
          <w:tcPr>
            <w:tcW w:w="1390"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Matching</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Termination</w:t>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95"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135"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300" w:type="dxa"/>
            <w:tcBorders/>
            <w:shd w:fill="auto" w:val="clear"/>
            <w:vAlign w:val="bottom"/>
          </w:tcPr>
          <w:p>
            <w:pPr>
              <w:pStyle w:val="TableContents"/>
              <w:spacing w:before="0" w:after="283"/>
              <w:rPr>
                <w:sz w:val="4"/>
                <w:szCs w:val="4"/>
              </w:rPr>
            </w:pPr>
            <w:r>
              <w:rPr>
                <w:sz w:val="4"/>
                <w:szCs w:val="4"/>
              </w:rPr>
            </w:r>
          </w:p>
        </w:tc>
        <w:tc>
          <w:tcPr>
            <w:tcW w:w="1690"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390"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Contributions</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00" w:type="dxa"/>
            <w:tcBorders/>
            <w:shd w:fill="auto" w:val="clear"/>
            <w:vAlign w:val="bottom"/>
          </w:tcPr>
          <w:p>
            <w:pPr>
              <w:pStyle w:val="TableContents"/>
              <w:spacing w:before="0" w:after="283"/>
              <w:rPr>
                <w:sz w:val="4"/>
                <w:szCs w:val="4"/>
              </w:rPr>
            </w:pPr>
            <w:r>
              <w:rPr>
                <w:sz w:val="4"/>
                <w:szCs w:val="4"/>
              </w:rPr>
            </w:r>
          </w:p>
        </w:tc>
        <w:tc>
          <w:tcPr>
            <w:tcW w:w="77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159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195"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(A)</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135"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690"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(B)</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390"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23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77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15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0" w:type="dxa"/>
            <w:tcBorders/>
            <w:shd w:fill="C0C0C0" w:val="clear"/>
            <w:vAlign w:val="bottom"/>
          </w:tcPr>
          <w:p>
            <w:pPr>
              <w:pStyle w:val="TableContents"/>
              <w:spacing w:before="0" w:after="283"/>
              <w:rPr>
                <w:sz w:val="4"/>
                <w:szCs w:val="4"/>
              </w:rPr>
            </w:pPr>
            <w:r>
              <w:rPr>
                <w:sz w:val="4"/>
                <w:szCs w:val="4"/>
              </w:rPr>
            </w:r>
          </w:p>
        </w:tc>
        <w:tc>
          <w:tcPr>
            <w:tcW w:w="18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pPr>
            <w:r>
              <w:rPr/>
              <w:t> </w:t>
            </w:r>
            <w:r>
              <w:rPr>
                <w:rFonts w:ascii="Times New Roman" w:hAnsi="Times New Roman"/>
                <w:sz w:val="20"/>
              </w:rPr>
              <w:t>11,140</w:t>
            </w:r>
          </w:p>
        </w:tc>
        <w:tc>
          <w:tcPr>
            <w:tcW w:w="240" w:type="dxa"/>
            <w:tcBorders/>
            <w:shd w:fill="C0C0C0" w:val="clear"/>
            <w:vAlign w:val="bottom"/>
          </w:tcPr>
          <w:p>
            <w:pPr>
              <w:pStyle w:val="TableContents"/>
              <w:spacing w:before="0" w:after="283"/>
              <w:jc w:val="left"/>
              <w:rPr/>
            </w:pPr>
            <w:r>
              <w:rPr/>
              <w:t xml:space="preserve">    </w:t>
            </w:r>
          </w:p>
        </w:tc>
        <w:tc>
          <w:tcPr>
            <w:tcW w:w="30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jc w:val="left"/>
              <w:rPr/>
            </w:pPr>
            <w:r>
              <w:rPr/>
              <w:t xml:space="preserve">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pPr>
            <w:r>
              <w:rPr/>
              <w:t> </w:t>
            </w:r>
            <w:r>
              <w:rPr>
                <w:rFonts w:ascii="Times New Roman" w:hAnsi="Times New Roman"/>
                <w:sz w:val="20"/>
              </w:rPr>
              <w:t>48,566</w:t>
            </w:r>
          </w:p>
        </w:tc>
        <w:tc>
          <w:tcPr>
            <w:tcW w:w="12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540" w:type="dxa"/>
            <w:tcBorders/>
            <w:shd w:fill="C0C0C0" w:val="clear"/>
            <w:vAlign w:val="bottom"/>
          </w:tcPr>
          <w:p>
            <w:pPr>
              <w:pStyle w:val="TableContents"/>
              <w:spacing w:before="0" w:after="283"/>
              <w:jc w:val="left"/>
              <w:rPr/>
            </w:pPr>
            <w:r>
              <w:rPr/>
              <w:t xml:space="preserve">         </w:t>
            </w:r>
          </w:p>
        </w:tc>
        <w:tc>
          <w:tcPr>
            <w:tcW w:w="125" w:type="dxa"/>
            <w:tcBorders/>
            <w:shd w:fill="C0C0C0" w:val="clear"/>
            <w:vAlign w:val="bottom"/>
          </w:tcPr>
          <w:p>
            <w:pPr>
              <w:pStyle w:val="TableContents"/>
              <w:spacing w:before="0" w:after="283"/>
              <w:rPr>
                <w:sz w:val="4"/>
                <w:szCs w:val="4"/>
              </w:rPr>
            </w:pPr>
            <w:r>
              <w:rPr>
                <w:sz w:val="4"/>
                <w:szCs w:val="4"/>
              </w:rPr>
            </w:r>
          </w:p>
        </w:tc>
        <w:tc>
          <w:tcPr>
            <w:tcW w:w="54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480" w:type="dxa"/>
            <w:tcBorders/>
            <w:shd w:fill="C0C0C0" w:val="clear"/>
            <w:vAlign w:val="bottom"/>
          </w:tcPr>
          <w:p>
            <w:pPr>
              <w:pStyle w:val="TableContents"/>
              <w:spacing w:before="0" w:after="283"/>
              <w:jc w:val="right"/>
              <w:rPr/>
            </w:pPr>
            <w:r>
              <w:rPr/>
              <w:t xml:space="preserve">        </w:t>
            </w:r>
          </w:p>
        </w:tc>
        <w:tc>
          <w:tcPr>
            <w:tcW w:w="300"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jc w:val="right"/>
              <w:rPr/>
            </w:pPr>
            <w:r>
              <w:rPr/>
              <w:t xml:space="preserve">      </w:t>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45" w:type="dxa"/>
            <w:tcBorders/>
            <w:shd w:fill="C0C0C0" w:val="clear"/>
            <w:vAlign w:val="bottom"/>
          </w:tcPr>
          <w:p>
            <w:pPr>
              <w:pStyle w:val="TableContents"/>
              <w:spacing w:before="0" w:after="283"/>
              <w:jc w:val="right"/>
              <w:rPr/>
            </w:pPr>
            <w:r>
              <w:rPr/>
              <w:t> </w:t>
            </w:r>
            <w:r>
              <w:rPr>
                <w:rFonts w:ascii="Times New Roman" w:hAnsi="Times New Roman"/>
                <w:sz w:val="20"/>
              </w:rPr>
              <w:t>9,375</w:t>
            </w:r>
          </w:p>
        </w:tc>
        <w:tc>
          <w:tcPr>
            <w:tcW w:w="36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pPr>
            <w:r>
              <w:rPr/>
              <w:t> </w:t>
            </w:r>
            <w:r>
              <w:rPr>
                <w:rFonts w:ascii="Times New Roman" w:hAnsi="Times New Roman"/>
                <w:sz w:val="20"/>
              </w:rPr>
              <w:t>69,081</w:t>
            </w:r>
          </w:p>
        </w:tc>
      </w:tr>
      <w:tr>
        <w:trPr/>
        <w:tc>
          <w:tcPr>
            <w:tcW w:w="159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2,795</w:t>
            </w:r>
          </w:p>
        </w:tc>
        <w:tc>
          <w:tcPr>
            <w:tcW w:w="2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right"/>
              <w:rPr/>
            </w:pPr>
            <w:r>
              <w:rPr/>
              <w:t> </w:t>
            </w:r>
          </w:p>
        </w:tc>
        <w:tc>
          <w:tcPr>
            <w:tcW w:w="54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45" w:type="dxa"/>
            <w:tcBorders/>
            <w:shd w:fill="auto" w:val="clear"/>
            <w:vAlign w:val="bottom"/>
          </w:tcPr>
          <w:p>
            <w:pPr>
              <w:pStyle w:val="TableContents"/>
              <w:spacing w:before="0" w:after="283"/>
              <w:jc w:val="right"/>
              <w:rPr/>
            </w:pPr>
            <w:r>
              <w:rPr/>
              <w:t> </w:t>
            </w:r>
            <w:r>
              <w:rPr>
                <w:rFonts w:ascii="Times New Roman" w:hAnsi="Times New Roman"/>
                <w:sz w:val="20"/>
              </w:rPr>
              <w:t>1,599</w:t>
            </w:r>
          </w:p>
        </w:tc>
        <w:tc>
          <w:tcPr>
            <w:tcW w:w="48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3,200</w:t>
            </w:r>
          </w:p>
        </w:tc>
        <w:tc>
          <w:tcPr>
            <w:tcW w:w="3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7,594</w:t>
            </w:r>
          </w:p>
        </w:tc>
      </w:tr>
      <w:tr>
        <w:trPr/>
        <w:tc>
          <w:tcPr>
            <w:tcW w:w="15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11,194</w:t>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left"/>
              <w:rPr/>
            </w:pPr>
            <w:r>
              <w:rPr/>
              <w:t> </w:t>
            </w:r>
          </w:p>
        </w:tc>
        <w:tc>
          <w:tcPr>
            <w:tcW w:w="24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2,029</w:t>
            </w:r>
          </w:p>
        </w:tc>
        <w:tc>
          <w:tcPr>
            <w:tcW w:w="120" w:type="dxa"/>
            <w:tcBorders/>
            <w:shd w:fill="C0C0C0" w:val="clear"/>
            <w:vAlign w:val="bottom"/>
          </w:tcPr>
          <w:p>
            <w:pPr>
              <w:pStyle w:val="TableContents"/>
              <w:spacing w:before="0" w:after="283"/>
              <w:jc w:val="righ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54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1,525</w:t>
            </w:r>
          </w:p>
        </w:tc>
        <w:tc>
          <w:tcPr>
            <w:tcW w:w="48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jc w:val="right"/>
              <w:rPr/>
            </w:pPr>
            <w:r>
              <w:rPr/>
              <w:t> </w:t>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6,120</w:t>
            </w:r>
          </w:p>
        </w:tc>
        <w:tc>
          <w:tcPr>
            <w:tcW w:w="36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3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20,868</w:t>
            </w:r>
          </w:p>
        </w:tc>
      </w:tr>
      <w:tr>
        <w:trPr/>
        <w:tc>
          <w:tcPr>
            <w:tcW w:w="159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0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24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1,440</w:t>
            </w:r>
          </w:p>
        </w:tc>
        <w:tc>
          <w:tcPr>
            <w:tcW w:w="12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4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609</w:t>
            </w:r>
          </w:p>
        </w:tc>
        <w:tc>
          <w:tcPr>
            <w:tcW w:w="480" w:type="dxa"/>
            <w:tcBorders/>
            <w:shd w:fill="auto" w:val="clear"/>
            <w:vAlign w:val="bottom"/>
          </w:tcPr>
          <w:p>
            <w:pPr>
              <w:pStyle w:val="TableContents"/>
              <w:spacing w:before="0" w:after="283"/>
              <w:jc w:val="right"/>
              <w:rPr/>
            </w:pPr>
            <w:r>
              <w:rPr/>
              <w:t> </w:t>
            </w:r>
          </w:p>
        </w:tc>
        <w:tc>
          <w:tcPr>
            <w:tcW w:w="300" w:type="dxa"/>
            <w:tcBorders/>
            <w:shd w:fill="auto" w:val="clear"/>
            <w:vAlign w:val="bottom"/>
          </w:tcPr>
          <w:p>
            <w:pPr>
              <w:pStyle w:val="TableContents"/>
              <w:spacing w:before="0" w:after="283"/>
              <w:jc w:val="right"/>
              <w:rPr/>
            </w:pPr>
            <w:r>
              <w:rPr/>
              <w:t> </w:t>
            </w:r>
          </w:p>
        </w:tc>
        <w:tc>
          <w:tcPr>
            <w:tcW w:w="3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4,932</w:t>
            </w:r>
          </w:p>
        </w:tc>
        <w:tc>
          <w:tcPr>
            <w:tcW w:w="3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12,981</w:t>
            </w:r>
          </w:p>
        </w:tc>
      </w:tr>
      <w:tr>
        <w:trPr/>
        <w:tc>
          <w:tcPr>
            <w:tcW w:w="15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00" w:type="dxa"/>
            <w:tcBorders/>
            <w:shd w:fill="C0C0C0" w:val="clear"/>
            <w:vAlign w:val="bottom"/>
          </w:tcPr>
          <w:p>
            <w:pPr>
              <w:pStyle w:val="TableContents"/>
              <w:spacing w:before="0" w:after="283"/>
              <w:rPr>
                <w:sz w:val="4"/>
                <w:szCs w:val="4"/>
              </w:rPr>
            </w:pPr>
            <w:r>
              <w:rPr>
                <w:sz w:val="4"/>
                <w:szCs w:val="4"/>
              </w:rPr>
            </w:r>
          </w:p>
        </w:tc>
        <w:tc>
          <w:tcPr>
            <w:tcW w:w="18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3,950</w:t>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3,600</w:t>
            </w:r>
          </w:p>
        </w:tc>
        <w:tc>
          <w:tcPr>
            <w:tcW w:w="12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54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5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 (C)</w:t>
            </w:r>
          </w:p>
        </w:tc>
        <w:tc>
          <w:tcPr>
            <w:tcW w:w="48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4,283</w:t>
            </w:r>
          </w:p>
        </w:tc>
        <w:tc>
          <w:tcPr>
            <w:tcW w:w="36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3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11,833</w:t>
            </w:r>
          </w:p>
        </w:tc>
      </w:tr>
    </w:tbl>
    <w:p>
      <w:pPr>
        <w:pStyle w:val="TextBody"/>
        <w:rPr/>
      </w:pPr>
      <w:r>
        <w:rPr/>
      </w:r>
    </w:p>
    <w:p>
      <w:pPr>
        <w:pStyle w:val="TextBody"/>
        <w:pBdr/>
        <w:jc w:val="both"/>
        <w:rPr>
          <w:rFonts w:ascii="Times New Roman" w:hAnsi="Times New Roman"/>
          <w:sz w:val="20"/>
        </w:rPr>
      </w:pPr>
      <w:r>
        <w:rPr>
          <w:rFonts w:ascii="Times New Roman" w:hAnsi="Times New Roman"/>
          <w:sz w:val="20"/>
        </w:rPr>
        <w:t>(A) Perquisites for the named executive officers generally consist of auto allowances, paid parking, use of company-owned computers, remote internet access, office supplies, airline executive club memberships and periodical subscriptions. The amounts shown reflect the actual cost to us for providing these perquisites. The perquisites received by Daniel S. Jaffee consisted of an auto allowance, paid parking, remote Internet access and related fees, office supplies and periodical subscriptions. The perquisites received by Thomas F. Cofsky consisted of an auto allowance and paid parking.</w:t>
      </w:r>
    </w:p>
    <w:p>
      <w:pPr>
        <w:pStyle w:val="TextBody"/>
        <w:pBdr/>
        <w:jc w:val="both"/>
        <w:rPr>
          <w:rFonts w:ascii="Times New Roman" w:hAnsi="Times New Roman"/>
          <w:sz w:val="20"/>
        </w:rPr>
      </w:pPr>
      <w:r>
        <w:rPr>
          <w:rFonts w:ascii="Times New Roman" w:hAnsi="Times New Roman"/>
          <w:sz w:val="20"/>
        </w:rPr>
        <w:t xml:space="preserve">(B) Executive deferred bonuses awarded under our annual incentive plan earn interest at a rate equal to our long-term cost of borrowing plus 1% as described above under Compensation Discussion and Analysis  Annual and Deferred Incentive Compensation. The amounts shown are the interest earned on all unvested executive deferred bonus awards that do not exceed 120% of the applicable federal rate, regardless of the fiscal year in which the awards were earned. For earnings that exceed 120% of the applicable federal rate, see the column titled Nonqualified Deferred Compensation Earnings in the table to footnote (3) of this Summary Compensation Table. </w:t>
      </w:r>
    </w:p>
    <w:p>
      <w:pPr>
        <w:pStyle w:val="TextBody"/>
        <w:pBdr/>
        <w:jc w:val="both"/>
        <w:rPr>
          <w:rFonts w:ascii="Times New Roman" w:hAnsi="Times New Roman"/>
          <w:sz w:val="20"/>
        </w:rPr>
      </w:pPr>
      <w:r>
        <w:rPr>
          <w:rFonts w:ascii="Times New Roman" w:hAnsi="Times New Roman"/>
          <w:sz w:val="20"/>
        </w:rPr>
        <w:t>(C) The amount shown for Mr. Jean is zero because he has not been awarded executive deferred bonuses under our annual incentive plan in prior years.</w:t>
      </w:r>
    </w:p>
    <w:p>
      <w:pPr>
        <w:pStyle w:val="TextBody"/>
        <w:jc w:val="both"/>
        <w:rPr>
          <w:rFonts w:ascii="Times New Roman" w:hAnsi="Times New Roman"/>
          <w:sz w:val="20"/>
        </w:rPr>
      </w:pPr>
      <w:r>
        <w:rPr>
          <w:rFonts w:ascii="Times New Roman" w:hAnsi="Times New Roman"/>
          <w:sz w:val="20"/>
        </w:rPr>
        <w:t>(5) Mr. Graham joined the Company on February 7, 2011. Upon joining the Company, Mr. Graham received an award of 2,000 restricted shares of Common Stock, all of which will cliff vest on February 7, 2014, provided that Mr. Graham is employed by the Company on that date.</w:t>
      </w:r>
    </w:p>
    <w:p>
      <w:pPr>
        <w:pStyle w:val="TextBody"/>
        <w:jc w:val="both"/>
        <w:rPr>
          <w:rFonts w:ascii="Times New Roman" w:hAnsi="Times New Roman"/>
          <w:sz w:val="20"/>
        </w:rPr>
      </w:pPr>
      <w:r>
        <w:rPr>
          <w:rFonts w:ascii="Times New Roman" w:hAnsi="Times New Roman"/>
          <w:sz w:val="20"/>
        </w:rPr>
        <w:t>(6) Mr. Jean joined the Company on April 2, 2012. Our Board appointed Mr. Jean as Vice President and General Manager, Consumer Packaged Goods, effective June 14, 2012. He also became an executive officer of the Company effective upon such appointment. Mr. Jean resigned from the Company effective September 19, 2013.</w:t>
      </w:r>
    </w:p>
    <w:p>
      <w:pPr>
        <w:pStyle w:val="TextBody"/>
        <w:jc w:val="both"/>
        <w:rPr>
          <w:rFonts w:ascii="Times New Roman" w:hAnsi="Times New Roman"/>
          <w:sz w:val="20"/>
        </w:rPr>
      </w:pPr>
      <w:r>
        <w:rPr>
          <w:rFonts w:ascii="Times New Roman" w:hAnsi="Times New Roman"/>
          <w:sz w:val="20"/>
        </w:rPr>
        <w:t>(7) The amount shown reflects the grant date fair value of the 5,000 restricted shares of Common Stock awarded to Mr. Jean on April 2, 2012, which vest in 1,000 share increments on each of the five anniversaries of such date. Because Mr. Jean left the Company effective September 19, 2013, his 4,000 unvested restricted shares of Common Stock were forfeited.</w:t>
      </w:r>
    </w:p>
    <w:p>
      <w:pPr>
        <w:pStyle w:val="TextBody"/>
        <w:jc w:val="center"/>
        <w:rPr>
          <w:rFonts w:ascii="Times New Roman" w:hAnsi="Times New Roman"/>
          <w:sz w:val="20"/>
        </w:rPr>
      </w:pPr>
      <w:r>
        <w:rPr>
          <w:rFonts w:ascii="Times New Roman" w:hAnsi="Times New Roman"/>
          <w:sz w:val="20"/>
        </w:rPr>
        <w:t>36</w:t>
      </w:r>
    </w:p>
    <w:p>
      <w:pPr>
        <w:pStyle w:val="HorizontalLine"/>
        <w:pBdr>
          <w:bottom w:val="single" w:sz="12" w:space="0" w:color="808080"/>
        </w:pBdr>
        <w:rPr/>
      </w:pPr>
      <w:r>
        <w:rPr/>
      </w:r>
    </w:p>
    <w:p>
      <w:pPr>
        <w:pStyle w:val="TextBody"/>
        <w:rPr/>
      </w:pPr>
      <w:r>
        <w:rPr/>
      </w:r>
    </w:p>
    <w:p>
      <w:pPr>
        <w:pStyle w:val="TextBody"/>
        <w:jc w:val="both"/>
        <w:rPr>
          <w:rFonts w:ascii="Times New Roman" w:hAnsi="Times New Roman"/>
          <w:sz w:val="20"/>
        </w:rPr>
      </w:pPr>
      <w:r>
        <w:rPr>
          <w:rFonts w:ascii="Times New Roman" w:hAnsi="Times New Roman"/>
          <w:sz w:val="20"/>
        </w:rPr>
        <w:t>(8) Although Mr. Jean did not meet certain service conditions set forth in our annual incentive plan, our CEO approved, and the Compensation Committee ratified at its October 16, 2013 meeting, the payment of Mr. Jeans annual incentive bonus award. Since he left the Company prior to July 31, 2016, no executive deferred bonus will be paid to Mr. Jean.</w:t>
      </w:r>
    </w:p>
    <w:p>
      <w:pPr>
        <w:pStyle w:val="TextBody"/>
        <w:jc w:val="both"/>
        <w:rPr>
          <w:rFonts w:ascii="Times New Roman" w:hAnsi="Times New Roman"/>
          <w:sz w:val="20"/>
        </w:rPr>
      </w:pPr>
      <w:r>
        <w:rPr>
          <w:rFonts w:ascii="Times New Roman" w:hAnsi="Times New Roman"/>
          <w:sz w:val="20"/>
        </w:rPr>
        <w:t>(9) Because Mr. Jean did not meet certain service conditions set forth in our defined benefit pension plan, no payment thereunder was paid or is owed to Mr. Jean.</w:t>
      </w:r>
    </w:p>
    <w:p>
      <w:pPr>
        <w:pStyle w:val="TextBody"/>
        <w:jc w:val="center"/>
        <w:rPr>
          <w:rFonts w:ascii="Times New Roman" w:hAnsi="Times New Roman"/>
          <w:sz w:val="20"/>
        </w:rPr>
      </w:pPr>
      <w:r>
        <w:rPr>
          <w:rFonts w:ascii="Times New Roman" w:hAnsi="Times New Roman"/>
          <w:sz w:val="20"/>
        </w:rPr>
        <w:t>37</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Grants of Plan-Based Awards during Fiscal 2013</w:t>
      </w:r>
    </w:p>
    <w:p>
      <w:pPr>
        <w:pStyle w:val="TextBody"/>
        <w:jc w:val="both"/>
        <w:rPr/>
      </w:pPr>
      <w:r>
        <w:rPr/>
        <w:t xml:space="preserve">     </w:t>
      </w:r>
      <w:r>
        <w:rPr>
          <w:rFonts w:ascii="Times New Roman" w:hAnsi="Times New Roman"/>
          <w:sz w:val="20"/>
        </w:rPr>
        <w:t>The following table discloses certain information regarding grants of plan-based awards to the named executive officers during fiscal 2013.</w:t>
      </w:r>
    </w:p>
    <w:tbl>
      <w:tblPr>
        <w:tblW w:w="5000" w:type="pct"/>
        <w:jc w:val="left"/>
        <w:tblInd w:w="0" w:type="dxa"/>
        <w:tblCellMar>
          <w:top w:w="0" w:type="dxa"/>
          <w:left w:w="0" w:type="dxa"/>
          <w:bottom w:w="0" w:type="dxa"/>
          <w:right w:w="0" w:type="dxa"/>
        </w:tblCellMar>
      </w:tblPr>
      <w:tblGrid>
        <w:gridCol w:w="1350"/>
        <w:gridCol w:w="301"/>
        <w:gridCol w:w="98"/>
        <w:gridCol w:w="489"/>
        <w:gridCol w:w="301"/>
        <w:gridCol w:w="98"/>
        <w:gridCol w:w="489"/>
        <w:gridCol w:w="301"/>
        <w:gridCol w:w="98"/>
        <w:gridCol w:w="567"/>
        <w:gridCol w:w="300"/>
        <w:gridCol w:w="98"/>
        <w:gridCol w:w="489"/>
        <w:gridCol w:w="301"/>
        <w:gridCol w:w="98"/>
        <w:gridCol w:w="567"/>
        <w:gridCol w:w="301"/>
        <w:gridCol w:w="98"/>
        <w:gridCol w:w="493"/>
        <w:gridCol w:w="301"/>
        <w:gridCol w:w="567"/>
        <w:gridCol w:w="300"/>
        <w:gridCol w:w="939"/>
        <w:gridCol w:w="301"/>
        <w:gridCol w:w="455"/>
        <w:gridCol w:w="505"/>
      </w:tblGrid>
      <w:tr>
        <w:trPr/>
        <w:tc>
          <w:tcPr>
            <w:tcW w:w="135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5186" w:type="dxa"/>
            <w:gridSpan w:val="1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Estimated Future Payouts Under Non-Equity Incentive Plan Awards (1)</w:t>
            </w:r>
          </w:p>
        </w:tc>
        <w:tc>
          <w:tcPr>
            <w:tcW w:w="301" w:type="dxa"/>
            <w:tcBorders/>
            <w:shd w:fill="auto" w:val="clear"/>
            <w:vAlign w:val="bottom"/>
          </w:tcPr>
          <w:p>
            <w:pPr>
              <w:pStyle w:val="TableContents"/>
              <w:spacing w:before="0" w:after="283"/>
              <w:rPr>
                <w:sz w:val="4"/>
                <w:szCs w:val="4"/>
              </w:rPr>
            </w:pPr>
            <w:r>
              <w:rPr>
                <w:sz w:val="4"/>
                <w:szCs w:val="4"/>
              </w:rPr>
            </w:r>
          </w:p>
        </w:tc>
        <w:tc>
          <w:tcPr>
            <w:tcW w:w="3067" w:type="dxa"/>
            <w:gridSpan w:val="6"/>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Equity Plan Awards (2)</w:t>
            </w:r>
          </w:p>
        </w:tc>
      </w:tr>
      <w:tr>
        <w:trPr/>
        <w:tc>
          <w:tcPr>
            <w:tcW w:w="135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475"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Threshold</w:t>
            </w:r>
          </w:p>
        </w:tc>
        <w:tc>
          <w:tcPr>
            <w:tcW w:w="301" w:type="dxa"/>
            <w:tcBorders/>
            <w:shd w:fill="auto" w:val="clear"/>
            <w:vAlign w:val="bottom"/>
          </w:tcPr>
          <w:p>
            <w:pPr>
              <w:pStyle w:val="TableContents"/>
              <w:spacing w:before="0" w:after="283"/>
              <w:rPr>
                <w:sz w:val="4"/>
                <w:szCs w:val="4"/>
              </w:rPr>
            </w:pPr>
            <w:r>
              <w:rPr>
                <w:sz w:val="4"/>
                <w:szCs w:val="4"/>
              </w:rPr>
            </w:r>
          </w:p>
        </w:tc>
        <w:tc>
          <w:tcPr>
            <w:tcW w:w="1552"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Target</w:t>
            </w:r>
          </w:p>
        </w:tc>
        <w:tc>
          <w:tcPr>
            <w:tcW w:w="301" w:type="dxa"/>
            <w:tcBorders/>
            <w:shd w:fill="auto" w:val="clear"/>
            <w:vAlign w:val="bottom"/>
          </w:tcPr>
          <w:p>
            <w:pPr>
              <w:pStyle w:val="TableContents"/>
              <w:spacing w:before="0" w:after="283"/>
              <w:rPr>
                <w:sz w:val="4"/>
                <w:szCs w:val="4"/>
              </w:rPr>
            </w:pPr>
            <w:r>
              <w:rPr>
                <w:sz w:val="4"/>
                <w:szCs w:val="4"/>
              </w:rPr>
            </w:r>
          </w:p>
        </w:tc>
        <w:tc>
          <w:tcPr>
            <w:tcW w:w="1557"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Maximum</w:t>
            </w:r>
          </w:p>
        </w:tc>
        <w:tc>
          <w:tcPr>
            <w:tcW w:w="301"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939"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rPr>
                <w:sz w:val="4"/>
                <w:szCs w:val="4"/>
              </w:rPr>
            </w:pPr>
            <w:r>
              <w:rPr>
                <w:sz w:val="4"/>
                <w:szCs w:val="4"/>
              </w:rPr>
            </w:r>
          </w:p>
        </w:tc>
      </w:tr>
      <w:tr>
        <w:trPr/>
        <w:tc>
          <w:tcPr>
            <w:tcW w:w="135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rPr>
                <w:sz w:val="4"/>
                <w:szCs w:val="4"/>
              </w:rPr>
            </w:pPr>
            <w:r>
              <w:rPr>
                <w:sz w:val="4"/>
                <w:szCs w:val="4"/>
              </w:rPr>
            </w:r>
          </w:p>
        </w:tc>
        <w:tc>
          <w:tcPr>
            <w:tcW w:w="493"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jc w:val="center"/>
              <w:rPr/>
            </w:pPr>
            <w:r>
              <w:rPr/>
              <w:t>     </w:t>
            </w:r>
          </w:p>
        </w:tc>
        <w:tc>
          <w:tcPr>
            <w:tcW w:w="567"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939"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All Other</w:t>
            </w:r>
          </w:p>
        </w:tc>
        <w:tc>
          <w:tcPr>
            <w:tcW w:w="301" w:type="dxa"/>
            <w:tcBorders/>
            <w:shd w:fill="auto" w:val="clear"/>
            <w:vAlign w:val="bottom"/>
          </w:tcPr>
          <w:p>
            <w:pPr>
              <w:pStyle w:val="TableContents"/>
              <w:spacing w:before="0" w:after="283"/>
              <w:jc w:val="center"/>
              <w:rPr/>
            </w:pPr>
            <w:r>
              <w:rPr/>
              <w:t>     </w:t>
            </w:r>
          </w:p>
        </w:tc>
        <w:tc>
          <w:tcPr>
            <w:tcW w:w="96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Grant Date</w:t>
            </w:r>
          </w:p>
        </w:tc>
      </w:tr>
      <w:tr>
        <w:trPr/>
        <w:tc>
          <w:tcPr>
            <w:tcW w:w="135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493"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939"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Stock Awards:</w:t>
            </w:r>
          </w:p>
        </w:tc>
        <w:tc>
          <w:tcPr>
            <w:tcW w:w="301" w:type="dxa"/>
            <w:tcBorders/>
            <w:shd w:fill="auto" w:val="clear"/>
            <w:vAlign w:val="bottom"/>
          </w:tcPr>
          <w:p>
            <w:pPr>
              <w:pStyle w:val="TableContents"/>
              <w:spacing w:before="0" w:after="283"/>
              <w:rPr>
                <w:sz w:val="4"/>
                <w:szCs w:val="4"/>
              </w:rPr>
            </w:pPr>
            <w:r>
              <w:rPr>
                <w:sz w:val="4"/>
                <w:szCs w:val="4"/>
              </w:rPr>
            </w:r>
          </w:p>
        </w:tc>
        <w:tc>
          <w:tcPr>
            <w:tcW w:w="96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Fair Value</w:t>
            </w:r>
          </w:p>
        </w:tc>
      </w:tr>
      <w:tr>
        <w:trPr/>
        <w:tc>
          <w:tcPr>
            <w:tcW w:w="135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58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Cash</w:t>
            </w:r>
          </w:p>
        </w:tc>
        <w:tc>
          <w:tcPr>
            <w:tcW w:w="301" w:type="dxa"/>
            <w:tcBorders/>
            <w:shd w:fill="auto" w:val="clear"/>
            <w:vAlign w:val="bottom"/>
          </w:tcPr>
          <w:p>
            <w:pPr>
              <w:pStyle w:val="TableContents"/>
              <w:spacing w:before="0" w:after="283"/>
              <w:rPr>
                <w:sz w:val="4"/>
                <w:szCs w:val="4"/>
              </w:rPr>
            </w:pPr>
            <w:r>
              <w:rPr>
                <w:sz w:val="4"/>
                <w:szCs w:val="4"/>
              </w:rPr>
            </w:r>
          </w:p>
        </w:tc>
        <w:tc>
          <w:tcPr>
            <w:tcW w:w="58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Deferred</w:t>
            </w:r>
          </w:p>
        </w:tc>
        <w:tc>
          <w:tcPr>
            <w:tcW w:w="301" w:type="dxa"/>
            <w:tcBorders/>
            <w:shd w:fill="auto" w:val="clear"/>
            <w:vAlign w:val="bottom"/>
          </w:tcPr>
          <w:p>
            <w:pPr>
              <w:pStyle w:val="TableContents"/>
              <w:spacing w:before="0" w:after="283"/>
              <w:rPr>
                <w:sz w:val="4"/>
                <w:szCs w:val="4"/>
              </w:rPr>
            </w:pPr>
            <w:r>
              <w:rPr>
                <w:sz w:val="4"/>
                <w:szCs w:val="4"/>
              </w:rPr>
            </w:r>
          </w:p>
        </w:tc>
        <w:tc>
          <w:tcPr>
            <w:tcW w:w="66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Cash</w:t>
            </w:r>
          </w:p>
        </w:tc>
        <w:tc>
          <w:tcPr>
            <w:tcW w:w="300" w:type="dxa"/>
            <w:tcBorders/>
            <w:shd w:fill="auto" w:val="clear"/>
            <w:vAlign w:val="bottom"/>
          </w:tcPr>
          <w:p>
            <w:pPr>
              <w:pStyle w:val="TableContents"/>
              <w:spacing w:before="0" w:after="283"/>
              <w:rPr>
                <w:sz w:val="4"/>
                <w:szCs w:val="4"/>
              </w:rPr>
            </w:pPr>
            <w:r>
              <w:rPr>
                <w:sz w:val="4"/>
                <w:szCs w:val="4"/>
              </w:rPr>
            </w:r>
          </w:p>
        </w:tc>
        <w:tc>
          <w:tcPr>
            <w:tcW w:w="58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Deferred</w:t>
            </w:r>
          </w:p>
        </w:tc>
        <w:tc>
          <w:tcPr>
            <w:tcW w:w="301" w:type="dxa"/>
            <w:tcBorders/>
            <w:shd w:fill="auto" w:val="clear"/>
            <w:vAlign w:val="bottom"/>
          </w:tcPr>
          <w:p>
            <w:pPr>
              <w:pStyle w:val="TableContents"/>
              <w:spacing w:before="0" w:after="283"/>
              <w:rPr>
                <w:sz w:val="4"/>
                <w:szCs w:val="4"/>
              </w:rPr>
            </w:pPr>
            <w:r>
              <w:rPr>
                <w:sz w:val="4"/>
                <w:szCs w:val="4"/>
              </w:rPr>
            </w:r>
          </w:p>
        </w:tc>
        <w:tc>
          <w:tcPr>
            <w:tcW w:w="66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Cash</w:t>
            </w:r>
          </w:p>
        </w:tc>
        <w:tc>
          <w:tcPr>
            <w:tcW w:w="301" w:type="dxa"/>
            <w:tcBorders/>
            <w:shd w:fill="auto" w:val="clear"/>
            <w:vAlign w:val="bottom"/>
          </w:tcPr>
          <w:p>
            <w:pPr>
              <w:pStyle w:val="TableContents"/>
              <w:spacing w:before="0" w:after="283"/>
              <w:rPr>
                <w:sz w:val="4"/>
                <w:szCs w:val="4"/>
              </w:rPr>
            </w:pPr>
            <w:r>
              <w:rPr>
                <w:sz w:val="4"/>
                <w:szCs w:val="4"/>
              </w:rPr>
            </w:r>
          </w:p>
        </w:tc>
        <w:tc>
          <w:tcPr>
            <w:tcW w:w="59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Deferred</w:t>
            </w:r>
          </w:p>
        </w:tc>
        <w:tc>
          <w:tcPr>
            <w:tcW w:w="301"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939"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Number of</w:t>
            </w:r>
          </w:p>
        </w:tc>
        <w:tc>
          <w:tcPr>
            <w:tcW w:w="301" w:type="dxa"/>
            <w:tcBorders/>
            <w:shd w:fill="auto" w:val="clear"/>
            <w:vAlign w:val="bottom"/>
          </w:tcPr>
          <w:p>
            <w:pPr>
              <w:pStyle w:val="TableContents"/>
              <w:spacing w:before="0" w:after="283"/>
              <w:rPr>
                <w:sz w:val="4"/>
                <w:szCs w:val="4"/>
              </w:rPr>
            </w:pPr>
            <w:r>
              <w:rPr>
                <w:sz w:val="4"/>
                <w:szCs w:val="4"/>
              </w:rPr>
            </w:r>
          </w:p>
        </w:tc>
        <w:tc>
          <w:tcPr>
            <w:tcW w:w="96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of Stock</w:t>
            </w:r>
          </w:p>
        </w:tc>
      </w:tr>
      <w:tr>
        <w:trPr/>
        <w:tc>
          <w:tcPr>
            <w:tcW w:w="135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58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1" w:type="dxa"/>
            <w:tcBorders/>
            <w:shd w:fill="auto" w:val="clear"/>
            <w:vAlign w:val="bottom"/>
          </w:tcPr>
          <w:p>
            <w:pPr>
              <w:pStyle w:val="TableContents"/>
              <w:spacing w:before="0" w:after="283"/>
              <w:rPr>
                <w:sz w:val="4"/>
                <w:szCs w:val="4"/>
              </w:rPr>
            </w:pPr>
            <w:r>
              <w:rPr>
                <w:sz w:val="4"/>
                <w:szCs w:val="4"/>
              </w:rPr>
            </w:r>
          </w:p>
        </w:tc>
        <w:tc>
          <w:tcPr>
            <w:tcW w:w="58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1" w:type="dxa"/>
            <w:tcBorders/>
            <w:shd w:fill="auto" w:val="clear"/>
            <w:vAlign w:val="bottom"/>
          </w:tcPr>
          <w:p>
            <w:pPr>
              <w:pStyle w:val="TableContents"/>
              <w:spacing w:before="0" w:after="283"/>
              <w:rPr>
                <w:sz w:val="4"/>
                <w:szCs w:val="4"/>
              </w:rPr>
            </w:pPr>
            <w:r>
              <w:rPr>
                <w:sz w:val="4"/>
                <w:szCs w:val="4"/>
              </w:rPr>
            </w:r>
          </w:p>
        </w:tc>
        <w:tc>
          <w:tcPr>
            <w:tcW w:w="66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0" w:type="dxa"/>
            <w:tcBorders/>
            <w:shd w:fill="auto" w:val="clear"/>
            <w:vAlign w:val="bottom"/>
          </w:tcPr>
          <w:p>
            <w:pPr>
              <w:pStyle w:val="TableContents"/>
              <w:spacing w:before="0" w:after="283"/>
              <w:rPr>
                <w:sz w:val="4"/>
                <w:szCs w:val="4"/>
              </w:rPr>
            </w:pPr>
            <w:r>
              <w:rPr>
                <w:sz w:val="4"/>
                <w:szCs w:val="4"/>
              </w:rPr>
            </w:r>
          </w:p>
        </w:tc>
        <w:tc>
          <w:tcPr>
            <w:tcW w:w="58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1" w:type="dxa"/>
            <w:tcBorders/>
            <w:shd w:fill="auto" w:val="clear"/>
            <w:vAlign w:val="bottom"/>
          </w:tcPr>
          <w:p>
            <w:pPr>
              <w:pStyle w:val="TableContents"/>
              <w:spacing w:before="0" w:after="283"/>
              <w:rPr>
                <w:sz w:val="4"/>
                <w:szCs w:val="4"/>
              </w:rPr>
            </w:pPr>
            <w:r>
              <w:rPr>
                <w:sz w:val="4"/>
                <w:szCs w:val="4"/>
              </w:rPr>
            </w:r>
          </w:p>
        </w:tc>
        <w:tc>
          <w:tcPr>
            <w:tcW w:w="66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1" w:type="dxa"/>
            <w:tcBorders/>
            <w:shd w:fill="auto" w:val="clear"/>
            <w:vAlign w:val="bottom"/>
          </w:tcPr>
          <w:p>
            <w:pPr>
              <w:pStyle w:val="TableContents"/>
              <w:spacing w:before="0" w:after="283"/>
              <w:rPr>
                <w:sz w:val="4"/>
                <w:szCs w:val="4"/>
              </w:rPr>
            </w:pPr>
            <w:r>
              <w:rPr>
                <w:sz w:val="4"/>
                <w:szCs w:val="4"/>
              </w:rPr>
            </w:r>
          </w:p>
        </w:tc>
        <w:tc>
          <w:tcPr>
            <w:tcW w:w="59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1"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Grant</w:t>
            </w:r>
          </w:p>
        </w:tc>
        <w:tc>
          <w:tcPr>
            <w:tcW w:w="300" w:type="dxa"/>
            <w:tcBorders/>
            <w:shd w:fill="auto" w:val="clear"/>
            <w:vAlign w:val="bottom"/>
          </w:tcPr>
          <w:p>
            <w:pPr>
              <w:pStyle w:val="TableContents"/>
              <w:spacing w:before="0" w:after="283"/>
              <w:rPr>
                <w:sz w:val="4"/>
                <w:szCs w:val="4"/>
              </w:rPr>
            </w:pPr>
            <w:r>
              <w:rPr>
                <w:sz w:val="4"/>
                <w:szCs w:val="4"/>
              </w:rPr>
            </w:r>
          </w:p>
        </w:tc>
        <w:tc>
          <w:tcPr>
            <w:tcW w:w="939"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Shares of Stock</w:t>
            </w:r>
          </w:p>
        </w:tc>
        <w:tc>
          <w:tcPr>
            <w:tcW w:w="301" w:type="dxa"/>
            <w:tcBorders/>
            <w:shd w:fill="auto" w:val="clear"/>
            <w:vAlign w:val="bottom"/>
          </w:tcPr>
          <w:p>
            <w:pPr>
              <w:pStyle w:val="TableContents"/>
              <w:spacing w:before="0" w:after="283"/>
              <w:rPr>
                <w:sz w:val="4"/>
                <w:szCs w:val="4"/>
              </w:rPr>
            </w:pPr>
            <w:r>
              <w:rPr>
                <w:sz w:val="4"/>
                <w:szCs w:val="4"/>
              </w:rPr>
            </w:r>
          </w:p>
        </w:tc>
        <w:tc>
          <w:tcPr>
            <w:tcW w:w="96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Award</w:t>
            </w:r>
          </w:p>
        </w:tc>
      </w:tr>
      <w:tr>
        <w:trPr/>
        <w:tc>
          <w:tcPr>
            <w:tcW w:w="135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Name</w:t>
            </w:r>
          </w:p>
        </w:tc>
        <w:tc>
          <w:tcPr>
            <w:tcW w:w="301"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58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1"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58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1"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66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58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1"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66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1"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59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1"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567"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Date</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939"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1"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96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(3)</w:t>
            </w:r>
          </w:p>
        </w:tc>
      </w:tr>
      <w:tr>
        <w:trPr/>
        <w:tc>
          <w:tcPr>
            <w:tcW w:w="135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Daniel S. Jaffee</w:t>
            </w:r>
          </w:p>
        </w:tc>
        <w:tc>
          <w:tcPr>
            <w:tcW w:w="301" w:type="dxa"/>
            <w:tcBorders/>
            <w:shd w:fill="C0C0C0" w:val="clear"/>
            <w:vAlign w:val="bottom"/>
          </w:tcPr>
          <w:p>
            <w:pPr>
              <w:pStyle w:val="TableContents"/>
              <w:spacing w:before="0" w:after="283"/>
              <w:rPr>
                <w:sz w:val="4"/>
                <w:szCs w:val="4"/>
              </w:rPr>
            </w:pPr>
            <w:r>
              <w:rPr>
                <w:sz w:val="4"/>
                <w:szCs w:val="4"/>
              </w:rPr>
            </w:r>
          </w:p>
        </w:tc>
        <w:tc>
          <w:tcPr>
            <w:tcW w:w="9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489" w:type="dxa"/>
            <w:tcBorders/>
            <w:shd w:fill="C0C0C0" w:val="clear"/>
            <w:vAlign w:val="bottom"/>
          </w:tcPr>
          <w:p>
            <w:pPr>
              <w:pStyle w:val="TableContents"/>
              <w:spacing w:before="0" w:after="283"/>
              <w:jc w:val="right"/>
              <w:rPr/>
            </w:pPr>
            <w:r>
              <w:rPr/>
              <w:t> </w:t>
            </w:r>
            <w:r>
              <w:rPr>
                <w:rFonts w:ascii="Times New Roman" w:hAnsi="Times New Roman"/>
                <w:sz w:val="14"/>
              </w:rPr>
              <w:t>65,625</w:t>
            </w:r>
          </w:p>
        </w:tc>
        <w:tc>
          <w:tcPr>
            <w:tcW w:w="301" w:type="dxa"/>
            <w:tcBorders/>
            <w:shd w:fill="C0C0C0" w:val="clear"/>
            <w:vAlign w:val="bottom"/>
          </w:tcPr>
          <w:p>
            <w:pPr>
              <w:pStyle w:val="TableContents"/>
              <w:spacing w:before="0" w:after="283"/>
              <w:rPr>
                <w:sz w:val="4"/>
                <w:szCs w:val="4"/>
              </w:rPr>
            </w:pPr>
            <w:r>
              <w:rPr>
                <w:sz w:val="4"/>
                <w:szCs w:val="4"/>
              </w:rPr>
            </w:r>
          </w:p>
        </w:tc>
        <w:tc>
          <w:tcPr>
            <w:tcW w:w="98" w:type="dxa"/>
            <w:tcBorders/>
            <w:shd w:fill="C0C0C0" w:val="clear"/>
            <w:vAlign w:val="bottom"/>
          </w:tcPr>
          <w:p>
            <w:pPr>
              <w:pStyle w:val="TableContents"/>
              <w:spacing w:before="0" w:after="283"/>
              <w:rPr>
                <w:sz w:val="4"/>
                <w:szCs w:val="4"/>
              </w:rPr>
            </w:pPr>
            <w:r>
              <w:rPr>
                <w:sz w:val="4"/>
                <w:szCs w:val="4"/>
              </w:rPr>
            </w:r>
          </w:p>
        </w:tc>
        <w:tc>
          <w:tcPr>
            <w:tcW w:w="48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1" w:type="dxa"/>
            <w:tcBorders/>
            <w:shd w:fill="C0C0C0" w:val="clear"/>
            <w:vAlign w:val="bottom"/>
          </w:tcPr>
          <w:p>
            <w:pPr>
              <w:pStyle w:val="TableContents"/>
              <w:spacing w:before="0" w:after="283"/>
              <w:rPr>
                <w:sz w:val="4"/>
                <w:szCs w:val="4"/>
              </w:rPr>
            </w:pPr>
            <w:r>
              <w:rPr>
                <w:sz w:val="4"/>
                <w:szCs w:val="4"/>
              </w:rPr>
            </w:r>
          </w:p>
        </w:tc>
        <w:tc>
          <w:tcPr>
            <w:tcW w:w="9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567" w:type="dxa"/>
            <w:tcBorders/>
            <w:shd w:fill="C0C0C0" w:val="clear"/>
            <w:vAlign w:val="bottom"/>
          </w:tcPr>
          <w:p>
            <w:pPr>
              <w:pStyle w:val="TableContents"/>
              <w:spacing w:before="0" w:after="283"/>
              <w:jc w:val="right"/>
              <w:rPr/>
            </w:pPr>
            <w:r>
              <w:rPr/>
              <w:t> </w:t>
            </w:r>
            <w:r>
              <w:rPr>
                <w:rFonts w:ascii="Times New Roman" w:hAnsi="Times New Roman"/>
                <w:sz w:val="14"/>
              </w:rPr>
              <w:t>262,500</w:t>
            </w:r>
          </w:p>
        </w:tc>
        <w:tc>
          <w:tcPr>
            <w:tcW w:w="300" w:type="dxa"/>
            <w:tcBorders/>
            <w:shd w:fill="C0C0C0" w:val="clear"/>
            <w:vAlign w:val="bottom"/>
          </w:tcPr>
          <w:p>
            <w:pPr>
              <w:pStyle w:val="TableContents"/>
              <w:spacing w:before="0" w:after="283"/>
              <w:rPr>
                <w:sz w:val="4"/>
                <w:szCs w:val="4"/>
              </w:rPr>
            </w:pPr>
            <w:r>
              <w:rPr>
                <w:sz w:val="4"/>
                <w:szCs w:val="4"/>
              </w:rPr>
            </w:r>
          </w:p>
        </w:tc>
        <w:tc>
          <w:tcPr>
            <w:tcW w:w="98" w:type="dxa"/>
            <w:tcBorders/>
            <w:shd w:fill="C0C0C0" w:val="clear"/>
            <w:vAlign w:val="bottom"/>
          </w:tcPr>
          <w:p>
            <w:pPr>
              <w:pStyle w:val="TableContents"/>
              <w:spacing w:before="0" w:after="283"/>
              <w:rPr>
                <w:sz w:val="4"/>
                <w:szCs w:val="4"/>
              </w:rPr>
            </w:pPr>
            <w:r>
              <w:rPr>
                <w:sz w:val="4"/>
                <w:szCs w:val="4"/>
              </w:rPr>
            </w:r>
          </w:p>
        </w:tc>
        <w:tc>
          <w:tcPr>
            <w:tcW w:w="48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1" w:type="dxa"/>
            <w:tcBorders/>
            <w:shd w:fill="C0C0C0" w:val="clear"/>
            <w:vAlign w:val="bottom"/>
          </w:tcPr>
          <w:p>
            <w:pPr>
              <w:pStyle w:val="TableContents"/>
              <w:spacing w:before="0" w:after="283"/>
              <w:rPr>
                <w:sz w:val="4"/>
                <w:szCs w:val="4"/>
              </w:rPr>
            </w:pPr>
            <w:r>
              <w:rPr>
                <w:sz w:val="4"/>
                <w:szCs w:val="4"/>
              </w:rPr>
            </w:r>
          </w:p>
        </w:tc>
        <w:tc>
          <w:tcPr>
            <w:tcW w:w="9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567" w:type="dxa"/>
            <w:tcBorders/>
            <w:shd w:fill="C0C0C0" w:val="clear"/>
            <w:vAlign w:val="bottom"/>
          </w:tcPr>
          <w:p>
            <w:pPr>
              <w:pStyle w:val="TableContents"/>
              <w:spacing w:before="0" w:after="283"/>
              <w:jc w:val="right"/>
              <w:rPr/>
            </w:pPr>
            <w:r>
              <w:rPr/>
              <w:t> </w:t>
            </w:r>
            <w:r>
              <w:rPr>
                <w:rFonts w:ascii="Times New Roman" w:hAnsi="Times New Roman"/>
                <w:sz w:val="14"/>
              </w:rPr>
              <w:t>525,000</w:t>
            </w:r>
          </w:p>
        </w:tc>
        <w:tc>
          <w:tcPr>
            <w:tcW w:w="301" w:type="dxa"/>
            <w:tcBorders/>
            <w:shd w:fill="C0C0C0" w:val="clear"/>
            <w:vAlign w:val="bottom"/>
          </w:tcPr>
          <w:p>
            <w:pPr>
              <w:pStyle w:val="TableContents"/>
              <w:spacing w:before="0" w:after="283"/>
              <w:rPr>
                <w:sz w:val="4"/>
                <w:szCs w:val="4"/>
              </w:rPr>
            </w:pPr>
            <w:r>
              <w:rPr>
                <w:sz w:val="4"/>
                <w:szCs w:val="4"/>
              </w:rPr>
            </w:r>
          </w:p>
        </w:tc>
        <w:tc>
          <w:tcPr>
            <w:tcW w:w="98" w:type="dxa"/>
            <w:tcBorders/>
            <w:shd w:fill="C0C0C0" w:val="clear"/>
            <w:vAlign w:val="bottom"/>
          </w:tcPr>
          <w:p>
            <w:pPr>
              <w:pStyle w:val="TableContents"/>
              <w:spacing w:before="0" w:after="283"/>
              <w:rPr>
                <w:sz w:val="4"/>
                <w:szCs w:val="4"/>
              </w:rPr>
            </w:pPr>
            <w:r>
              <w:rPr>
                <w:sz w:val="4"/>
                <w:szCs w:val="4"/>
              </w:rPr>
            </w:r>
          </w:p>
        </w:tc>
        <w:tc>
          <w:tcPr>
            <w:tcW w:w="49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1" w:type="dxa"/>
            <w:tcBorders/>
            <w:shd w:fill="C0C0C0" w:val="clear"/>
            <w:vAlign w:val="bottom"/>
          </w:tcPr>
          <w:p>
            <w:pPr>
              <w:pStyle w:val="TableContents"/>
              <w:spacing w:before="0" w:after="283"/>
              <w:rPr>
                <w:sz w:val="4"/>
                <w:szCs w:val="4"/>
              </w:rPr>
            </w:pPr>
            <w:r>
              <w:rPr>
                <w:sz w:val="4"/>
                <w:szCs w:val="4"/>
              </w:rPr>
            </w:r>
          </w:p>
        </w:tc>
        <w:tc>
          <w:tcPr>
            <w:tcW w:w="56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rPr>
                <w:sz w:val="4"/>
                <w:szCs w:val="4"/>
              </w:rPr>
            </w:pPr>
            <w:r>
              <w:rPr>
                <w:sz w:val="4"/>
                <w:szCs w:val="4"/>
              </w:rPr>
            </w:r>
          </w:p>
        </w:tc>
        <w:tc>
          <w:tcPr>
            <w:tcW w:w="9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1" w:type="dxa"/>
            <w:tcBorders/>
            <w:shd w:fill="C0C0C0" w:val="clear"/>
            <w:vAlign w:val="bottom"/>
          </w:tcPr>
          <w:p>
            <w:pPr>
              <w:pStyle w:val="TableContents"/>
              <w:spacing w:before="0" w:after="283"/>
              <w:rPr>
                <w:sz w:val="4"/>
                <w:szCs w:val="4"/>
              </w:rPr>
            </w:pPr>
            <w:r>
              <w:rPr>
                <w:sz w:val="4"/>
                <w:szCs w:val="4"/>
              </w:rPr>
            </w:r>
          </w:p>
        </w:tc>
        <w:tc>
          <w:tcPr>
            <w:tcW w:w="455" w:type="dxa"/>
            <w:tcBorders/>
            <w:shd w:fill="C0C0C0" w:val="clear"/>
            <w:vAlign w:val="bottom"/>
          </w:tcPr>
          <w:p>
            <w:pPr>
              <w:pStyle w:val="TableContents"/>
              <w:spacing w:before="0" w:after="283"/>
              <w:rPr>
                <w:sz w:val="4"/>
                <w:szCs w:val="4"/>
              </w:rPr>
            </w:pPr>
            <w:r>
              <w:rPr>
                <w:sz w:val="4"/>
                <w:szCs w:val="4"/>
              </w:rPr>
            </w:r>
          </w:p>
        </w:tc>
        <w:tc>
          <w:tcPr>
            <w:tcW w:w="5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r>
      <w:tr>
        <w:trPr/>
        <w:tc>
          <w:tcPr>
            <w:tcW w:w="135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Daniel T. Smith</w:t>
            </w:r>
          </w:p>
        </w:tc>
        <w:tc>
          <w:tcPr>
            <w:tcW w:w="30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48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17,646</w:t>
            </w:r>
          </w:p>
        </w:tc>
        <w:tc>
          <w:tcPr>
            <w:tcW w:w="30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489" w:type="dxa"/>
            <w:tcBorders/>
            <w:shd w:fill="auto" w:val="clear"/>
            <w:vAlign w:val="bottom"/>
          </w:tcPr>
          <w:p>
            <w:pPr>
              <w:pStyle w:val="TableContents"/>
              <w:spacing w:before="0" w:after="283"/>
              <w:jc w:val="right"/>
              <w:rPr/>
            </w:pPr>
            <w:r>
              <w:rPr/>
              <w:t> </w:t>
            </w:r>
            <w:r>
              <w:rPr>
                <w:rFonts w:ascii="Times New Roman" w:hAnsi="Times New Roman"/>
                <w:sz w:val="14"/>
              </w:rPr>
              <w:t>38,317</w:t>
            </w:r>
          </w:p>
        </w:tc>
        <w:tc>
          <w:tcPr>
            <w:tcW w:w="301"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70,583</w:t>
            </w:r>
          </w:p>
        </w:tc>
        <w:tc>
          <w:tcPr>
            <w:tcW w:w="300"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489" w:type="dxa"/>
            <w:tcBorders/>
            <w:shd w:fill="auto" w:val="clear"/>
            <w:vAlign w:val="bottom"/>
          </w:tcPr>
          <w:p>
            <w:pPr>
              <w:pStyle w:val="TableContents"/>
              <w:spacing w:before="0" w:after="283"/>
              <w:jc w:val="right"/>
              <w:rPr/>
            </w:pPr>
            <w:r>
              <w:rPr/>
              <w:t> </w:t>
            </w:r>
            <w:r>
              <w:rPr>
                <w:rFonts w:ascii="Times New Roman" w:hAnsi="Times New Roman"/>
                <w:sz w:val="14"/>
              </w:rPr>
              <w:t>40,333</w:t>
            </w:r>
          </w:p>
        </w:tc>
        <w:tc>
          <w:tcPr>
            <w:tcW w:w="30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141,167</w:t>
            </w:r>
          </w:p>
        </w:tc>
        <w:tc>
          <w:tcPr>
            <w:tcW w:w="30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493" w:type="dxa"/>
            <w:tcBorders/>
            <w:shd w:fill="auto" w:val="clear"/>
            <w:vAlign w:val="bottom"/>
          </w:tcPr>
          <w:p>
            <w:pPr>
              <w:pStyle w:val="TableContents"/>
              <w:spacing w:before="0" w:after="283"/>
              <w:jc w:val="right"/>
              <w:rPr/>
            </w:pPr>
            <w:r>
              <w:rPr/>
              <w:t> </w:t>
            </w:r>
            <w:r>
              <w:rPr>
                <w:rFonts w:ascii="Times New Roman" w:hAnsi="Times New Roman"/>
                <w:sz w:val="14"/>
              </w:rPr>
              <w:t>80,667</w:t>
            </w:r>
          </w:p>
        </w:tc>
        <w:tc>
          <w:tcPr>
            <w:tcW w:w="301"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4/1/2013</w:t>
            </w:r>
          </w:p>
        </w:tc>
        <w:tc>
          <w:tcPr>
            <w:tcW w:w="300" w:type="dxa"/>
            <w:tcBorders/>
            <w:shd w:fill="auto" w:val="clear"/>
            <w:vAlign w:val="bottom"/>
          </w:tcPr>
          <w:p>
            <w:pPr>
              <w:pStyle w:val="TableContents"/>
              <w:spacing w:before="0" w:after="283"/>
              <w:jc w:val="right"/>
              <w:rPr/>
            </w:pPr>
            <w:r>
              <w:rPr/>
              <w:t> </w:t>
            </w:r>
          </w:p>
        </w:tc>
        <w:tc>
          <w:tcPr>
            <w:tcW w:w="9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1,000 (4)</w:t>
            </w:r>
          </w:p>
        </w:tc>
        <w:tc>
          <w:tcPr>
            <w:tcW w:w="30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jc w:val="right"/>
              <w:rPr/>
            </w:pPr>
            <w:r>
              <w:rPr/>
              <w:t xml:space="preserve">      </w:t>
            </w:r>
            <w:r>
              <w:rPr>
                <w:rFonts w:ascii="Times New Roman" w:hAnsi="Times New Roman"/>
                <w:sz w:val="14"/>
              </w:rPr>
              <w:t>$</w:t>
            </w:r>
          </w:p>
        </w:tc>
        <w:tc>
          <w:tcPr>
            <w:tcW w:w="505" w:type="dxa"/>
            <w:tcBorders/>
            <w:shd w:fill="auto" w:val="clear"/>
            <w:vAlign w:val="bottom"/>
          </w:tcPr>
          <w:p>
            <w:pPr>
              <w:pStyle w:val="TableContents"/>
              <w:spacing w:before="0" w:after="283"/>
              <w:jc w:val="right"/>
              <w:rPr/>
            </w:pPr>
            <w:r>
              <w:rPr/>
              <w:t> </w:t>
            </w:r>
            <w:r>
              <w:rPr>
                <w:rFonts w:ascii="Times New Roman" w:hAnsi="Times New Roman"/>
                <w:sz w:val="14"/>
              </w:rPr>
              <w:t>26,300</w:t>
            </w:r>
          </w:p>
        </w:tc>
      </w:tr>
      <w:tr>
        <w:trPr/>
        <w:tc>
          <w:tcPr>
            <w:tcW w:w="135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Thomas F. Cofsky</w:t>
            </w:r>
          </w:p>
        </w:tc>
        <w:tc>
          <w:tcPr>
            <w:tcW w:w="301" w:type="dxa"/>
            <w:tcBorders/>
            <w:shd w:fill="C0C0C0" w:val="clear"/>
            <w:vAlign w:val="bottom"/>
          </w:tcPr>
          <w:p>
            <w:pPr>
              <w:pStyle w:val="TableContents"/>
              <w:spacing w:before="0" w:after="283"/>
              <w:jc w:val="right"/>
              <w:rPr/>
            </w:pPr>
            <w:r>
              <w:rPr/>
              <w:t> </w:t>
            </w:r>
          </w:p>
        </w:tc>
        <w:tc>
          <w:tcPr>
            <w:tcW w:w="9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48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24,917</w:t>
            </w:r>
          </w:p>
        </w:tc>
        <w:tc>
          <w:tcPr>
            <w:tcW w:w="301" w:type="dxa"/>
            <w:tcBorders/>
            <w:shd w:fill="C0C0C0" w:val="clear"/>
            <w:vAlign w:val="bottom"/>
          </w:tcPr>
          <w:p>
            <w:pPr>
              <w:pStyle w:val="TableContents"/>
              <w:spacing w:before="0" w:after="283"/>
              <w:jc w:val="left"/>
              <w:rPr/>
            </w:pPr>
            <w:r>
              <w:rPr/>
              <w:t> </w:t>
            </w:r>
          </w:p>
        </w:tc>
        <w:tc>
          <w:tcPr>
            <w:tcW w:w="98" w:type="dxa"/>
            <w:tcBorders/>
            <w:shd w:fill="C0C0C0" w:val="clear"/>
            <w:vAlign w:val="bottom"/>
          </w:tcPr>
          <w:p>
            <w:pPr>
              <w:pStyle w:val="TableContents"/>
              <w:spacing w:before="0" w:after="283"/>
              <w:jc w:val="left"/>
              <w:rPr/>
            </w:pPr>
            <w:r>
              <w:rPr/>
              <w:t> </w:t>
            </w:r>
          </w:p>
        </w:tc>
        <w:tc>
          <w:tcPr>
            <w:tcW w:w="48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1" w:type="dxa"/>
            <w:tcBorders/>
            <w:shd w:fill="C0C0C0" w:val="clear"/>
            <w:vAlign w:val="bottom"/>
          </w:tcPr>
          <w:p>
            <w:pPr>
              <w:pStyle w:val="TableContents"/>
              <w:spacing w:before="0" w:after="283"/>
              <w:rPr>
                <w:sz w:val="4"/>
                <w:szCs w:val="4"/>
              </w:rPr>
            </w:pPr>
            <w:r>
              <w:rPr>
                <w:sz w:val="4"/>
                <w:szCs w:val="4"/>
              </w:rPr>
            </w:r>
          </w:p>
        </w:tc>
        <w:tc>
          <w:tcPr>
            <w:tcW w:w="9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56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99,667</w:t>
            </w:r>
          </w:p>
        </w:tc>
        <w:tc>
          <w:tcPr>
            <w:tcW w:w="300" w:type="dxa"/>
            <w:tcBorders/>
            <w:shd w:fill="C0C0C0" w:val="clear"/>
            <w:vAlign w:val="bottom"/>
          </w:tcPr>
          <w:p>
            <w:pPr>
              <w:pStyle w:val="TableContents"/>
              <w:spacing w:before="0" w:after="283"/>
              <w:jc w:val="left"/>
              <w:rPr/>
            </w:pPr>
            <w:r>
              <w:rPr/>
              <w:t> </w:t>
            </w:r>
          </w:p>
        </w:tc>
        <w:tc>
          <w:tcPr>
            <w:tcW w:w="98" w:type="dxa"/>
            <w:tcBorders/>
            <w:shd w:fill="C0C0C0" w:val="clear"/>
            <w:vAlign w:val="bottom"/>
          </w:tcPr>
          <w:p>
            <w:pPr>
              <w:pStyle w:val="TableContents"/>
              <w:spacing w:before="0" w:after="283"/>
              <w:rPr>
                <w:sz w:val="4"/>
                <w:szCs w:val="4"/>
              </w:rPr>
            </w:pPr>
            <w:r>
              <w:rPr>
                <w:sz w:val="4"/>
                <w:szCs w:val="4"/>
              </w:rPr>
            </w:r>
          </w:p>
        </w:tc>
        <w:tc>
          <w:tcPr>
            <w:tcW w:w="48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1" w:type="dxa"/>
            <w:tcBorders/>
            <w:shd w:fill="C0C0C0" w:val="clear"/>
            <w:vAlign w:val="bottom"/>
          </w:tcPr>
          <w:p>
            <w:pPr>
              <w:pStyle w:val="TableContents"/>
              <w:spacing w:before="0" w:after="283"/>
              <w:rPr>
                <w:sz w:val="4"/>
                <w:szCs w:val="4"/>
              </w:rPr>
            </w:pPr>
            <w:r>
              <w:rPr>
                <w:sz w:val="4"/>
                <w:szCs w:val="4"/>
              </w:rPr>
            </w:r>
          </w:p>
        </w:tc>
        <w:tc>
          <w:tcPr>
            <w:tcW w:w="9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56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199,333</w:t>
            </w:r>
          </w:p>
        </w:tc>
        <w:tc>
          <w:tcPr>
            <w:tcW w:w="301" w:type="dxa"/>
            <w:tcBorders/>
            <w:shd w:fill="C0C0C0" w:val="clear"/>
            <w:vAlign w:val="bottom"/>
          </w:tcPr>
          <w:p>
            <w:pPr>
              <w:pStyle w:val="TableContents"/>
              <w:spacing w:before="0" w:after="283"/>
              <w:jc w:val="left"/>
              <w:rPr/>
            </w:pPr>
            <w:r>
              <w:rPr/>
              <w:t> </w:t>
            </w:r>
          </w:p>
        </w:tc>
        <w:tc>
          <w:tcPr>
            <w:tcW w:w="98" w:type="dxa"/>
            <w:tcBorders/>
            <w:shd w:fill="C0C0C0" w:val="clear"/>
            <w:vAlign w:val="bottom"/>
          </w:tcPr>
          <w:p>
            <w:pPr>
              <w:pStyle w:val="TableContents"/>
              <w:spacing w:before="0" w:after="283"/>
              <w:rPr>
                <w:sz w:val="4"/>
                <w:szCs w:val="4"/>
              </w:rPr>
            </w:pPr>
            <w:r>
              <w:rPr>
                <w:sz w:val="4"/>
                <w:szCs w:val="4"/>
              </w:rPr>
            </w:r>
          </w:p>
        </w:tc>
        <w:tc>
          <w:tcPr>
            <w:tcW w:w="49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1" w:type="dxa"/>
            <w:tcBorders/>
            <w:shd w:fill="C0C0C0" w:val="clear"/>
            <w:vAlign w:val="bottom"/>
          </w:tcPr>
          <w:p>
            <w:pPr>
              <w:pStyle w:val="TableContents"/>
              <w:spacing w:before="0" w:after="283"/>
              <w:rPr>
                <w:sz w:val="4"/>
                <w:szCs w:val="4"/>
              </w:rPr>
            </w:pPr>
            <w:r>
              <w:rPr>
                <w:sz w:val="4"/>
                <w:szCs w:val="4"/>
              </w:rPr>
            </w:r>
          </w:p>
        </w:tc>
        <w:tc>
          <w:tcPr>
            <w:tcW w:w="56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rPr>
                <w:sz w:val="4"/>
                <w:szCs w:val="4"/>
              </w:rPr>
            </w:pPr>
            <w:r>
              <w:rPr>
                <w:sz w:val="4"/>
                <w:szCs w:val="4"/>
              </w:rPr>
            </w:r>
          </w:p>
        </w:tc>
        <w:tc>
          <w:tcPr>
            <w:tcW w:w="9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1" w:type="dxa"/>
            <w:tcBorders/>
            <w:shd w:fill="C0C0C0" w:val="clear"/>
            <w:vAlign w:val="bottom"/>
          </w:tcPr>
          <w:p>
            <w:pPr>
              <w:pStyle w:val="TableContents"/>
              <w:spacing w:before="0" w:after="283"/>
              <w:jc w:val="left"/>
              <w:rPr/>
            </w:pPr>
            <w:r>
              <w:rPr/>
              <w:t> </w:t>
            </w:r>
          </w:p>
        </w:tc>
        <w:tc>
          <w:tcPr>
            <w:tcW w:w="455" w:type="dxa"/>
            <w:tcBorders/>
            <w:shd w:fill="C0C0C0" w:val="clear"/>
            <w:vAlign w:val="bottom"/>
          </w:tcPr>
          <w:p>
            <w:pPr>
              <w:pStyle w:val="TableContents"/>
              <w:spacing w:before="0" w:after="283"/>
              <w:jc w:val="left"/>
              <w:rPr/>
            </w:pPr>
            <w:r>
              <w:rPr/>
              <w:t> </w:t>
            </w:r>
          </w:p>
        </w:tc>
        <w:tc>
          <w:tcPr>
            <w:tcW w:w="5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r>
      <w:tr>
        <w:trPr/>
        <w:tc>
          <w:tcPr>
            <w:tcW w:w="135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Douglas A. Graham</w:t>
            </w:r>
          </w:p>
        </w:tc>
        <w:tc>
          <w:tcPr>
            <w:tcW w:w="30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48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17,281</w:t>
            </w:r>
          </w:p>
        </w:tc>
        <w:tc>
          <w:tcPr>
            <w:tcW w:w="30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48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22,515</w:t>
            </w:r>
          </w:p>
        </w:tc>
        <w:tc>
          <w:tcPr>
            <w:tcW w:w="30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69,125</w:t>
            </w:r>
          </w:p>
        </w:tc>
        <w:tc>
          <w:tcPr>
            <w:tcW w:w="300"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48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23,700</w:t>
            </w:r>
          </w:p>
        </w:tc>
        <w:tc>
          <w:tcPr>
            <w:tcW w:w="301"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138,250</w:t>
            </w:r>
          </w:p>
        </w:tc>
        <w:tc>
          <w:tcPr>
            <w:tcW w:w="30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49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47,400</w:t>
            </w:r>
          </w:p>
        </w:tc>
        <w:tc>
          <w:tcPr>
            <w:tcW w:w="301" w:type="dxa"/>
            <w:tcBorders/>
            <w:shd w:fill="auto" w:val="clear"/>
            <w:vAlign w:val="bottom"/>
          </w:tcPr>
          <w:p>
            <w:pPr>
              <w:pStyle w:val="TableContents"/>
              <w:spacing w:before="0" w:after="283"/>
              <w:jc w:val="right"/>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rPr>
                <w:sz w:val="4"/>
                <w:szCs w:val="4"/>
              </w:rPr>
            </w:pPr>
            <w:r>
              <w:rPr>
                <w:sz w:val="4"/>
                <w:szCs w:val="4"/>
              </w:rPr>
            </w:r>
          </w:p>
        </w:tc>
        <w:tc>
          <w:tcPr>
            <w:tcW w:w="9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r>
      <w:tr>
        <w:trPr/>
        <w:tc>
          <w:tcPr>
            <w:tcW w:w="135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Thierry R. Jean</w:t>
            </w:r>
          </w:p>
        </w:tc>
        <w:tc>
          <w:tcPr>
            <w:tcW w:w="301" w:type="dxa"/>
            <w:tcBorders/>
            <w:shd w:fill="C0C0C0" w:val="clear"/>
            <w:vAlign w:val="bottom"/>
          </w:tcPr>
          <w:p>
            <w:pPr>
              <w:pStyle w:val="TableContents"/>
              <w:spacing w:before="0" w:after="283"/>
              <w:rPr>
                <w:sz w:val="4"/>
                <w:szCs w:val="4"/>
              </w:rPr>
            </w:pPr>
            <w:r>
              <w:rPr>
                <w:sz w:val="4"/>
                <w:szCs w:val="4"/>
              </w:rPr>
            </w:r>
          </w:p>
        </w:tc>
        <w:tc>
          <w:tcPr>
            <w:tcW w:w="9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48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17,938</w:t>
            </w:r>
          </w:p>
        </w:tc>
        <w:tc>
          <w:tcPr>
            <w:tcW w:w="301" w:type="dxa"/>
            <w:tcBorders/>
            <w:shd w:fill="C0C0C0" w:val="clear"/>
            <w:vAlign w:val="bottom"/>
          </w:tcPr>
          <w:p>
            <w:pPr>
              <w:pStyle w:val="TableContents"/>
              <w:spacing w:before="0" w:after="283"/>
              <w:rPr>
                <w:sz w:val="4"/>
                <w:szCs w:val="4"/>
              </w:rPr>
            </w:pPr>
            <w:r>
              <w:rPr>
                <w:sz w:val="4"/>
                <w:szCs w:val="4"/>
              </w:rPr>
            </w:r>
          </w:p>
        </w:tc>
        <w:tc>
          <w:tcPr>
            <w:tcW w:w="9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48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29,213</w:t>
            </w:r>
          </w:p>
        </w:tc>
        <w:tc>
          <w:tcPr>
            <w:tcW w:w="301" w:type="dxa"/>
            <w:tcBorders/>
            <w:shd w:fill="C0C0C0" w:val="clear"/>
            <w:vAlign w:val="bottom"/>
          </w:tcPr>
          <w:p>
            <w:pPr>
              <w:pStyle w:val="TableContents"/>
              <w:spacing w:before="0" w:after="283"/>
              <w:rPr>
                <w:sz w:val="4"/>
                <w:szCs w:val="4"/>
              </w:rPr>
            </w:pPr>
            <w:r>
              <w:rPr>
                <w:sz w:val="4"/>
                <w:szCs w:val="4"/>
              </w:rPr>
            </w:r>
          </w:p>
        </w:tc>
        <w:tc>
          <w:tcPr>
            <w:tcW w:w="9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56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71,750</w:t>
            </w:r>
          </w:p>
        </w:tc>
        <w:tc>
          <w:tcPr>
            <w:tcW w:w="300" w:type="dxa"/>
            <w:tcBorders/>
            <w:shd w:fill="C0C0C0" w:val="clear"/>
            <w:vAlign w:val="bottom"/>
          </w:tcPr>
          <w:p>
            <w:pPr>
              <w:pStyle w:val="TableContents"/>
              <w:spacing w:before="0" w:after="283"/>
              <w:rPr>
                <w:sz w:val="4"/>
                <w:szCs w:val="4"/>
              </w:rPr>
            </w:pPr>
            <w:r>
              <w:rPr>
                <w:sz w:val="4"/>
                <w:szCs w:val="4"/>
              </w:rPr>
            </w:r>
          </w:p>
        </w:tc>
        <w:tc>
          <w:tcPr>
            <w:tcW w:w="9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48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30,750</w:t>
            </w:r>
          </w:p>
        </w:tc>
        <w:tc>
          <w:tcPr>
            <w:tcW w:w="301" w:type="dxa"/>
            <w:tcBorders/>
            <w:shd w:fill="C0C0C0" w:val="clear"/>
            <w:vAlign w:val="bottom"/>
          </w:tcPr>
          <w:p>
            <w:pPr>
              <w:pStyle w:val="TableContents"/>
              <w:spacing w:before="0" w:after="283"/>
              <w:rPr>
                <w:sz w:val="4"/>
                <w:szCs w:val="4"/>
              </w:rPr>
            </w:pPr>
            <w:r>
              <w:rPr>
                <w:sz w:val="4"/>
                <w:szCs w:val="4"/>
              </w:rPr>
            </w:r>
          </w:p>
        </w:tc>
        <w:tc>
          <w:tcPr>
            <w:tcW w:w="9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56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143,500</w:t>
            </w:r>
          </w:p>
        </w:tc>
        <w:tc>
          <w:tcPr>
            <w:tcW w:w="301" w:type="dxa"/>
            <w:tcBorders/>
            <w:shd w:fill="C0C0C0" w:val="clear"/>
            <w:vAlign w:val="bottom"/>
          </w:tcPr>
          <w:p>
            <w:pPr>
              <w:pStyle w:val="TableContents"/>
              <w:spacing w:before="0" w:after="283"/>
              <w:rPr>
                <w:sz w:val="4"/>
                <w:szCs w:val="4"/>
              </w:rPr>
            </w:pPr>
            <w:r>
              <w:rPr>
                <w:sz w:val="4"/>
                <w:szCs w:val="4"/>
              </w:rPr>
            </w:r>
          </w:p>
        </w:tc>
        <w:tc>
          <w:tcPr>
            <w:tcW w:w="9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49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61,500</w:t>
            </w:r>
          </w:p>
        </w:tc>
        <w:tc>
          <w:tcPr>
            <w:tcW w:w="301" w:type="dxa"/>
            <w:tcBorders/>
            <w:shd w:fill="C0C0C0" w:val="clear"/>
            <w:vAlign w:val="bottom"/>
          </w:tcPr>
          <w:p>
            <w:pPr>
              <w:pStyle w:val="TableContents"/>
              <w:spacing w:before="0" w:after="283"/>
              <w:rPr>
                <w:sz w:val="4"/>
                <w:szCs w:val="4"/>
              </w:rPr>
            </w:pPr>
            <w:r>
              <w:rPr>
                <w:sz w:val="4"/>
                <w:szCs w:val="4"/>
              </w:rPr>
            </w:r>
          </w:p>
        </w:tc>
        <w:tc>
          <w:tcPr>
            <w:tcW w:w="56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rPr>
                <w:sz w:val="4"/>
                <w:szCs w:val="4"/>
              </w:rPr>
            </w:pPr>
            <w:r>
              <w:rPr>
                <w:sz w:val="4"/>
                <w:szCs w:val="4"/>
              </w:rPr>
            </w:r>
          </w:p>
        </w:tc>
        <w:tc>
          <w:tcPr>
            <w:tcW w:w="9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1" w:type="dxa"/>
            <w:tcBorders/>
            <w:shd w:fill="C0C0C0" w:val="clear"/>
            <w:vAlign w:val="bottom"/>
          </w:tcPr>
          <w:p>
            <w:pPr>
              <w:pStyle w:val="TableContents"/>
              <w:spacing w:before="0" w:after="283"/>
              <w:rPr>
                <w:sz w:val="4"/>
                <w:szCs w:val="4"/>
              </w:rPr>
            </w:pPr>
            <w:r>
              <w:rPr>
                <w:sz w:val="4"/>
                <w:szCs w:val="4"/>
              </w:rPr>
            </w:r>
          </w:p>
        </w:tc>
        <w:tc>
          <w:tcPr>
            <w:tcW w:w="455" w:type="dxa"/>
            <w:tcBorders/>
            <w:shd w:fill="C0C0C0" w:val="clear"/>
            <w:vAlign w:val="bottom"/>
          </w:tcPr>
          <w:p>
            <w:pPr>
              <w:pStyle w:val="TableContents"/>
              <w:spacing w:before="0" w:after="283"/>
              <w:rPr>
                <w:sz w:val="4"/>
                <w:szCs w:val="4"/>
              </w:rPr>
            </w:pPr>
            <w:r>
              <w:rPr>
                <w:sz w:val="4"/>
                <w:szCs w:val="4"/>
              </w:rPr>
            </w:r>
          </w:p>
        </w:tc>
        <w:tc>
          <w:tcPr>
            <w:tcW w:w="50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(1) The amounts represent the potential range of cash bonus awards and executive deferred bonus awards targeted for fiscal 2013 performance under our annual incentive plan. The actual amounts of cash and executive deferred bonuses awarded for fiscal 2013 are disclosed in the Summary Compensation Table in the column captioned Non-Equity Incentive Plan Compensation. For a discussion of the performance metrics applicable to these awards, see Compensation Discussion and Analysis  Annual and Deferred Incentive Compensation  Operation of the Annual Incentive Plan above. </w:t>
      </w:r>
    </w:p>
    <w:p>
      <w:pPr>
        <w:pStyle w:val="TextBody"/>
        <w:jc w:val="both"/>
        <w:rPr>
          <w:rFonts w:ascii="Times New Roman" w:hAnsi="Times New Roman"/>
          <w:sz w:val="20"/>
        </w:rPr>
      </w:pPr>
      <w:r>
        <w:rPr>
          <w:rFonts w:ascii="Times New Roman" w:hAnsi="Times New Roman"/>
          <w:sz w:val="20"/>
        </w:rPr>
        <w:t>(2) Granted by our Compensation Committee under our 2006 Long Term Incentive Plan as described in Compensation Discussion and Analysis  Long-Term Equity Incentives above.</w:t>
      </w:r>
    </w:p>
    <w:p>
      <w:pPr>
        <w:pStyle w:val="TextBody"/>
        <w:jc w:val="both"/>
        <w:rPr>
          <w:rFonts w:ascii="Times New Roman" w:hAnsi="Times New Roman"/>
          <w:sz w:val="20"/>
        </w:rPr>
      </w:pPr>
      <w:r>
        <w:rPr>
          <w:rFonts w:ascii="Times New Roman" w:hAnsi="Times New Roman"/>
          <w:sz w:val="20"/>
        </w:rPr>
        <w:t>(3) Amount represents the total fair value of restricted stock granted in fiscal 2013 under ASC 718.</w:t>
      </w:r>
    </w:p>
    <w:p>
      <w:pPr>
        <w:pStyle w:val="TextBody"/>
        <w:jc w:val="both"/>
        <w:rPr>
          <w:rFonts w:ascii="Times New Roman" w:hAnsi="Times New Roman"/>
          <w:sz w:val="20"/>
        </w:rPr>
      </w:pPr>
      <w:r>
        <w:rPr>
          <w:rFonts w:ascii="Times New Roman" w:hAnsi="Times New Roman"/>
          <w:sz w:val="20"/>
        </w:rPr>
        <w:t>(4) Restricted shares of Common Stock awarded on April 1, 2013 that will vest on April 1, 2015.</w:t>
      </w:r>
    </w:p>
    <w:p>
      <w:pPr>
        <w:pStyle w:val="TextBody"/>
        <w:jc w:val="center"/>
        <w:rPr>
          <w:rFonts w:ascii="Times New Roman" w:hAnsi="Times New Roman"/>
          <w:sz w:val="20"/>
        </w:rPr>
      </w:pPr>
      <w:r>
        <w:rPr>
          <w:rFonts w:ascii="Times New Roman" w:hAnsi="Times New Roman"/>
          <w:sz w:val="20"/>
        </w:rPr>
        <w:t>38</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Outstanding Equity Awards at Fiscal 2013 Year End</w:t>
      </w:r>
    </w:p>
    <w:p>
      <w:pPr>
        <w:pStyle w:val="TextBody"/>
        <w:jc w:val="both"/>
        <w:rPr/>
      </w:pPr>
      <w:r>
        <w:rPr/>
        <w:t xml:space="preserve">     </w:t>
      </w:r>
      <w:r>
        <w:rPr>
          <w:rFonts w:ascii="Times New Roman" w:hAnsi="Times New Roman"/>
          <w:sz w:val="20"/>
        </w:rPr>
        <w:t xml:space="preserve">The following table provides information on the unexercised stock options and unvested restricted stock held by the named executive officers as of July 31, 2013. </w:t>
      </w:r>
    </w:p>
    <w:tbl>
      <w:tblPr>
        <w:tblW w:w="10300" w:type="dxa"/>
        <w:jc w:val="left"/>
        <w:tblInd w:w="0" w:type="dxa"/>
        <w:tblCellMar>
          <w:top w:w="0" w:type="dxa"/>
          <w:left w:w="0" w:type="dxa"/>
          <w:bottom w:w="0" w:type="dxa"/>
          <w:right w:w="0" w:type="dxa"/>
        </w:tblCellMar>
      </w:tblPr>
      <w:tblGrid>
        <w:gridCol w:w="1595"/>
        <w:gridCol w:w="300"/>
        <w:gridCol w:w="1055"/>
        <w:gridCol w:w="300"/>
        <w:gridCol w:w="1220"/>
        <w:gridCol w:w="300"/>
        <w:gridCol w:w="755"/>
        <w:gridCol w:w="300"/>
        <w:gridCol w:w="950"/>
        <w:gridCol w:w="300"/>
        <w:gridCol w:w="773"/>
        <w:gridCol w:w="402"/>
        <w:gridCol w:w="300"/>
        <w:gridCol w:w="845"/>
        <w:gridCol w:w="905"/>
      </w:tblGrid>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4880"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 Awards</w:t>
            </w:r>
          </w:p>
        </w:tc>
        <w:tc>
          <w:tcPr>
            <w:tcW w:w="300" w:type="dxa"/>
            <w:tcBorders/>
            <w:shd w:fill="auto" w:val="clear"/>
            <w:vAlign w:val="bottom"/>
          </w:tcPr>
          <w:p>
            <w:pPr>
              <w:pStyle w:val="TableContents"/>
              <w:spacing w:before="0" w:after="283"/>
              <w:rPr>
                <w:sz w:val="4"/>
                <w:szCs w:val="4"/>
              </w:rPr>
            </w:pPr>
            <w:r>
              <w:rPr>
                <w:sz w:val="4"/>
                <w:szCs w:val="4"/>
              </w:rPr>
            </w:r>
          </w:p>
        </w:tc>
        <w:tc>
          <w:tcPr>
            <w:tcW w:w="3225"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 Awards</w:t>
            </w:r>
          </w:p>
        </w:tc>
      </w:tr>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0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0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773"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bottom"/>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Securities</w:t>
            </w:r>
          </w:p>
        </w:tc>
        <w:tc>
          <w:tcPr>
            <w:tcW w:w="30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Securities</w:t>
            </w:r>
          </w:p>
        </w:tc>
        <w:tc>
          <w:tcPr>
            <w:tcW w:w="30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7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00" w:type="dxa"/>
            <w:tcBorders/>
            <w:shd w:fill="auto" w:val="clear"/>
            <w:vAlign w:val="bottom"/>
          </w:tcPr>
          <w:p>
            <w:pPr>
              <w:pStyle w:val="TableContents"/>
              <w:spacing w:before="0" w:after="283"/>
              <w:rPr>
                <w:sz w:val="4"/>
                <w:szCs w:val="4"/>
              </w:rPr>
            </w:pPr>
            <w:r>
              <w:rPr>
                <w:sz w:val="4"/>
                <w:szCs w:val="4"/>
              </w:rPr>
            </w:r>
          </w:p>
        </w:tc>
        <w:tc>
          <w:tcPr>
            <w:tcW w:w="175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Market Value of</w:t>
            </w:r>
          </w:p>
        </w:tc>
      </w:tr>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Underlying</w:t>
            </w:r>
          </w:p>
        </w:tc>
        <w:tc>
          <w:tcPr>
            <w:tcW w:w="300" w:type="dxa"/>
            <w:tcBorders/>
            <w:shd w:fill="auto" w:val="clear"/>
            <w:vAlign w:val="bottom"/>
          </w:tcPr>
          <w:p>
            <w:pPr>
              <w:pStyle w:val="TableContents"/>
              <w:spacing w:before="0" w:after="283"/>
              <w:jc w:val="center"/>
              <w:rPr/>
            </w:pPr>
            <w:r>
              <w:rPr/>
              <w:t>     </w:t>
            </w:r>
          </w:p>
        </w:tc>
        <w:tc>
          <w:tcPr>
            <w:tcW w:w="12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Underlying</w:t>
            </w:r>
          </w:p>
        </w:tc>
        <w:tc>
          <w:tcPr>
            <w:tcW w:w="300" w:type="dxa"/>
            <w:tcBorders/>
            <w:shd w:fill="auto" w:val="clear"/>
            <w:vAlign w:val="bottom"/>
          </w:tcPr>
          <w:p>
            <w:pPr>
              <w:pStyle w:val="TableContents"/>
              <w:spacing w:before="0" w:after="283"/>
              <w:jc w:val="center"/>
              <w:rPr/>
            </w:pPr>
            <w:r>
              <w:rPr/>
              <w:t>     </w:t>
            </w:r>
          </w:p>
        </w:tc>
        <w:tc>
          <w:tcPr>
            <w:tcW w:w="75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9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17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 or</w:t>
            </w:r>
          </w:p>
        </w:tc>
        <w:tc>
          <w:tcPr>
            <w:tcW w:w="300" w:type="dxa"/>
            <w:tcBorders/>
            <w:shd w:fill="auto" w:val="clear"/>
            <w:vAlign w:val="bottom"/>
          </w:tcPr>
          <w:p>
            <w:pPr>
              <w:pStyle w:val="TableContents"/>
              <w:spacing w:before="0" w:after="283"/>
              <w:jc w:val="center"/>
              <w:rPr/>
            </w:pPr>
            <w:r>
              <w:rPr/>
              <w:t>     </w:t>
            </w:r>
          </w:p>
        </w:tc>
        <w:tc>
          <w:tcPr>
            <w:tcW w:w="175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 or Units</w:t>
            </w:r>
          </w:p>
        </w:tc>
      </w:tr>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Unexercised</w:t>
            </w:r>
          </w:p>
        </w:tc>
        <w:tc>
          <w:tcPr>
            <w:tcW w:w="300" w:type="dxa"/>
            <w:tcBorders/>
            <w:shd w:fill="auto" w:val="clear"/>
            <w:vAlign w:val="bottom"/>
          </w:tcPr>
          <w:p>
            <w:pPr>
              <w:pStyle w:val="TableContents"/>
              <w:spacing w:before="0" w:after="283"/>
              <w:jc w:val="center"/>
              <w:rPr/>
            </w:pPr>
            <w:r>
              <w:rPr/>
              <w:t> </w:t>
            </w:r>
          </w:p>
        </w:tc>
        <w:tc>
          <w:tcPr>
            <w:tcW w:w="12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Unexercised</w:t>
            </w:r>
          </w:p>
        </w:tc>
        <w:tc>
          <w:tcPr>
            <w:tcW w:w="30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Option</w:t>
            </w:r>
          </w:p>
        </w:tc>
        <w:tc>
          <w:tcPr>
            <w:tcW w:w="300"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7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Units of Stock</w:t>
            </w:r>
          </w:p>
        </w:tc>
        <w:tc>
          <w:tcPr>
            <w:tcW w:w="300" w:type="dxa"/>
            <w:tcBorders/>
            <w:shd w:fill="auto" w:val="clear"/>
            <w:vAlign w:val="bottom"/>
          </w:tcPr>
          <w:p>
            <w:pPr>
              <w:pStyle w:val="TableContents"/>
              <w:spacing w:before="0" w:after="283"/>
              <w:rPr>
                <w:sz w:val="4"/>
                <w:szCs w:val="4"/>
              </w:rPr>
            </w:pPr>
            <w:r>
              <w:rPr>
                <w:sz w:val="4"/>
                <w:szCs w:val="4"/>
              </w:rPr>
            </w:r>
          </w:p>
        </w:tc>
        <w:tc>
          <w:tcPr>
            <w:tcW w:w="175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 Stock That</w:t>
            </w:r>
          </w:p>
        </w:tc>
      </w:tr>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0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0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300"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Option</w:t>
            </w:r>
          </w:p>
        </w:tc>
        <w:tc>
          <w:tcPr>
            <w:tcW w:w="300" w:type="dxa"/>
            <w:tcBorders/>
            <w:shd w:fill="auto" w:val="clear"/>
            <w:vAlign w:val="bottom"/>
          </w:tcPr>
          <w:p>
            <w:pPr>
              <w:pStyle w:val="TableContents"/>
              <w:spacing w:before="0" w:after="283"/>
              <w:rPr>
                <w:sz w:val="4"/>
                <w:szCs w:val="4"/>
              </w:rPr>
            </w:pPr>
            <w:r>
              <w:rPr>
                <w:sz w:val="4"/>
                <w:szCs w:val="4"/>
              </w:rPr>
            </w:r>
          </w:p>
        </w:tc>
        <w:tc>
          <w:tcPr>
            <w:tcW w:w="117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That Have</w:t>
            </w:r>
          </w:p>
        </w:tc>
        <w:tc>
          <w:tcPr>
            <w:tcW w:w="300" w:type="dxa"/>
            <w:tcBorders/>
            <w:shd w:fill="auto" w:val="clear"/>
            <w:vAlign w:val="bottom"/>
          </w:tcPr>
          <w:p>
            <w:pPr>
              <w:pStyle w:val="TableContents"/>
              <w:spacing w:before="0" w:after="283"/>
              <w:rPr>
                <w:sz w:val="4"/>
                <w:szCs w:val="4"/>
              </w:rPr>
            </w:pPr>
            <w:r>
              <w:rPr>
                <w:sz w:val="4"/>
                <w:szCs w:val="4"/>
              </w:rPr>
            </w:r>
          </w:p>
        </w:tc>
        <w:tc>
          <w:tcPr>
            <w:tcW w:w="175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Have Not Vested</w:t>
            </w:r>
          </w:p>
        </w:tc>
      </w:tr>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center"/>
              <w:rPr/>
            </w:pPr>
            <w:r>
              <w:rPr/>
              <w:t> </w:t>
            </w:r>
          </w:p>
        </w:tc>
        <w:tc>
          <w:tcPr>
            <w:tcW w:w="7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Price</w:t>
            </w:r>
          </w:p>
        </w:tc>
        <w:tc>
          <w:tcPr>
            <w:tcW w:w="300"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Expiration</w:t>
            </w:r>
          </w:p>
        </w:tc>
        <w:tc>
          <w:tcPr>
            <w:tcW w:w="300" w:type="dxa"/>
            <w:tcBorders/>
            <w:shd w:fill="auto" w:val="clear"/>
            <w:vAlign w:val="bottom"/>
          </w:tcPr>
          <w:p>
            <w:pPr>
              <w:pStyle w:val="TableContents"/>
              <w:spacing w:before="0" w:after="283"/>
              <w:rPr>
                <w:sz w:val="4"/>
                <w:szCs w:val="4"/>
              </w:rPr>
            </w:pPr>
            <w:r>
              <w:rPr>
                <w:sz w:val="4"/>
                <w:szCs w:val="4"/>
              </w:rPr>
            </w:r>
          </w:p>
        </w:tc>
        <w:tc>
          <w:tcPr>
            <w:tcW w:w="117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Not Vested</w:t>
            </w:r>
          </w:p>
        </w:tc>
        <w:tc>
          <w:tcPr>
            <w:tcW w:w="300" w:type="dxa"/>
            <w:tcBorders/>
            <w:shd w:fill="auto" w:val="clear"/>
            <w:vAlign w:val="bottom"/>
          </w:tcPr>
          <w:p>
            <w:pPr>
              <w:pStyle w:val="TableContents"/>
              <w:spacing w:before="0" w:after="283"/>
              <w:rPr>
                <w:sz w:val="4"/>
                <w:szCs w:val="4"/>
              </w:rPr>
            </w:pPr>
            <w:r>
              <w:rPr>
                <w:sz w:val="4"/>
                <w:szCs w:val="4"/>
              </w:rPr>
            </w:r>
          </w:p>
        </w:tc>
        <w:tc>
          <w:tcPr>
            <w:tcW w:w="175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159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Name</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5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Exercisable</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22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Unexercisable</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75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Date</w:t>
            </w:r>
          </w:p>
        </w:tc>
        <w:tc>
          <w:tcPr>
            <w:tcW w:w="300" w:type="dxa"/>
            <w:tcBorders/>
            <w:shd w:fill="auto" w:val="clear"/>
            <w:vAlign w:val="bottom"/>
          </w:tcPr>
          <w:p>
            <w:pPr>
              <w:pStyle w:val="TableContents"/>
              <w:spacing w:before="0" w:after="283"/>
              <w:rPr>
                <w:sz w:val="4"/>
                <w:szCs w:val="4"/>
              </w:rPr>
            </w:pPr>
            <w:r>
              <w:rPr>
                <w:sz w:val="4"/>
                <w:szCs w:val="4"/>
              </w:rPr>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75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r>
      <w:tr>
        <w:trPr/>
        <w:tc>
          <w:tcPr>
            <w:tcW w:w="15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2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95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center"/>
              <w:rPr/>
            </w:pPr>
            <w:r>
              <w:rPr/>
              <w:t> </w:t>
            </w:r>
          </w:p>
        </w:tc>
        <w:tc>
          <w:tcPr>
            <w:tcW w:w="7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75,000</w:t>
            </w:r>
          </w:p>
        </w:tc>
        <w:tc>
          <w:tcPr>
            <w:tcW w:w="402" w:type="dxa"/>
            <w:tcBorders/>
            <w:shd w:fill="C0C0C0" w:val="clear"/>
            <w:vAlign w:val="bottom"/>
          </w:tcPr>
          <w:p>
            <w:pPr>
              <w:pStyle w:val="TableContents"/>
              <w:spacing w:before="0" w:after="283"/>
              <w:jc w:val="right"/>
              <w:rPr/>
            </w:pPr>
            <w:r>
              <w:rPr/>
              <w:t> </w:t>
            </w:r>
            <w:r>
              <w:rPr>
                <w:rFonts w:ascii="Times New Roman" w:hAnsi="Times New Roman"/>
                <w:sz w:val="20"/>
              </w:rPr>
              <w:t>(2)</w:t>
            </w:r>
          </w:p>
        </w:tc>
        <w:tc>
          <w:tcPr>
            <w:tcW w:w="300"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right"/>
              <w:rPr/>
            </w:pPr>
            <w:r>
              <w:rPr/>
              <w:t xml:space="preserve">            </w:t>
            </w:r>
            <w:r>
              <w:rPr>
                <w:rFonts w:ascii="Times New Roman" w:hAnsi="Times New Roman"/>
                <w:sz w:val="20"/>
              </w:rPr>
              <w:t>$</w:t>
            </w:r>
          </w:p>
        </w:tc>
        <w:tc>
          <w:tcPr>
            <w:tcW w:w="905" w:type="dxa"/>
            <w:tcBorders/>
            <w:shd w:fill="C0C0C0" w:val="clear"/>
            <w:vAlign w:val="bottom"/>
          </w:tcPr>
          <w:p>
            <w:pPr>
              <w:pStyle w:val="TableContents"/>
              <w:spacing w:before="0" w:after="283"/>
              <w:jc w:val="right"/>
              <w:rPr/>
            </w:pPr>
            <w:r>
              <w:rPr/>
              <w:t> </w:t>
            </w:r>
            <w:r>
              <w:rPr>
                <w:rFonts w:ascii="Times New Roman" w:hAnsi="Times New Roman"/>
                <w:sz w:val="20"/>
              </w:rPr>
              <w:t>2,389,500</w:t>
            </w:r>
          </w:p>
        </w:tc>
      </w:tr>
      <w:tr>
        <w:trPr/>
        <w:tc>
          <w:tcPr>
            <w:tcW w:w="15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2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left"/>
              <w:rPr/>
            </w:pPr>
            <w:r>
              <w:rPr/>
              <w:t> </w:t>
            </w:r>
          </w:p>
        </w:tc>
        <w:tc>
          <w:tcPr>
            <w:tcW w:w="95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7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3,906</w:t>
            </w:r>
          </w:p>
        </w:tc>
        <w:tc>
          <w:tcPr>
            <w:tcW w:w="40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300"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124,445</w:t>
            </w:r>
          </w:p>
        </w:tc>
      </w:tr>
      <w:tr>
        <w:trPr/>
        <w:tc>
          <w:tcPr>
            <w:tcW w:w="15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2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95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7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1,100</w:t>
            </w:r>
          </w:p>
        </w:tc>
        <w:tc>
          <w:tcPr>
            <w:tcW w:w="40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300"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35,046</w:t>
            </w:r>
          </w:p>
        </w:tc>
      </w:tr>
      <w:tr>
        <w:trPr/>
        <w:tc>
          <w:tcPr>
            <w:tcW w:w="10300" w:type="dxa"/>
            <w:gridSpan w:val="15"/>
            <w:tcBorders/>
            <w:shd w:fill="auto" w:val="clear"/>
            <w:vAlign w:val="center"/>
          </w:tcPr>
          <w:p>
            <w:pPr>
              <w:pStyle w:val="TableContents"/>
              <w:spacing w:before="0" w:after="283"/>
              <w:rPr/>
            </w:pPr>
            <w:r>
              <w:rPr/>
              <w:t> </w:t>
            </w:r>
          </w:p>
        </w:tc>
      </w:tr>
      <w:tr>
        <w:trPr/>
        <w:tc>
          <w:tcPr>
            <w:tcW w:w="15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2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95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7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40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300"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31,860</w:t>
            </w:r>
          </w:p>
        </w:tc>
      </w:tr>
      <w:tr>
        <w:trPr/>
        <w:tc>
          <w:tcPr>
            <w:tcW w:w="10300" w:type="dxa"/>
            <w:gridSpan w:val="15"/>
            <w:tcBorders/>
            <w:shd w:fill="auto" w:val="clear"/>
            <w:vAlign w:val="center"/>
          </w:tcPr>
          <w:p>
            <w:pPr>
              <w:pStyle w:val="TableContents"/>
              <w:spacing w:before="0" w:after="283"/>
              <w:rPr/>
            </w:pPr>
            <w:r>
              <w:rPr/>
              <w:t> </w:t>
            </w:r>
          </w:p>
        </w:tc>
      </w:tr>
      <w:tr>
        <w:trPr/>
        <w:tc>
          <w:tcPr>
            <w:tcW w:w="15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2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95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7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40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300"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63,720</w:t>
            </w:r>
          </w:p>
        </w:tc>
      </w:tr>
      <w:tr>
        <w:trPr/>
        <w:tc>
          <w:tcPr>
            <w:tcW w:w="15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2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95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7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2,344</w:t>
            </w:r>
          </w:p>
        </w:tc>
        <w:tc>
          <w:tcPr>
            <w:tcW w:w="40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300" w:type="dxa"/>
            <w:tcBorders/>
            <w:shd w:fill="C0C0C0" w:val="clear"/>
            <w:vAlign w:val="bottom"/>
          </w:tcPr>
          <w:p>
            <w:pPr>
              <w:pStyle w:val="TableContents"/>
              <w:spacing w:before="0" w:after="283"/>
              <w:jc w:val="left"/>
              <w:rPr/>
            </w:pPr>
            <w:r>
              <w:rPr/>
              <w:t> </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74,680</w:t>
            </w:r>
          </w:p>
        </w:tc>
      </w:tr>
      <w:tr>
        <w:trPr/>
        <w:tc>
          <w:tcPr>
            <w:tcW w:w="10300" w:type="dxa"/>
            <w:gridSpan w:val="15"/>
            <w:tcBorders/>
            <w:shd w:fill="auto" w:val="clear"/>
            <w:vAlign w:val="center"/>
          </w:tcPr>
          <w:p>
            <w:pPr>
              <w:pStyle w:val="TableContents"/>
              <w:spacing w:before="0" w:after="283"/>
              <w:rPr/>
            </w:pPr>
            <w:r>
              <w:rPr/>
              <w:t> </w:t>
            </w:r>
          </w:p>
        </w:tc>
      </w:tr>
      <w:tr>
        <w:trPr/>
        <w:tc>
          <w:tcPr>
            <w:tcW w:w="15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0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2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95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7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40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300"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63,720</w:t>
            </w:r>
          </w:p>
        </w:tc>
      </w:tr>
      <w:tr>
        <w:trPr/>
        <w:tc>
          <w:tcPr>
            <w:tcW w:w="10300" w:type="dxa"/>
            <w:gridSpan w:val="15"/>
            <w:tcBorders/>
            <w:shd w:fill="auto" w:val="clear"/>
            <w:vAlign w:val="center"/>
          </w:tcPr>
          <w:p>
            <w:pPr>
              <w:pStyle w:val="TableContents"/>
              <w:spacing w:before="0" w:after="283"/>
              <w:rPr/>
            </w:pPr>
            <w:r>
              <w:rPr/>
              <w:t> </w:t>
            </w:r>
          </w:p>
        </w:tc>
      </w:tr>
      <w:tr>
        <w:trPr/>
        <w:tc>
          <w:tcPr>
            <w:tcW w:w="15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0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2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75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95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7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40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300"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127,440</w:t>
            </w:r>
          </w:p>
        </w:tc>
      </w:tr>
    </w:tbl>
    <w:p>
      <w:pPr>
        <w:pStyle w:val="TextBody"/>
        <w:rPr/>
      </w:pPr>
      <w:r>
        <w:rPr/>
      </w:r>
    </w:p>
    <w:p>
      <w:pPr>
        <w:pStyle w:val="TextBody"/>
        <w:jc w:val="both"/>
        <w:rPr>
          <w:rFonts w:ascii="Times New Roman" w:hAnsi="Times New Roman"/>
          <w:sz w:val="20"/>
        </w:rPr>
      </w:pPr>
      <w:r>
        <w:rPr>
          <w:rFonts w:ascii="Times New Roman" w:hAnsi="Times New Roman"/>
          <w:sz w:val="20"/>
        </w:rPr>
        <w:t>(1) Market value for our Class B Stock and Common Stock has been calculated using the closing sale price of our Common Stock on July 31, 2013, the last trading day of fiscal 2013, which was $31.86.</w:t>
      </w:r>
    </w:p>
    <w:p>
      <w:pPr>
        <w:pStyle w:val="TextBody"/>
        <w:jc w:val="both"/>
        <w:rPr>
          <w:rFonts w:ascii="Times New Roman" w:hAnsi="Times New Roman"/>
          <w:sz w:val="20"/>
        </w:rPr>
      </w:pPr>
      <w:r>
        <w:rPr>
          <w:rFonts w:ascii="Times New Roman" w:hAnsi="Times New Roman"/>
          <w:sz w:val="20"/>
        </w:rPr>
        <w:t>(2) Restricted shares of Class B Stock awarded on October 6, 2010, of which 25,000 shares vested on October 6, 2013, and an additional 25,000 shares are scheduled to vest on each of the two subsequent anniversaries of that date.</w:t>
      </w:r>
    </w:p>
    <w:p>
      <w:pPr>
        <w:pStyle w:val="TextBody"/>
        <w:jc w:val="both"/>
        <w:rPr>
          <w:rFonts w:ascii="Times New Roman" w:hAnsi="Times New Roman"/>
          <w:sz w:val="20"/>
        </w:rPr>
      </w:pPr>
      <w:r>
        <w:rPr>
          <w:rFonts w:ascii="Times New Roman" w:hAnsi="Times New Roman"/>
          <w:sz w:val="20"/>
        </w:rPr>
        <w:t xml:space="preserve">(3) Restricted shares of Class B Stock awarded on October 9, 2012, scheduled to vest on July 31, 2015. </w:t>
      </w:r>
    </w:p>
    <w:p>
      <w:pPr>
        <w:pStyle w:val="TextBody"/>
        <w:jc w:val="both"/>
        <w:rPr>
          <w:rFonts w:ascii="Times New Roman" w:hAnsi="Times New Roman"/>
          <w:sz w:val="20"/>
        </w:rPr>
      </w:pPr>
      <w:r>
        <w:rPr>
          <w:rFonts w:ascii="Times New Roman" w:hAnsi="Times New Roman"/>
          <w:sz w:val="20"/>
        </w:rPr>
        <w:t>(4) Restricted shares of Common Stock awarded on April 1, 2013, scheduled to vest on April 1, 2015.</w:t>
      </w:r>
    </w:p>
    <w:p>
      <w:pPr>
        <w:pStyle w:val="TextBody"/>
        <w:jc w:val="both"/>
        <w:rPr>
          <w:rFonts w:ascii="Times New Roman" w:hAnsi="Times New Roman"/>
          <w:sz w:val="20"/>
        </w:rPr>
      </w:pPr>
      <w:r>
        <w:rPr>
          <w:rFonts w:ascii="Times New Roman" w:hAnsi="Times New Roman"/>
          <w:sz w:val="20"/>
        </w:rPr>
        <w:t>(5) Restricted shares of Class B Stock awarded on March 30, 2012, scheduled to vest on March 30, 2014.</w:t>
      </w:r>
    </w:p>
    <w:p>
      <w:pPr>
        <w:pStyle w:val="TextBody"/>
        <w:jc w:val="both"/>
        <w:rPr>
          <w:rFonts w:ascii="Times New Roman" w:hAnsi="Times New Roman"/>
          <w:sz w:val="20"/>
        </w:rPr>
      </w:pPr>
      <w:r>
        <w:rPr>
          <w:rFonts w:ascii="Times New Roman" w:hAnsi="Times New Roman"/>
          <w:sz w:val="20"/>
        </w:rPr>
        <w:t>(6) Restricted shares of Common Stock awarded on February 7, 2011, scheduled to vest on February 7, 2014.</w:t>
      </w:r>
    </w:p>
    <w:p>
      <w:pPr>
        <w:pStyle w:val="TextBody"/>
        <w:jc w:val="both"/>
        <w:rPr>
          <w:rFonts w:ascii="Times New Roman" w:hAnsi="Times New Roman"/>
          <w:sz w:val="20"/>
        </w:rPr>
      </w:pPr>
      <w:r>
        <w:rPr>
          <w:rFonts w:ascii="Times New Roman" w:hAnsi="Times New Roman"/>
          <w:sz w:val="20"/>
        </w:rPr>
        <w:t>(7) Restricted shares of Common Stock awarded on April 2, 2012, scheduled to vest in 1,000 share increments on each of the five subsequent anniversaries of such date. Mr. Jean forfeited such restricted shares in connection with his departure from the Company effective on September 19, 2013.</w:t>
      </w:r>
    </w:p>
    <w:p>
      <w:pPr>
        <w:pStyle w:val="TextBody"/>
        <w:jc w:val="center"/>
        <w:rPr>
          <w:rFonts w:ascii="Times New Roman" w:hAnsi="Times New Roman"/>
          <w:sz w:val="20"/>
        </w:rPr>
      </w:pPr>
      <w:r>
        <w:rPr>
          <w:rFonts w:ascii="Times New Roman" w:hAnsi="Times New Roman"/>
          <w:sz w:val="20"/>
        </w:rPr>
        <w:t>39</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Option Exercises and Stock Vested for Fiscal 2013</w:t>
      </w:r>
    </w:p>
    <w:p>
      <w:pPr>
        <w:pStyle w:val="TextBody"/>
        <w:jc w:val="both"/>
        <w:rPr/>
      </w:pPr>
      <w:r>
        <w:rPr/>
        <w:t xml:space="preserve">     </w:t>
      </w:r>
      <w:r>
        <w:rPr>
          <w:rFonts w:ascii="Times New Roman" w:hAnsi="Times New Roman"/>
          <w:sz w:val="20"/>
        </w:rPr>
        <w:t>The following table provides information for the named executive officers on:</w:t>
      </w:r>
    </w:p>
    <w:p>
      <w:pPr>
        <w:pStyle w:val="TextBody"/>
        <w:numPr>
          <w:ilvl w:val="0"/>
          <w:numId w:val="14"/>
        </w:numPr>
        <w:tabs>
          <w:tab w:val="clear" w:pos="1134"/>
          <w:tab w:val="left" w:pos="707" w:leader="none"/>
        </w:tabs>
        <w:spacing w:before="0" w:after="0"/>
        <w:ind w:left="707" w:hanging="283"/>
        <w:jc w:val="both"/>
        <w:rPr>
          <w:sz w:val="20"/>
        </w:rPr>
      </w:pPr>
      <w:r>
        <w:rPr>
          <w:rFonts w:ascii="Times New Roman" w:hAnsi="Times New Roman"/>
          <w:sz w:val="20"/>
        </w:rPr>
        <w:t>the number of shares of the Companys stock acquired and the value received from stock option</w:t>
      </w:r>
      <w:r>
        <w:rPr>
          <w:sz w:val="20"/>
        </w:rPr>
        <w:t xml:space="preserve"> </w:t>
      </w:r>
      <w:r>
        <w:rPr>
          <w:rFonts w:ascii="Times New Roman" w:hAnsi="Times New Roman"/>
          <w:sz w:val="20"/>
        </w:rPr>
        <w:t>exercises during fiscal 2013; and</w:t>
        <w:br/>
        <w:t> </w:t>
      </w:r>
      <w:r>
        <w:rPr>
          <w:sz w:val="20"/>
        </w:rPr>
        <w:t xml:space="preserve"> </w:t>
      </w:r>
    </w:p>
    <w:p>
      <w:pPr>
        <w:pStyle w:val="TextBody"/>
        <w:numPr>
          <w:ilvl w:val="0"/>
          <w:numId w:val="14"/>
        </w:numPr>
        <w:tabs>
          <w:tab w:val="clear" w:pos="1134"/>
          <w:tab w:val="left" w:pos="707" w:leader="none"/>
        </w:tabs>
        <w:ind w:left="707" w:hanging="283"/>
        <w:jc w:val="both"/>
        <w:rPr>
          <w:sz w:val="20"/>
        </w:rPr>
      </w:pPr>
      <w:r>
        <w:rPr>
          <w:rFonts w:ascii="Times New Roman" w:hAnsi="Times New Roman"/>
          <w:sz w:val="20"/>
        </w:rPr>
        <w:t>the number of restricted shares of the Companys stock that vested and the value received upon</w:t>
      </w:r>
      <w:r>
        <w:rPr>
          <w:sz w:val="20"/>
        </w:rPr>
        <w:t xml:space="preserve"> </w:t>
      </w:r>
      <w:r>
        <w:rPr>
          <w:rFonts w:ascii="Times New Roman" w:hAnsi="Times New Roman"/>
          <w:sz w:val="20"/>
        </w:rPr>
        <w:t>vesting during fiscal 2013.</w:t>
      </w:r>
      <w:r>
        <w:rPr>
          <w:sz w:val="20"/>
        </w:rPr>
        <w:t xml:space="preserve"> </w:t>
      </w:r>
    </w:p>
    <w:p>
      <w:pPr>
        <w:pStyle w:val="TextBody"/>
        <w:jc w:val="both"/>
        <w:rPr>
          <w:rFonts w:ascii="Times New Roman" w:hAnsi="Times New Roman"/>
          <w:sz w:val="20"/>
        </w:rPr>
      </w:pPr>
      <w:r>
        <w:rPr>
          <w:rFonts w:ascii="Times New Roman" w:hAnsi="Times New Roman"/>
          <w:sz w:val="20"/>
        </w:rPr>
        <w:t>The shares acquired and vested by Mr. Jaffee and Mr. Cofsky were shares of Class B Stock. The restricted shares held by Mr. Jean that vested were shares of Common Stock.</w:t>
      </w:r>
    </w:p>
    <w:tbl>
      <w:tblPr>
        <w:tblW w:w="5000" w:type="pct"/>
        <w:jc w:val="left"/>
        <w:tblInd w:w="0" w:type="dxa"/>
        <w:tblCellMar>
          <w:top w:w="0" w:type="dxa"/>
          <w:left w:w="0" w:type="dxa"/>
          <w:bottom w:w="0" w:type="dxa"/>
          <w:right w:w="0" w:type="dxa"/>
        </w:tblCellMar>
      </w:tblPr>
      <w:tblGrid>
        <w:gridCol w:w="3538"/>
        <w:gridCol w:w="308"/>
        <w:gridCol w:w="365"/>
        <w:gridCol w:w="509"/>
        <w:gridCol w:w="308"/>
        <w:gridCol w:w="308"/>
        <w:gridCol w:w="421"/>
        <w:gridCol w:w="143"/>
        <w:gridCol w:w="664"/>
        <w:gridCol w:w="308"/>
        <w:gridCol w:w="308"/>
        <w:gridCol w:w="109"/>
        <w:gridCol w:w="876"/>
        <w:gridCol w:w="112"/>
        <w:gridCol w:w="308"/>
        <w:gridCol w:w="308"/>
        <w:gridCol w:w="143"/>
        <w:gridCol w:w="790"/>
        <w:gridCol w:w="379"/>
      </w:tblGrid>
      <w:tr>
        <w:trPr/>
        <w:tc>
          <w:tcPr>
            <w:tcW w:w="3538"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3026" w:type="dxa"/>
            <w:gridSpan w:val="8"/>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 Awards</w:t>
            </w:r>
          </w:p>
        </w:tc>
        <w:tc>
          <w:tcPr>
            <w:tcW w:w="308" w:type="dxa"/>
            <w:tcBorders/>
            <w:shd w:fill="auto" w:val="clear"/>
            <w:vAlign w:val="bottom"/>
          </w:tcPr>
          <w:p>
            <w:pPr>
              <w:pStyle w:val="TableContents"/>
              <w:spacing w:before="0" w:after="283"/>
              <w:rPr>
                <w:sz w:val="4"/>
                <w:szCs w:val="4"/>
              </w:rPr>
            </w:pPr>
            <w:r>
              <w:rPr>
                <w:sz w:val="4"/>
                <w:szCs w:val="4"/>
              </w:rPr>
            </w:r>
          </w:p>
        </w:tc>
        <w:tc>
          <w:tcPr>
            <w:tcW w:w="3025" w:type="dxa"/>
            <w:gridSpan w:val="8"/>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 Awards</w:t>
            </w:r>
          </w:p>
        </w:tc>
      </w:tr>
      <w:tr>
        <w:trPr/>
        <w:tc>
          <w:tcPr>
            <w:tcW w:w="3538"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1182"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08"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1097"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08"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790" w:type="dxa"/>
            <w:tcBorders/>
            <w:shd w:fill="auto" w:val="clear"/>
            <w:vAlign w:val="bottom"/>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sz w:val="4"/>
                <w:szCs w:val="4"/>
              </w:rPr>
            </w:pPr>
            <w:r>
              <w:rPr>
                <w:sz w:val="4"/>
                <w:szCs w:val="4"/>
              </w:rPr>
            </w:r>
          </w:p>
        </w:tc>
      </w:tr>
      <w:tr>
        <w:trPr/>
        <w:tc>
          <w:tcPr>
            <w:tcW w:w="3538"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1182"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w:t>
            </w:r>
          </w:p>
        </w:tc>
        <w:tc>
          <w:tcPr>
            <w:tcW w:w="308" w:type="dxa"/>
            <w:tcBorders/>
            <w:shd w:fill="auto" w:val="clear"/>
            <w:vAlign w:val="bottom"/>
          </w:tcPr>
          <w:p>
            <w:pPr>
              <w:pStyle w:val="TableContents"/>
              <w:spacing w:before="0" w:after="283"/>
              <w:rPr>
                <w:sz w:val="4"/>
                <w:szCs w:val="4"/>
              </w:rPr>
            </w:pPr>
            <w:r>
              <w:rPr>
                <w:sz w:val="4"/>
                <w:szCs w:val="4"/>
              </w:rPr>
            </w:r>
          </w:p>
        </w:tc>
        <w:tc>
          <w:tcPr>
            <w:tcW w:w="1536"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Value Realized</w:t>
            </w:r>
          </w:p>
        </w:tc>
        <w:tc>
          <w:tcPr>
            <w:tcW w:w="308" w:type="dxa"/>
            <w:tcBorders/>
            <w:shd w:fill="auto" w:val="clear"/>
            <w:vAlign w:val="bottom"/>
          </w:tcPr>
          <w:p>
            <w:pPr>
              <w:pStyle w:val="TableContents"/>
              <w:spacing w:before="0" w:after="283"/>
              <w:rPr>
                <w:sz w:val="4"/>
                <w:szCs w:val="4"/>
              </w:rPr>
            </w:pPr>
            <w:r>
              <w:rPr>
                <w:sz w:val="4"/>
                <w:szCs w:val="4"/>
              </w:rPr>
            </w:r>
          </w:p>
        </w:tc>
        <w:tc>
          <w:tcPr>
            <w:tcW w:w="1097"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w:t>
            </w:r>
          </w:p>
        </w:tc>
        <w:tc>
          <w:tcPr>
            <w:tcW w:w="308" w:type="dxa"/>
            <w:tcBorders/>
            <w:shd w:fill="auto" w:val="clear"/>
            <w:vAlign w:val="bottom"/>
          </w:tcPr>
          <w:p>
            <w:pPr>
              <w:pStyle w:val="TableContents"/>
              <w:spacing w:before="0" w:after="283"/>
              <w:rPr>
                <w:sz w:val="4"/>
                <w:szCs w:val="4"/>
              </w:rPr>
            </w:pPr>
            <w:r>
              <w:rPr>
                <w:sz w:val="4"/>
                <w:szCs w:val="4"/>
              </w:rPr>
            </w:r>
          </w:p>
        </w:tc>
        <w:tc>
          <w:tcPr>
            <w:tcW w:w="1620"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Value Realized</w:t>
            </w:r>
          </w:p>
        </w:tc>
      </w:tr>
      <w:tr>
        <w:trPr/>
        <w:tc>
          <w:tcPr>
            <w:tcW w:w="3538"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jc w:val="center"/>
              <w:rPr/>
            </w:pPr>
            <w:r>
              <w:rPr/>
              <w:t>     </w:t>
            </w:r>
          </w:p>
        </w:tc>
        <w:tc>
          <w:tcPr>
            <w:tcW w:w="1182"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Acquired on</w:t>
            </w:r>
          </w:p>
        </w:tc>
        <w:tc>
          <w:tcPr>
            <w:tcW w:w="308" w:type="dxa"/>
            <w:tcBorders/>
            <w:shd w:fill="auto" w:val="clear"/>
            <w:vAlign w:val="bottom"/>
          </w:tcPr>
          <w:p>
            <w:pPr>
              <w:pStyle w:val="TableContents"/>
              <w:spacing w:before="0" w:after="283"/>
              <w:jc w:val="center"/>
              <w:rPr/>
            </w:pPr>
            <w:r>
              <w:rPr/>
              <w:t>     </w:t>
            </w:r>
          </w:p>
        </w:tc>
        <w:tc>
          <w:tcPr>
            <w:tcW w:w="1536"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 Exercise</w:t>
            </w:r>
          </w:p>
        </w:tc>
        <w:tc>
          <w:tcPr>
            <w:tcW w:w="308" w:type="dxa"/>
            <w:tcBorders/>
            <w:shd w:fill="auto" w:val="clear"/>
            <w:vAlign w:val="bottom"/>
          </w:tcPr>
          <w:p>
            <w:pPr>
              <w:pStyle w:val="TableContents"/>
              <w:spacing w:before="0" w:after="283"/>
              <w:jc w:val="center"/>
              <w:rPr/>
            </w:pPr>
            <w:r>
              <w:rPr/>
              <w:t>     </w:t>
            </w:r>
          </w:p>
        </w:tc>
        <w:tc>
          <w:tcPr>
            <w:tcW w:w="1097"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Acquired on</w:t>
            </w:r>
          </w:p>
        </w:tc>
        <w:tc>
          <w:tcPr>
            <w:tcW w:w="308" w:type="dxa"/>
            <w:tcBorders/>
            <w:shd w:fill="auto" w:val="clear"/>
            <w:vAlign w:val="bottom"/>
          </w:tcPr>
          <w:p>
            <w:pPr>
              <w:pStyle w:val="TableContents"/>
              <w:spacing w:before="0" w:after="283"/>
              <w:jc w:val="center"/>
              <w:rPr/>
            </w:pPr>
            <w:r>
              <w:rPr/>
              <w:t>     </w:t>
            </w:r>
          </w:p>
        </w:tc>
        <w:tc>
          <w:tcPr>
            <w:tcW w:w="1620"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 Vesting</w:t>
            </w:r>
          </w:p>
        </w:tc>
      </w:tr>
      <w:tr>
        <w:trPr/>
        <w:tc>
          <w:tcPr>
            <w:tcW w:w="3538"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1182"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308" w:type="dxa"/>
            <w:tcBorders/>
            <w:shd w:fill="auto" w:val="clear"/>
            <w:vAlign w:val="bottom"/>
          </w:tcPr>
          <w:p>
            <w:pPr>
              <w:pStyle w:val="TableContents"/>
              <w:spacing w:before="0" w:after="283"/>
              <w:rPr>
                <w:sz w:val="4"/>
                <w:szCs w:val="4"/>
              </w:rPr>
            </w:pPr>
            <w:r>
              <w:rPr>
                <w:sz w:val="4"/>
                <w:szCs w:val="4"/>
              </w:rPr>
            </w:r>
          </w:p>
        </w:tc>
        <w:tc>
          <w:tcPr>
            <w:tcW w:w="1536"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8" w:type="dxa"/>
            <w:tcBorders/>
            <w:shd w:fill="auto" w:val="clear"/>
            <w:vAlign w:val="bottom"/>
          </w:tcPr>
          <w:p>
            <w:pPr>
              <w:pStyle w:val="TableContents"/>
              <w:spacing w:before="0" w:after="283"/>
              <w:rPr>
                <w:sz w:val="4"/>
                <w:szCs w:val="4"/>
              </w:rPr>
            </w:pPr>
            <w:r>
              <w:rPr>
                <w:sz w:val="4"/>
                <w:szCs w:val="4"/>
              </w:rPr>
            </w:r>
          </w:p>
        </w:tc>
        <w:tc>
          <w:tcPr>
            <w:tcW w:w="1097"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Vesting</w:t>
            </w:r>
          </w:p>
        </w:tc>
        <w:tc>
          <w:tcPr>
            <w:tcW w:w="308" w:type="dxa"/>
            <w:tcBorders/>
            <w:shd w:fill="auto" w:val="clear"/>
            <w:vAlign w:val="bottom"/>
          </w:tcPr>
          <w:p>
            <w:pPr>
              <w:pStyle w:val="TableContents"/>
              <w:spacing w:before="0" w:after="283"/>
              <w:rPr>
                <w:sz w:val="4"/>
                <w:szCs w:val="4"/>
              </w:rPr>
            </w:pPr>
            <w:r>
              <w:rPr>
                <w:sz w:val="4"/>
                <w:szCs w:val="4"/>
              </w:rPr>
            </w:r>
          </w:p>
        </w:tc>
        <w:tc>
          <w:tcPr>
            <w:tcW w:w="1620"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3538"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08"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182"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8"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536"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08"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097"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8"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620"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r>
      <w:tr>
        <w:trPr/>
        <w:tc>
          <w:tcPr>
            <w:tcW w:w="353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8"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jc w:val="right"/>
              <w:rPr/>
            </w:pPr>
            <w:r>
              <w:rPr/>
              <w:t xml:space="preserve">      </w:t>
            </w:r>
          </w:p>
        </w:tc>
        <w:tc>
          <w:tcPr>
            <w:tcW w:w="50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308" w:type="dxa"/>
            <w:tcBorders/>
            <w:shd w:fill="C0C0C0" w:val="clear"/>
            <w:vAlign w:val="bottom"/>
          </w:tcPr>
          <w:p>
            <w:pPr>
              <w:pStyle w:val="TableContents"/>
              <w:spacing w:before="0" w:after="283"/>
              <w:jc w:val="right"/>
              <w:rPr/>
            </w:pPr>
            <w:r>
              <w:rPr/>
              <w:t>     </w:t>
            </w:r>
          </w:p>
        </w:tc>
        <w:tc>
          <w:tcPr>
            <w:tcW w:w="308" w:type="dxa"/>
            <w:tcBorders/>
            <w:shd w:fill="C0C0C0" w:val="clear"/>
            <w:vAlign w:val="bottom"/>
          </w:tcPr>
          <w:p>
            <w:pPr>
              <w:pStyle w:val="TableContents"/>
              <w:spacing w:before="0" w:after="283"/>
              <w:rPr>
                <w:sz w:val="4"/>
                <w:szCs w:val="4"/>
              </w:rPr>
            </w:pPr>
            <w:r>
              <w:rPr>
                <w:sz w:val="4"/>
                <w:szCs w:val="4"/>
              </w:rPr>
            </w:r>
          </w:p>
        </w:tc>
        <w:tc>
          <w:tcPr>
            <w:tcW w:w="421" w:type="dxa"/>
            <w:tcBorders/>
            <w:shd w:fill="C0C0C0" w:val="clear"/>
            <w:vAlign w:val="bottom"/>
          </w:tcPr>
          <w:p>
            <w:pPr>
              <w:pStyle w:val="TableContents"/>
              <w:spacing w:before="0" w:after="283"/>
              <w:jc w:val="right"/>
              <w:rPr/>
            </w:pPr>
            <w:r>
              <w:rPr/>
              <w:t xml:space="preserve">       </w:t>
            </w:r>
          </w:p>
        </w:tc>
        <w:tc>
          <w:tcPr>
            <w:tcW w:w="14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78,160</w:t>
            </w:r>
          </w:p>
        </w:tc>
        <w:tc>
          <w:tcPr>
            <w:tcW w:w="308" w:type="dxa"/>
            <w:tcBorders/>
            <w:shd w:fill="C0C0C0" w:val="clear"/>
            <w:vAlign w:val="bottom"/>
          </w:tcPr>
          <w:p>
            <w:pPr>
              <w:pStyle w:val="TableContents"/>
              <w:spacing w:before="0" w:after="283"/>
              <w:jc w:val="left"/>
              <w:rPr/>
            </w:pPr>
            <w:r>
              <w:rPr/>
              <w:t>     </w:t>
            </w:r>
          </w:p>
        </w:tc>
        <w:tc>
          <w:tcPr>
            <w:tcW w:w="308" w:type="dxa"/>
            <w:tcBorders/>
            <w:shd w:fill="C0C0C0" w:val="clear"/>
            <w:vAlign w:val="bottom"/>
          </w:tcPr>
          <w:p>
            <w:pPr>
              <w:pStyle w:val="TableContents"/>
              <w:spacing w:before="0" w:after="283"/>
              <w:jc w:val="left"/>
              <w:rPr/>
            </w:pPr>
            <w:r>
              <w:rPr/>
              <w:t> </w:t>
            </w:r>
          </w:p>
        </w:tc>
        <w:tc>
          <w:tcPr>
            <w:tcW w:w="109" w:type="dxa"/>
            <w:tcBorders/>
            <w:shd w:fill="C0C0C0" w:val="clear"/>
            <w:vAlign w:val="bottom"/>
          </w:tcPr>
          <w:p>
            <w:pPr>
              <w:pStyle w:val="TableContents"/>
              <w:spacing w:before="0" w:after="283"/>
              <w:rPr>
                <w:sz w:val="4"/>
                <w:szCs w:val="4"/>
              </w:rPr>
            </w:pPr>
            <w:r>
              <w:rPr>
                <w:sz w:val="4"/>
                <w:szCs w:val="4"/>
              </w:rPr>
            </w:r>
          </w:p>
        </w:tc>
        <w:tc>
          <w:tcPr>
            <w:tcW w:w="8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12" w:type="dxa"/>
            <w:tcBorders/>
            <w:shd w:fill="C0C0C0" w:val="clear"/>
            <w:vAlign w:val="bottom"/>
          </w:tcPr>
          <w:p>
            <w:pPr>
              <w:pStyle w:val="TableContents"/>
              <w:spacing w:before="0" w:after="283"/>
              <w:jc w:val="right"/>
              <w:rPr/>
            </w:pPr>
            <w:r>
              <w:rPr/>
              <w:t> </w:t>
            </w:r>
          </w:p>
        </w:tc>
        <w:tc>
          <w:tcPr>
            <w:tcW w:w="308"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jc w:val="right"/>
              <w:rPr/>
            </w:pPr>
            <w:r>
              <w:rPr/>
              <w:t>     </w:t>
            </w:r>
          </w:p>
        </w:tc>
        <w:tc>
          <w:tcPr>
            <w:tcW w:w="14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90" w:type="dxa"/>
            <w:tcBorders/>
            <w:shd w:fill="C0C0C0" w:val="clear"/>
            <w:vAlign w:val="bottom"/>
          </w:tcPr>
          <w:p>
            <w:pPr>
              <w:pStyle w:val="TableContents"/>
              <w:spacing w:before="0" w:after="283"/>
              <w:jc w:val="right"/>
              <w:rPr/>
            </w:pPr>
            <w:r>
              <w:rPr/>
              <w:t> </w:t>
            </w:r>
            <w:r>
              <w:rPr>
                <w:rFonts w:ascii="Times New Roman" w:hAnsi="Times New Roman"/>
                <w:sz w:val="20"/>
              </w:rPr>
              <w:t>575,000</w:t>
            </w:r>
          </w:p>
        </w:tc>
        <w:tc>
          <w:tcPr>
            <w:tcW w:w="379" w:type="dxa"/>
            <w:tcBorders/>
            <w:shd w:fill="C0C0C0" w:val="clear"/>
            <w:vAlign w:val="bottom"/>
          </w:tcPr>
          <w:p>
            <w:pPr>
              <w:pStyle w:val="TableContents"/>
              <w:spacing w:before="0" w:after="283"/>
              <w:jc w:val="left"/>
              <w:rPr/>
            </w:pPr>
            <w:r>
              <w:rPr/>
              <w:t xml:space="preserve">      </w:t>
            </w:r>
          </w:p>
        </w:tc>
      </w:tr>
      <w:tr>
        <w:trPr/>
        <w:tc>
          <w:tcPr>
            <w:tcW w:w="3538"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jc w:val="left"/>
              <w:rPr/>
            </w:pPr>
            <w:r>
              <w:rPr/>
              <w:t> </w:t>
            </w:r>
          </w:p>
        </w:tc>
        <w:tc>
          <w:tcPr>
            <w:tcW w:w="365" w:type="dxa"/>
            <w:tcBorders/>
            <w:shd w:fill="C0C0C0" w:val="clear"/>
            <w:vAlign w:val="bottom"/>
          </w:tcPr>
          <w:p>
            <w:pPr>
              <w:pStyle w:val="TableContents"/>
              <w:spacing w:before="0" w:after="283"/>
              <w:rPr>
                <w:sz w:val="4"/>
                <w:szCs w:val="4"/>
              </w:rPr>
            </w:pPr>
            <w:r>
              <w:rPr>
                <w:sz w:val="4"/>
                <w:szCs w:val="4"/>
              </w:rPr>
            </w:r>
          </w:p>
        </w:tc>
        <w:tc>
          <w:tcPr>
            <w:tcW w:w="509"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jc w:val="left"/>
              <w:rPr/>
            </w:pPr>
            <w:r>
              <w:rPr/>
              <w:t> </w:t>
            </w:r>
          </w:p>
        </w:tc>
        <w:tc>
          <w:tcPr>
            <w:tcW w:w="308" w:type="dxa"/>
            <w:tcBorders/>
            <w:shd w:fill="C0C0C0" w:val="clear"/>
            <w:vAlign w:val="bottom"/>
          </w:tcPr>
          <w:p>
            <w:pPr>
              <w:pStyle w:val="TableContents"/>
              <w:spacing w:before="0" w:after="283"/>
              <w:jc w:val="left"/>
              <w:rPr/>
            </w:pPr>
            <w:r>
              <w:rPr/>
              <w:t> </w:t>
            </w:r>
          </w:p>
        </w:tc>
        <w:tc>
          <w:tcPr>
            <w:tcW w:w="421" w:type="dxa"/>
            <w:tcBorders/>
            <w:shd w:fill="C0C0C0" w:val="clear"/>
            <w:vAlign w:val="bottom"/>
          </w:tcPr>
          <w:p>
            <w:pPr>
              <w:pStyle w:val="TableContents"/>
              <w:spacing w:before="0" w:after="283"/>
              <w:rPr>
                <w:sz w:val="4"/>
                <w:szCs w:val="4"/>
              </w:rPr>
            </w:pPr>
            <w:r>
              <w:rPr>
                <w:sz w:val="4"/>
                <w:szCs w:val="4"/>
              </w:rPr>
            </w:r>
          </w:p>
        </w:tc>
        <w:tc>
          <w:tcPr>
            <w:tcW w:w="143" w:type="dxa"/>
            <w:tcBorders/>
            <w:shd w:fill="C0C0C0" w:val="clear"/>
            <w:vAlign w:val="bottom"/>
          </w:tcPr>
          <w:p>
            <w:pPr>
              <w:pStyle w:val="TableContents"/>
              <w:spacing w:before="0" w:after="283"/>
              <w:rPr>
                <w:sz w:val="4"/>
                <w:szCs w:val="4"/>
              </w:rPr>
            </w:pPr>
            <w:r>
              <w:rPr>
                <w:sz w:val="4"/>
                <w:szCs w:val="4"/>
              </w:rPr>
            </w:r>
          </w:p>
        </w:tc>
        <w:tc>
          <w:tcPr>
            <w:tcW w:w="664"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jc w:val="left"/>
              <w:rPr/>
            </w:pPr>
            <w:r>
              <w:rPr/>
              <w:t> </w:t>
            </w:r>
          </w:p>
        </w:tc>
        <w:tc>
          <w:tcPr>
            <w:tcW w:w="308" w:type="dxa"/>
            <w:tcBorders/>
            <w:shd w:fill="C0C0C0" w:val="clear"/>
            <w:vAlign w:val="bottom"/>
          </w:tcPr>
          <w:p>
            <w:pPr>
              <w:pStyle w:val="TableContents"/>
              <w:spacing w:before="0" w:after="283"/>
              <w:rPr>
                <w:sz w:val="4"/>
                <w:szCs w:val="4"/>
              </w:rPr>
            </w:pPr>
            <w:r>
              <w:rPr>
                <w:sz w:val="4"/>
                <w:szCs w:val="4"/>
              </w:rPr>
            </w:r>
          </w:p>
        </w:tc>
        <w:tc>
          <w:tcPr>
            <w:tcW w:w="109" w:type="dxa"/>
            <w:tcBorders/>
            <w:shd w:fill="C0C0C0" w:val="clear"/>
            <w:vAlign w:val="bottom"/>
          </w:tcPr>
          <w:p>
            <w:pPr>
              <w:pStyle w:val="TableContents"/>
              <w:spacing w:before="0" w:after="283"/>
              <w:jc w:val="left"/>
              <w:rPr/>
            </w:pPr>
            <w:r>
              <w:rPr/>
              <w:t> </w:t>
            </w:r>
          </w:p>
        </w:tc>
        <w:tc>
          <w:tcPr>
            <w:tcW w:w="8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4,933</w:t>
            </w:r>
          </w:p>
        </w:tc>
        <w:tc>
          <w:tcPr>
            <w:tcW w:w="112"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14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157,165</w:t>
            </w:r>
          </w:p>
        </w:tc>
        <w:tc>
          <w:tcPr>
            <w:tcW w:w="379" w:type="dxa"/>
            <w:tcBorders/>
            <w:shd w:fill="C0C0C0" w:val="clear"/>
            <w:vAlign w:val="bottom"/>
          </w:tcPr>
          <w:p>
            <w:pPr>
              <w:pStyle w:val="TableContents"/>
              <w:spacing w:before="0" w:after="283"/>
              <w:jc w:val="left"/>
              <w:rPr/>
            </w:pPr>
            <w:r>
              <w:rPr/>
              <w:t> </w:t>
            </w:r>
          </w:p>
        </w:tc>
      </w:tr>
      <w:tr>
        <w:trPr/>
        <w:tc>
          <w:tcPr>
            <w:tcW w:w="10205" w:type="dxa"/>
            <w:gridSpan w:val="19"/>
            <w:tcBorders/>
            <w:shd w:fill="auto" w:val="clear"/>
            <w:vAlign w:val="center"/>
          </w:tcPr>
          <w:p>
            <w:pPr>
              <w:pStyle w:val="TableContents"/>
              <w:spacing w:before="0" w:after="283"/>
              <w:rPr/>
            </w:pPr>
            <w:r>
              <w:rPr/>
              <w:t> </w:t>
            </w:r>
          </w:p>
        </w:tc>
      </w:tr>
      <w:tr>
        <w:trPr/>
        <w:tc>
          <w:tcPr>
            <w:tcW w:w="353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8"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50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8"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421" w:type="dxa"/>
            <w:tcBorders/>
            <w:shd w:fill="C0C0C0" w:val="clear"/>
            <w:vAlign w:val="bottom"/>
          </w:tcPr>
          <w:p>
            <w:pPr>
              <w:pStyle w:val="TableContents"/>
              <w:spacing w:before="0" w:after="283"/>
              <w:rPr>
                <w:sz w:val="4"/>
                <w:szCs w:val="4"/>
              </w:rPr>
            </w:pPr>
            <w:r>
              <w:rPr>
                <w:sz w:val="4"/>
                <w:szCs w:val="4"/>
              </w:rPr>
            </w:r>
          </w:p>
        </w:tc>
        <w:tc>
          <w:tcPr>
            <w:tcW w:w="143" w:type="dxa"/>
            <w:tcBorders/>
            <w:shd w:fill="C0C0C0" w:val="clear"/>
            <w:vAlign w:val="bottom"/>
          </w:tcPr>
          <w:p>
            <w:pPr>
              <w:pStyle w:val="TableContents"/>
              <w:spacing w:before="0" w:after="283"/>
              <w:rPr>
                <w:sz w:val="4"/>
                <w:szCs w:val="4"/>
              </w:rPr>
            </w:pPr>
            <w:r>
              <w:rPr>
                <w:sz w:val="4"/>
                <w:szCs w:val="4"/>
              </w:rPr>
            </w:r>
          </w:p>
        </w:tc>
        <w:tc>
          <w:tcPr>
            <w:tcW w:w="66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8"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109" w:type="dxa"/>
            <w:tcBorders/>
            <w:shd w:fill="C0C0C0" w:val="clear"/>
            <w:vAlign w:val="bottom"/>
          </w:tcPr>
          <w:p>
            <w:pPr>
              <w:pStyle w:val="TableContents"/>
              <w:spacing w:before="0" w:after="283"/>
              <w:rPr>
                <w:sz w:val="4"/>
                <w:szCs w:val="4"/>
              </w:rPr>
            </w:pPr>
            <w:r>
              <w:rPr>
                <w:sz w:val="4"/>
                <w:szCs w:val="4"/>
              </w:rPr>
            </w:r>
          </w:p>
        </w:tc>
        <w:tc>
          <w:tcPr>
            <w:tcW w:w="8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143" w:type="dxa"/>
            <w:tcBorders/>
            <w:shd w:fill="C0C0C0" w:val="clear"/>
            <w:vAlign w:val="bottom"/>
          </w:tcPr>
          <w:p>
            <w:pPr>
              <w:pStyle w:val="TableContents"/>
              <w:spacing w:before="0" w:after="283"/>
              <w:rPr>
                <w:sz w:val="4"/>
                <w:szCs w:val="4"/>
              </w:rPr>
            </w:pPr>
            <w:r>
              <w:rPr>
                <w:sz w:val="4"/>
                <w:szCs w:val="4"/>
              </w:rPr>
            </w:r>
          </w:p>
        </w:tc>
        <w:tc>
          <w:tcPr>
            <w:tcW w:w="7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79" w:type="dxa"/>
            <w:tcBorders/>
            <w:shd w:fill="C0C0C0" w:val="clear"/>
            <w:vAlign w:val="bottom"/>
          </w:tcPr>
          <w:p>
            <w:pPr>
              <w:pStyle w:val="TableContents"/>
              <w:spacing w:before="0" w:after="283"/>
              <w:rPr>
                <w:sz w:val="4"/>
                <w:szCs w:val="4"/>
              </w:rPr>
            </w:pPr>
            <w:r>
              <w:rPr>
                <w:sz w:val="4"/>
                <w:szCs w:val="4"/>
              </w:rPr>
            </w:r>
          </w:p>
        </w:tc>
      </w:tr>
      <w:tr>
        <w:trPr/>
        <w:tc>
          <w:tcPr>
            <w:tcW w:w="10205" w:type="dxa"/>
            <w:gridSpan w:val="19"/>
            <w:tcBorders/>
            <w:shd w:fill="auto" w:val="clear"/>
            <w:vAlign w:val="center"/>
          </w:tcPr>
          <w:p>
            <w:pPr>
              <w:pStyle w:val="TableContents"/>
              <w:spacing w:before="0" w:after="283"/>
              <w:rPr/>
            </w:pPr>
            <w:r>
              <w:rPr/>
              <w:t> </w:t>
            </w:r>
          </w:p>
        </w:tc>
      </w:tr>
      <w:tr>
        <w:trPr/>
        <w:tc>
          <w:tcPr>
            <w:tcW w:w="353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8"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50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308"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421" w:type="dxa"/>
            <w:tcBorders/>
            <w:shd w:fill="C0C0C0" w:val="clear"/>
            <w:vAlign w:val="bottom"/>
          </w:tcPr>
          <w:p>
            <w:pPr>
              <w:pStyle w:val="TableContents"/>
              <w:spacing w:before="0" w:after="283"/>
              <w:rPr>
                <w:sz w:val="4"/>
                <w:szCs w:val="4"/>
              </w:rPr>
            </w:pPr>
            <w:r>
              <w:rPr>
                <w:sz w:val="4"/>
                <w:szCs w:val="4"/>
              </w:rPr>
            </w:r>
          </w:p>
        </w:tc>
        <w:tc>
          <w:tcPr>
            <w:tcW w:w="14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4" w:type="dxa"/>
            <w:tcBorders/>
            <w:shd w:fill="C0C0C0" w:val="clear"/>
            <w:vAlign w:val="bottom"/>
          </w:tcPr>
          <w:p>
            <w:pPr>
              <w:pStyle w:val="TableContents"/>
              <w:spacing w:before="0" w:after="283"/>
              <w:jc w:val="right"/>
              <w:rPr/>
            </w:pPr>
            <w:r>
              <w:rPr/>
              <w:t> </w:t>
            </w:r>
            <w:r>
              <w:rPr>
                <w:rFonts w:ascii="Times New Roman" w:hAnsi="Times New Roman"/>
                <w:sz w:val="20"/>
              </w:rPr>
              <w:t>99,782</w:t>
            </w:r>
          </w:p>
        </w:tc>
        <w:tc>
          <w:tcPr>
            <w:tcW w:w="308"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109" w:type="dxa"/>
            <w:tcBorders/>
            <w:shd w:fill="C0C0C0" w:val="clear"/>
            <w:vAlign w:val="bottom"/>
          </w:tcPr>
          <w:p>
            <w:pPr>
              <w:pStyle w:val="TableContents"/>
              <w:spacing w:before="0" w:after="283"/>
              <w:rPr>
                <w:sz w:val="4"/>
                <w:szCs w:val="4"/>
              </w:rPr>
            </w:pPr>
            <w:r>
              <w:rPr>
                <w:sz w:val="4"/>
                <w:szCs w:val="4"/>
              </w:rPr>
            </w:r>
          </w:p>
        </w:tc>
        <w:tc>
          <w:tcPr>
            <w:tcW w:w="8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143" w:type="dxa"/>
            <w:tcBorders/>
            <w:shd w:fill="C0C0C0" w:val="clear"/>
            <w:vAlign w:val="bottom"/>
          </w:tcPr>
          <w:p>
            <w:pPr>
              <w:pStyle w:val="TableContents"/>
              <w:spacing w:before="0" w:after="283"/>
              <w:rPr>
                <w:sz w:val="4"/>
                <w:szCs w:val="4"/>
              </w:rPr>
            </w:pPr>
            <w:r>
              <w:rPr>
                <w:sz w:val="4"/>
                <w:szCs w:val="4"/>
              </w:rPr>
            </w:r>
          </w:p>
        </w:tc>
        <w:tc>
          <w:tcPr>
            <w:tcW w:w="7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79" w:type="dxa"/>
            <w:tcBorders/>
            <w:shd w:fill="C0C0C0" w:val="clear"/>
            <w:vAlign w:val="bottom"/>
          </w:tcPr>
          <w:p>
            <w:pPr>
              <w:pStyle w:val="TableContents"/>
              <w:spacing w:before="0" w:after="283"/>
              <w:rPr>
                <w:sz w:val="4"/>
                <w:szCs w:val="4"/>
              </w:rPr>
            </w:pPr>
            <w:r>
              <w:rPr>
                <w:sz w:val="4"/>
                <w:szCs w:val="4"/>
              </w:rPr>
            </w:r>
          </w:p>
        </w:tc>
      </w:tr>
      <w:tr>
        <w:trPr/>
        <w:tc>
          <w:tcPr>
            <w:tcW w:w="10205" w:type="dxa"/>
            <w:gridSpan w:val="19"/>
            <w:tcBorders/>
            <w:shd w:fill="auto" w:val="clear"/>
            <w:vAlign w:val="center"/>
          </w:tcPr>
          <w:p>
            <w:pPr>
              <w:pStyle w:val="TableContents"/>
              <w:spacing w:before="0" w:after="283"/>
              <w:rPr/>
            </w:pPr>
            <w:r>
              <w:rPr/>
              <w:t> </w:t>
            </w:r>
          </w:p>
        </w:tc>
      </w:tr>
      <w:tr>
        <w:trPr/>
        <w:tc>
          <w:tcPr>
            <w:tcW w:w="353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08"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50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8"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421" w:type="dxa"/>
            <w:tcBorders/>
            <w:shd w:fill="C0C0C0" w:val="clear"/>
            <w:vAlign w:val="bottom"/>
          </w:tcPr>
          <w:p>
            <w:pPr>
              <w:pStyle w:val="TableContents"/>
              <w:spacing w:before="0" w:after="283"/>
              <w:rPr>
                <w:sz w:val="4"/>
                <w:szCs w:val="4"/>
              </w:rPr>
            </w:pPr>
            <w:r>
              <w:rPr>
                <w:sz w:val="4"/>
                <w:szCs w:val="4"/>
              </w:rPr>
            </w:r>
          </w:p>
        </w:tc>
        <w:tc>
          <w:tcPr>
            <w:tcW w:w="143" w:type="dxa"/>
            <w:tcBorders/>
            <w:shd w:fill="C0C0C0" w:val="clear"/>
            <w:vAlign w:val="bottom"/>
          </w:tcPr>
          <w:p>
            <w:pPr>
              <w:pStyle w:val="TableContents"/>
              <w:spacing w:before="0" w:after="283"/>
              <w:rPr>
                <w:sz w:val="4"/>
                <w:szCs w:val="4"/>
              </w:rPr>
            </w:pPr>
            <w:r>
              <w:rPr>
                <w:sz w:val="4"/>
                <w:szCs w:val="4"/>
              </w:rPr>
            </w:r>
          </w:p>
        </w:tc>
        <w:tc>
          <w:tcPr>
            <w:tcW w:w="66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8"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109" w:type="dxa"/>
            <w:tcBorders/>
            <w:shd w:fill="C0C0C0" w:val="clear"/>
            <w:vAlign w:val="bottom"/>
          </w:tcPr>
          <w:p>
            <w:pPr>
              <w:pStyle w:val="TableContents"/>
              <w:spacing w:before="0" w:after="283"/>
              <w:rPr>
                <w:sz w:val="4"/>
                <w:szCs w:val="4"/>
              </w:rPr>
            </w:pPr>
            <w:r>
              <w:rPr>
                <w:sz w:val="4"/>
                <w:szCs w:val="4"/>
              </w:rPr>
            </w:r>
          </w:p>
        </w:tc>
        <w:tc>
          <w:tcPr>
            <w:tcW w:w="8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143" w:type="dxa"/>
            <w:tcBorders/>
            <w:shd w:fill="C0C0C0" w:val="clear"/>
            <w:vAlign w:val="bottom"/>
          </w:tcPr>
          <w:p>
            <w:pPr>
              <w:pStyle w:val="TableContents"/>
              <w:spacing w:before="0" w:after="283"/>
              <w:rPr>
                <w:sz w:val="4"/>
                <w:szCs w:val="4"/>
              </w:rPr>
            </w:pPr>
            <w:r>
              <w:rPr>
                <w:sz w:val="4"/>
                <w:szCs w:val="4"/>
              </w:rPr>
            </w:r>
          </w:p>
        </w:tc>
        <w:tc>
          <w:tcPr>
            <w:tcW w:w="7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79" w:type="dxa"/>
            <w:tcBorders/>
            <w:shd w:fill="C0C0C0" w:val="clear"/>
            <w:vAlign w:val="bottom"/>
          </w:tcPr>
          <w:p>
            <w:pPr>
              <w:pStyle w:val="TableContents"/>
              <w:spacing w:before="0" w:after="283"/>
              <w:rPr>
                <w:sz w:val="4"/>
                <w:szCs w:val="4"/>
              </w:rPr>
            </w:pPr>
            <w:r>
              <w:rPr>
                <w:sz w:val="4"/>
                <w:szCs w:val="4"/>
              </w:rPr>
            </w:r>
          </w:p>
        </w:tc>
      </w:tr>
      <w:tr>
        <w:trPr/>
        <w:tc>
          <w:tcPr>
            <w:tcW w:w="10205" w:type="dxa"/>
            <w:gridSpan w:val="19"/>
            <w:tcBorders/>
            <w:shd w:fill="auto" w:val="clear"/>
            <w:vAlign w:val="center"/>
          </w:tcPr>
          <w:p>
            <w:pPr>
              <w:pStyle w:val="TableContents"/>
              <w:spacing w:before="0" w:after="283"/>
              <w:rPr/>
            </w:pPr>
            <w:r>
              <w:rPr/>
              <w:t> </w:t>
            </w:r>
          </w:p>
        </w:tc>
      </w:tr>
      <w:tr>
        <w:trPr/>
        <w:tc>
          <w:tcPr>
            <w:tcW w:w="353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08"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50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8"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421" w:type="dxa"/>
            <w:tcBorders/>
            <w:shd w:fill="C0C0C0" w:val="clear"/>
            <w:vAlign w:val="bottom"/>
          </w:tcPr>
          <w:p>
            <w:pPr>
              <w:pStyle w:val="TableContents"/>
              <w:spacing w:before="0" w:after="283"/>
              <w:rPr>
                <w:sz w:val="4"/>
                <w:szCs w:val="4"/>
              </w:rPr>
            </w:pPr>
            <w:r>
              <w:rPr>
                <w:sz w:val="4"/>
                <w:szCs w:val="4"/>
              </w:rPr>
            </w:r>
          </w:p>
        </w:tc>
        <w:tc>
          <w:tcPr>
            <w:tcW w:w="143" w:type="dxa"/>
            <w:tcBorders/>
            <w:shd w:fill="C0C0C0" w:val="clear"/>
            <w:vAlign w:val="bottom"/>
          </w:tcPr>
          <w:p>
            <w:pPr>
              <w:pStyle w:val="TableContents"/>
              <w:spacing w:before="0" w:after="283"/>
              <w:rPr>
                <w:sz w:val="4"/>
                <w:szCs w:val="4"/>
              </w:rPr>
            </w:pPr>
            <w:r>
              <w:rPr>
                <w:sz w:val="4"/>
                <w:szCs w:val="4"/>
              </w:rPr>
            </w:r>
          </w:p>
        </w:tc>
        <w:tc>
          <w:tcPr>
            <w:tcW w:w="66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8"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109" w:type="dxa"/>
            <w:tcBorders/>
            <w:shd w:fill="C0C0C0" w:val="clear"/>
            <w:vAlign w:val="bottom"/>
          </w:tcPr>
          <w:p>
            <w:pPr>
              <w:pStyle w:val="TableContents"/>
              <w:spacing w:before="0" w:after="283"/>
              <w:rPr>
                <w:sz w:val="4"/>
                <w:szCs w:val="4"/>
              </w:rPr>
            </w:pPr>
            <w:r>
              <w:rPr>
                <w:sz w:val="4"/>
                <w:szCs w:val="4"/>
              </w:rPr>
            </w:r>
          </w:p>
        </w:tc>
        <w:tc>
          <w:tcPr>
            <w:tcW w:w="8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12"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308" w:type="dxa"/>
            <w:tcBorders/>
            <w:shd w:fill="C0C0C0" w:val="clear"/>
            <w:vAlign w:val="bottom"/>
          </w:tcPr>
          <w:p>
            <w:pPr>
              <w:pStyle w:val="TableContents"/>
              <w:spacing w:before="0" w:after="283"/>
              <w:rPr>
                <w:sz w:val="4"/>
                <w:szCs w:val="4"/>
              </w:rPr>
            </w:pPr>
            <w:r>
              <w:rPr>
                <w:sz w:val="4"/>
                <w:szCs w:val="4"/>
              </w:rPr>
            </w:r>
          </w:p>
        </w:tc>
        <w:tc>
          <w:tcPr>
            <w:tcW w:w="14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26,300</w:t>
            </w:r>
          </w:p>
        </w:tc>
        <w:tc>
          <w:tcPr>
            <w:tcW w:w="379" w:type="dxa"/>
            <w:tcBorders/>
            <w:shd w:fill="C0C0C0" w:val="clear"/>
            <w:vAlign w:val="bottom"/>
          </w:tcPr>
          <w:p>
            <w:pPr>
              <w:pStyle w:val="TableContents"/>
              <w:spacing w:before="0" w:after="283"/>
              <w:rPr>
                <w:sz w:val="4"/>
                <w:szCs w:val="4"/>
              </w:rPr>
            </w:pPr>
            <w:r>
              <w:rPr>
                <w:sz w:val="4"/>
                <w:szCs w:val="4"/>
              </w:rPr>
            </w:r>
          </w:p>
        </w:tc>
      </w:tr>
    </w:tbl>
    <w:p>
      <w:pPr>
        <w:pStyle w:val="TextBody"/>
        <w:rPr/>
      </w:pPr>
      <w:r>
        <w:rPr/>
      </w:r>
    </w:p>
    <w:p>
      <w:pPr>
        <w:pStyle w:val="TextBody"/>
        <w:jc w:val="both"/>
        <w:rPr>
          <w:rFonts w:ascii="Times New Roman" w:hAnsi="Times New Roman"/>
          <w:sz w:val="20"/>
        </w:rPr>
      </w:pPr>
      <w:r>
        <w:rPr>
          <w:rFonts w:ascii="Times New Roman" w:hAnsi="Times New Roman"/>
          <w:sz w:val="20"/>
        </w:rPr>
        <w:t>(1) The Value Realized on Exercise represents the difference between the market price of our Common Stock on the date of exercise and the grant price, multiplied by the number of shares acquired. The Value Realized on Vesting represents the market price of our Common Stock on the date of vesting multiplied by the number of shares vested.</w:t>
      </w:r>
    </w:p>
    <w:p>
      <w:pPr>
        <w:pStyle w:val="TextBody"/>
        <w:jc w:val="center"/>
        <w:rPr>
          <w:rFonts w:ascii="Times New Roman" w:hAnsi="Times New Roman"/>
          <w:sz w:val="20"/>
        </w:rPr>
      </w:pPr>
      <w:r>
        <w:rPr>
          <w:rFonts w:ascii="Times New Roman" w:hAnsi="Times New Roman"/>
          <w:sz w:val="20"/>
        </w:rPr>
        <w:t>40</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Pension Benefits for Fiscal 2013</w:t>
      </w:r>
    </w:p>
    <w:p>
      <w:pPr>
        <w:pStyle w:val="TextBody"/>
        <w:jc w:val="both"/>
        <w:rPr/>
      </w:pPr>
      <w:r>
        <w:rPr/>
        <w:t xml:space="preserve">     </w:t>
      </w:r>
      <w:r>
        <w:rPr>
          <w:rStyle w:val="StrongEmphasis"/>
          <w:rFonts w:ascii="Times New Roman" w:hAnsi="Times New Roman"/>
          <w:sz w:val="20"/>
        </w:rPr>
        <w:t xml:space="preserve">Defined benefit pension plan: </w:t>
      </w:r>
      <w:r>
        <w:rPr>
          <w:rFonts w:ascii="Times New Roman" w:hAnsi="Times New Roman"/>
          <w:sz w:val="20"/>
        </w:rPr>
        <w:t>All U.S.-based employees participate in our non-contributory, tax-qualified, defined benefit pension plan once they reach age 21 and complete one year of service. For salaried employees, including the named executive officers, the pension plan provides for pensions based on credited years of service (capped at 30 years) and Final Average Compensation.</w:t>
      </w:r>
    </w:p>
    <w:p>
      <w:pPr>
        <w:pStyle w:val="TextBody"/>
        <w:jc w:val="both"/>
        <w:rPr/>
      </w:pPr>
      <w:r>
        <w:rPr/>
        <w:t xml:space="preserve">     </w:t>
      </w:r>
      <w:r>
        <w:rPr>
          <w:rFonts w:ascii="Times New Roman" w:hAnsi="Times New Roman"/>
          <w:sz w:val="20"/>
        </w:rPr>
        <w:t>The normal form of benefit is a life annuity with five years certain, payable at normal retirement age. The standard form of payment for a participant who is married is a 50% joint and survivor annuity. Other forms of benefit are available. Each form of benefit has approximately the same relative value. The formula for computation of the normal form of benefit is:</w:t>
      </w:r>
    </w:p>
    <w:tbl>
      <w:tblPr>
        <w:tblW w:w="5055" w:type="dxa"/>
        <w:jc w:val="center"/>
        <w:tblInd w:w="0" w:type="dxa"/>
        <w:tblCellMar>
          <w:top w:w="0" w:type="dxa"/>
          <w:left w:w="0" w:type="dxa"/>
          <w:bottom w:w="0" w:type="dxa"/>
          <w:right w:w="0" w:type="dxa"/>
        </w:tblCellMar>
      </w:tblPr>
      <w:tblGrid>
        <w:gridCol w:w="440"/>
        <w:gridCol w:w="545"/>
        <w:gridCol w:w="420"/>
        <w:gridCol w:w="3650"/>
      </w:tblGrid>
      <w:tr>
        <w:trPr/>
        <w:tc>
          <w:tcPr>
            <w:tcW w:w="440"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0.55%</w:t>
            </w:r>
          </w:p>
        </w:tc>
        <w:tc>
          <w:tcPr>
            <w:tcW w:w="420" w:type="dxa"/>
            <w:tcBorders/>
            <w:shd w:fill="auto" w:val="clear"/>
            <w:vAlign w:val="bottom"/>
          </w:tcPr>
          <w:p>
            <w:pPr>
              <w:pStyle w:val="TableContents"/>
              <w:spacing w:before="0" w:after="283"/>
              <w:rPr>
                <w:sz w:val="4"/>
                <w:szCs w:val="4"/>
              </w:rPr>
            </w:pPr>
            <w:r>
              <w:rPr>
                <w:sz w:val="4"/>
                <w:szCs w:val="4"/>
              </w:rPr>
            </w:r>
          </w:p>
        </w:tc>
        <w:tc>
          <w:tcPr>
            <w:tcW w:w="36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of Final Average Compensation</w:t>
            </w:r>
          </w:p>
        </w:tc>
      </w:tr>
      <w:tr>
        <w:trPr/>
        <w:tc>
          <w:tcPr>
            <w:tcW w:w="4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0.55%</w:t>
            </w:r>
          </w:p>
        </w:tc>
        <w:tc>
          <w:tcPr>
            <w:tcW w:w="420" w:type="dxa"/>
            <w:tcBorders/>
            <w:shd w:fill="auto" w:val="clear"/>
            <w:vAlign w:val="bottom"/>
          </w:tcPr>
          <w:p>
            <w:pPr>
              <w:pStyle w:val="TableContents"/>
              <w:spacing w:before="0" w:after="283"/>
              <w:jc w:val="left"/>
              <w:rPr/>
            </w:pPr>
            <w:r>
              <w:rPr/>
              <w:t xml:space="preserve">       </w:t>
            </w:r>
          </w:p>
        </w:tc>
        <w:tc>
          <w:tcPr>
            <w:tcW w:w="36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of Final Average Compensation that exceeds</w:t>
            </w:r>
          </w:p>
        </w:tc>
      </w:tr>
      <w:tr>
        <w:trPr/>
        <w:tc>
          <w:tcPr>
            <w:tcW w:w="440"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3650" w:type="dxa"/>
            <w:tcBorders/>
            <w:shd w:fill="auto" w:val="clear"/>
            <w:vAlign w:val="bottom"/>
          </w:tcPr>
          <w:p>
            <w:pPr>
              <w:pStyle w:val="TableContents"/>
              <w:spacing w:before="0" w:after="283"/>
              <w:jc w:val="left"/>
              <w:rPr/>
            </w:pPr>
            <w:r>
              <w:rPr/>
              <w:t xml:space="preserve">       </w:t>
            </w:r>
            <w:r>
              <w:rPr>
                <w:rFonts w:ascii="Times New Roman" w:hAnsi="Times New Roman"/>
                <w:sz w:val="20"/>
              </w:rPr>
              <w:t>Social Security Covered Compensation</w:t>
            </w:r>
          </w:p>
        </w:tc>
      </w:tr>
      <w:tr>
        <w:trPr/>
        <w:tc>
          <w:tcPr>
            <w:tcW w:w="440" w:type="dxa"/>
            <w:tcBorders/>
            <w:shd w:fill="auto" w:val="clear"/>
            <w:vAlign w:val="bottom"/>
          </w:tcPr>
          <w:p>
            <w:pPr>
              <w:pStyle w:val="TableContents"/>
              <w:spacing w:before="0" w:after="283"/>
              <w:rPr>
                <w:sz w:val="4"/>
                <w:szCs w:val="4"/>
              </w:rPr>
            </w:pPr>
            <w:r>
              <w:rPr>
                <w:sz w:val="4"/>
                <w:szCs w:val="4"/>
              </w:rPr>
            </w:r>
          </w:p>
        </w:tc>
        <w:tc>
          <w:tcPr>
            <w:tcW w:w="4615" w:type="dxa"/>
            <w:gridSpan w:val="3"/>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Multiplied by years of credited service</w:t>
            </w:r>
          </w:p>
        </w:tc>
      </w:tr>
    </w:tbl>
    <w:p>
      <w:pPr>
        <w:pStyle w:val="TextBody"/>
        <w:rPr/>
      </w:pPr>
      <w:r>
        <w:rPr/>
      </w:r>
    </w:p>
    <w:p>
      <w:pPr>
        <w:pStyle w:val="TextBody"/>
        <w:jc w:val="both"/>
        <w:rPr/>
      </w:pPr>
      <w:r>
        <w:rPr/>
        <w:t xml:space="preserve">     </w:t>
      </w:r>
      <w:r>
        <w:rPr>
          <w:rFonts w:ascii="Times New Roman" w:hAnsi="Times New Roman"/>
          <w:sz w:val="20"/>
        </w:rPr>
        <w:t>Final Average Compensation is the monthly average of the participants compensation paid during the highest paid consecutive five years during the last 10 years of employment. Compensation for pension plan purposes consists of certain cash compensation, principally base salary and commissions. Social Security Covered Compensation is the average of the taxable wage bases in effect for each calendar year in the 35-year period ending with the year the participant attains Social Security retirement age.</w:t>
      </w:r>
    </w:p>
    <w:p>
      <w:pPr>
        <w:pStyle w:val="TextBody"/>
        <w:jc w:val="both"/>
        <w:rPr/>
      </w:pPr>
      <w:r>
        <w:rPr/>
        <w:t xml:space="preserve">     </w:t>
      </w:r>
      <w:r>
        <w:rPr>
          <w:rFonts w:ascii="Times New Roman" w:hAnsi="Times New Roman"/>
          <w:sz w:val="20"/>
        </w:rPr>
        <w:t>A participants right to an accrued benefit becomes non-forfeitable after five years of vesting service. Normal retirement age under the plan is age 65, or the date a participant completes five years of vesting service, if later. Salaried participants who have 10 years of service can receive actuarially reduced early retirement benefits as early as age 55. The present value of the accumulated benefit is the same regardless of whether a participant begins to receive benefits at age 65 or at an earlier age. We do not subsidize early retirement benefits.</w:t>
      </w:r>
    </w:p>
    <w:p>
      <w:pPr>
        <w:pStyle w:val="TextBody"/>
        <w:jc w:val="both"/>
        <w:rPr/>
      </w:pPr>
      <w:r>
        <w:rPr/>
        <w:t xml:space="preserve">     </w:t>
      </w:r>
      <w:r>
        <w:rPr>
          <w:rFonts w:ascii="Times New Roman" w:hAnsi="Times New Roman"/>
          <w:sz w:val="20"/>
        </w:rPr>
        <w:t>If a married participant with a non-forfeitable benefit dies prior to commencement of benefit payments, the participants spouse will be entitled to a survivor annuity equal to the amount the spouse would have been entitled to receive under a 50% joint and survivor annuity.</w:t>
      </w:r>
    </w:p>
    <w:p>
      <w:pPr>
        <w:pStyle w:val="TextBody"/>
        <w:jc w:val="both"/>
        <w:rPr/>
      </w:pPr>
      <w:r>
        <w:rPr/>
        <w:t xml:space="preserve">     </w:t>
      </w:r>
      <w:r>
        <w:rPr>
          <w:rStyle w:val="StrongEmphasis"/>
          <w:rFonts w:ascii="Times New Roman" w:hAnsi="Times New Roman"/>
          <w:sz w:val="20"/>
        </w:rPr>
        <w:t xml:space="preserve">SERP: </w:t>
      </w:r>
      <w:r>
        <w:rPr>
          <w:rFonts w:ascii="Times New Roman" w:hAnsi="Times New Roman"/>
          <w:sz w:val="20"/>
        </w:rPr>
        <w:t>Our SERP provides benefits that would have been provided under our pension plan absent Code limitations on benefits and on compensation for purposes of calculating benefits, offset by the actual pension benefits. All employees whose pension plan benefits are limited by those Code limitations may participate in the SERP. Currently, Daniel S. Jaffee, our CEO, is the only participant. Benefits provided under the SERP are paid in five equal annual installments beginning six months after the participants separation from service; however, if upon termination of employment the present value of the participants accumulated benefits does not exceed $50,000, payment will be made in a lump sum, as soon as administratively feasible after the first day of the calendar month that follows six months of separation from service.</w:t>
      </w:r>
    </w:p>
    <w:p>
      <w:pPr>
        <w:pStyle w:val="TextBody"/>
        <w:jc w:val="center"/>
        <w:rPr>
          <w:rFonts w:ascii="Times New Roman" w:hAnsi="Times New Roman"/>
          <w:sz w:val="20"/>
        </w:rPr>
      </w:pPr>
      <w:r>
        <w:rPr>
          <w:rFonts w:ascii="Times New Roman" w:hAnsi="Times New Roman"/>
          <w:sz w:val="20"/>
        </w:rPr>
        <w:t>41</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The following table shows the present value of the accumulated benefits under the pension plan and under the SERP for each of the named executive officers. No payments were made to any named executive officer under the pension plan or the SERP during fiscal 2013.</w:t>
      </w:r>
    </w:p>
    <w:tbl>
      <w:tblPr>
        <w:tblW w:w="5000" w:type="pct"/>
        <w:jc w:val="left"/>
        <w:tblInd w:w="0" w:type="dxa"/>
        <w:tblCellMar>
          <w:top w:w="0" w:type="dxa"/>
          <w:left w:w="0" w:type="dxa"/>
          <w:bottom w:w="0" w:type="dxa"/>
          <w:right w:w="0" w:type="dxa"/>
        </w:tblCellMar>
      </w:tblPr>
      <w:tblGrid>
        <w:gridCol w:w="4253"/>
        <w:gridCol w:w="316"/>
        <w:gridCol w:w="1110"/>
        <w:gridCol w:w="316"/>
        <w:gridCol w:w="600"/>
        <w:gridCol w:w="524"/>
        <w:gridCol w:w="600"/>
        <w:gridCol w:w="316"/>
        <w:gridCol w:w="600"/>
        <w:gridCol w:w="150"/>
        <w:gridCol w:w="812"/>
        <w:gridCol w:w="608"/>
      </w:tblGrid>
      <w:tr>
        <w:trPr/>
        <w:tc>
          <w:tcPr>
            <w:tcW w:w="4253"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1110"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1724"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Years</w:t>
            </w:r>
          </w:p>
        </w:tc>
        <w:tc>
          <w:tcPr>
            <w:tcW w:w="316"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sz w:val="4"/>
                <w:szCs w:val="4"/>
              </w:rPr>
            </w:pPr>
            <w:r>
              <w:rPr>
                <w:sz w:val="4"/>
                <w:szCs w:val="4"/>
              </w:rPr>
            </w:r>
          </w:p>
        </w:tc>
        <w:tc>
          <w:tcPr>
            <w:tcW w:w="812" w:type="dxa"/>
            <w:tcBorders/>
            <w:shd w:fill="auto" w:val="clear"/>
            <w:vAlign w:val="bottom"/>
          </w:tcPr>
          <w:p>
            <w:pPr>
              <w:pStyle w:val="TableContents"/>
              <w:spacing w:before="0" w:after="283"/>
              <w:rPr>
                <w:sz w:val="4"/>
                <w:szCs w:val="4"/>
              </w:rPr>
            </w:pPr>
            <w:r>
              <w:rPr>
                <w:sz w:val="4"/>
                <w:szCs w:val="4"/>
              </w:rPr>
            </w:r>
          </w:p>
        </w:tc>
        <w:tc>
          <w:tcPr>
            <w:tcW w:w="608" w:type="dxa"/>
            <w:tcBorders/>
            <w:shd w:fill="auto" w:val="clear"/>
            <w:vAlign w:val="bottom"/>
          </w:tcPr>
          <w:p>
            <w:pPr>
              <w:pStyle w:val="TableContents"/>
              <w:spacing w:before="0" w:after="283"/>
              <w:rPr>
                <w:sz w:val="4"/>
                <w:szCs w:val="4"/>
              </w:rPr>
            </w:pPr>
            <w:r>
              <w:rPr>
                <w:sz w:val="4"/>
                <w:szCs w:val="4"/>
              </w:rPr>
            </w:r>
          </w:p>
        </w:tc>
      </w:tr>
      <w:tr>
        <w:trPr/>
        <w:tc>
          <w:tcPr>
            <w:tcW w:w="4253"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1110"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1724"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 Credited</w:t>
            </w:r>
          </w:p>
        </w:tc>
        <w:tc>
          <w:tcPr>
            <w:tcW w:w="316" w:type="dxa"/>
            <w:tcBorders/>
            <w:shd w:fill="auto" w:val="clear"/>
            <w:vAlign w:val="bottom"/>
          </w:tcPr>
          <w:p>
            <w:pPr>
              <w:pStyle w:val="TableContents"/>
              <w:spacing w:before="0" w:after="283"/>
              <w:rPr>
                <w:sz w:val="4"/>
                <w:szCs w:val="4"/>
              </w:rPr>
            </w:pPr>
            <w:r>
              <w:rPr>
                <w:sz w:val="4"/>
                <w:szCs w:val="4"/>
              </w:rPr>
            </w:r>
          </w:p>
        </w:tc>
        <w:tc>
          <w:tcPr>
            <w:tcW w:w="2170"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Present Value of</w:t>
            </w:r>
          </w:p>
        </w:tc>
      </w:tr>
      <w:tr>
        <w:trPr/>
        <w:tc>
          <w:tcPr>
            <w:tcW w:w="4253"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jc w:val="left"/>
              <w:rPr/>
            </w:pPr>
            <w:r>
              <w:rPr/>
              <w:t>     </w:t>
            </w:r>
          </w:p>
        </w:tc>
        <w:tc>
          <w:tcPr>
            <w:tcW w:w="1110"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jc w:val="center"/>
              <w:rPr/>
            </w:pPr>
            <w:r>
              <w:rPr/>
              <w:t>     </w:t>
            </w:r>
          </w:p>
        </w:tc>
        <w:tc>
          <w:tcPr>
            <w:tcW w:w="1724"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Service</w:t>
            </w:r>
          </w:p>
        </w:tc>
        <w:tc>
          <w:tcPr>
            <w:tcW w:w="316" w:type="dxa"/>
            <w:tcBorders/>
            <w:shd w:fill="auto" w:val="clear"/>
            <w:vAlign w:val="bottom"/>
          </w:tcPr>
          <w:p>
            <w:pPr>
              <w:pStyle w:val="TableContents"/>
              <w:spacing w:before="0" w:after="283"/>
              <w:jc w:val="center"/>
              <w:rPr/>
            </w:pPr>
            <w:r>
              <w:rPr/>
              <w:t>     </w:t>
            </w:r>
          </w:p>
        </w:tc>
        <w:tc>
          <w:tcPr>
            <w:tcW w:w="2170"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Accumulated Benefits</w:t>
            </w:r>
          </w:p>
        </w:tc>
      </w:tr>
      <w:tr>
        <w:trPr/>
        <w:tc>
          <w:tcPr>
            <w:tcW w:w="4253"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1110"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1724"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16" w:type="dxa"/>
            <w:tcBorders/>
            <w:shd w:fill="auto" w:val="clear"/>
            <w:vAlign w:val="bottom"/>
          </w:tcPr>
          <w:p>
            <w:pPr>
              <w:pStyle w:val="TableContents"/>
              <w:spacing w:before="0" w:after="283"/>
              <w:rPr>
                <w:sz w:val="4"/>
                <w:szCs w:val="4"/>
              </w:rPr>
            </w:pPr>
            <w:r>
              <w:rPr>
                <w:sz w:val="4"/>
                <w:szCs w:val="4"/>
              </w:rPr>
            </w:r>
          </w:p>
        </w:tc>
        <w:tc>
          <w:tcPr>
            <w:tcW w:w="2170"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4253"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16"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11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 Name</w:t>
            </w:r>
          </w:p>
        </w:tc>
        <w:tc>
          <w:tcPr>
            <w:tcW w:w="316"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724"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16"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2170"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r>
      <w:tr>
        <w:trPr/>
        <w:tc>
          <w:tcPr>
            <w:tcW w:w="425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16" w:type="dxa"/>
            <w:tcBorders/>
            <w:shd w:fill="C0C0C0" w:val="clear"/>
            <w:vAlign w:val="bottom"/>
          </w:tcPr>
          <w:p>
            <w:pPr>
              <w:pStyle w:val="TableContents"/>
              <w:spacing w:before="0" w:after="283"/>
              <w:rPr>
                <w:sz w:val="4"/>
                <w:szCs w:val="4"/>
              </w:rPr>
            </w:pPr>
            <w:r>
              <w:rPr>
                <w:sz w:val="4"/>
                <w:szCs w:val="4"/>
              </w:rPr>
            </w:r>
          </w:p>
        </w:tc>
        <w:tc>
          <w:tcPr>
            <w:tcW w:w="111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16"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jc w:val="right"/>
              <w:rPr/>
            </w:pPr>
            <w:r>
              <w:rPr/>
              <w:t xml:space="preserve">          </w:t>
            </w:r>
          </w:p>
        </w:tc>
        <w:tc>
          <w:tcPr>
            <w:tcW w:w="52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25.75</w:t>
            </w:r>
          </w:p>
        </w:tc>
        <w:tc>
          <w:tcPr>
            <w:tcW w:w="600" w:type="dxa"/>
            <w:tcBorders/>
            <w:shd w:fill="C0C0C0" w:val="clear"/>
            <w:vAlign w:val="bottom"/>
          </w:tcPr>
          <w:p>
            <w:pPr>
              <w:pStyle w:val="TableContents"/>
              <w:spacing w:before="0" w:after="283"/>
              <w:jc w:val="left"/>
              <w:rPr/>
            </w:pPr>
            <w:r>
              <w:rPr/>
              <w:t>          </w:t>
            </w:r>
          </w:p>
        </w:tc>
        <w:tc>
          <w:tcPr>
            <w:tcW w:w="316"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jc w:val="left"/>
              <w:rPr/>
            </w:pPr>
            <w:r>
              <w:rPr/>
              <w:t>          </w:t>
            </w:r>
          </w:p>
        </w:tc>
        <w:tc>
          <w:tcPr>
            <w:tcW w:w="1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2" w:type="dxa"/>
            <w:tcBorders/>
            <w:shd w:fill="C0C0C0" w:val="clear"/>
            <w:vAlign w:val="bottom"/>
          </w:tcPr>
          <w:p>
            <w:pPr>
              <w:pStyle w:val="TableContents"/>
              <w:spacing w:before="0" w:after="283"/>
              <w:jc w:val="right"/>
              <w:rPr/>
            </w:pPr>
            <w:r>
              <w:rPr/>
              <w:t> </w:t>
            </w:r>
            <w:r>
              <w:rPr>
                <w:rFonts w:ascii="Times New Roman" w:hAnsi="Times New Roman"/>
                <w:sz w:val="20"/>
              </w:rPr>
              <w:t>313,134</w:t>
            </w:r>
          </w:p>
        </w:tc>
        <w:tc>
          <w:tcPr>
            <w:tcW w:w="608" w:type="dxa"/>
            <w:tcBorders/>
            <w:shd w:fill="C0C0C0" w:val="clear"/>
            <w:vAlign w:val="bottom"/>
          </w:tcPr>
          <w:p>
            <w:pPr>
              <w:pStyle w:val="TableContents"/>
              <w:spacing w:before="0" w:after="283"/>
              <w:jc w:val="left"/>
              <w:rPr/>
            </w:pPr>
            <w:r>
              <w:rPr/>
              <w:t xml:space="preserve">          </w:t>
            </w:r>
          </w:p>
        </w:tc>
      </w:tr>
      <w:tr>
        <w:trPr/>
        <w:tc>
          <w:tcPr>
            <w:tcW w:w="4253" w:type="dxa"/>
            <w:tcBorders/>
            <w:shd w:fill="C0C0C0" w:val="clear"/>
            <w:vAlign w:val="bottom"/>
          </w:tcPr>
          <w:p>
            <w:pPr>
              <w:pStyle w:val="TableContents"/>
              <w:spacing w:before="0" w:after="283"/>
              <w:rPr>
                <w:sz w:val="4"/>
                <w:szCs w:val="4"/>
              </w:rPr>
            </w:pPr>
            <w:r>
              <w:rPr>
                <w:sz w:val="4"/>
                <w:szCs w:val="4"/>
              </w:rPr>
            </w:r>
          </w:p>
        </w:tc>
        <w:tc>
          <w:tcPr>
            <w:tcW w:w="316" w:type="dxa"/>
            <w:tcBorders/>
            <w:shd w:fill="C0C0C0" w:val="clear"/>
            <w:vAlign w:val="bottom"/>
          </w:tcPr>
          <w:p>
            <w:pPr>
              <w:pStyle w:val="TableContents"/>
              <w:spacing w:before="0" w:after="283"/>
              <w:rPr>
                <w:sz w:val="4"/>
                <w:szCs w:val="4"/>
              </w:rPr>
            </w:pPr>
            <w:r>
              <w:rPr>
                <w:sz w:val="4"/>
                <w:szCs w:val="4"/>
              </w:rPr>
            </w:r>
          </w:p>
        </w:tc>
        <w:tc>
          <w:tcPr>
            <w:tcW w:w="111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SERP</w:t>
            </w:r>
          </w:p>
        </w:tc>
        <w:tc>
          <w:tcPr>
            <w:tcW w:w="316" w:type="dxa"/>
            <w:tcBorders/>
            <w:shd w:fill="C0C0C0" w:val="clear"/>
            <w:vAlign w:val="bottom"/>
          </w:tcPr>
          <w:p>
            <w:pPr>
              <w:pStyle w:val="TableContents"/>
              <w:spacing w:before="0" w:after="283"/>
              <w:jc w:val="right"/>
              <w:rPr/>
            </w:pPr>
            <w:r>
              <w:rPr/>
              <w:t> </w:t>
            </w:r>
          </w:p>
        </w:tc>
        <w:tc>
          <w:tcPr>
            <w:tcW w:w="600" w:type="dxa"/>
            <w:tcBorders/>
            <w:shd w:fill="C0C0C0" w:val="clear"/>
            <w:vAlign w:val="bottom"/>
          </w:tcPr>
          <w:p>
            <w:pPr>
              <w:pStyle w:val="TableContents"/>
              <w:spacing w:before="0" w:after="283"/>
              <w:jc w:val="right"/>
              <w:rPr/>
            </w:pPr>
            <w:r>
              <w:rPr/>
              <w:t> </w:t>
            </w:r>
          </w:p>
        </w:tc>
        <w:tc>
          <w:tcPr>
            <w:tcW w:w="52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25.75</w:t>
            </w:r>
          </w:p>
        </w:tc>
        <w:tc>
          <w:tcPr>
            <w:tcW w:w="600" w:type="dxa"/>
            <w:tcBorders/>
            <w:shd w:fill="C0C0C0" w:val="clear"/>
            <w:vAlign w:val="bottom"/>
          </w:tcPr>
          <w:p>
            <w:pPr>
              <w:pStyle w:val="TableContents"/>
              <w:spacing w:before="0" w:after="283"/>
              <w:rPr>
                <w:sz w:val="4"/>
                <w:szCs w:val="4"/>
              </w:rPr>
            </w:pPr>
            <w:r>
              <w:rPr>
                <w:sz w:val="4"/>
                <w:szCs w:val="4"/>
              </w:rPr>
            </w:r>
          </w:p>
        </w:tc>
        <w:tc>
          <w:tcPr>
            <w:tcW w:w="316"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328,762</w:t>
            </w:r>
          </w:p>
        </w:tc>
        <w:tc>
          <w:tcPr>
            <w:tcW w:w="608" w:type="dxa"/>
            <w:tcBorders/>
            <w:shd w:fill="C0C0C0" w:val="clear"/>
            <w:vAlign w:val="bottom"/>
          </w:tcPr>
          <w:p>
            <w:pPr>
              <w:pStyle w:val="TableContents"/>
              <w:spacing w:before="0" w:after="283"/>
              <w:rPr>
                <w:sz w:val="4"/>
                <w:szCs w:val="4"/>
              </w:rPr>
            </w:pPr>
            <w:r>
              <w:rPr>
                <w:sz w:val="4"/>
                <w:szCs w:val="4"/>
              </w:rPr>
            </w:r>
          </w:p>
        </w:tc>
      </w:tr>
      <w:tr>
        <w:trPr/>
        <w:tc>
          <w:tcPr>
            <w:tcW w:w="425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16" w:type="dxa"/>
            <w:tcBorders/>
            <w:shd w:fill="auto" w:val="clear"/>
            <w:vAlign w:val="bottom"/>
          </w:tcPr>
          <w:p>
            <w:pPr>
              <w:pStyle w:val="TableContents"/>
              <w:spacing w:before="0" w:after="283"/>
              <w:jc w:val="center"/>
              <w:rPr/>
            </w:pPr>
            <w:r>
              <w:rPr/>
              <w:t> </w:t>
            </w:r>
          </w:p>
        </w:tc>
        <w:tc>
          <w:tcPr>
            <w:tcW w:w="111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16"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12.79</w:t>
            </w:r>
          </w:p>
        </w:tc>
        <w:tc>
          <w:tcPr>
            <w:tcW w:w="600"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98,616</w:t>
            </w:r>
          </w:p>
        </w:tc>
        <w:tc>
          <w:tcPr>
            <w:tcW w:w="608" w:type="dxa"/>
            <w:tcBorders/>
            <w:shd w:fill="auto" w:val="clear"/>
            <w:vAlign w:val="bottom"/>
          </w:tcPr>
          <w:p>
            <w:pPr>
              <w:pStyle w:val="TableContents"/>
              <w:spacing w:before="0" w:after="283"/>
              <w:jc w:val="left"/>
              <w:rPr/>
            </w:pPr>
            <w:r>
              <w:rPr/>
              <w:t> </w:t>
            </w:r>
          </w:p>
        </w:tc>
      </w:tr>
      <w:tr>
        <w:trPr/>
        <w:tc>
          <w:tcPr>
            <w:tcW w:w="425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16" w:type="dxa"/>
            <w:tcBorders/>
            <w:shd w:fill="C0C0C0" w:val="clear"/>
            <w:vAlign w:val="bottom"/>
          </w:tcPr>
          <w:p>
            <w:pPr>
              <w:pStyle w:val="TableContents"/>
              <w:spacing w:before="0" w:after="283"/>
              <w:rPr>
                <w:sz w:val="4"/>
                <w:szCs w:val="4"/>
              </w:rPr>
            </w:pPr>
            <w:r>
              <w:rPr>
                <w:sz w:val="4"/>
                <w:szCs w:val="4"/>
              </w:rPr>
            </w:r>
          </w:p>
        </w:tc>
        <w:tc>
          <w:tcPr>
            <w:tcW w:w="111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16"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52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26.33</w:t>
            </w:r>
          </w:p>
        </w:tc>
        <w:tc>
          <w:tcPr>
            <w:tcW w:w="600" w:type="dxa"/>
            <w:tcBorders/>
            <w:shd w:fill="C0C0C0" w:val="clear"/>
            <w:vAlign w:val="bottom"/>
          </w:tcPr>
          <w:p>
            <w:pPr>
              <w:pStyle w:val="TableContents"/>
              <w:spacing w:before="0" w:after="283"/>
              <w:rPr>
                <w:sz w:val="4"/>
                <w:szCs w:val="4"/>
              </w:rPr>
            </w:pPr>
            <w:r>
              <w:rPr>
                <w:sz w:val="4"/>
                <w:szCs w:val="4"/>
              </w:rPr>
            </w:r>
          </w:p>
        </w:tc>
        <w:tc>
          <w:tcPr>
            <w:tcW w:w="316" w:type="dxa"/>
            <w:tcBorders/>
            <w:shd w:fill="C0C0C0" w:val="clear"/>
            <w:vAlign w:val="bottom"/>
          </w:tcPr>
          <w:p>
            <w:pPr>
              <w:pStyle w:val="TableContents"/>
              <w:spacing w:before="0" w:after="283"/>
              <w:jc w:val="left"/>
              <w:rPr/>
            </w:pPr>
            <w:r>
              <w:rPr/>
              <w:t> </w:t>
            </w:r>
          </w:p>
        </w:tc>
        <w:tc>
          <w:tcPr>
            <w:tcW w:w="600" w:type="dxa"/>
            <w:tcBorders/>
            <w:shd w:fill="C0C0C0" w:val="clear"/>
            <w:vAlign w:val="bottom"/>
          </w:tcPr>
          <w:p>
            <w:pPr>
              <w:pStyle w:val="TableContents"/>
              <w:spacing w:before="0" w:after="283"/>
              <w:rPr>
                <w:sz w:val="4"/>
                <w:szCs w:val="4"/>
              </w:rPr>
            </w:pPr>
            <w:r>
              <w:rPr>
                <w:sz w:val="4"/>
                <w:szCs w:val="4"/>
              </w:rPr>
            </w:r>
          </w:p>
        </w:tc>
        <w:tc>
          <w:tcPr>
            <w:tcW w:w="1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307,193</w:t>
            </w:r>
          </w:p>
        </w:tc>
        <w:tc>
          <w:tcPr>
            <w:tcW w:w="608" w:type="dxa"/>
            <w:tcBorders/>
            <w:shd w:fill="C0C0C0" w:val="clear"/>
            <w:vAlign w:val="bottom"/>
          </w:tcPr>
          <w:p>
            <w:pPr>
              <w:pStyle w:val="TableContents"/>
              <w:spacing w:before="0" w:after="283"/>
              <w:rPr>
                <w:sz w:val="4"/>
                <w:szCs w:val="4"/>
              </w:rPr>
            </w:pPr>
            <w:r>
              <w:rPr>
                <w:sz w:val="4"/>
                <w:szCs w:val="4"/>
              </w:rPr>
            </w:r>
          </w:p>
        </w:tc>
      </w:tr>
      <w:tr>
        <w:trPr/>
        <w:tc>
          <w:tcPr>
            <w:tcW w:w="425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16" w:type="dxa"/>
            <w:tcBorders/>
            <w:shd w:fill="auto" w:val="clear"/>
            <w:vAlign w:val="bottom"/>
          </w:tcPr>
          <w:p>
            <w:pPr>
              <w:pStyle w:val="TableContents"/>
              <w:spacing w:before="0" w:after="283"/>
              <w:rPr>
                <w:sz w:val="4"/>
                <w:szCs w:val="4"/>
              </w:rPr>
            </w:pPr>
            <w:r>
              <w:rPr>
                <w:sz w:val="4"/>
                <w:szCs w:val="4"/>
              </w:rPr>
            </w:r>
          </w:p>
        </w:tc>
        <w:tc>
          <w:tcPr>
            <w:tcW w:w="111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16"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2.48</w:t>
            </w:r>
          </w:p>
        </w:tc>
        <w:tc>
          <w:tcPr>
            <w:tcW w:w="600" w:type="dxa"/>
            <w:tcBorders/>
            <w:shd w:fill="auto" w:val="clear"/>
            <w:vAlign w:val="bottom"/>
          </w:tcPr>
          <w:p>
            <w:pPr>
              <w:pStyle w:val="TableContents"/>
              <w:spacing w:before="0" w:after="283"/>
              <w:jc w:val="left"/>
              <w:rPr/>
            </w:pPr>
            <w:r>
              <w:rPr/>
              <w:t> </w:t>
            </w:r>
          </w:p>
        </w:tc>
        <w:tc>
          <w:tcPr>
            <w:tcW w:w="316"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jc w:val="left"/>
              <w:rPr/>
            </w:pPr>
            <w:r>
              <w:rPr/>
              <w:t> </w:t>
            </w:r>
          </w:p>
        </w:tc>
        <w:tc>
          <w:tcPr>
            <w:tcW w:w="1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23,362</w:t>
            </w:r>
          </w:p>
        </w:tc>
        <w:tc>
          <w:tcPr>
            <w:tcW w:w="608" w:type="dxa"/>
            <w:tcBorders/>
            <w:shd w:fill="auto" w:val="clear"/>
            <w:vAlign w:val="bottom"/>
          </w:tcPr>
          <w:p>
            <w:pPr>
              <w:pStyle w:val="TableContents"/>
              <w:spacing w:before="0" w:after="283"/>
              <w:rPr>
                <w:sz w:val="4"/>
                <w:szCs w:val="4"/>
              </w:rPr>
            </w:pPr>
            <w:r>
              <w:rPr>
                <w:sz w:val="4"/>
                <w:szCs w:val="4"/>
              </w:rPr>
            </w:r>
          </w:p>
        </w:tc>
      </w:tr>
      <w:tr>
        <w:trPr/>
        <w:tc>
          <w:tcPr>
            <w:tcW w:w="425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 (3)</w:t>
            </w:r>
          </w:p>
        </w:tc>
        <w:tc>
          <w:tcPr>
            <w:tcW w:w="316" w:type="dxa"/>
            <w:tcBorders/>
            <w:shd w:fill="C0C0C0" w:val="clear"/>
            <w:vAlign w:val="bottom"/>
          </w:tcPr>
          <w:p>
            <w:pPr>
              <w:pStyle w:val="TableContents"/>
              <w:spacing w:before="0" w:after="283"/>
              <w:rPr>
                <w:sz w:val="4"/>
                <w:szCs w:val="4"/>
              </w:rPr>
            </w:pPr>
            <w:r>
              <w:rPr>
                <w:sz w:val="4"/>
                <w:szCs w:val="4"/>
              </w:rPr>
            </w:r>
          </w:p>
        </w:tc>
        <w:tc>
          <w:tcPr>
            <w:tcW w:w="111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16"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52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600" w:type="dxa"/>
            <w:tcBorders/>
            <w:shd w:fill="C0C0C0" w:val="clear"/>
            <w:vAlign w:val="bottom"/>
          </w:tcPr>
          <w:p>
            <w:pPr>
              <w:pStyle w:val="TableContents"/>
              <w:spacing w:before="0" w:after="283"/>
              <w:rPr>
                <w:sz w:val="4"/>
                <w:szCs w:val="4"/>
              </w:rPr>
            </w:pPr>
            <w:r>
              <w:rPr>
                <w:sz w:val="4"/>
                <w:szCs w:val="4"/>
              </w:rPr>
            </w:r>
          </w:p>
        </w:tc>
        <w:tc>
          <w:tcPr>
            <w:tcW w:w="316"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9,701</w:t>
            </w:r>
          </w:p>
        </w:tc>
        <w:tc>
          <w:tcPr>
            <w:tcW w:w="608" w:type="dxa"/>
            <w:tcBorders/>
            <w:shd w:fill="C0C0C0" w:val="clear"/>
            <w:vAlign w:val="bottom"/>
          </w:tcPr>
          <w:p>
            <w:pPr>
              <w:pStyle w:val="TableContents"/>
              <w:spacing w:before="0" w:after="283"/>
              <w:rPr>
                <w:sz w:val="4"/>
                <w:szCs w:val="4"/>
              </w:rPr>
            </w:pPr>
            <w:r>
              <w:rPr>
                <w:sz w:val="4"/>
                <w:szCs w:val="4"/>
              </w:rPr>
            </w:r>
          </w:p>
        </w:tc>
      </w:tr>
    </w:tbl>
    <w:p>
      <w:pPr>
        <w:pStyle w:val="TextBody"/>
        <w:rPr/>
      </w:pPr>
      <w:r>
        <w:rPr/>
      </w:r>
    </w:p>
    <w:p>
      <w:pPr>
        <w:pStyle w:val="TextBody"/>
        <w:jc w:val="both"/>
        <w:rPr>
          <w:rFonts w:ascii="Times New Roman" w:hAnsi="Times New Roman"/>
          <w:sz w:val="20"/>
        </w:rPr>
      </w:pPr>
      <w:r>
        <w:rPr>
          <w:rFonts w:ascii="Times New Roman" w:hAnsi="Times New Roman"/>
          <w:sz w:val="20"/>
        </w:rPr>
        <w:t>(1) Credited service is actual years of employment with the Company.</w:t>
      </w:r>
    </w:p>
    <w:p>
      <w:pPr>
        <w:pStyle w:val="TextBody"/>
        <w:jc w:val="both"/>
        <w:rPr>
          <w:rFonts w:ascii="Times New Roman" w:hAnsi="Times New Roman"/>
          <w:sz w:val="20"/>
        </w:rPr>
      </w:pPr>
      <w:r>
        <w:rPr>
          <w:rFonts w:ascii="Times New Roman" w:hAnsi="Times New Roman"/>
          <w:sz w:val="20"/>
        </w:rPr>
        <w:t>(2) The assumed retirement age used to calculate the actuarial present value for each named executive officers accumulated benefits is age 65, the age at which each named executive officer would be eligible to receive unreduced benefits. The other assumptions used are the same as those used to prepare the pension disclosures in Note 9 of the notes to our audited consolidated financial statements included in our Annual Report on Form 10-K for fiscal year ended July 31, 2013.</w:t>
      </w:r>
    </w:p>
    <w:p>
      <w:pPr>
        <w:pStyle w:val="TextBody"/>
        <w:jc w:val="both"/>
        <w:rPr>
          <w:rFonts w:ascii="Times New Roman" w:hAnsi="Times New Roman"/>
          <w:sz w:val="20"/>
        </w:rPr>
      </w:pPr>
      <w:r>
        <w:rPr>
          <w:rFonts w:ascii="Times New Roman" w:hAnsi="Times New Roman"/>
          <w:sz w:val="20"/>
        </w:rPr>
        <w:t>(3) Mr. Jean resigned from the Company effective September 19, 2013. Because he did not meet certain service conditions set forth in our defined benefit pension plan, no payment thereunder was paid or is owed to Mr. Jean in connection with his departure from the Company or otherwise.</w:t>
      </w:r>
    </w:p>
    <w:p>
      <w:pPr>
        <w:pStyle w:val="TextBody"/>
        <w:jc w:val="center"/>
        <w:rPr>
          <w:rFonts w:ascii="Times New Roman" w:hAnsi="Times New Roman"/>
          <w:b/>
          <w:sz w:val="20"/>
        </w:rPr>
      </w:pPr>
      <w:r>
        <w:rPr>
          <w:rFonts w:ascii="Times New Roman" w:hAnsi="Times New Roman"/>
          <w:b/>
          <w:sz w:val="20"/>
        </w:rPr>
        <w:t>Nonqualified Deferred Compensation for Fiscal 2013</w:t>
      </w:r>
    </w:p>
    <w:p>
      <w:pPr>
        <w:pStyle w:val="TextBody"/>
        <w:jc w:val="both"/>
        <w:rPr/>
      </w:pPr>
      <w:r>
        <w:rPr/>
        <w:t xml:space="preserve">     </w:t>
      </w:r>
      <w:r>
        <w:rPr>
          <w:rFonts w:ascii="Times New Roman" w:hAnsi="Times New Roman"/>
          <w:sz w:val="20"/>
        </w:rPr>
        <w:t>We provide an executive deferred compensation plan in which all executive officers and other senior managers are eligible to participate. Participating executives may defer up to 50% of base salary and 100% of annual cash incentive bonus into the plan. The Company makes no contributions. Executives deferrals earn interest at a rate equal to our long-term cost of borrowing plus 1%. Participants are entitled to receive a distribution from their account balances at the earlier of the end of their elected deferral period or upon death or termination of employment prior to age 55. Accounts are distributed in a single lump sum, or in certain circumstances, annual installments over a period of up to 15 years as elected by the participant. In the event of an unforeseen emergency, a participant may apply to the administrative committee of the plan for payment of an amount from the participants account balance sufficient to satisfy the emergency need. The plan will terminate upon a change in control of the Company. Immediately prior to such a change in control, or as soon as possible following a change in control, each participant will be paid his account balance. Our executive deferred compensation plan is unfunded and subject to the claims of our creditors.</w:t>
      </w:r>
    </w:p>
    <w:p>
      <w:pPr>
        <w:pStyle w:val="TextBody"/>
        <w:jc w:val="center"/>
        <w:rPr>
          <w:rFonts w:ascii="Times New Roman" w:hAnsi="Times New Roman"/>
          <w:sz w:val="20"/>
        </w:rPr>
      </w:pPr>
      <w:r>
        <w:rPr>
          <w:rFonts w:ascii="Times New Roman" w:hAnsi="Times New Roman"/>
          <w:sz w:val="20"/>
        </w:rPr>
        <w:t>42</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The following table shows contributions, earnings and balances in our executive deferred compensation plan for the named executive officers during fiscal 2013.</w:t>
      </w:r>
    </w:p>
    <w:tbl>
      <w:tblPr>
        <w:tblW w:w="9780" w:type="dxa"/>
        <w:jc w:val="center"/>
        <w:tblInd w:w="0" w:type="dxa"/>
        <w:tblCellMar>
          <w:top w:w="0" w:type="dxa"/>
          <w:left w:w="0" w:type="dxa"/>
          <w:bottom w:w="0" w:type="dxa"/>
          <w:right w:w="0" w:type="dxa"/>
        </w:tblCellMar>
      </w:tblPr>
      <w:tblGrid>
        <w:gridCol w:w="1595"/>
        <w:gridCol w:w="300"/>
        <w:gridCol w:w="204"/>
        <w:gridCol w:w="1066"/>
        <w:gridCol w:w="40"/>
        <w:gridCol w:w="300"/>
        <w:gridCol w:w="1340"/>
        <w:gridCol w:w="300"/>
        <w:gridCol w:w="300"/>
        <w:gridCol w:w="300"/>
        <w:gridCol w:w="650"/>
        <w:gridCol w:w="240"/>
        <w:gridCol w:w="300"/>
        <w:gridCol w:w="360"/>
        <w:gridCol w:w="650"/>
        <w:gridCol w:w="240"/>
        <w:gridCol w:w="300"/>
        <w:gridCol w:w="300"/>
        <w:gridCol w:w="755"/>
        <w:gridCol w:w="240"/>
      </w:tblGrid>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31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Executive</w:t>
            </w:r>
          </w:p>
        </w:tc>
        <w:tc>
          <w:tcPr>
            <w:tcW w:w="300" w:type="dxa"/>
            <w:tcBorders/>
            <w:shd w:fill="auto" w:val="clear"/>
            <w:vAlign w:val="bottom"/>
          </w:tcPr>
          <w:p>
            <w:pPr>
              <w:pStyle w:val="TableContents"/>
              <w:spacing w:before="0" w:after="283"/>
              <w:rPr>
                <w:sz w:val="4"/>
                <w:szCs w:val="4"/>
              </w:rPr>
            </w:pPr>
            <w:r>
              <w:rPr>
                <w:sz w:val="4"/>
                <w:szCs w:val="4"/>
              </w:rPr>
            </w:r>
          </w:p>
        </w:tc>
        <w:tc>
          <w:tcPr>
            <w:tcW w:w="16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Registrant</w:t>
            </w:r>
          </w:p>
        </w:tc>
        <w:tc>
          <w:tcPr>
            <w:tcW w:w="300" w:type="dxa"/>
            <w:tcBorders/>
            <w:shd w:fill="auto" w:val="clear"/>
            <w:vAlign w:val="bottom"/>
          </w:tcPr>
          <w:p>
            <w:pPr>
              <w:pStyle w:val="TableContents"/>
              <w:spacing w:before="0" w:after="283"/>
              <w:rPr>
                <w:sz w:val="4"/>
                <w:szCs w:val="4"/>
              </w:rPr>
            </w:pPr>
            <w:r>
              <w:rPr>
                <w:sz w:val="4"/>
                <w:szCs w:val="4"/>
              </w:rPr>
            </w:r>
          </w:p>
        </w:tc>
        <w:tc>
          <w:tcPr>
            <w:tcW w:w="119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c>
          <w:tcPr>
            <w:tcW w:w="30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310" w:type="dxa"/>
            <w:gridSpan w:val="3"/>
            <w:tcBorders/>
            <w:shd w:fill="auto" w:val="clear"/>
            <w:vAlign w:val="bottom"/>
          </w:tcPr>
          <w:p>
            <w:pPr>
              <w:pStyle w:val="TableContents"/>
              <w:spacing w:before="0" w:after="283"/>
              <w:jc w:val="center"/>
              <w:rPr/>
            </w:pPr>
            <w:r>
              <w:rPr>
                <w:rFonts w:ascii="Times New Roman" w:hAnsi="Times New Roman"/>
                <w:b/>
                <w:sz w:val="20"/>
              </w:rPr>
              <w:t>Contributions</w:t>
            </w:r>
            <w:r>
              <w:rPr/>
              <w:t xml:space="preserve">  </w:t>
            </w:r>
          </w:p>
        </w:tc>
        <w:tc>
          <w:tcPr>
            <w:tcW w:w="300" w:type="dxa"/>
            <w:tcBorders/>
            <w:shd w:fill="auto" w:val="clear"/>
            <w:vAlign w:val="bottom"/>
          </w:tcPr>
          <w:p>
            <w:pPr>
              <w:pStyle w:val="TableContents"/>
              <w:spacing w:before="0" w:after="283"/>
              <w:rPr>
                <w:sz w:val="4"/>
                <w:szCs w:val="4"/>
              </w:rPr>
            </w:pPr>
            <w:r>
              <w:rPr>
                <w:sz w:val="4"/>
                <w:szCs w:val="4"/>
              </w:rPr>
            </w:r>
          </w:p>
        </w:tc>
        <w:tc>
          <w:tcPr>
            <w:tcW w:w="1640" w:type="dxa"/>
            <w:gridSpan w:val="2"/>
            <w:tcBorders/>
            <w:shd w:fill="auto" w:val="clear"/>
            <w:vAlign w:val="bottom"/>
          </w:tcPr>
          <w:p>
            <w:pPr>
              <w:pStyle w:val="TableContents"/>
              <w:spacing w:before="0" w:after="283"/>
              <w:jc w:val="center"/>
              <w:rPr/>
            </w:pPr>
            <w:r>
              <w:rPr/>
              <w:t xml:space="preserve">  </w:t>
            </w:r>
            <w:r>
              <w:rPr>
                <w:rStyle w:val="StrongEmphasis"/>
                <w:rFonts w:ascii="Times New Roman" w:hAnsi="Times New Roman"/>
                <w:sz w:val="20"/>
              </w:rPr>
              <w:t>Contributions</w:t>
            </w:r>
          </w:p>
        </w:tc>
        <w:tc>
          <w:tcPr>
            <w:tcW w:w="300" w:type="dxa"/>
            <w:tcBorders/>
            <w:shd w:fill="auto" w:val="clear"/>
            <w:vAlign w:val="bottom"/>
          </w:tcPr>
          <w:p>
            <w:pPr>
              <w:pStyle w:val="TableContents"/>
              <w:spacing w:before="0" w:after="283"/>
              <w:rPr>
                <w:sz w:val="4"/>
                <w:szCs w:val="4"/>
              </w:rPr>
            </w:pPr>
            <w:r>
              <w:rPr>
                <w:sz w:val="4"/>
                <w:szCs w:val="4"/>
              </w:rPr>
            </w:r>
          </w:p>
        </w:tc>
        <w:tc>
          <w:tcPr>
            <w:tcW w:w="119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Earnings in</w:t>
            </w:r>
          </w:p>
        </w:tc>
        <w:tc>
          <w:tcPr>
            <w:tcW w:w="30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r>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31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 Last Fiscal</w:t>
            </w:r>
          </w:p>
        </w:tc>
        <w:tc>
          <w:tcPr>
            <w:tcW w:w="300" w:type="dxa"/>
            <w:tcBorders/>
            <w:shd w:fill="auto" w:val="clear"/>
            <w:vAlign w:val="bottom"/>
          </w:tcPr>
          <w:p>
            <w:pPr>
              <w:pStyle w:val="TableContents"/>
              <w:spacing w:before="0" w:after="283"/>
              <w:rPr>
                <w:sz w:val="4"/>
                <w:szCs w:val="4"/>
              </w:rPr>
            </w:pPr>
            <w:r>
              <w:rPr>
                <w:sz w:val="4"/>
                <w:szCs w:val="4"/>
              </w:rPr>
            </w:r>
          </w:p>
        </w:tc>
        <w:tc>
          <w:tcPr>
            <w:tcW w:w="16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 Last Fiscal</w:t>
            </w:r>
          </w:p>
        </w:tc>
        <w:tc>
          <w:tcPr>
            <w:tcW w:w="300" w:type="dxa"/>
            <w:tcBorders/>
            <w:shd w:fill="auto" w:val="clear"/>
            <w:vAlign w:val="bottom"/>
          </w:tcPr>
          <w:p>
            <w:pPr>
              <w:pStyle w:val="TableContents"/>
              <w:spacing w:before="0" w:after="283"/>
              <w:rPr>
                <w:sz w:val="4"/>
                <w:szCs w:val="4"/>
              </w:rPr>
            </w:pPr>
            <w:r>
              <w:rPr>
                <w:sz w:val="4"/>
                <w:szCs w:val="4"/>
              </w:rPr>
            </w:r>
          </w:p>
        </w:tc>
        <w:tc>
          <w:tcPr>
            <w:tcW w:w="119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Last Fiscal</w:t>
            </w:r>
          </w:p>
        </w:tc>
        <w:tc>
          <w:tcPr>
            <w:tcW w:w="300" w:type="dxa"/>
            <w:tcBorders/>
            <w:shd w:fill="auto" w:val="clear"/>
            <w:vAlign w:val="bottom"/>
          </w:tcPr>
          <w:p>
            <w:pPr>
              <w:pStyle w:val="TableContents"/>
              <w:spacing w:before="0" w:after="283"/>
              <w:rPr>
                <w:sz w:val="4"/>
                <w:szCs w:val="4"/>
              </w:rPr>
            </w:pPr>
            <w:r>
              <w:rPr>
                <w:sz w:val="4"/>
                <w:szCs w:val="4"/>
              </w:rPr>
            </w:r>
          </w:p>
        </w:tc>
        <w:tc>
          <w:tcPr>
            <w:tcW w:w="125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c>
          <w:tcPr>
            <w:tcW w:w="300" w:type="dxa"/>
            <w:tcBorders/>
            <w:shd w:fill="auto" w:val="clear"/>
            <w:vAlign w:val="bottom"/>
          </w:tcPr>
          <w:p>
            <w:pPr>
              <w:pStyle w:val="TableContents"/>
              <w:spacing w:before="0" w:after="283"/>
              <w:rPr>
                <w:sz w:val="4"/>
                <w:szCs w:val="4"/>
              </w:rPr>
            </w:pPr>
            <w:r>
              <w:rPr>
                <w:sz w:val="4"/>
                <w:szCs w:val="4"/>
              </w:rPr>
            </w:r>
          </w:p>
        </w:tc>
        <w:tc>
          <w:tcPr>
            <w:tcW w:w="12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Balance at</w:t>
            </w:r>
          </w:p>
        </w:tc>
      </w:tr>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31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w:t>
            </w:r>
          </w:p>
        </w:tc>
        <w:tc>
          <w:tcPr>
            <w:tcW w:w="300" w:type="dxa"/>
            <w:tcBorders/>
            <w:shd w:fill="auto" w:val="clear"/>
            <w:vAlign w:val="bottom"/>
          </w:tcPr>
          <w:p>
            <w:pPr>
              <w:pStyle w:val="TableContents"/>
              <w:spacing w:before="0" w:after="283"/>
              <w:rPr>
                <w:sz w:val="4"/>
                <w:szCs w:val="4"/>
              </w:rPr>
            </w:pPr>
            <w:r>
              <w:rPr>
                <w:sz w:val="4"/>
                <w:szCs w:val="4"/>
              </w:rPr>
            </w:r>
          </w:p>
        </w:tc>
        <w:tc>
          <w:tcPr>
            <w:tcW w:w="16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w:t>
            </w:r>
          </w:p>
        </w:tc>
        <w:tc>
          <w:tcPr>
            <w:tcW w:w="300" w:type="dxa"/>
            <w:tcBorders/>
            <w:shd w:fill="auto" w:val="clear"/>
            <w:vAlign w:val="bottom"/>
          </w:tcPr>
          <w:p>
            <w:pPr>
              <w:pStyle w:val="TableContents"/>
              <w:spacing w:before="0" w:after="283"/>
              <w:rPr>
                <w:sz w:val="4"/>
                <w:szCs w:val="4"/>
              </w:rPr>
            </w:pPr>
            <w:r>
              <w:rPr>
                <w:sz w:val="4"/>
                <w:szCs w:val="4"/>
              </w:rPr>
            </w:r>
          </w:p>
        </w:tc>
        <w:tc>
          <w:tcPr>
            <w:tcW w:w="119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w:t>
            </w:r>
          </w:p>
        </w:tc>
        <w:tc>
          <w:tcPr>
            <w:tcW w:w="300" w:type="dxa"/>
            <w:tcBorders/>
            <w:shd w:fill="auto" w:val="clear"/>
            <w:vAlign w:val="bottom"/>
          </w:tcPr>
          <w:p>
            <w:pPr>
              <w:pStyle w:val="TableContents"/>
              <w:spacing w:before="0" w:after="283"/>
              <w:rPr>
                <w:sz w:val="4"/>
                <w:szCs w:val="4"/>
              </w:rPr>
            </w:pPr>
            <w:r>
              <w:rPr>
                <w:sz w:val="4"/>
                <w:szCs w:val="4"/>
              </w:rPr>
            </w:r>
          </w:p>
        </w:tc>
        <w:tc>
          <w:tcPr>
            <w:tcW w:w="125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Withdrawals/</w:t>
            </w:r>
          </w:p>
        </w:tc>
        <w:tc>
          <w:tcPr>
            <w:tcW w:w="300" w:type="dxa"/>
            <w:tcBorders/>
            <w:shd w:fill="auto" w:val="clear"/>
            <w:vAlign w:val="bottom"/>
          </w:tcPr>
          <w:p>
            <w:pPr>
              <w:pStyle w:val="TableContents"/>
              <w:spacing w:before="0" w:after="283"/>
              <w:rPr>
                <w:sz w:val="4"/>
                <w:szCs w:val="4"/>
              </w:rPr>
            </w:pPr>
            <w:r>
              <w:rPr>
                <w:sz w:val="4"/>
                <w:szCs w:val="4"/>
              </w:rPr>
            </w:r>
          </w:p>
        </w:tc>
        <w:tc>
          <w:tcPr>
            <w:tcW w:w="12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Last Fiscal</w:t>
            </w:r>
          </w:p>
        </w:tc>
      </w:tr>
      <w:tr>
        <w:trPr/>
        <w:tc>
          <w:tcPr>
            <w:tcW w:w="15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31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6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19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5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Distributions</w:t>
            </w:r>
          </w:p>
        </w:tc>
        <w:tc>
          <w:tcPr>
            <w:tcW w:w="300" w:type="dxa"/>
            <w:tcBorders/>
            <w:shd w:fill="auto" w:val="clear"/>
            <w:vAlign w:val="bottom"/>
          </w:tcPr>
          <w:p>
            <w:pPr>
              <w:pStyle w:val="TableContents"/>
              <w:spacing w:before="0" w:after="283"/>
              <w:rPr>
                <w:sz w:val="4"/>
                <w:szCs w:val="4"/>
              </w:rPr>
            </w:pPr>
            <w:r>
              <w:rPr>
                <w:sz w:val="4"/>
                <w:szCs w:val="4"/>
              </w:rPr>
            </w:r>
          </w:p>
        </w:tc>
        <w:tc>
          <w:tcPr>
            <w:tcW w:w="12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 End</w:t>
            </w:r>
          </w:p>
        </w:tc>
      </w:tr>
      <w:tr>
        <w:trPr/>
        <w:tc>
          <w:tcPr>
            <w:tcW w:w="159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0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310" w:type="dxa"/>
            <w:gridSpan w:val="3"/>
            <w:tcBorders>
              <w:bottom w:val="single" w:sz="8" w:space="0" w:color="000000"/>
            </w:tcBorders>
            <w:shd w:fill="auto" w:val="clear"/>
            <w:tcMar>
              <w:bottom w:w="28" w:type="dxa"/>
            </w:tcMar>
            <w:vAlign w:val="bottom"/>
          </w:tcPr>
          <w:p>
            <w:pPr>
              <w:pStyle w:val="TableContents"/>
              <w:spacing w:before="0" w:after="283"/>
              <w:jc w:val="center"/>
              <w:rPr/>
            </w:pPr>
            <w:r>
              <w:rPr>
                <w:rFonts w:ascii="Times New Roman" w:hAnsi="Times New Roman"/>
                <w:b/>
                <w:sz w:val="20"/>
              </w:rPr>
              <w:t>(1)</w:t>
            </w:r>
            <w:r>
              <w:rPr/>
              <w:t xml:space="preserve"> </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64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19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(3)</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5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9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15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0"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rPr>
                <w:sz w:val="4"/>
                <w:szCs w:val="4"/>
              </w:rPr>
            </w:pPr>
            <w:r>
              <w:rPr>
                <w:sz w:val="4"/>
                <w:szCs w:val="4"/>
              </w:rPr>
            </w:r>
          </w:p>
        </w:tc>
        <w:tc>
          <w:tcPr>
            <w:tcW w:w="106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40" w:type="dxa"/>
            <w:tcBorders/>
            <w:shd w:fill="C0C0C0" w:val="clear"/>
            <w:vAlign w:val="bottom"/>
          </w:tcPr>
          <w:p>
            <w:pPr>
              <w:pStyle w:val="TableContents"/>
              <w:spacing w:before="0" w:after="283"/>
              <w:jc w:val="right"/>
              <w:rPr/>
            </w:pPr>
            <w:r>
              <w:rPr/>
              <w:t>                    </w:t>
            </w: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xml:space="preserve">     </w:t>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pPr>
            <w:r>
              <w:rPr/>
              <w:t> </w:t>
            </w:r>
            <w:r>
              <w:rPr>
                <w:rFonts w:ascii="Times New Roman" w:hAnsi="Times New Roman"/>
                <w:sz w:val="20"/>
              </w:rPr>
              <w:t>38,381</w:t>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722,329</w:t>
            </w:r>
          </w:p>
        </w:tc>
        <w:tc>
          <w:tcPr>
            <w:tcW w:w="240" w:type="dxa"/>
            <w:tcBorders/>
            <w:shd w:fill="C0C0C0" w:val="clear"/>
            <w:vAlign w:val="bottom"/>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6" w:type="dxa"/>
            <w:tcBorders/>
            <w:shd w:fill="auto" w:val="clear"/>
            <w:vAlign w:val="bottom"/>
          </w:tcPr>
          <w:p>
            <w:pPr>
              <w:pStyle w:val="TableContents"/>
              <w:spacing w:before="0" w:after="283"/>
              <w:jc w:val="right"/>
              <w:rPr/>
            </w:pPr>
            <w:r>
              <w:rPr/>
              <w:t> </w:t>
            </w:r>
            <w:r>
              <w:rPr>
                <w:rFonts w:ascii="Times New Roman" w:hAnsi="Times New Roman"/>
                <w:sz w:val="20"/>
              </w:rPr>
              <w:t>41,667</w:t>
            </w:r>
          </w:p>
        </w:tc>
        <w:tc>
          <w:tcPr>
            <w:tcW w:w="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3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22,960</w:t>
            </w:r>
          </w:p>
        </w:tc>
        <w:tc>
          <w:tcPr>
            <w:tcW w:w="2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pPr>
            <w:r>
              <w:rPr/>
              <w:t> </w:t>
            </w:r>
            <w:r>
              <w:rPr>
                <w:rFonts w:ascii="Times New Roman" w:hAnsi="Times New Roman"/>
                <w:sz w:val="20"/>
              </w:rPr>
              <w:t>454,191</w:t>
            </w:r>
          </w:p>
        </w:tc>
        <w:tc>
          <w:tcPr>
            <w:tcW w:w="240" w:type="dxa"/>
            <w:tcBorders/>
            <w:shd w:fill="auto" w:val="clear"/>
            <w:vAlign w:val="bottom"/>
          </w:tcPr>
          <w:p>
            <w:pPr>
              <w:pStyle w:val="TableContents"/>
              <w:spacing w:before="0" w:after="283"/>
              <w:rPr>
                <w:sz w:val="4"/>
                <w:szCs w:val="4"/>
              </w:rPr>
            </w:pPr>
            <w:r>
              <w:rPr>
                <w:sz w:val="4"/>
                <w:szCs w:val="4"/>
              </w:rPr>
            </w:r>
          </w:p>
        </w:tc>
      </w:tr>
      <w:tr>
        <w:trPr/>
        <w:tc>
          <w:tcPr>
            <w:tcW w:w="15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0"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56,000</w:t>
            </w:r>
          </w:p>
        </w:tc>
        <w:tc>
          <w:tcPr>
            <w:tcW w:w="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4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30,099</w:t>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C0C0C0" w:val="clear"/>
            <w:vAlign w:val="bottom"/>
          </w:tcPr>
          <w:p>
            <w:pPr>
              <w:pStyle w:val="TableContents"/>
              <w:spacing w:before="0" w:after="283"/>
              <w:jc w:val="right"/>
              <w:rPr/>
            </w:pPr>
            <w:r>
              <w:rPr/>
              <w:t> </w:t>
            </w:r>
            <w:r>
              <w:rPr>
                <w:rFonts w:ascii="Times New Roman" w:hAnsi="Times New Roman"/>
                <w:sz w:val="20"/>
              </w:rPr>
              <w:t>34,246</w:t>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592,572</w:t>
            </w:r>
          </w:p>
        </w:tc>
        <w:tc>
          <w:tcPr>
            <w:tcW w:w="240" w:type="dxa"/>
            <w:tcBorders/>
            <w:shd w:fill="C0C0C0" w:val="clear"/>
            <w:vAlign w:val="bottom"/>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0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20,738</w:t>
            </w:r>
          </w:p>
        </w:tc>
        <w:tc>
          <w:tcPr>
            <w:tcW w:w="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3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397</w:t>
            </w:r>
          </w:p>
        </w:tc>
        <w:tc>
          <w:tcPr>
            <w:tcW w:w="2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30,161</w:t>
            </w:r>
          </w:p>
        </w:tc>
        <w:tc>
          <w:tcPr>
            <w:tcW w:w="240" w:type="dxa"/>
            <w:tcBorders/>
            <w:shd w:fill="auto" w:val="clear"/>
            <w:vAlign w:val="bottom"/>
          </w:tcPr>
          <w:p>
            <w:pPr>
              <w:pStyle w:val="TableContents"/>
              <w:spacing w:before="0" w:after="283"/>
              <w:rPr>
                <w:sz w:val="4"/>
                <w:szCs w:val="4"/>
              </w:rPr>
            </w:pPr>
            <w:r>
              <w:rPr>
                <w:sz w:val="4"/>
                <w:szCs w:val="4"/>
              </w:rPr>
            </w:r>
          </w:p>
        </w:tc>
      </w:tr>
      <w:tr>
        <w:trPr/>
        <w:tc>
          <w:tcPr>
            <w:tcW w:w="15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00"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rPr>
                <w:sz w:val="4"/>
                <w:szCs w:val="4"/>
              </w:rPr>
            </w:pPr>
            <w:r>
              <w:rPr>
                <w:sz w:val="4"/>
                <w:szCs w:val="4"/>
              </w:rPr>
            </w:r>
          </w:p>
        </w:tc>
        <w:tc>
          <w:tcPr>
            <w:tcW w:w="106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4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0" w:type="dxa"/>
            <w:tcBorders/>
            <w:shd w:fill="C0C0C0" w:val="clear"/>
            <w:vAlign w:val="bottom"/>
          </w:tcPr>
          <w:p>
            <w:pPr>
              <w:pStyle w:val="TableContents"/>
              <w:spacing w:before="0" w:after="283"/>
              <w:jc w:val="left"/>
              <w:rPr/>
            </w:pPr>
            <w:r>
              <w:rPr/>
              <w:t xml:space="preserve">    </w:t>
            </w:r>
          </w:p>
        </w:tc>
        <w:tc>
          <w:tcPr>
            <w:tcW w:w="300"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jc w:val="left"/>
              <w:rPr/>
            </w:pPr>
            <w:r>
              <w:rPr/>
              <w:t>      </w:t>
            </w:r>
          </w:p>
        </w:tc>
        <w:tc>
          <w:tcPr>
            <w:tcW w:w="6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0" w:type="dxa"/>
            <w:tcBorders/>
            <w:shd w:fill="C0C0C0" w:val="clear"/>
            <w:vAlign w:val="bottom"/>
          </w:tcPr>
          <w:p>
            <w:pPr>
              <w:pStyle w:val="TableContents"/>
              <w:spacing w:before="0" w:after="283"/>
              <w:jc w:val="left"/>
              <w:rPr/>
            </w:pPr>
            <w:r>
              <w:rPr/>
              <w:t xml:space="preserve">    </w:t>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right"/>
              <w:rPr/>
            </w:pPr>
            <w:r>
              <w:rPr/>
              <w:t xml:space="preserve">     </w:t>
            </w:r>
          </w:p>
        </w:tc>
        <w:tc>
          <w:tcPr>
            <w:tcW w:w="7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0" w:type="dxa"/>
            <w:tcBorders/>
            <w:shd w:fill="C0C0C0" w:val="clear"/>
            <w:vAlign w:val="bottom"/>
          </w:tcPr>
          <w:p>
            <w:pPr>
              <w:pStyle w:val="TableContents"/>
              <w:spacing w:before="0" w:after="283"/>
              <w:jc w:val="right"/>
              <w:rPr/>
            </w:pPr>
            <w:r>
              <w:rPr/>
              <w:t xml:space="preserve">    </w:t>
            </w:r>
          </w:p>
        </w:tc>
      </w:tr>
    </w:tbl>
    <w:p>
      <w:pPr>
        <w:pStyle w:val="TextBody"/>
        <w:rPr/>
      </w:pPr>
      <w:r>
        <w:rPr/>
      </w:r>
    </w:p>
    <w:p>
      <w:pPr>
        <w:pStyle w:val="TextBody"/>
        <w:jc w:val="both"/>
        <w:rPr>
          <w:rFonts w:ascii="Times New Roman" w:hAnsi="Times New Roman"/>
          <w:sz w:val="20"/>
        </w:rPr>
      </w:pPr>
      <w:r>
        <w:rPr>
          <w:rFonts w:ascii="Times New Roman" w:hAnsi="Times New Roman"/>
          <w:sz w:val="20"/>
        </w:rPr>
        <w:t>(1) The amounts in this column are voluntary deductions from salary and cash incentive awards by the named executive officers.</w:t>
      </w:r>
    </w:p>
    <w:p>
      <w:pPr>
        <w:pStyle w:val="TextBody"/>
        <w:jc w:val="both"/>
        <w:rPr>
          <w:rFonts w:ascii="Times New Roman" w:hAnsi="Times New Roman"/>
          <w:sz w:val="20"/>
        </w:rPr>
      </w:pPr>
      <w:r>
        <w:rPr>
          <w:rFonts w:ascii="Times New Roman" w:hAnsi="Times New Roman"/>
          <w:sz w:val="20"/>
        </w:rPr>
        <w:t>(2) We make no contribution to the executive deferred compensation plan.</w:t>
      </w:r>
    </w:p>
    <w:p>
      <w:pPr>
        <w:pStyle w:val="TextBody"/>
        <w:jc w:val="both"/>
        <w:rPr>
          <w:rFonts w:ascii="Times New Roman" w:hAnsi="Times New Roman"/>
          <w:sz w:val="20"/>
        </w:rPr>
      </w:pPr>
      <w:r>
        <w:rPr>
          <w:rFonts w:ascii="Times New Roman" w:hAnsi="Times New Roman"/>
          <w:sz w:val="20"/>
        </w:rPr>
        <w:t>(3) We credit the accounts under the terms of the plan with an interest rate that is equal to our long-term cost of borrowing plus 1%. The amounts shown include the following amounts exceeding 120% of the applicable federal rate and reported as compensation to the following named executive officers in the Summary Compensation Table: Mr. Jaffee $18,115, Mr. Smith $10,822, Mr. Cofsky $14,212 and Mr. Graham $186.</w:t>
      </w:r>
    </w:p>
    <w:p>
      <w:pPr>
        <w:pStyle w:val="TextBody"/>
        <w:jc w:val="center"/>
        <w:rPr>
          <w:rFonts w:ascii="Times New Roman" w:hAnsi="Times New Roman"/>
          <w:sz w:val="20"/>
        </w:rPr>
      </w:pPr>
      <w:r>
        <w:rPr>
          <w:rFonts w:ascii="Times New Roman" w:hAnsi="Times New Roman"/>
          <w:sz w:val="20"/>
        </w:rPr>
        <w:t>43</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Equity Compensation Plans</w:t>
      </w:r>
    </w:p>
    <w:p>
      <w:pPr>
        <w:pStyle w:val="TextBody"/>
        <w:jc w:val="both"/>
        <w:rPr/>
      </w:pPr>
      <w:r>
        <w:rPr/>
        <w:t xml:space="preserve">     </w:t>
      </w:r>
      <w:r>
        <w:rPr>
          <w:rFonts w:ascii="Times New Roman" w:hAnsi="Times New Roman"/>
          <w:sz w:val="20"/>
        </w:rPr>
        <w:t>The following table provides information about our equity compensation plans and stock that may be issued upon the exercise of options and rights that have been or may be granted to employees or members of our Board of Directors under those plans as of July 31, 2013.</w:t>
      </w:r>
    </w:p>
    <w:tbl>
      <w:tblPr>
        <w:tblW w:w="5000" w:type="pct"/>
        <w:jc w:val="left"/>
        <w:tblInd w:w="0" w:type="dxa"/>
        <w:tblCellMar>
          <w:top w:w="0" w:type="dxa"/>
          <w:left w:w="0" w:type="dxa"/>
          <w:bottom w:w="0" w:type="dxa"/>
          <w:right w:w="0" w:type="dxa"/>
        </w:tblCellMar>
      </w:tblPr>
      <w:tblGrid>
        <w:gridCol w:w="2817"/>
        <w:gridCol w:w="1610"/>
        <w:gridCol w:w="300"/>
        <w:gridCol w:w="1865"/>
        <w:gridCol w:w="300"/>
        <w:gridCol w:w="1055"/>
        <w:gridCol w:w="300"/>
        <w:gridCol w:w="1295"/>
        <w:gridCol w:w="663"/>
      </w:tblGrid>
      <w:tr>
        <w:trPr/>
        <w:tc>
          <w:tcPr>
            <w:tcW w:w="2817" w:type="dxa"/>
            <w:tcBorders/>
            <w:shd w:fill="auto" w:val="clear"/>
            <w:vAlign w:val="bottom"/>
          </w:tcPr>
          <w:p>
            <w:pPr>
              <w:pStyle w:val="TableContents"/>
              <w:spacing w:before="0" w:after="283"/>
              <w:rPr>
                <w:sz w:val="4"/>
                <w:szCs w:val="4"/>
              </w:rPr>
            </w:pPr>
            <w:r>
              <w:rPr>
                <w:sz w:val="4"/>
                <w:szCs w:val="4"/>
              </w:rPr>
            </w:r>
          </w:p>
        </w:tc>
        <w:tc>
          <w:tcPr>
            <w:tcW w:w="161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8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9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w:t>
            </w:r>
          </w:p>
        </w:tc>
      </w:tr>
      <w:tr>
        <w:trPr/>
        <w:tc>
          <w:tcPr>
            <w:tcW w:w="2817" w:type="dxa"/>
            <w:tcBorders/>
            <w:shd w:fill="auto" w:val="clear"/>
            <w:vAlign w:val="bottom"/>
          </w:tcPr>
          <w:p>
            <w:pPr>
              <w:pStyle w:val="TableContents"/>
              <w:spacing w:before="0" w:after="283"/>
              <w:rPr>
                <w:sz w:val="4"/>
                <w:szCs w:val="4"/>
              </w:rPr>
            </w:pPr>
            <w:r>
              <w:rPr>
                <w:sz w:val="4"/>
                <w:szCs w:val="4"/>
              </w:rPr>
            </w:r>
          </w:p>
        </w:tc>
        <w:tc>
          <w:tcPr>
            <w:tcW w:w="161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8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9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 Stock</w:t>
            </w:r>
          </w:p>
        </w:tc>
      </w:tr>
      <w:tr>
        <w:trPr/>
        <w:tc>
          <w:tcPr>
            <w:tcW w:w="2817" w:type="dxa"/>
            <w:tcBorders/>
            <w:shd w:fill="auto" w:val="clear"/>
            <w:vAlign w:val="bottom"/>
          </w:tcPr>
          <w:p>
            <w:pPr>
              <w:pStyle w:val="TableContents"/>
              <w:spacing w:before="0" w:after="283"/>
              <w:rPr>
                <w:sz w:val="4"/>
                <w:szCs w:val="4"/>
              </w:rPr>
            </w:pPr>
            <w:r>
              <w:rPr>
                <w:sz w:val="4"/>
                <w:szCs w:val="4"/>
              </w:rPr>
            </w:r>
          </w:p>
        </w:tc>
        <w:tc>
          <w:tcPr>
            <w:tcW w:w="161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8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9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Remaining</w:t>
            </w:r>
          </w:p>
        </w:tc>
      </w:tr>
      <w:tr>
        <w:trPr/>
        <w:tc>
          <w:tcPr>
            <w:tcW w:w="2817" w:type="dxa"/>
            <w:tcBorders/>
            <w:shd w:fill="auto" w:val="clear"/>
            <w:vAlign w:val="bottom"/>
          </w:tcPr>
          <w:p>
            <w:pPr>
              <w:pStyle w:val="TableContents"/>
              <w:spacing w:before="0" w:after="283"/>
              <w:rPr>
                <w:sz w:val="4"/>
                <w:szCs w:val="4"/>
              </w:rPr>
            </w:pPr>
            <w:r>
              <w:rPr>
                <w:sz w:val="4"/>
                <w:szCs w:val="4"/>
              </w:rPr>
            </w:r>
          </w:p>
        </w:tc>
        <w:tc>
          <w:tcPr>
            <w:tcW w:w="161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8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9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Available for</w:t>
            </w:r>
          </w:p>
        </w:tc>
      </w:tr>
      <w:tr>
        <w:trPr/>
        <w:tc>
          <w:tcPr>
            <w:tcW w:w="2817" w:type="dxa"/>
            <w:tcBorders/>
            <w:shd w:fill="auto" w:val="clear"/>
            <w:vAlign w:val="bottom"/>
          </w:tcPr>
          <w:p>
            <w:pPr>
              <w:pStyle w:val="TableContents"/>
              <w:spacing w:before="0" w:after="283"/>
              <w:rPr>
                <w:sz w:val="4"/>
                <w:szCs w:val="4"/>
              </w:rPr>
            </w:pPr>
            <w:r>
              <w:rPr>
                <w:sz w:val="4"/>
                <w:szCs w:val="4"/>
              </w:rPr>
            </w:r>
          </w:p>
        </w:tc>
        <w:tc>
          <w:tcPr>
            <w:tcW w:w="161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8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c>
          <w:tcPr>
            <w:tcW w:w="300" w:type="dxa"/>
            <w:tcBorders/>
            <w:shd w:fill="auto" w:val="clear"/>
            <w:vAlign w:val="bottom"/>
          </w:tcPr>
          <w:p>
            <w:pPr>
              <w:pStyle w:val="TableContents"/>
              <w:spacing w:before="0" w:after="283"/>
              <w:rPr>
                <w:sz w:val="4"/>
                <w:szCs w:val="4"/>
              </w:rPr>
            </w:pPr>
            <w:r>
              <w:rPr>
                <w:sz w:val="4"/>
                <w:szCs w:val="4"/>
              </w:rPr>
            </w:r>
          </w:p>
        </w:tc>
        <w:tc>
          <w:tcPr>
            <w:tcW w:w="19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Future Issuance</w:t>
            </w:r>
          </w:p>
        </w:tc>
      </w:tr>
      <w:tr>
        <w:trPr/>
        <w:tc>
          <w:tcPr>
            <w:tcW w:w="2817" w:type="dxa"/>
            <w:tcBorders/>
            <w:shd w:fill="auto" w:val="clear"/>
            <w:vAlign w:val="bottom"/>
          </w:tcPr>
          <w:p>
            <w:pPr>
              <w:pStyle w:val="TableContents"/>
              <w:spacing w:before="0" w:after="283"/>
              <w:rPr>
                <w:sz w:val="4"/>
                <w:szCs w:val="4"/>
              </w:rPr>
            </w:pPr>
            <w:r>
              <w:rPr>
                <w:sz w:val="4"/>
                <w:szCs w:val="4"/>
              </w:rPr>
            </w:r>
          </w:p>
        </w:tc>
        <w:tc>
          <w:tcPr>
            <w:tcW w:w="161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8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c>
          <w:tcPr>
            <w:tcW w:w="300" w:type="dxa"/>
            <w:tcBorders/>
            <w:shd w:fill="auto" w:val="clear"/>
            <w:vAlign w:val="bottom"/>
          </w:tcPr>
          <w:p>
            <w:pPr>
              <w:pStyle w:val="TableContents"/>
              <w:spacing w:before="0" w:after="283"/>
              <w:rPr>
                <w:sz w:val="4"/>
                <w:szCs w:val="4"/>
              </w:rPr>
            </w:pPr>
            <w:r>
              <w:rPr>
                <w:sz w:val="4"/>
                <w:szCs w:val="4"/>
              </w:rPr>
            </w:r>
          </w:p>
        </w:tc>
        <w:tc>
          <w:tcPr>
            <w:tcW w:w="19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Under Equity</w:t>
            </w:r>
          </w:p>
        </w:tc>
      </w:tr>
      <w:tr>
        <w:trPr/>
        <w:tc>
          <w:tcPr>
            <w:tcW w:w="2817" w:type="dxa"/>
            <w:tcBorders/>
            <w:shd w:fill="auto" w:val="clear"/>
            <w:vAlign w:val="bottom"/>
          </w:tcPr>
          <w:p>
            <w:pPr>
              <w:pStyle w:val="TableContents"/>
              <w:spacing w:before="0" w:after="283"/>
              <w:rPr>
                <w:sz w:val="4"/>
                <w:szCs w:val="4"/>
              </w:rPr>
            </w:pPr>
            <w:r>
              <w:rPr>
                <w:sz w:val="4"/>
                <w:szCs w:val="4"/>
              </w:rPr>
            </w:r>
          </w:p>
        </w:tc>
        <w:tc>
          <w:tcPr>
            <w:tcW w:w="161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8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300" w:type="dxa"/>
            <w:tcBorders/>
            <w:shd w:fill="auto" w:val="clear"/>
            <w:vAlign w:val="bottom"/>
          </w:tcPr>
          <w:p>
            <w:pPr>
              <w:pStyle w:val="TableContents"/>
              <w:spacing w:before="0" w:after="283"/>
              <w:rPr>
                <w:sz w:val="4"/>
                <w:szCs w:val="4"/>
              </w:rPr>
            </w:pPr>
            <w:r>
              <w:rPr>
                <w:sz w:val="4"/>
                <w:szCs w:val="4"/>
              </w:rPr>
            </w:r>
          </w:p>
        </w:tc>
        <w:tc>
          <w:tcPr>
            <w:tcW w:w="19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r>
      <w:tr>
        <w:trPr/>
        <w:tc>
          <w:tcPr>
            <w:tcW w:w="2817" w:type="dxa"/>
            <w:tcBorders/>
            <w:shd w:fill="auto" w:val="clear"/>
            <w:vAlign w:val="bottom"/>
          </w:tcPr>
          <w:p>
            <w:pPr>
              <w:pStyle w:val="TableContents"/>
              <w:spacing w:before="0" w:after="283"/>
              <w:rPr>
                <w:sz w:val="4"/>
                <w:szCs w:val="4"/>
              </w:rPr>
            </w:pPr>
            <w:r>
              <w:rPr>
                <w:sz w:val="4"/>
                <w:szCs w:val="4"/>
              </w:rPr>
            </w:r>
          </w:p>
        </w:tc>
        <w:tc>
          <w:tcPr>
            <w:tcW w:w="161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8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Price of</w:t>
            </w:r>
          </w:p>
        </w:tc>
        <w:tc>
          <w:tcPr>
            <w:tcW w:w="300" w:type="dxa"/>
            <w:tcBorders/>
            <w:shd w:fill="auto" w:val="clear"/>
            <w:vAlign w:val="bottom"/>
          </w:tcPr>
          <w:p>
            <w:pPr>
              <w:pStyle w:val="TableContents"/>
              <w:spacing w:before="0" w:after="283"/>
              <w:jc w:val="center"/>
              <w:rPr/>
            </w:pPr>
            <w:r>
              <w:rPr/>
              <w:t>     </w:t>
            </w:r>
          </w:p>
        </w:tc>
        <w:tc>
          <w:tcPr>
            <w:tcW w:w="19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Plans (excluding</w:t>
            </w:r>
          </w:p>
        </w:tc>
      </w:tr>
      <w:tr>
        <w:trPr/>
        <w:tc>
          <w:tcPr>
            <w:tcW w:w="2817" w:type="dxa"/>
            <w:tcBorders/>
            <w:shd w:fill="auto" w:val="clear"/>
            <w:vAlign w:val="bottom"/>
          </w:tcPr>
          <w:p>
            <w:pPr>
              <w:pStyle w:val="TableContents"/>
              <w:spacing w:before="0" w:after="283"/>
              <w:rPr>
                <w:sz w:val="4"/>
                <w:szCs w:val="4"/>
              </w:rPr>
            </w:pPr>
            <w:r>
              <w:rPr>
                <w:sz w:val="4"/>
                <w:szCs w:val="4"/>
              </w:rPr>
            </w:r>
          </w:p>
        </w:tc>
        <w:tc>
          <w:tcPr>
            <w:tcW w:w="377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 of Stock to be Issued</w:t>
            </w:r>
          </w:p>
        </w:tc>
        <w:tc>
          <w:tcPr>
            <w:tcW w:w="30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Outstanding</w:t>
            </w:r>
          </w:p>
        </w:tc>
        <w:tc>
          <w:tcPr>
            <w:tcW w:w="300" w:type="dxa"/>
            <w:tcBorders/>
            <w:shd w:fill="auto" w:val="clear"/>
            <w:vAlign w:val="bottom"/>
          </w:tcPr>
          <w:p>
            <w:pPr>
              <w:pStyle w:val="TableContents"/>
              <w:spacing w:before="0" w:after="283"/>
              <w:rPr>
                <w:sz w:val="4"/>
                <w:szCs w:val="4"/>
              </w:rPr>
            </w:pPr>
            <w:r>
              <w:rPr>
                <w:sz w:val="4"/>
                <w:szCs w:val="4"/>
              </w:rPr>
            </w:r>
          </w:p>
        </w:tc>
        <w:tc>
          <w:tcPr>
            <w:tcW w:w="19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those listed in the</w:t>
            </w:r>
          </w:p>
        </w:tc>
      </w:tr>
      <w:tr>
        <w:trPr/>
        <w:tc>
          <w:tcPr>
            <w:tcW w:w="2817"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Plan Category</w:t>
            </w:r>
          </w:p>
        </w:tc>
        <w:tc>
          <w:tcPr>
            <w:tcW w:w="377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Upon Exercise of Outstanding Options</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05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95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first column)</w:t>
            </w:r>
          </w:p>
        </w:tc>
      </w:tr>
      <w:tr>
        <w:trPr/>
        <w:tc>
          <w:tcPr>
            <w:tcW w:w="281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Equity Compensation Plans</w:t>
            </w:r>
          </w:p>
        </w:tc>
        <w:tc>
          <w:tcPr>
            <w:tcW w:w="161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95" w:type="dxa"/>
            <w:tcBorders/>
            <w:shd w:fill="C0C0C0" w:val="clear"/>
            <w:vAlign w:val="bottom"/>
          </w:tcPr>
          <w:p>
            <w:pPr>
              <w:pStyle w:val="TableContents"/>
              <w:spacing w:before="0" w:after="283"/>
              <w:rPr>
                <w:sz w:val="4"/>
                <w:szCs w:val="4"/>
              </w:rPr>
            </w:pPr>
            <w:r>
              <w:rPr>
                <w:sz w:val="4"/>
                <w:szCs w:val="4"/>
              </w:rPr>
            </w:r>
          </w:p>
        </w:tc>
        <w:tc>
          <w:tcPr>
            <w:tcW w:w="663" w:type="dxa"/>
            <w:tcBorders/>
            <w:shd w:fill="C0C0C0" w:val="clear"/>
            <w:vAlign w:val="bottom"/>
          </w:tcPr>
          <w:p>
            <w:pPr>
              <w:pStyle w:val="TableContents"/>
              <w:spacing w:before="0" w:after="283"/>
              <w:rPr>
                <w:sz w:val="4"/>
                <w:szCs w:val="4"/>
              </w:rPr>
            </w:pPr>
            <w:r>
              <w:rPr>
                <w:sz w:val="4"/>
                <w:szCs w:val="4"/>
              </w:rPr>
            </w:r>
          </w:p>
        </w:tc>
      </w:tr>
      <w:tr>
        <w:trPr/>
        <w:tc>
          <w:tcPr>
            <w:tcW w:w="281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Approved by our Stockholders (1)</w:t>
            </w:r>
          </w:p>
        </w:tc>
        <w:tc>
          <w:tcPr>
            <w:tcW w:w="16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53,874</w:t>
            </w:r>
          </w:p>
        </w:tc>
        <w:tc>
          <w:tcPr>
            <w:tcW w:w="300" w:type="dxa"/>
            <w:tcBorders/>
            <w:shd w:fill="C0C0C0" w:val="clear"/>
            <w:vAlign w:val="bottom"/>
          </w:tcPr>
          <w:p>
            <w:pPr>
              <w:pStyle w:val="TableContents"/>
              <w:spacing w:before="0" w:after="283"/>
              <w:jc w:val="left"/>
              <w:rPr/>
            </w:pPr>
            <w:r>
              <w:rPr/>
              <w:t>     </w:t>
            </w:r>
          </w:p>
        </w:tc>
        <w:tc>
          <w:tcPr>
            <w:tcW w:w="18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 (2)       </w:t>
            </w:r>
          </w:p>
        </w:tc>
        <w:tc>
          <w:tcPr>
            <w:tcW w:w="30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$ 14.39</w:t>
            </w:r>
          </w:p>
        </w:tc>
        <w:tc>
          <w:tcPr>
            <w:tcW w:w="300" w:type="dxa"/>
            <w:tcBorders/>
            <w:shd w:fill="C0C0C0" w:val="clear"/>
            <w:vAlign w:val="bottom"/>
          </w:tcPr>
          <w:p>
            <w:pPr>
              <w:pStyle w:val="TableContents"/>
              <w:spacing w:before="0" w:after="283"/>
              <w:rPr>
                <w:sz w:val="4"/>
                <w:szCs w:val="4"/>
              </w:rPr>
            </w:pPr>
            <w:r>
              <w:rPr>
                <w:sz w:val="4"/>
                <w:szCs w:val="4"/>
              </w:rPr>
            </w:r>
          </w:p>
        </w:tc>
        <w:tc>
          <w:tcPr>
            <w:tcW w:w="1295" w:type="dxa"/>
            <w:tcBorders/>
            <w:shd w:fill="C0C0C0" w:val="clear"/>
            <w:vAlign w:val="bottom"/>
          </w:tcPr>
          <w:p>
            <w:pPr>
              <w:pStyle w:val="TableContents"/>
              <w:spacing w:before="0" w:after="283"/>
              <w:jc w:val="right"/>
              <w:rPr/>
            </w:pPr>
            <w:r>
              <w:rPr/>
              <w:t xml:space="preserve">          </w:t>
            </w:r>
            <w:r>
              <w:rPr>
                <w:rFonts w:ascii="Times New Roman" w:hAnsi="Times New Roman"/>
                <w:sz w:val="20"/>
              </w:rPr>
              <w:t>603,135</w:t>
            </w:r>
          </w:p>
        </w:tc>
        <w:tc>
          <w:tcPr>
            <w:tcW w:w="663" w:type="dxa"/>
            <w:tcBorders/>
            <w:shd w:fill="C0C0C0" w:val="clear"/>
            <w:vAlign w:val="bottom"/>
          </w:tcPr>
          <w:p>
            <w:pPr>
              <w:pStyle w:val="TableContents"/>
              <w:spacing w:before="0" w:after="283"/>
              <w:jc w:val="left"/>
              <w:rPr/>
            </w:pPr>
            <w:r>
              <w:rPr/>
              <w:t> </w:t>
            </w:r>
            <w:r>
              <w:rPr>
                <w:rFonts w:ascii="Times New Roman" w:hAnsi="Times New Roman"/>
                <w:sz w:val="20"/>
              </w:rPr>
              <w:t>(3)</w:t>
            </w:r>
          </w:p>
        </w:tc>
      </w:tr>
      <w:tr>
        <w:trPr/>
        <w:tc>
          <w:tcPr>
            <w:tcW w:w="10205" w:type="dxa"/>
            <w:gridSpan w:val="9"/>
            <w:tcBorders/>
            <w:shd w:fill="auto" w:val="clear"/>
            <w:vAlign w:val="center"/>
          </w:tcPr>
          <w:p>
            <w:pPr>
              <w:pStyle w:val="TableContents"/>
              <w:spacing w:before="0" w:after="283"/>
              <w:rPr/>
            </w:pPr>
            <w:r>
              <w:rPr/>
              <w:t xml:space="preserve">    </w:t>
            </w:r>
          </w:p>
        </w:tc>
      </w:tr>
      <w:tr>
        <w:trPr/>
        <w:tc>
          <w:tcPr>
            <w:tcW w:w="281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Equity Compensation Plans Not</w:t>
            </w:r>
          </w:p>
        </w:tc>
        <w:tc>
          <w:tcPr>
            <w:tcW w:w="161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95" w:type="dxa"/>
            <w:tcBorders/>
            <w:shd w:fill="C0C0C0" w:val="clear"/>
            <w:vAlign w:val="bottom"/>
          </w:tcPr>
          <w:p>
            <w:pPr>
              <w:pStyle w:val="TableContents"/>
              <w:spacing w:before="0" w:after="283"/>
              <w:rPr>
                <w:sz w:val="4"/>
                <w:szCs w:val="4"/>
              </w:rPr>
            </w:pPr>
            <w:r>
              <w:rPr>
                <w:sz w:val="4"/>
                <w:szCs w:val="4"/>
              </w:rPr>
            </w:r>
          </w:p>
        </w:tc>
        <w:tc>
          <w:tcPr>
            <w:tcW w:w="663" w:type="dxa"/>
            <w:tcBorders/>
            <w:shd w:fill="C0C0C0" w:val="clear"/>
            <w:vAlign w:val="bottom"/>
          </w:tcPr>
          <w:p>
            <w:pPr>
              <w:pStyle w:val="TableContents"/>
              <w:spacing w:before="0" w:after="283"/>
              <w:rPr>
                <w:sz w:val="4"/>
                <w:szCs w:val="4"/>
              </w:rPr>
            </w:pPr>
            <w:r>
              <w:rPr>
                <w:sz w:val="4"/>
                <w:szCs w:val="4"/>
              </w:rPr>
            </w:r>
          </w:p>
        </w:tc>
      </w:tr>
      <w:tr>
        <w:trPr/>
        <w:tc>
          <w:tcPr>
            <w:tcW w:w="281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Approved by our Stockholders (4)</w:t>
            </w:r>
          </w:p>
        </w:tc>
        <w:tc>
          <w:tcPr>
            <w:tcW w:w="1610"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300" w:type="dxa"/>
            <w:tcBorders/>
            <w:shd w:fill="C0C0C0" w:val="clear"/>
            <w:vAlign w:val="bottom"/>
          </w:tcPr>
          <w:p>
            <w:pPr>
              <w:pStyle w:val="TableContents"/>
              <w:spacing w:before="0" w:after="283"/>
              <w:rPr>
                <w:sz w:val="4"/>
                <w:szCs w:val="4"/>
              </w:rPr>
            </w:pPr>
            <w:r>
              <w:rPr>
                <w:sz w:val="4"/>
                <w:szCs w:val="4"/>
              </w:rPr>
            </w:r>
          </w:p>
        </w:tc>
        <w:tc>
          <w:tcPr>
            <w:tcW w:w="18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0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$ 13.07</w:t>
            </w:r>
          </w:p>
        </w:tc>
        <w:tc>
          <w:tcPr>
            <w:tcW w:w="300" w:type="dxa"/>
            <w:tcBorders/>
            <w:shd w:fill="C0C0C0" w:val="clear"/>
            <w:vAlign w:val="bottom"/>
          </w:tcPr>
          <w:p>
            <w:pPr>
              <w:pStyle w:val="TableContents"/>
              <w:spacing w:before="0" w:after="283"/>
              <w:rPr>
                <w:sz w:val="4"/>
                <w:szCs w:val="4"/>
              </w:rPr>
            </w:pPr>
            <w:r>
              <w:rPr>
                <w:sz w:val="4"/>
                <w:szCs w:val="4"/>
              </w:rPr>
            </w:r>
          </w:p>
        </w:tc>
        <w:tc>
          <w:tcPr>
            <w:tcW w:w="129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3" w:type="dxa"/>
            <w:tcBorders>
              <w:bottom w:val="single" w:sz="8" w:space="0" w:color="000000"/>
            </w:tcBorders>
            <w:shd w:fill="C0C0C0" w:val="clear"/>
            <w:tcMar>
              <w:bottom w:w="28" w:type="dxa"/>
            </w:tcMar>
            <w:vAlign w:val="bottom"/>
          </w:tcPr>
          <w:p>
            <w:pPr>
              <w:pStyle w:val="TableContents"/>
              <w:spacing w:before="0" w:after="283"/>
              <w:rPr>
                <w:sz w:val="4"/>
                <w:szCs w:val="4"/>
              </w:rPr>
            </w:pPr>
            <w:r>
              <w:rPr>
                <w:sz w:val="4"/>
                <w:szCs w:val="4"/>
              </w:rPr>
            </w:r>
          </w:p>
        </w:tc>
      </w:tr>
      <w:tr>
        <w:trPr/>
        <w:tc>
          <w:tcPr>
            <w:tcW w:w="28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Total</w:t>
            </w:r>
          </w:p>
        </w:tc>
        <w:tc>
          <w:tcPr>
            <w:tcW w:w="1610" w:type="dxa"/>
            <w:tcBorders>
              <w:bottom w:val="double" w:sz="5" w:space="0" w:color="000000"/>
            </w:tcBorders>
            <w:shd w:fill="auto" w:val="clear"/>
            <w:tcMar>
              <w:bottom w:w="28" w:type="dxa"/>
            </w:tcMar>
            <w:vAlign w:val="bottom"/>
          </w:tcPr>
          <w:p>
            <w:pPr>
              <w:pStyle w:val="TableContents"/>
              <w:spacing w:before="0" w:after="283"/>
              <w:jc w:val="right"/>
              <w:rPr/>
            </w:pPr>
            <w:r>
              <w:rPr/>
              <w:t xml:space="preserve">                 </w:t>
            </w:r>
            <w:r>
              <w:rPr>
                <w:rFonts w:ascii="Times New Roman" w:hAnsi="Times New Roman"/>
                <w:sz w:val="20"/>
              </w:rPr>
              <w:t>60,124</w:t>
            </w:r>
          </w:p>
        </w:tc>
        <w:tc>
          <w:tcPr>
            <w:tcW w:w="300" w:type="dxa"/>
            <w:tcBorders/>
            <w:shd w:fill="auto" w:val="clear"/>
            <w:vAlign w:val="bottom"/>
          </w:tcPr>
          <w:p>
            <w:pPr>
              <w:pStyle w:val="TableContents"/>
              <w:spacing w:before="0" w:after="283"/>
              <w:rPr>
                <w:sz w:val="4"/>
                <w:szCs w:val="4"/>
              </w:rPr>
            </w:pPr>
            <w:r>
              <w:rPr>
                <w:sz w:val="4"/>
                <w:szCs w:val="4"/>
              </w:rPr>
            </w:r>
          </w:p>
        </w:tc>
        <w:tc>
          <w:tcPr>
            <w:tcW w:w="18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0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$ 14.25</w:t>
            </w:r>
          </w:p>
        </w:tc>
        <w:tc>
          <w:tcPr>
            <w:tcW w:w="300" w:type="dxa"/>
            <w:tcBorders/>
            <w:shd w:fill="auto" w:val="clear"/>
            <w:vAlign w:val="bottom"/>
          </w:tcPr>
          <w:p>
            <w:pPr>
              <w:pStyle w:val="TableContents"/>
              <w:spacing w:before="0" w:after="283"/>
              <w:rPr>
                <w:sz w:val="4"/>
                <w:szCs w:val="4"/>
              </w:rPr>
            </w:pPr>
            <w:r>
              <w:rPr>
                <w:sz w:val="4"/>
                <w:szCs w:val="4"/>
              </w:rPr>
            </w:r>
          </w:p>
        </w:tc>
        <w:tc>
          <w:tcPr>
            <w:tcW w:w="1295" w:type="dxa"/>
            <w:tcBorders>
              <w:bottom w:val="double" w:sz="5"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603,135</w:t>
            </w:r>
          </w:p>
        </w:tc>
        <w:tc>
          <w:tcPr>
            <w:tcW w:w="663" w:type="dxa"/>
            <w:tcBorders>
              <w:bottom w:val="double" w:sz="5" w:space="0" w:color="000000"/>
            </w:tcBorders>
            <w:shd w:fill="auto" w:val="clear"/>
            <w:tcMar>
              <w:bottom w:w="28" w:type="dxa"/>
            </w:tcMar>
            <w:vAlign w:val="bottom"/>
          </w:tcPr>
          <w:p>
            <w:pPr>
              <w:pStyle w:val="TableContents"/>
              <w:spacing w:before="0" w:after="283"/>
              <w:jc w:val="left"/>
              <w:rPr/>
            </w:pPr>
            <w:r>
              <w:rPr/>
              <w:t xml:space="preserve">           </w:t>
            </w:r>
          </w:p>
        </w:tc>
      </w:tr>
    </w:tbl>
    <w:p>
      <w:pPr>
        <w:pStyle w:val="TextBody"/>
        <w:rPr/>
      </w:pPr>
      <w:r>
        <w:rPr/>
      </w:r>
    </w:p>
    <w:p>
      <w:pPr>
        <w:pStyle w:val="TextBody"/>
        <w:jc w:val="both"/>
        <w:rPr>
          <w:rFonts w:ascii="Times New Roman" w:hAnsi="Times New Roman"/>
          <w:sz w:val="20"/>
        </w:rPr>
      </w:pPr>
      <w:r>
        <w:rPr>
          <w:rFonts w:ascii="Times New Roman" w:hAnsi="Times New Roman"/>
          <w:sz w:val="20"/>
        </w:rPr>
        <w:t>(1) These plans are our 1995 Long-Term Incentive Plan and 2006 Long Term Incentive Plan.</w:t>
      </w:r>
    </w:p>
    <w:p>
      <w:pPr>
        <w:pStyle w:val="TextBody"/>
        <w:jc w:val="both"/>
        <w:rPr>
          <w:rFonts w:ascii="Times New Roman" w:hAnsi="Times New Roman"/>
          <w:sz w:val="20"/>
        </w:rPr>
      </w:pPr>
      <w:r>
        <w:rPr>
          <w:rFonts w:ascii="Times New Roman" w:hAnsi="Times New Roman"/>
          <w:sz w:val="20"/>
        </w:rPr>
        <w:t>(2) Under these plans, awards made to members of the Jaffee family are for shares of Class B Stock. There were no awards to the Jaffee family outstanding as of July 31, 2013. Awards made to other employees or non-employee directors are for shares of Common Stock.</w:t>
      </w:r>
    </w:p>
    <w:p>
      <w:pPr>
        <w:pStyle w:val="TextBody"/>
        <w:jc w:val="both"/>
        <w:rPr>
          <w:rFonts w:ascii="Times New Roman" w:hAnsi="Times New Roman"/>
          <w:sz w:val="20"/>
        </w:rPr>
      </w:pPr>
      <w:r>
        <w:rPr>
          <w:rFonts w:ascii="Times New Roman" w:hAnsi="Times New Roman"/>
          <w:sz w:val="20"/>
        </w:rPr>
        <w:t>(3) Prior to issuance of awards under these plans, it is not possible to determine whether awards will be for shares of Common Stock or shares of Class B Stock. Awards made to members of the Jaffee family will be for shares of Class B Stock. Awards made to other employees or non-employee directors will be for shares of Common Stock.</w:t>
      </w:r>
    </w:p>
    <w:p>
      <w:pPr>
        <w:pStyle w:val="TextBody"/>
        <w:jc w:val="both"/>
        <w:rPr>
          <w:rFonts w:ascii="Times New Roman" w:hAnsi="Times New Roman"/>
          <w:sz w:val="20"/>
        </w:rPr>
      </w:pPr>
      <w:r>
        <w:rPr>
          <w:rFonts w:ascii="Times New Roman" w:hAnsi="Times New Roman"/>
          <w:sz w:val="20"/>
        </w:rPr>
        <w:t>(4) This plan is our Outside Director Stock Plan that was adopted by our Board of Directors in 1998. The Outside Director Stock Plan provides for grants of stock options to non-employee directors at an option price per share of 100% of the fair market value of Common Stock on the date of grant. Stock options have been granted to our directors for a 10-year term with a one-year vesting period. All stock issued under the plan is issued from shares held in our treasury.</w:t>
      </w:r>
    </w:p>
    <w:p>
      <w:pPr>
        <w:pStyle w:val="TextBody"/>
        <w:jc w:val="center"/>
        <w:rPr>
          <w:rFonts w:ascii="Times New Roman" w:hAnsi="Times New Roman"/>
          <w:sz w:val="20"/>
        </w:rPr>
      </w:pPr>
      <w:r>
        <w:rPr>
          <w:rFonts w:ascii="Times New Roman" w:hAnsi="Times New Roman"/>
          <w:sz w:val="20"/>
        </w:rPr>
        <w:t>44</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Benefits upon Termination or Change in Control</w:t>
      </w:r>
    </w:p>
    <w:p>
      <w:pPr>
        <w:pStyle w:val="TextBody"/>
        <w:jc w:val="both"/>
        <w:rPr/>
      </w:pPr>
      <w:r>
        <w:rPr/>
        <w:t xml:space="preserve">     </w:t>
      </w:r>
      <w:r>
        <w:rPr>
          <w:rFonts w:ascii="Times New Roman" w:hAnsi="Times New Roman"/>
          <w:sz w:val="20"/>
        </w:rPr>
        <w:t>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w:t>
      </w:r>
    </w:p>
    <w:p>
      <w:pPr>
        <w:pStyle w:val="TextBody"/>
        <w:jc w:val="both"/>
        <w:rPr/>
      </w:pPr>
      <w:r>
        <w:rPr/>
        <w:t xml:space="preserve">     </w:t>
      </w:r>
      <w:r>
        <w:rPr>
          <w:rFonts w:ascii="Times New Roman" w:hAnsi="Times New Roman"/>
          <w:sz w:val="20"/>
        </w:rPr>
        <w:t>We do not have a prospective severance plan that covers any of the named executive officers and generally have no employment or prospective severance agreements with the named executive officers.</w:t>
      </w:r>
    </w:p>
    <w:p>
      <w:pPr>
        <w:pStyle w:val="TextBody"/>
        <w:jc w:val="both"/>
        <w:rPr/>
      </w:pPr>
      <w:r>
        <w:rPr/>
        <w:t xml:space="preserve">     </w:t>
      </w:r>
      <w:r>
        <w:rPr>
          <w:rFonts w:ascii="Times New Roman" w:hAnsi="Times New Roman"/>
          <w:sz w:val="20"/>
        </w:rPr>
        <w:t>Our only other provisions for benefits upon termination of employment or change in control are in existing compensation plans and apply to all participants in those plans.</w:t>
      </w:r>
    </w:p>
    <w:p>
      <w:pPr>
        <w:pStyle w:val="TextBody"/>
        <w:numPr>
          <w:ilvl w:val="0"/>
          <w:numId w:val="15"/>
        </w:numPr>
        <w:tabs>
          <w:tab w:val="clear" w:pos="1134"/>
          <w:tab w:val="left" w:pos="707" w:leader="none"/>
        </w:tabs>
        <w:spacing w:before="0" w:after="0"/>
        <w:ind w:left="707" w:hanging="283"/>
        <w:jc w:val="both"/>
        <w:rPr>
          <w:sz w:val="20"/>
        </w:rPr>
      </w:pPr>
      <w:r>
        <w:rPr>
          <w:rFonts w:ascii="Times New Roman" w:hAnsi="Times New Roman"/>
          <w:sz w:val="20"/>
        </w:rPr>
        <w:t>Our annual incentive plan provides for immediate vesting and payment, as allowed by law, of a</w:t>
      </w:r>
      <w:r>
        <w:rPr>
          <w:sz w:val="20"/>
        </w:rPr>
        <w:t xml:space="preserve"> </w:t>
      </w:r>
      <w:r>
        <w:rPr>
          <w:rFonts w:ascii="Times New Roman" w:hAnsi="Times New Roman"/>
          <w:sz w:val="20"/>
        </w:rPr>
        <w:t>participants executive deferred bonus award account upon the participants death, disability,</w:t>
      </w:r>
      <w:r>
        <w:rPr>
          <w:sz w:val="20"/>
        </w:rPr>
        <w:t xml:space="preserve"> </w:t>
      </w:r>
      <w:r>
        <w:rPr>
          <w:rFonts w:ascii="Times New Roman" w:hAnsi="Times New Roman"/>
          <w:sz w:val="20"/>
        </w:rPr>
        <w:t>retirement with age plus years of service equal to 80 years, or change in control of the Company.</w:t>
        <w:br/>
        <w:t> </w:t>
      </w:r>
      <w:r>
        <w:rPr>
          <w:sz w:val="20"/>
        </w:rPr>
        <w:t xml:space="preserve"> </w:t>
      </w:r>
    </w:p>
    <w:p>
      <w:pPr>
        <w:pStyle w:val="TextBody"/>
        <w:numPr>
          <w:ilvl w:val="0"/>
          <w:numId w:val="15"/>
        </w:numPr>
        <w:tabs>
          <w:tab w:val="clear" w:pos="1134"/>
          <w:tab w:val="left" w:pos="707" w:leader="none"/>
        </w:tabs>
        <w:ind w:left="707" w:hanging="283"/>
        <w:jc w:val="both"/>
        <w:rPr>
          <w:sz w:val="20"/>
        </w:rPr>
      </w:pPr>
      <w:r>
        <w:rPr>
          <w:rFonts w:ascii="Times New Roman" w:hAnsi="Times New Roman"/>
          <w:sz w:val="20"/>
        </w:rPr>
        <w:t>Our equity incentive plans (the 1995 Long-Term Incentive Plan and the 2006 Long Term</w:t>
      </w:r>
      <w:r>
        <w:rPr>
          <w:sz w:val="20"/>
        </w:rPr>
        <w:t xml:space="preserve"> </w:t>
      </w:r>
      <w:r>
        <w:rPr>
          <w:rFonts w:ascii="Times New Roman" w:hAnsi="Times New Roman"/>
          <w:sz w:val="20"/>
        </w:rPr>
        <w:t>Incentive Plan) and the agreements issued under those plans provide for immediate vesting of</w:t>
      </w:r>
      <w:r>
        <w:rPr>
          <w:sz w:val="20"/>
        </w:rPr>
        <w:t xml:space="preserve"> </w:t>
      </w:r>
      <w:r>
        <w:rPr>
          <w:rFonts w:ascii="Times New Roman" w:hAnsi="Times New Roman"/>
          <w:sz w:val="20"/>
        </w:rPr>
        <w:t>restricted stock and immediate vesting and exercisability of stock options upon a participants</w:t>
      </w:r>
      <w:r>
        <w:rPr>
          <w:sz w:val="20"/>
        </w:rPr>
        <w:t xml:space="preserve"> </w:t>
      </w:r>
      <w:r>
        <w:rPr>
          <w:rFonts w:ascii="Times New Roman" w:hAnsi="Times New Roman"/>
          <w:sz w:val="20"/>
        </w:rPr>
        <w:t>death, disability or a change in control of the Company. Upon retirement with age plus years of</w:t>
      </w:r>
      <w:r>
        <w:rPr>
          <w:sz w:val="20"/>
        </w:rPr>
        <w:t xml:space="preserve"> </w:t>
      </w:r>
      <w:r>
        <w:rPr>
          <w:rFonts w:ascii="Times New Roman" w:hAnsi="Times New Roman"/>
          <w:sz w:val="20"/>
        </w:rPr>
        <w:t>service equal to 80 years, all stock options become immediately vested and exercisable. Upon any</w:t>
      </w:r>
      <w:r>
        <w:rPr>
          <w:sz w:val="20"/>
        </w:rPr>
        <w:t xml:space="preserve"> </w:t>
      </w:r>
      <w:r>
        <w:rPr>
          <w:rFonts w:ascii="Times New Roman" w:hAnsi="Times New Roman"/>
          <w:sz w:val="20"/>
        </w:rPr>
        <w:t>of these termination events, the participant, or his beneficiary in the case of the participants</w:t>
      </w:r>
      <w:r>
        <w:rPr>
          <w:sz w:val="20"/>
        </w:rPr>
        <w:t xml:space="preserve"> </w:t>
      </w:r>
      <w:r>
        <w:rPr>
          <w:rFonts w:ascii="Times New Roman" w:hAnsi="Times New Roman"/>
          <w:sz w:val="20"/>
        </w:rPr>
        <w:t>death, may exercise any outstanding stock options for a period of three years or until their</w:t>
      </w:r>
      <w:r>
        <w:rPr>
          <w:sz w:val="20"/>
        </w:rPr>
        <w:t xml:space="preserve"> </w:t>
      </w:r>
      <w:r>
        <w:rPr>
          <w:rFonts w:ascii="Times New Roman" w:hAnsi="Times New Roman"/>
          <w:sz w:val="20"/>
        </w:rPr>
        <w:t>expiration dates, whichever occurs first.</w:t>
      </w:r>
      <w:r>
        <w:rPr>
          <w:sz w:val="20"/>
        </w:rPr>
        <w:t xml:space="preserve"> </w:t>
      </w:r>
    </w:p>
    <w:p>
      <w:pPr>
        <w:pStyle w:val="TextBody"/>
        <w:jc w:val="both"/>
        <w:rPr/>
      </w:pPr>
      <w:r>
        <w:rPr/>
        <w:t xml:space="preserve">     </w:t>
      </w:r>
      <w:r>
        <w:rPr>
          <w:rFonts w:ascii="Times New Roman" w:hAnsi="Times New Roman"/>
          <w:sz w:val="20"/>
        </w:rPr>
        <w:t>The table below does not include amounts payable to the named executive officers under plans that are generally available on the same basis to all of our salaried employees, such as payments under the pension plan, the 401(k) plan, the life insurance plan, the disability insurance plan and payment of prorated annual incentive compensation. For information regarding pension plan benefits see Pension Benefits for Fiscal 2013 above.</w:t>
      </w:r>
    </w:p>
    <w:p>
      <w:pPr>
        <w:pStyle w:val="TextBody"/>
        <w:jc w:val="both"/>
        <w:rPr/>
      </w:pPr>
      <w:r>
        <w:rPr/>
        <w:t xml:space="preserve">     </w:t>
      </w:r>
      <w:r>
        <w:rPr>
          <w:rFonts w:ascii="Times New Roman" w:hAnsi="Times New Roman"/>
          <w:sz w:val="20"/>
        </w:rPr>
        <w:t>The table also does not include balances under our executive deferred compensation plan. Those balances and the circumstances under which the named executive officers may receive distributions from that plan are disclosed in the Nonqualified Deferred Compensation Table and the introduction to that table.</w:t>
      </w:r>
    </w:p>
    <w:p>
      <w:pPr>
        <w:pStyle w:val="TextBody"/>
        <w:jc w:val="both"/>
        <w:rPr/>
      </w:pPr>
      <w:r>
        <w:rPr/>
        <w:t xml:space="preserve">     </w:t>
      </w:r>
      <w:r>
        <w:rPr>
          <w:rFonts w:ascii="Times New Roman" w:hAnsi="Times New Roman"/>
          <w:sz w:val="20"/>
        </w:rPr>
        <w:t>Unless otherwise noted, the amounts shown assume that each named executive officers employment terminated on July 31, 2013, the last day of our most recently completed fiscal year, and when applicable, the closing sale price of our Common Stock on July 31, 2013, the last trading day of fiscal 2013, which was $31.86.</w:t>
      </w:r>
    </w:p>
    <w:p>
      <w:pPr>
        <w:pStyle w:val="TextBody"/>
        <w:jc w:val="center"/>
        <w:rPr>
          <w:rFonts w:ascii="Times New Roman" w:hAnsi="Times New Roman"/>
          <w:sz w:val="20"/>
        </w:rPr>
      </w:pPr>
      <w:r>
        <w:rPr>
          <w:rFonts w:ascii="Times New Roman" w:hAnsi="Times New Roman"/>
          <w:sz w:val="20"/>
        </w:rPr>
        <w:t>45</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5685"/>
        <w:gridCol w:w="1460"/>
        <w:gridCol w:w="323"/>
        <w:gridCol w:w="191"/>
        <w:gridCol w:w="1078"/>
        <w:gridCol w:w="323"/>
        <w:gridCol w:w="151"/>
        <w:gridCol w:w="994"/>
      </w:tblGrid>
      <w:tr>
        <w:trPr/>
        <w:tc>
          <w:tcPr>
            <w:tcW w:w="5685"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center"/>
              <w:rPr/>
            </w:pPr>
            <w:r>
              <w:rPr>
                <w:rStyle w:val="StrongEmphasis"/>
                <w:rFonts w:ascii="Times New Roman" w:hAnsi="Times New Roman"/>
                <w:sz w:val="20"/>
              </w:rPr>
              <w:t>Annual Incentive</w:t>
            </w:r>
          </w:p>
        </w:tc>
        <w:tc>
          <w:tcPr>
            <w:tcW w:w="32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r>
      <w:tr>
        <w:trPr/>
        <w:tc>
          <w:tcPr>
            <w:tcW w:w="5685" w:type="dxa"/>
            <w:tcBorders/>
            <w:shd w:fill="auto" w:val="clear"/>
            <w:vAlign w:val="bottom"/>
          </w:tcPr>
          <w:p>
            <w:pPr>
              <w:pStyle w:val="TableContents"/>
              <w:spacing w:before="0" w:after="283"/>
              <w:rPr>
                <w:sz w:val="4"/>
                <w:szCs w:val="4"/>
              </w:rPr>
            </w:pPr>
            <w:r>
              <w:rPr>
                <w:sz w:val="4"/>
                <w:szCs w:val="4"/>
              </w:rPr>
            </w:r>
          </w:p>
        </w:tc>
        <w:tc>
          <w:tcPr>
            <w:tcW w:w="146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Plan Deferred</w:t>
            </w:r>
          </w:p>
        </w:tc>
        <w:tc>
          <w:tcPr>
            <w:tcW w:w="323" w:type="dxa"/>
            <w:tcBorders/>
            <w:shd w:fill="auto" w:val="clear"/>
            <w:vAlign w:val="bottom"/>
          </w:tcPr>
          <w:p>
            <w:pPr>
              <w:pStyle w:val="TableContents"/>
              <w:spacing w:before="0" w:after="283"/>
              <w:rPr>
                <w:sz w:val="4"/>
                <w:szCs w:val="4"/>
              </w:rPr>
            </w:pPr>
            <w:r>
              <w:rPr>
                <w:sz w:val="4"/>
                <w:szCs w:val="4"/>
              </w:rPr>
            </w:r>
          </w:p>
        </w:tc>
        <w:tc>
          <w:tcPr>
            <w:tcW w:w="126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2006 Long Term</w:t>
            </w:r>
          </w:p>
        </w:tc>
        <w:tc>
          <w:tcPr>
            <w:tcW w:w="323"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rPr>
                <w:sz w:val="4"/>
                <w:szCs w:val="4"/>
              </w:rPr>
            </w:pPr>
            <w:r>
              <w:rPr>
                <w:sz w:val="4"/>
                <w:szCs w:val="4"/>
              </w:rPr>
            </w:r>
          </w:p>
        </w:tc>
      </w:tr>
      <w:tr>
        <w:trPr/>
        <w:tc>
          <w:tcPr>
            <w:tcW w:w="5685" w:type="dxa"/>
            <w:tcBorders/>
            <w:shd w:fill="auto" w:val="clear"/>
            <w:vAlign w:val="bottom"/>
          </w:tcPr>
          <w:p>
            <w:pPr>
              <w:pStyle w:val="TableContents"/>
              <w:spacing w:before="0" w:after="283"/>
              <w:rPr>
                <w:sz w:val="4"/>
                <w:szCs w:val="4"/>
              </w:rPr>
            </w:pPr>
            <w:r>
              <w:rPr>
                <w:sz w:val="4"/>
                <w:szCs w:val="4"/>
              </w:rPr>
            </w:r>
          </w:p>
        </w:tc>
        <w:tc>
          <w:tcPr>
            <w:tcW w:w="146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 Account</w:t>
            </w:r>
          </w:p>
        </w:tc>
        <w:tc>
          <w:tcPr>
            <w:tcW w:w="323" w:type="dxa"/>
            <w:tcBorders/>
            <w:shd w:fill="auto" w:val="clear"/>
            <w:vAlign w:val="bottom"/>
          </w:tcPr>
          <w:p>
            <w:pPr>
              <w:pStyle w:val="TableContents"/>
              <w:spacing w:before="0" w:after="283"/>
              <w:rPr>
                <w:sz w:val="4"/>
                <w:szCs w:val="4"/>
              </w:rPr>
            </w:pPr>
            <w:r>
              <w:rPr>
                <w:sz w:val="4"/>
                <w:szCs w:val="4"/>
              </w:rPr>
            </w:r>
          </w:p>
        </w:tc>
        <w:tc>
          <w:tcPr>
            <w:tcW w:w="126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Incentive Plan</w:t>
            </w:r>
          </w:p>
        </w:tc>
        <w:tc>
          <w:tcPr>
            <w:tcW w:w="323"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rPr>
                <w:sz w:val="4"/>
                <w:szCs w:val="4"/>
              </w:rPr>
            </w:pPr>
            <w:r>
              <w:rPr>
                <w:sz w:val="4"/>
                <w:szCs w:val="4"/>
              </w:rPr>
            </w:r>
          </w:p>
        </w:tc>
      </w:tr>
      <w:tr>
        <w:trPr/>
        <w:tc>
          <w:tcPr>
            <w:tcW w:w="5685" w:type="dxa"/>
            <w:tcBorders/>
            <w:shd w:fill="auto" w:val="clear"/>
            <w:vAlign w:val="bottom"/>
          </w:tcPr>
          <w:p>
            <w:pPr>
              <w:pStyle w:val="TableContents"/>
              <w:spacing w:before="0" w:after="283"/>
              <w:rPr>
                <w:sz w:val="4"/>
                <w:szCs w:val="4"/>
              </w:rPr>
            </w:pPr>
            <w:r>
              <w:rPr>
                <w:sz w:val="4"/>
                <w:szCs w:val="4"/>
              </w:rPr>
            </w:r>
          </w:p>
        </w:tc>
        <w:tc>
          <w:tcPr>
            <w:tcW w:w="146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23" w:type="dxa"/>
            <w:tcBorders/>
            <w:shd w:fill="auto" w:val="clear"/>
            <w:vAlign w:val="bottom"/>
          </w:tcPr>
          <w:p>
            <w:pPr>
              <w:pStyle w:val="TableContents"/>
              <w:spacing w:before="0" w:after="283"/>
              <w:jc w:val="center"/>
              <w:rPr/>
            </w:pPr>
            <w:r>
              <w:rPr/>
              <w:t>     </w:t>
            </w:r>
          </w:p>
        </w:tc>
        <w:tc>
          <w:tcPr>
            <w:tcW w:w="126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23" w:type="dxa"/>
            <w:tcBorders/>
            <w:shd w:fill="auto" w:val="clear"/>
            <w:vAlign w:val="bottom"/>
          </w:tcPr>
          <w:p>
            <w:pPr>
              <w:pStyle w:val="TableContents"/>
              <w:spacing w:before="0" w:after="283"/>
              <w:jc w:val="center"/>
              <w:rPr/>
            </w:pPr>
            <w:r>
              <w:rPr/>
              <w:t>     </w:t>
            </w:r>
          </w:p>
        </w:tc>
        <w:tc>
          <w:tcPr>
            <w:tcW w:w="11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568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146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23"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269"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23"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14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56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1460" w:type="dxa"/>
            <w:tcBorders/>
            <w:shd w:fill="C0C0C0" w:val="clear"/>
            <w:vAlign w:val="bottom"/>
          </w:tcPr>
          <w:p>
            <w:pPr>
              <w:pStyle w:val="TableContents"/>
              <w:spacing w:before="0" w:after="283"/>
              <w:rPr>
                <w:sz w:val="4"/>
                <w:szCs w:val="4"/>
              </w:rPr>
            </w:pPr>
            <w:r>
              <w:rPr>
                <w:sz w:val="4"/>
                <w:szCs w:val="4"/>
              </w:rPr>
            </w:r>
          </w:p>
        </w:tc>
        <w:tc>
          <w:tcPr>
            <w:tcW w:w="323" w:type="dxa"/>
            <w:tcBorders/>
            <w:shd w:fill="C0C0C0" w:val="clear"/>
            <w:vAlign w:val="bottom"/>
          </w:tcPr>
          <w:p>
            <w:pPr>
              <w:pStyle w:val="TableContents"/>
              <w:spacing w:before="0" w:after="283"/>
              <w:rPr>
                <w:sz w:val="4"/>
                <w:szCs w:val="4"/>
              </w:rPr>
            </w:pPr>
            <w:r>
              <w:rPr>
                <w:sz w:val="4"/>
                <w:szCs w:val="4"/>
              </w:rPr>
            </w:r>
          </w:p>
        </w:tc>
        <w:tc>
          <w:tcPr>
            <w:tcW w:w="191" w:type="dxa"/>
            <w:tcBorders/>
            <w:shd w:fill="C0C0C0" w:val="clear"/>
            <w:vAlign w:val="bottom"/>
          </w:tcPr>
          <w:p>
            <w:pPr>
              <w:pStyle w:val="TableContents"/>
              <w:spacing w:before="0" w:after="283"/>
              <w:rPr>
                <w:sz w:val="4"/>
                <w:szCs w:val="4"/>
              </w:rPr>
            </w:pPr>
            <w:r>
              <w:rPr>
                <w:sz w:val="4"/>
                <w:szCs w:val="4"/>
              </w:rPr>
            </w:r>
          </w:p>
        </w:tc>
        <w:tc>
          <w:tcPr>
            <w:tcW w:w="1078" w:type="dxa"/>
            <w:tcBorders/>
            <w:shd w:fill="C0C0C0" w:val="clear"/>
            <w:vAlign w:val="bottom"/>
          </w:tcPr>
          <w:p>
            <w:pPr>
              <w:pStyle w:val="TableContents"/>
              <w:spacing w:before="0" w:after="283"/>
              <w:rPr>
                <w:sz w:val="4"/>
                <w:szCs w:val="4"/>
              </w:rPr>
            </w:pPr>
            <w:r>
              <w:rPr>
                <w:sz w:val="4"/>
                <w:szCs w:val="4"/>
              </w:rPr>
            </w:r>
          </w:p>
        </w:tc>
        <w:tc>
          <w:tcPr>
            <w:tcW w:w="323" w:type="dxa"/>
            <w:tcBorders/>
            <w:shd w:fill="C0C0C0" w:val="clear"/>
            <w:vAlign w:val="bottom"/>
          </w:tcPr>
          <w:p>
            <w:pPr>
              <w:pStyle w:val="TableContents"/>
              <w:spacing w:before="0" w:after="283"/>
              <w:rPr>
                <w:sz w:val="4"/>
                <w:szCs w:val="4"/>
              </w:rPr>
            </w:pPr>
            <w:r>
              <w:rPr>
                <w:sz w:val="4"/>
                <w:szCs w:val="4"/>
              </w:rPr>
            </w:r>
          </w:p>
        </w:tc>
        <w:tc>
          <w:tcPr>
            <w:tcW w:w="151" w:type="dxa"/>
            <w:tcBorders/>
            <w:shd w:fill="C0C0C0" w:val="clear"/>
            <w:vAlign w:val="bottom"/>
          </w:tcPr>
          <w:p>
            <w:pPr>
              <w:pStyle w:val="TableContents"/>
              <w:spacing w:before="0" w:after="283"/>
              <w:rPr>
                <w:sz w:val="4"/>
                <w:szCs w:val="4"/>
              </w:rPr>
            </w:pPr>
            <w:r>
              <w:rPr>
                <w:sz w:val="4"/>
                <w:szCs w:val="4"/>
              </w:rPr>
            </w:r>
          </w:p>
        </w:tc>
        <w:tc>
          <w:tcPr>
            <w:tcW w:w="994" w:type="dxa"/>
            <w:tcBorders/>
            <w:shd w:fill="C0C0C0" w:val="clear"/>
            <w:vAlign w:val="bottom"/>
          </w:tcPr>
          <w:p>
            <w:pPr>
              <w:pStyle w:val="TableContents"/>
              <w:spacing w:before="0" w:after="283"/>
              <w:rPr>
                <w:sz w:val="4"/>
                <w:szCs w:val="4"/>
              </w:rPr>
            </w:pPr>
            <w:r>
              <w:rPr>
                <w:sz w:val="4"/>
                <w:szCs w:val="4"/>
              </w:rPr>
            </w:r>
          </w:p>
        </w:tc>
      </w:tr>
      <w:tr>
        <w:trPr/>
        <w:tc>
          <w:tcPr>
            <w:tcW w:w="56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 Death, Disability</w:t>
            </w:r>
          </w:p>
        </w:tc>
        <w:tc>
          <w:tcPr>
            <w:tcW w:w="14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23" w:type="dxa"/>
            <w:tcBorders/>
            <w:shd w:fill="C0C0C0" w:val="clear"/>
            <w:vAlign w:val="bottom"/>
          </w:tcPr>
          <w:p>
            <w:pPr>
              <w:pStyle w:val="TableContents"/>
              <w:spacing w:before="0" w:after="283"/>
              <w:rPr>
                <w:sz w:val="4"/>
                <w:szCs w:val="4"/>
              </w:rPr>
            </w:pPr>
            <w:r>
              <w:rPr>
                <w:sz w:val="4"/>
                <w:szCs w:val="4"/>
              </w:rPr>
            </w:r>
          </w:p>
        </w:tc>
        <w:tc>
          <w:tcPr>
            <w:tcW w:w="1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2,548,991</w:t>
            </w:r>
          </w:p>
        </w:tc>
        <w:tc>
          <w:tcPr>
            <w:tcW w:w="323" w:type="dxa"/>
            <w:tcBorders/>
            <w:shd w:fill="C0C0C0" w:val="clear"/>
            <w:vAlign w:val="bottom"/>
          </w:tcPr>
          <w:p>
            <w:pPr>
              <w:pStyle w:val="TableContents"/>
              <w:spacing w:before="0" w:after="283"/>
              <w:rPr>
                <w:sz w:val="4"/>
                <w:szCs w:val="4"/>
              </w:rPr>
            </w:pPr>
            <w:r>
              <w:rPr>
                <w:sz w:val="4"/>
                <w:szCs w:val="4"/>
              </w:rPr>
            </w:r>
          </w:p>
        </w:tc>
        <w:tc>
          <w:tcPr>
            <w:tcW w:w="1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2,548,991</w:t>
            </w:r>
          </w:p>
        </w:tc>
      </w:tr>
      <w:tr>
        <w:trPr/>
        <w:tc>
          <w:tcPr>
            <w:tcW w:w="10205" w:type="dxa"/>
            <w:gridSpan w:val="8"/>
            <w:tcBorders/>
            <w:shd w:fill="auto" w:val="clear"/>
            <w:vAlign w:val="center"/>
          </w:tcPr>
          <w:p>
            <w:pPr>
              <w:pStyle w:val="TableContents"/>
              <w:spacing w:before="0" w:after="283"/>
              <w:rPr/>
            </w:pPr>
            <w:r>
              <w:rPr/>
              <w:t xml:space="preserve">  </w:t>
            </w:r>
          </w:p>
        </w:tc>
      </w:tr>
      <w:tr>
        <w:trPr/>
        <w:tc>
          <w:tcPr>
            <w:tcW w:w="56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1460" w:type="dxa"/>
            <w:tcBorders/>
            <w:shd w:fill="C0C0C0" w:val="clear"/>
            <w:vAlign w:val="bottom"/>
          </w:tcPr>
          <w:p>
            <w:pPr>
              <w:pStyle w:val="TableContents"/>
              <w:spacing w:before="0" w:after="283"/>
              <w:rPr>
                <w:sz w:val="4"/>
                <w:szCs w:val="4"/>
              </w:rPr>
            </w:pPr>
            <w:r>
              <w:rPr>
                <w:sz w:val="4"/>
                <w:szCs w:val="4"/>
              </w:rPr>
            </w:r>
          </w:p>
        </w:tc>
        <w:tc>
          <w:tcPr>
            <w:tcW w:w="323" w:type="dxa"/>
            <w:tcBorders/>
            <w:shd w:fill="C0C0C0" w:val="clear"/>
            <w:vAlign w:val="bottom"/>
          </w:tcPr>
          <w:p>
            <w:pPr>
              <w:pStyle w:val="TableContents"/>
              <w:spacing w:before="0" w:after="283"/>
              <w:rPr>
                <w:sz w:val="4"/>
                <w:szCs w:val="4"/>
              </w:rPr>
            </w:pPr>
            <w:r>
              <w:rPr>
                <w:sz w:val="4"/>
                <w:szCs w:val="4"/>
              </w:rPr>
            </w:r>
          </w:p>
        </w:tc>
        <w:tc>
          <w:tcPr>
            <w:tcW w:w="191" w:type="dxa"/>
            <w:tcBorders/>
            <w:shd w:fill="C0C0C0" w:val="clear"/>
            <w:vAlign w:val="bottom"/>
          </w:tcPr>
          <w:p>
            <w:pPr>
              <w:pStyle w:val="TableContents"/>
              <w:spacing w:before="0" w:after="283"/>
              <w:rPr>
                <w:sz w:val="4"/>
                <w:szCs w:val="4"/>
              </w:rPr>
            </w:pPr>
            <w:r>
              <w:rPr>
                <w:sz w:val="4"/>
                <w:szCs w:val="4"/>
              </w:rPr>
            </w:r>
          </w:p>
        </w:tc>
        <w:tc>
          <w:tcPr>
            <w:tcW w:w="1078" w:type="dxa"/>
            <w:tcBorders/>
            <w:shd w:fill="C0C0C0" w:val="clear"/>
            <w:vAlign w:val="bottom"/>
          </w:tcPr>
          <w:p>
            <w:pPr>
              <w:pStyle w:val="TableContents"/>
              <w:spacing w:before="0" w:after="283"/>
              <w:rPr>
                <w:sz w:val="4"/>
                <w:szCs w:val="4"/>
              </w:rPr>
            </w:pPr>
            <w:r>
              <w:rPr>
                <w:sz w:val="4"/>
                <w:szCs w:val="4"/>
              </w:rPr>
            </w:r>
          </w:p>
        </w:tc>
        <w:tc>
          <w:tcPr>
            <w:tcW w:w="323" w:type="dxa"/>
            <w:tcBorders/>
            <w:shd w:fill="C0C0C0" w:val="clear"/>
            <w:vAlign w:val="bottom"/>
          </w:tcPr>
          <w:p>
            <w:pPr>
              <w:pStyle w:val="TableContents"/>
              <w:spacing w:before="0" w:after="283"/>
              <w:rPr>
                <w:sz w:val="4"/>
                <w:szCs w:val="4"/>
              </w:rPr>
            </w:pPr>
            <w:r>
              <w:rPr>
                <w:sz w:val="4"/>
                <w:szCs w:val="4"/>
              </w:rPr>
            </w:r>
          </w:p>
        </w:tc>
        <w:tc>
          <w:tcPr>
            <w:tcW w:w="151" w:type="dxa"/>
            <w:tcBorders/>
            <w:shd w:fill="C0C0C0" w:val="clear"/>
            <w:vAlign w:val="bottom"/>
          </w:tcPr>
          <w:p>
            <w:pPr>
              <w:pStyle w:val="TableContents"/>
              <w:spacing w:before="0" w:after="283"/>
              <w:rPr>
                <w:sz w:val="4"/>
                <w:szCs w:val="4"/>
              </w:rPr>
            </w:pPr>
            <w:r>
              <w:rPr>
                <w:sz w:val="4"/>
                <w:szCs w:val="4"/>
              </w:rPr>
            </w:r>
          </w:p>
        </w:tc>
        <w:tc>
          <w:tcPr>
            <w:tcW w:w="994" w:type="dxa"/>
            <w:tcBorders/>
            <w:shd w:fill="C0C0C0" w:val="clear"/>
            <w:vAlign w:val="bottom"/>
          </w:tcPr>
          <w:p>
            <w:pPr>
              <w:pStyle w:val="TableContents"/>
              <w:spacing w:before="0" w:after="283"/>
              <w:rPr>
                <w:sz w:val="4"/>
                <w:szCs w:val="4"/>
              </w:rPr>
            </w:pPr>
            <w:r>
              <w:rPr>
                <w:sz w:val="4"/>
                <w:szCs w:val="4"/>
              </w:rPr>
            </w:r>
          </w:p>
        </w:tc>
      </w:tr>
      <w:tr>
        <w:trPr/>
        <w:tc>
          <w:tcPr>
            <w:tcW w:w="56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 Death, Disability</w:t>
            </w:r>
          </w:p>
        </w:tc>
        <w:tc>
          <w:tcPr>
            <w:tcW w:w="14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$ 25,902</w:t>
            </w:r>
          </w:p>
        </w:tc>
        <w:tc>
          <w:tcPr>
            <w:tcW w:w="323" w:type="dxa"/>
            <w:tcBorders/>
            <w:shd w:fill="C0C0C0" w:val="clear"/>
            <w:vAlign w:val="bottom"/>
          </w:tcPr>
          <w:p>
            <w:pPr>
              <w:pStyle w:val="TableContents"/>
              <w:spacing w:before="0" w:after="283"/>
              <w:rPr>
                <w:sz w:val="4"/>
                <w:szCs w:val="4"/>
              </w:rPr>
            </w:pPr>
            <w:r>
              <w:rPr>
                <w:sz w:val="4"/>
                <w:szCs w:val="4"/>
              </w:rPr>
            </w:r>
          </w:p>
        </w:tc>
        <w:tc>
          <w:tcPr>
            <w:tcW w:w="1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31,860</w:t>
            </w:r>
          </w:p>
        </w:tc>
        <w:tc>
          <w:tcPr>
            <w:tcW w:w="323" w:type="dxa"/>
            <w:tcBorders/>
            <w:shd w:fill="C0C0C0" w:val="clear"/>
            <w:vAlign w:val="bottom"/>
          </w:tcPr>
          <w:p>
            <w:pPr>
              <w:pStyle w:val="TableContents"/>
              <w:spacing w:before="0" w:after="283"/>
              <w:rPr>
                <w:sz w:val="4"/>
                <w:szCs w:val="4"/>
              </w:rPr>
            </w:pPr>
            <w:r>
              <w:rPr>
                <w:sz w:val="4"/>
                <w:szCs w:val="4"/>
              </w:rPr>
            </w:r>
          </w:p>
        </w:tc>
        <w:tc>
          <w:tcPr>
            <w:tcW w:w="1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57,762</w:t>
            </w:r>
          </w:p>
        </w:tc>
      </w:tr>
      <w:tr>
        <w:trPr/>
        <w:tc>
          <w:tcPr>
            <w:tcW w:w="10205" w:type="dxa"/>
            <w:gridSpan w:val="8"/>
            <w:tcBorders/>
            <w:shd w:fill="auto" w:val="clear"/>
            <w:vAlign w:val="center"/>
          </w:tcPr>
          <w:p>
            <w:pPr>
              <w:pStyle w:val="TableContents"/>
              <w:spacing w:before="0" w:after="283"/>
              <w:rPr/>
            </w:pPr>
            <w:r>
              <w:rPr/>
              <w:t xml:space="preserve">  </w:t>
            </w:r>
          </w:p>
        </w:tc>
      </w:tr>
      <w:tr>
        <w:trPr/>
        <w:tc>
          <w:tcPr>
            <w:tcW w:w="56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1460" w:type="dxa"/>
            <w:tcBorders/>
            <w:shd w:fill="C0C0C0" w:val="clear"/>
            <w:vAlign w:val="bottom"/>
          </w:tcPr>
          <w:p>
            <w:pPr>
              <w:pStyle w:val="TableContents"/>
              <w:spacing w:before="0" w:after="283"/>
              <w:rPr>
                <w:sz w:val="4"/>
                <w:szCs w:val="4"/>
              </w:rPr>
            </w:pPr>
            <w:r>
              <w:rPr>
                <w:sz w:val="4"/>
                <w:szCs w:val="4"/>
              </w:rPr>
            </w:r>
          </w:p>
        </w:tc>
        <w:tc>
          <w:tcPr>
            <w:tcW w:w="323" w:type="dxa"/>
            <w:tcBorders/>
            <w:shd w:fill="C0C0C0" w:val="clear"/>
            <w:vAlign w:val="bottom"/>
          </w:tcPr>
          <w:p>
            <w:pPr>
              <w:pStyle w:val="TableContents"/>
              <w:spacing w:before="0" w:after="283"/>
              <w:rPr>
                <w:sz w:val="4"/>
                <w:szCs w:val="4"/>
              </w:rPr>
            </w:pPr>
            <w:r>
              <w:rPr>
                <w:sz w:val="4"/>
                <w:szCs w:val="4"/>
              </w:rPr>
            </w:r>
          </w:p>
        </w:tc>
        <w:tc>
          <w:tcPr>
            <w:tcW w:w="191" w:type="dxa"/>
            <w:tcBorders/>
            <w:shd w:fill="C0C0C0" w:val="clear"/>
            <w:vAlign w:val="bottom"/>
          </w:tcPr>
          <w:p>
            <w:pPr>
              <w:pStyle w:val="TableContents"/>
              <w:spacing w:before="0" w:after="283"/>
              <w:rPr>
                <w:sz w:val="4"/>
                <w:szCs w:val="4"/>
              </w:rPr>
            </w:pPr>
            <w:r>
              <w:rPr>
                <w:sz w:val="4"/>
                <w:szCs w:val="4"/>
              </w:rPr>
            </w:r>
          </w:p>
        </w:tc>
        <w:tc>
          <w:tcPr>
            <w:tcW w:w="1078" w:type="dxa"/>
            <w:tcBorders/>
            <w:shd w:fill="C0C0C0" w:val="clear"/>
            <w:vAlign w:val="bottom"/>
          </w:tcPr>
          <w:p>
            <w:pPr>
              <w:pStyle w:val="TableContents"/>
              <w:spacing w:before="0" w:after="283"/>
              <w:rPr>
                <w:sz w:val="4"/>
                <w:szCs w:val="4"/>
              </w:rPr>
            </w:pPr>
            <w:r>
              <w:rPr>
                <w:sz w:val="4"/>
                <w:szCs w:val="4"/>
              </w:rPr>
            </w:r>
          </w:p>
        </w:tc>
        <w:tc>
          <w:tcPr>
            <w:tcW w:w="323" w:type="dxa"/>
            <w:tcBorders/>
            <w:shd w:fill="C0C0C0" w:val="clear"/>
            <w:vAlign w:val="bottom"/>
          </w:tcPr>
          <w:p>
            <w:pPr>
              <w:pStyle w:val="TableContents"/>
              <w:spacing w:before="0" w:after="283"/>
              <w:rPr>
                <w:sz w:val="4"/>
                <w:szCs w:val="4"/>
              </w:rPr>
            </w:pPr>
            <w:r>
              <w:rPr>
                <w:sz w:val="4"/>
                <w:szCs w:val="4"/>
              </w:rPr>
            </w:r>
          </w:p>
        </w:tc>
        <w:tc>
          <w:tcPr>
            <w:tcW w:w="151" w:type="dxa"/>
            <w:tcBorders/>
            <w:shd w:fill="C0C0C0" w:val="clear"/>
            <w:vAlign w:val="bottom"/>
          </w:tcPr>
          <w:p>
            <w:pPr>
              <w:pStyle w:val="TableContents"/>
              <w:spacing w:before="0" w:after="283"/>
              <w:rPr>
                <w:sz w:val="4"/>
                <w:szCs w:val="4"/>
              </w:rPr>
            </w:pPr>
            <w:r>
              <w:rPr>
                <w:sz w:val="4"/>
                <w:szCs w:val="4"/>
              </w:rPr>
            </w:r>
          </w:p>
        </w:tc>
        <w:tc>
          <w:tcPr>
            <w:tcW w:w="994" w:type="dxa"/>
            <w:tcBorders/>
            <w:shd w:fill="C0C0C0" w:val="clear"/>
            <w:vAlign w:val="bottom"/>
          </w:tcPr>
          <w:p>
            <w:pPr>
              <w:pStyle w:val="TableContents"/>
              <w:spacing w:before="0" w:after="283"/>
              <w:rPr>
                <w:sz w:val="4"/>
                <w:szCs w:val="4"/>
              </w:rPr>
            </w:pPr>
            <w:r>
              <w:rPr>
                <w:sz w:val="4"/>
                <w:szCs w:val="4"/>
              </w:rPr>
            </w:r>
          </w:p>
        </w:tc>
      </w:tr>
      <w:tr>
        <w:trPr/>
        <w:tc>
          <w:tcPr>
            <w:tcW w:w="56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 Death, Disability</w:t>
            </w:r>
          </w:p>
        </w:tc>
        <w:tc>
          <w:tcPr>
            <w:tcW w:w="14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23" w:type="dxa"/>
            <w:tcBorders/>
            <w:shd w:fill="C0C0C0" w:val="clear"/>
            <w:vAlign w:val="bottom"/>
          </w:tcPr>
          <w:p>
            <w:pPr>
              <w:pStyle w:val="TableContents"/>
              <w:spacing w:before="0" w:after="283"/>
              <w:rPr>
                <w:sz w:val="4"/>
                <w:szCs w:val="4"/>
              </w:rPr>
            </w:pPr>
            <w:r>
              <w:rPr>
                <w:sz w:val="4"/>
                <w:szCs w:val="4"/>
              </w:rPr>
            </w:r>
          </w:p>
        </w:tc>
        <w:tc>
          <w:tcPr>
            <w:tcW w:w="1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138,400</w:t>
            </w:r>
          </w:p>
        </w:tc>
        <w:tc>
          <w:tcPr>
            <w:tcW w:w="323" w:type="dxa"/>
            <w:tcBorders/>
            <w:shd w:fill="C0C0C0" w:val="clear"/>
            <w:vAlign w:val="bottom"/>
          </w:tcPr>
          <w:p>
            <w:pPr>
              <w:pStyle w:val="TableContents"/>
              <w:spacing w:before="0" w:after="283"/>
              <w:rPr>
                <w:sz w:val="4"/>
                <w:szCs w:val="4"/>
              </w:rPr>
            </w:pPr>
            <w:r>
              <w:rPr>
                <w:sz w:val="4"/>
                <w:szCs w:val="4"/>
              </w:rPr>
            </w:r>
          </w:p>
        </w:tc>
        <w:tc>
          <w:tcPr>
            <w:tcW w:w="1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138,400</w:t>
            </w:r>
          </w:p>
        </w:tc>
      </w:tr>
      <w:tr>
        <w:trPr/>
        <w:tc>
          <w:tcPr>
            <w:tcW w:w="10205" w:type="dxa"/>
            <w:gridSpan w:val="8"/>
            <w:tcBorders/>
            <w:shd w:fill="auto" w:val="clear"/>
            <w:vAlign w:val="center"/>
          </w:tcPr>
          <w:p>
            <w:pPr>
              <w:pStyle w:val="TableContents"/>
              <w:spacing w:before="0" w:after="283"/>
              <w:rPr/>
            </w:pPr>
            <w:r>
              <w:rPr/>
              <w:t xml:space="preserve">  </w:t>
            </w:r>
          </w:p>
        </w:tc>
      </w:tr>
      <w:tr>
        <w:trPr/>
        <w:tc>
          <w:tcPr>
            <w:tcW w:w="56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1460" w:type="dxa"/>
            <w:tcBorders/>
            <w:shd w:fill="C0C0C0" w:val="clear"/>
            <w:vAlign w:val="bottom"/>
          </w:tcPr>
          <w:p>
            <w:pPr>
              <w:pStyle w:val="TableContents"/>
              <w:spacing w:before="0" w:after="283"/>
              <w:rPr>
                <w:sz w:val="4"/>
                <w:szCs w:val="4"/>
              </w:rPr>
            </w:pPr>
            <w:r>
              <w:rPr>
                <w:sz w:val="4"/>
                <w:szCs w:val="4"/>
              </w:rPr>
            </w:r>
          </w:p>
        </w:tc>
        <w:tc>
          <w:tcPr>
            <w:tcW w:w="323" w:type="dxa"/>
            <w:tcBorders/>
            <w:shd w:fill="C0C0C0" w:val="clear"/>
            <w:vAlign w:val="bottom"/>
          </w:tcPr>
          <w:p>
            <w:pPr>
              <w:pStyle w:val="TableContents"/>
              <w:spacing w:before="0" w:after="283"/>
              <w:rPr>
                <w:sz w:val="4"/>
                <w:szCs w:val="4"/>
              </w:rPr>
            </w:pPr>
            <w:r>
              <w:rPr>
                <w:sz w:val="4"/>
                <w:szCs w:val="4"/>
              </w:rPr>
            </w:r>
          </w:p>
        </w:tc>
        <w:tc>
          <w:tcPr>
            <w:tcW w:w="191" w:type="dxa"/>
            <w:tcBorders/>
            <w:shd w:fill="C0C0C0" w:val="clear"/>
            <w:vAlign w:val="bottom"/>
          </w:tcPr>
          <w:p>
            <w:pPr>
              <w:pStyle w:val="TableContents"/>
              <w:spacing w:before="0" w:after="283"/>
              <w:rPr>
                <w:sz w:val="4"/>
                <w:szCs w:val="4"/>
              </w:rPr>
            </w:pPr>
            <w:r>
              <w:rPr>
                <w:sz w:val="4"/>
                <w:szCs w:val="4"/>
              </w:rPr>
            </w:r>
          </w:p>
        </w:tc>
        <w:tc>
          <w:tcPr>
            <w:tcW w:w="1078" w:type="dxa"/>
            <w:tcBorders/>
            <w:shd w:fill="C0C0C0" w:val="clear"/>
            <w:vAlign w:val="bottom"/>
          </w:tcPr>
          <w:p>
            <w:pPr>
              <w:pStyle w:val="TableContents"/>
              <w:spacing w:before="0" w:after="283"/>
              <w:rPr>
                <w:sz w:val="4"/>
                <w:szCs w:val="4"/>
              </w:rPr>
            </w:pPr>
            <w:r>
              <w:rPr>
                <w:sz w:val="4"/>
                <w:szCs w:val="4"/>
              </w:rPr>
            </w:r>
          </w:p>
        </w:tc>
        <w:tc>
          <w:tcPr>
            <w:tcW w:w="323" w:type="dxa"/>
            <w:tcBorders/>
            <w:shd w:fill="C0C0C0" w:val="clear"/>
            <w:vAlign w:val="bottom"/>
          </w:tcPr>
          <w:p>
            <w:pPr>
              <w:pStyle w:val="TableContents"/>
              <w:spacing w:before="0" w:after="283"/>
              <w:rPr>
                <w:sz w:val="4"/>
                <w:szCs w:val="4"/>
              </w:rPr>
            </w:pPr>
            <w:r>
              <w:rPr>
                <w:sz w:val="4"/>
                <w:szCs w:val="4"/>
              </w:rPr>
            </w:r>
          </w:p>
        </w:tc>
        <w:tc>
          <w:tcPr>
            <w:tcW w:w="151" w:type="dxa"/>
            <w:tcBorders/>
            <w:shd w:fill="C0C0C0" w:val="clear"/>
            <w:vAlign w:val="bottom"/>
          </w:tcPr>
          <w:p>
            <w:pPr>
              <w:pStyle w:val="TableContents"/>
              <w:spacing w:before="0" w:after="283"/>
              <w:rPr>
                <w:sz w:val="4"/>
                <w:szCs w:val="4"/>
              </w:rPr>
            </w:pPr>
            <w:r>
              <w:rPr>
                <w:sz w:val="4"/>
                <w:szCs w:val="4"/>
              </w:rPr>
            </w:r>
          </w:p>
        </w:tc>
        <w:tc>
          <w:tcPr>
            <w:tcW w:w="994" w:type="dxa"/>
            <w:tcBorders/>
            <w:shd w:fill="C0C0C0" w:val="clear"/>
            <w:vAlign w:val="bottom"/>
          </w:tcPr>
          <w:p>
            <w:pPr>
              <w:pStyle w:val="TableContents"/>
              <w:spacing w:before="0" w:after="283"/>
              <w:rPr>
                <w:sz w:val="4"/>
                <w:szCs w:val="4"/>
              </w:rPr>
            </w:pPr>
            <w:r>
              <w:rPr>
                <w:sz w:val="4"/>
                <w:szCs w:val="4"/>
              </w:rPr>
            </w:r>
          </w:p>
        </w:tc>
      </w:tr>
      <w:tr>
        <w:trPr/>
        <w:tc>
          <w:tcPr>
            <w:tcW w:w="56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 Death, Disability</w:t>
            </w:r>
          </w:p>
        </w:tc>
        <w:tc>
          <w:tcPr>
            <w:tcW w:w="14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$ 21,672</w:t>
            </w:r>
          </w:p>
        </w:tc>
        <w:tc>
          <w:tcPr>
            <w:tcW w:w="323" w:type="dxa"/>
            <w:tcBorders/>
            <w:shd w:fill="C0C0C0" w:val="clear"/>
            <w:vAlign w:val="bottom"/>
          </w:tcPr>
          <w:p>
            <w:pPr>
              <w:pStyle w:val="TableContents"/>
              <w:spacing w:before="0" w:after="283"/>
              <w:rPr>
                <w:sz w:val="4"/>
                <w:szCs w:val="4"/>
              </w:rPr>
            </w:pPr>
            <w:r>
              <w:rPr>
                <w:sz w:val="4"/>
                <w:szCs w:val="4"/>
              </w:rPr>
            </w:r>
          </w:p>
        </w:tc>
        <w:tc>
          <w:tcPr>
            <w:tcW w:w="1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63,720</w:t>
            </w:r>
          </w:p>
        </w:tc>
        <w:tc>
          <w:tcPr>
            <w:tcW w:w="323" w:type="dxa"/>
            <w:tcBorders/>
            <w:shd w:fill="C0C0C0" w:val="clear"/>
            <w:vAlign w:val="bottom"/>
          </w:tcPr>
          <w:p>
            <w:pPr>
              <w:pStyle w:val="TableContents"/>
              <w:spacing w:before="0" w:after="283"/>
              <w:rPr>
                <w:sz w:val="4"/>
                <w:szCs w:val="4"/>
              </w:rPr>
            </w:pPr>
            <w:r>
              <w:rPr>
                <w:sz w:val="4"/>
                <w:szCs w:val="4"/>
              </w:rPr>
            </w:r>
          </w:p>
        </w:tc>
        <w:tc>
          <w:tcPr>
            <w:tcW w:w="1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85,392</w:t>
            </w:r>
          </w:p>
        </w:tc>
      </w:tr>
      <w:tr>
        <w:trPr/>
        <w:tc>
          <w:tcPr>
            <w:tcW w:w="10205" w:type="dxa"/>
            <w:gridSpan w:val="8"/>
            <w:tcBorders/>
            <w:shd w:fill="auto" w:val="clear"/>
            <w:vAlign w:val="center"/>
          </w:tcPr>
          <w:p>
            <w:pPr>
              <w:pStyle w:val="TableContents"/>
              <w:spacing w:before="0" w:after="283"/>
              <w:rPr/>
            </w:pPr>
            <w:r>
              <w:rPr/>
              <w:t xml:space="preserve">  </w:t>
            </w:r>
          </w:p>
        </w:tc>
      </w:tr>
      <w:tr>
        <w:trPr/>
        <w:tc>
          <w:tcPr>
            <w:tcW w:w="56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1460" w:type="dxa"/>
            <w:tcBorders/>
            <w:shd w:fill="C0C0C0" w:val="clear"/>
            <w:vAlign w:val="bottom"/>
          </w:tcPr>
          <w:p>
            <w:pPr>
              <w:pStyle w:val="TableContents"/>
              <w:spacing w:before="0" w:after="283"/>
              <w:rPr>
                <w:sz w:val="4"/>
                <w:szCs w:val="4"/>
              </w:rPr>
            </w:pPr>
            <w:r>
              <w:rPr>
                <w:sz w:val="4"/>
                <w:szCs w:val="4"/>
              </w:rPr>
            </w:r>
          </w:p>
        </w:tc>
        <w:tc>
          <w:tcPr>
            <w:tcW w:w="323" w:type="dxa"/>
            <w:tcBorders/>
            <w:shd w:fill="C0C0C0" w:val="clear"/>
            <w:vAlign w:val="bottom"/>
          </w:tcPr>
          <w:p>
            <w:pPr>
              <w:pStyle w:val="TableContents"/>
              <w:spacing w:before="0" w:after="283"/>
              <w:rPr>
                <w:sz w:val="4"/>
                <w:szCs w:val="4"/>
              </w:rPr>
            </w:pPr>
            <w:r>
              <w:rPr>
                <w:sz w:val="4"/>
                <w:szCs w:val="4"/>
              </w:rPr>
            </w:r>
          </w:p>
        </w:tc>
        <w:tc>
          <w:tcPr>
            <w:tcW w:w="191" w:type="dxa"/>
            <w:tcBorders/>
            <w:shd w:fill="C0C0C0" w:val="clear"/>
            <w:vAlign w:val="bottom"/>
          </w:tcPr>
          <w:p>
            <w:pPr>
              <w:pStyle w:val="TableContents"/>
              <w:spacing w:before="0" w:after="283"/>
              <w:rPr>
                <w:sz w:val="4"/>
                <w:szCs w:val="4"/>
              </w:rPr>
            </w:pPr>
            <w:r>
              <w:rPr>
                <w:sz w:val="4"/>
                <w:szCs w:val="4"/>
              </w:rPr>
            </w:r>
          </w:p>
        </w:tc>
        <w:tc>
          <w:tcPr>
            <w:tcW w:w="1078" w:type="dxa"/>
            <w:tcBorders/>
            <w:shd w:fill="C0C0C0" w:val="clear"/>
            <w:vAlign w:val="bottom"/>
          </w:tcPr>
          <w:p>
            <w:pPr>
              <w:pStyle w:val="TableContents"/>
              <w:spacing w:before="0" w:after="283"/>
              <w:rPr>
                <w:sz w:val="4"/>
                <w:szCs w:val="4"/>
              </w:rPr>
            </w:pPr>
            <w:r>
              <w:rPr>
                <w:sz w:val="4"/>
                <w:szCs w:val="4"/>
              </w:rPr>
            </w:r>
          </w:p>
        </w:tc>
        <w:tc>
          <w:tcPr>
            <w:tcW w:w="323" w:type="dxa"/>
            <w:tcBorders/>
            <w:shd w:fill="C0C0C0" w:val="clear"/>
            <w:vAlign w:val="bottom"/>
          </w:tcPr>
          <w:p>
            <w:pPr>
              <w:pStyle w:val="TableContents"/>
              <w:spacing w:before="0" w:after="283"/>
              <w:rPr>
                <w:sz w:val="4"/>
                <w:szCs w:val="4"/>
              </w:rPr>
            </w:pPr>
            <w:r>
              <w:rPr>
                <w:sz w:val="4"/>
                <w:szCs w:val="4"/>
              </w:rPr>
            </w:r>
          </w:p>
        </w:tc>
        <w:tc>
          <w:tcPr>
            <w:tcW w:w="151" w:type="dxa"/>
            <w:tcBorders/>
            <w:shd w:fill="C0C0C0" w:val="clear"/>
            <w:vAlign w:val="bottom"/>
          </w:tcPr>
          <w:p>
            <w:pPr>
              <w:pStyle w:val="TableContents"/>
              <w:spacing w:before="0" w:after="283"/>
              <w:rPr>
                <w:sz w:val="4"/>
                <w:szCs w:val="4"/>
              </w:rPr>
            </w:pPr>
            <w:r>
              <w:rPr>
                <w:sz w:val="4"/>
                <w:szCs w:val="4"/>
              </w:rPr>
            </w:r>
          </w:p>
        </w:tc>
        <w:tc>
          <w:tcPr>
            <w:tcW w:w="994" w:type="dxa"/>
            <w:tcBorders/>
            <w:shd w:fill="C0C0C0" w:val="clear"/>
            <w:vAlign w:val="bottom"/>
          </w:tcPr>
          <w:p>
            <w:pPr>
              <w:pStyle w:val="TableContents"/>
              <w:spacing w:before="0" w:after="283"/>
              <w:rPr>
                <w:sz w:val="4"/>
                <w:szCs w:val="4"/>
              </w:rPr>
            </w:pPr>
            <w:r>
              <w:rPr>
                <w:sz w:val="4"/>
                <w:szCs w:val="4"/>
              </w:rPr>
            </w:r>
          </w:p>
        </w:tc>
      </w:tr>
      <w:tr>
        <w:trPr/>
        <w:tc>
          <w:tcPr>
            <w:tcW w:w="56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 Death, Disability</w:t>
            </w:r>
          </w:p>
        </w:tc>
        <w:tc>
          <w:tcPr>
            <w:tcW w:w="146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23" w:type="dxa"/>
            <w:tcBorders/>
            <w:shd w:fill="C0C0C0" w:val="clear"/>
            <w:vAlign w:val="bottom"/>
          </w:tcPr>
          <w:p>
            <w:pPr>
              <w:pStyle w:val="TableContents"/>
              <w:spacing w:before="0" w:after="283"/>
              <w:rPr>
                <w:sz w:val="4"/>
                <w:szCs w:val="4"/>
              </w:rPr>
            </w:pPr>
            <w:r>
              <w:rPr>
                <w:sz w:val="4"/>
                <w:szCs w:val="4"/>
              </w:rPr>
            </w:r>
          </w:p>
        </w:tc>
        <w:tc>
          <w:tcPr>
            <w:tcW w:w="19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8" w:type="dxa"/>
            <w:tcBorders/>
            <w:shd w:fill="C0C0C0" w:val="clear"/>
            <w:vAlign w:val="bottom"/>
          </w:tcPr>
          <w:p>
            <w:pPr>
              <w:pStyle w:val="TableContents"/>
              <w:spacing w:before="0" w:after="283"/>
              <w:jc w:val="right"/>
              <w:rPr/>
            </w:pPr>
            <w:r>
              <w:rPr/>
              <w:t> </w:t>
            </w:r>
            <w:r>
              <w:rPr>
                <w:rFonts w:ascii="Times New Roman" w:hAnsi="Times New Roman"/>
                <w:sz w:val="20"/>
              </w:rPr>
              <w:t>127,440(3)</w:t>
            </w:r>
          </w:p>
        </w:tc>
        <w:tc>
          <w:tcPr>
            <w:tcW w:w="323" w:type="dxa"/>
            <w:tcBorders/>
            <w:shd w:fill="C0C0C0" w:val="clear"/>
            <w:vAlign w:val="bottom"/>
          </w:tcPr>
          <w:p>
            <w:pPr>
              <w:pStyle w:val="TableContents"/>
              <w:spacing w:before="0" w:after="283"/>
              <w:rPr>
                <w:sz w:val="4"/>
                <w:szCs w:val="4"/>
              </w:rPr>
            </w:pPr>
            <w:r>
              <w:rPr>
                <w:sz w:val="4"/>
                <w:szCs w:val="4"/>
              </w:rPr>
            </w:r>
          </w:p>
        </w:tc>
        <w:tc>
          <w:tcPr>
            <w:tcW w:w="15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4" w:type="dxa"/>
            <w:tcBorders/>
            <w:shd w:fill="C0C0C0" w:val="clear"/>
            <w:vAlign w:val="bottom"/>
          </w:tcPr>
          <w:p>
            <w:pPr>
              <w:pStyle w:val="TableContents"/>
              <w:spacing w:before="0" w:after="283"/>
              <w:jc w:val="right"/>
              <w:rPr/>
            </w:pPr>
            <w:r>
              <w:rPr/>
              <w:t> </w:t>
            </w:r>
            <w:r>
              <w:rPr>
                <w:rFonts w:ascii="Times New Roman" w:hAnsi="Times New Roman"/>
                <w:sz w:val="20"/>
              </w:rPr>
              <w:t>127,440(3)</w:t>
            </w:r>
          </w:p>
        </w:tc>
      </w:tr>
    </w:tbl>
    <w:p>
      <w:pPr>
        <w:pStyle w:val="TextBody"/>
        <w:rPr/>
      </w:pPr>
      <w:r>
        <w:rPr/>
      </w:r>
    </w:p>
    <w:p>
      <w:pPr>
        <w:pStyle w:val="TextBody"/>
        <w:jc w:val="both"/>
        <w:rPr>
          <w:rFonts w:ascii="Times New Roman" w:hAnsi="Times New Roman"/>
          <w:sz w:val="20"/>
        </w:rPr>
      </w:pPr>
      <w:r>
        <w:rPr>
          <w:rFonts w:ascii="Times New Roman" w:hAnsi="Times New Roman"/>
          <w:sz w:val="20"/>
        </w:rPr>
        <w:t>(1) The amounts shown reflect each named executive officers balance in his executive deferred bonus account of our annual incentive plan. As explained above, our annual incentive plan provides for immediate vesting and payment, as allowed by law, of a participants executive deferred bonus award account upon the participants death, disability, retirement with age plus years of service equal to 80 years, or change in control of the Company.</w:t>
      </w:r>
    </w:p>
    <w:p>
      <w:pPr>
        <w:pStyle w:val="TextBody"/>
        <w:jc w:val="both"/>
        <w:rPr>
          <w:rFonts w:ascii="Times New Roman" w:hAnsi="Times New Roman"/>
          <w:sz w:val="20"/>
        </w:rPr>
      </w:pPr>
      <w:r>
        <w:rPr>
          <w:rFonts w:ascii="Times New Roman" w:hAnsi="Times New Roman"/>
          <w:sz w:val="20"/>
        </w:rPr>
        <w:t>(2) The amounts shown represent, as of July 31, 2013: (a) the market price of any unvested shares of restricted stock; and/or (b) the excess of the market price of the shares of stock underlying unvested stock options over the option exercise price. As of July 31, 2013, none of the named executive officers had any unvested stock options. As explained above, previously unvested shares of restricted stock and stock options become immediately vested upon the events listed.</w:t>
      </w:r>
    </w:p>
    <w:p>
      <w:pPr>
        <w:pStyle w:val="TextBody"/>
        <w:jc w:val="both"/>
        <w:rPr>
          <w:rFonts w:ascii="Times New Roman" w:hAnsi="Times New Roman"/>
          <w:sz w:val="20"/>
        </w:rPr>
      </w:pPr>
      <w:r>
        <w:rPr>
          <w:rFonts w:ascii="Times New Roman" w:hAnsi="Times New Roman"/>
          <w:sz w:val="20"/>
        </w:rPr>
        <w:t>(3) Since Mr. Jean resigned from the Company effective September 19, 2013, he forfeited his restricted shares of Common Stock and is not entitled to any payments under our 2006 Long-Term Incentive Plan.</w:t>
      </w:r>
    </w:p>
    <w:p>
      <w:pPr>
        <w:pStyle w:val="TextBody"/>
        <w:jc w:val="center"/>
        <w:rPr>
          <w:rFonts w:ascii="Times New Roman" w:hAnsi="Times New Roman"/>
          <w:sz w:val="20"/>
        </w:rPr>
      </w:pPr>
      <w:r>
        <w:rPr>
          <w:rFonts w:ascii="Times New Roman" w:hAnsi="Times New Roman"/>
          <w:sz w:val="20"/>
        </w:rPr>
        <w:t>46</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rPr>
      </w:pPr>
      <w:r>
        <w:rPr>
          <w:rFonts w:ascii="Times New Roman" w:hAnsi="Times New Roman"/>
          <w:b/>
        </w:rPr>
        <w:t>STOCK OWNERSHIP</w:t>
      </w:r>
    </w:p>
    <w:p>
      <w:pPr>
        <w:pStyle w:val="TextBody"/>
        <w:jc w:val="center"/>
        <w:rPr>
          <w:rFonts w:ascii="Times New Roman" w:hAnsi="Times New Roman"/>
          <w:b/>
          <w:sz w:val="20"/>
        </w:rPr>
      </w:pPr>
      <w:r>
        <w:rPr>
          <w:rFonts w:ascii="Times New Roman" w:hAnsi="Times New Roman"/>
          <w:b/>
          <w:sz w:val="20"/>
        </w:rPr>
        <w:t>Principal Stockholders</w:t>
      </w:r>
    </w:p>
    <w:p>
      <w:pPr>
        <w:pStyle w:val="TextBody"/>
        <w:jc w:val="both"/>
        <w:rPr/>
      </w:pPr>
      <w:r>
        <w:rPr/>
        <w:t xml:space="preserve">     </w:t>
      </w:r>
      <w:r>
        <w:rPr>
          <w:rFonts w:ascii="Times New Roman" w:hAnsi="Times New Roman"/>
          <w:sz w:val="20"/>
        </w:rPr>
        <w:t>The following table sets forth information as of October 18, 2013,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executive officers.</w:t>
      </w:r>
    </w:p>
    <w:tbl>
      <w:tblPr>
        <w:tblW w:w="10500" w:type="dxa"/>
        <w:jc w:val="left"/>
        <w:tblInd w:w="0" w:type="dxa"/>
        <w:tblCellMar>
          <w:top w:w="0" w:type="dxa"/>
          <w:left w:w="0" w:type="dxa"/>
          <w:bottom w:w="0" w:type="dxa"/>
          <w:right w:w="0" w:type="dxa"/>
        </w:tblCellMar>
      </w:tblPr>
      <w:tblGrid>
        <w:gridCol w:w="3320"/>
        <w:gridCol w:w="360"/>
        <w:gridCol w:w="1280"/>
        <w:gridCol w:w="360"/>
        <w:gridCol w:w="1505"/>
        <w:gridCol w:w="240"/>
        <w:gridCol w:w="695"/>
        <w:gridCol w:w="360"/>
        <w:gridCol w:w="1055"/>
        <w:gridCol w:w="360"/>
        <w:gridCol w:w="965"/>
      </w:tblGrid>
      <w:tr>
        <w:trPr/>
        <w:tc>
          <w:tcPr>
            <w:tcW w:w="332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5180"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Amount and Nature of Beneficial Ownership (1)</w:t>
            </w:r>
          </w:p>
        </w:tc>
      </w:tr>
      <w:tr>
        <w:trPr/>
        <w:tc>
          <w:tcPr>
            <w:tcW w:w="332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50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9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Percentage</w:t>
            </w:r>
          </w:p>
        </w:tc>
      </w:tr>
      <w:tr>
        <w:trPr/>
        <w:tc>
          <w:tcPr>
            <w:tcW w:w="332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50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9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r>
      <w:tr>
        <w:trPr/>
        <w:tc>
          <w:tcPr>
            <w:tcW w:w="332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50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9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r>
      <w:tr>
        <w:trPr/>
        <w:tc>
          <w:tcPr>
            <w:tcW w:w="332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50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9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Voting</w:t>
            </w:r>
          </w:p>
        </w:tc>
      </w:tr>
      <w:tr>
        <w:trPr/>
        <w:tc>
          <w:tcPr>
            <w:tcW w:w="332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50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Percentage</w:t>
            </w:r>
          </w:p>
        </w:tc>
        <w:tc>
          <w:tcPr>
            <w:tcW w:w="360" w:type="dxa"/>
            <w:tcBorders/>
            <w:shd w:fill="auto" w:val="clear"/>
            <w:vAlign w:val="bottom"/>
          </w:tcPr>
          <w:p>
            <w:pPr>
              <w:pStyle w:val="TableContents"/>
              <w:spacing w:before="0" w:after="283"/>
              <w:rPr>
                <w:sz w:val="4"/>
                <w:szCs w:val="4"/>
              </w:rPr>
            </w:pPr>
            <w:r>
              <w:rPr>
                <w:sz w:val="4"/>
                <w:szCs w:val="4"/>
              </w:rPr>
            </w:r>
          </w:p>
        </w:tc>
        <w:tc>
          <w:tcPr>
            <w:tcW w:w="9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Power of</w:t>
            </w:r>
          </w:p>
        </w:tc>
      </w:tr>
      <w:tr>
        <w:trPr/>
        <w:tc>
          <w:tcPr>
            <w:tcW w:w="332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50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360" w:type="dxa"/>
            <w:tcBorders/>
            <w:shd w:fill="auto" w:val="clear"/>
            <w:vAlign w:val="bottom"/>
          </w:tcPr>
          <w:p>
            <w:pPr>
              <w:pStyle w:val="TableContents"/>
              <w:spacing w:before="0" w:after="283"/>
              <w:rPr>
                <w:sz w:val="4"/>
                <w:szCs w:val="4"/>
              </w:rPr>
            </w:pPr>
            <w:r>
              <w:rPr>
                <w:sz w:val="4"/>
                <w:szCs w:val="4"/>
              </w:rPr>
            </w:r>
          </w:p>
        </w:tc>
        <w:tc>
          <w:tcPr>
            <w:tcW w:w="9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Common</w:t>
            </w:r>
          </w:p>
        </w:tc>
      </w:tr>
      <w:tr>
        <w:trPr/>
        <w:tc>
          <w:tcPr>
            <w:tcW w:w="332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jc w:val="left"/>
              <w:rPr/>
            </w:pPr>
            <w:r>
              <w:rPr/>
              <w:t>      </w:t>
            </w:r>
          </w:p>
        </w:tc>
        <w:tc>
          <w:tcPr>
            <w:tcW w:w="128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jc w:val="center"/>
              <w:rPr/>
            </w:pPr>
            <w:r>
              <w:rPr/>
              <w:t>      </w:t>
            </w:r>
          </w:p>
        </w:tc>
        <w:tc>
          <w:tcPr>
            <w:tcW w:w="244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 of</w:t>
            </w:r>
          </w:p>
        </w:tc>
        <w:tc>
          <w:tcPr>
            <w:tcW w:w="360" w:type="dxa"/>
            <w:tcBorders/>
            <w:shd w:fill="auto" w:val="clear"/>
            <w:vAlign w:val="bottom"/>
          </w:tcPr>
          <w:p>
            <w:pPr>
              <w:pStyle w:val="TableContents"/>
              <w:spacing w:before="0" w:after="283"/>
              <w:jc w:val="center"/>
              <w:rPr/>
            </w:pPr>
            <w:r>
              <w:rPr/>
              <w:t>      </w:t>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Outstanding</w:t>
            </w:r>
          </w:p>
        </w:tc>
        <w:tc>
          <w:tcPr>
            <w:tcW w:w="360" w:type="dxa"/>
            <w:tcBorders/>
            <w:shd w:fill="auto" w:val="clear"/>
            <w:vAlign w:val="bottom"/>
          </w:tcPr>
          <w:p>
            <w:pPr>
              <w:pStyle w:val="TableContents"/>
              <w:spacing w:before="0" w:after="283"/>
              <w:jc w:val="center"/>
              <w:rPr/>
            </w:pPr>
            <w:r>
              <w:rPr/>
              <w:t>      </w:t>
            </w:r>
          </w:p>
        </w:tc>
        <w:tc>
          <w:tcPr>
            <w:tcW w:w="9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 and</w:t>
            </w:r>
          </w:p>
        </w:tc>
      </w:tr>
      <w:tr>
        <w:trPr/>
        <w:tc>
          <w:tcPr>
            <w:tcW w:w="332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2440"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Common Stock and</w:t>
            </w:r>
          </w:p>
        </w:tc>
        <w:tc>
          <w:tcPr>
            <w:tcW w:w="36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 of</w:t>
            </w:r>
          </w:p>
        </w:tc>
        <w:tc>
          <w:tcPr>
            <w:tcW w:w="360" w:type="dxa"/>
            <w:tcBorders/>
            <w:shd w:fill="auto" w:val="clear"/>
            <w:vAlign w:val="bottom"/>
          </w:tcPr>
          <w:p>
            <w:pPr>
              <w:pStyle w:val="TableContents"/>
              <w:spacing w:before="0" w:after="283"/>
              <w:rPr>
                <w:sz w:val="4"/>
                <w:szCs w:val="4"/>
              </w:rPr>
            </w:pPr>
            <w:r>
              <w:rPr>
                <w:sz w:val="4"/>
                <w:szCs w:val="4"/>
              </w:rPr>
            </w:r>
          </w:p>
        </w:tc>
        <w:tc>
          <w:tcPr>
            <w:tcW w:w="9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Class B</w:t>
            </w:r>
          </w:p>
        </w:tc>
      </w:tr>
      <w:tr>
        <w:trPr/>
        <w:tc>
          <w:tcPr>
            <w:tcW w:w="332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 and Address of Beneficial Owner</w:t>
            </w:r>
          </w:p>
        </w:tc>
        <w:tc>
          <w:tcPr>
            <w:tcW w:w="36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Title of Class</w:t>
            </w:r>
          </w:p>
        </w:tc>
        <w:tc>
          <w:tcPr>
            <w:tcW w:w="36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2440"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Class B Stock</w:t>
            </w:r>
          </w:p>
        </w:tc>
        <w:tc>
          <w:tcPr>
            <w:tcW w:w="36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05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Class</w:t>
            </w:r>
          </w:p>
        </w:tc>
        <w:tc>
          <w:tcPr>
            <w:tcW w:w="36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96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r>
      <w:tr>
        <w:trPr/>
        <w:tc>
          <w:tcPr>
            <w:tcW w:w="33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Richard M. Jaffee (2)(3)</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410 N. Michigan Avenue</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409,558</w:t>
            </w:r>
          </w:p>
        </w:tc>
        <w:tc>
          <w:tcPr>
            <w:tcW w:w="240" w:type="dxa"/>
            <w:tcBorders/>
            <w:shd w:fill="C0C0C0" w:val="clear"/>
            <w:vAlign w:val="bottom"/>
          </w:tcPr>
          <w:p>
            <w:pPr>
              <w:pStyle w:val="TableContents"/>
              <w:spacing w:before="0" w:after="283"/>
              <w:jc w:val="right"/>
              <w:rPr/>
            </w:pPr>
            <w:r>
              <w:rPr/>
              <w:t>    </w:t>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(4)(5)(6)</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19.74%</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15.92%</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Chicago, IL 60611</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rPr>
                <w:sz w:val="4"/>
                <w:szCs w:val="4"/>
              </w:rPr>
            </w:pPr>
            <w:r>
              <w:rPr>
                <w:sz w:val="4"/>
                <w:szCs w:val="4"/>
              </w:rPr>
            </w:r>
          </w:p>
        </w:tc>
      </w:tr>
      <w:tr>
        <w:trPr/>
        <w:tc>
          <w:tcPr>
            <w:tcW w:w="10500" w:type="dxa"/>
            <w:gridSpan w:val="11"/>
            <w:tcBorders/>
            <w:shd w:fill="auto" w:val="clear"/>
            <w:vAlign w:val="center"/>
          </w:tcPr>
          <w:p>
            <w:pPr>
              <w:pStyle w:val="TableContents"/>
              <w:spacing w:before="0" w:after="283"/>
              <w:rPr/>
            </w:pPr>
            <w:r>
              <w:rPr/>
              <w:t> </w:t>
            </w:r>
          </w:p>
        </w:tc>
      </w:tr>
      <w:tr>
        <w:trPr/>
        <w:tc>
          <w:tcPr>
            <w:tcW w:w="33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 (2)</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410 N. Michigan Avenue</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pPr>
            <w:r>
              <w:rPr/>
              <w:t xml:space="preserve">    </w:t>
            </w:r>
            <w:r>
              <w:rPr>
                <w:rFonts w:ascii="Times New Roman" w:hAnsi="Times New Roman"/>
                <w:sz w:val="20"/>
              </w:rPr>
              <w:t>278,051</w:t>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(7)(6)</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13.40%</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10.81%</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Chicago, IL 60611</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rPr>
                <w:sz w:val="4"/>
                <w:szCs w:val="4"/>
              </w:rPr>
            </w:pPr>
            <w:r>
              <w:rPr>
                <w:sz w:val="4"/>
                <w:szCs w:val="4"/>
              </w:rPr>
            </w:r>
          </w:p>
        </w:tc>
      </w:tr>
      <w:tr>
        <w:trPr/>
        <w:tc>
          <w:tcPr>
            <w:tcW w:w="10500" w:type="dxa"/>
            <w:gridSpan w:val="11"/>
            <w:tcBorders/>
            <w:shd w:fill="auto" w:val="clear"/>
            <w:vAlign w:val="center"/>
          </w:tcPr>
          <w:p>
            <w:pPr>
              <w:pStyle w:val="TableContents"/>
              <w:spacing w:before="0" w:after="283"/>
              <w:rPr/>
            </w:pPr>
            <w:r>
              <w:rPr/>
              <w:t> </w:t>
            </w:r>
          </w:p>
        </w:tc>
      </w:tr>
      <w:tr>
        <w:trPr/>
        <w:tc>
          <w:tcPr>
            <w:tcW w:w="33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Jaffee Investment Partnership, L.P. (3)</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410 N. Michigan Avenue</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pPr>
            <w:r>
              <w:rPr/>
              <w:t xml:space="preserve">           </w:t>
            </w:r>
            <w:r>
              <w:rPr>
                <w:rFonts w:ascii="Times New Roman" w:hAnsi="Times New Roman"/>
                <w:sz w:val="20"/>
              </w:rPr>
              <w:t>1,250,000</w:t>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60.24%</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48.58%</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Chicago, IL 60611</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rPr>
                <w:sz w:val="4"/>
                <w:szCs w:val="4"/>
              </w:rPr>
            </w:pPr>
            <w:r>
              <w:rPr>
                <w:sz w:val="4"/>
                <w:szCs w:val="4"/>
              </w:rPr>
            </w:r>
          </w:p>
        </w:tc>
      </w:tr>
      <w:tr>
        <w:trPr/>
        <w:tc>
          <w:tcPr>
            <w:tcW w:w="10500" w:type="dxa"/>
            <w:gridSpan w:val="11"/>
            <w:tcBorders/>
            <w:shd w:fill="auto" w:val="clear"/>
            <w:vAlign w:val="center"/>
          </w:tcPr>
          <w:p>
            <w:pPr>
              <w:pStyle w:val="TableContents"/>
              <w:spacing w:before="0" w:after="283"/>
              <w:rPr/>
            </w:pPr>
            <w:r>
              <w:rPr/>
              <w:t> </w:t>
            </w:r>
          </w:p>
        </w:tc>
      </w:tr>
      <w:tr>
        <w:trPr/>
        <w:tc>
          <w:tcPr>
            <w:tcW w:w="33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Dimensional Fund Advisors LP</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357,694</w:t>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(8)</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7.18%</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1.39%</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Palisades West, Building One</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6300 Bee Cave Road</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rPr>
                <w:sz w:val="4"/>
                <w:szCs w:val="4"/>
              </w:rPr>
            </w:pPr>
            <w:r>
              <w:rPr>
                <w:sz w:val="4"/>
                <w:szCs w:val="4"/>
              </w:rPr>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Austin, TX 78746</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rPr>
                <w:sz w:val="4"/>
                <w:szCs w:val="4"/>
              </w:rPr>
            </w:pPr>
            <w:r>
              <w:rPr>
                <w:sz w:val="4"/>
                <w:szCs w:val="4"/>
              </w:rPr>
            </w:r>
          </w:p>
        </w:tc>
      </w:tr>
      <w:tr>
        <w:trPr/>
        <w:tc>
          <w:tcPr>
            <w:tcW w:w="10500" w:type="dxa"/>
            <w:gridSpan w:val="11"/>
            <w:tcBorders/>
            <w:shd w:fill="auto" w:val="clear"/>
            <w:vAlign w:val="center"/>
          </w:tcPr>
          <w:p>
            <w:pPr>
              <w:pStyle w:val="TableContents"/>
              <w:spacing w:before="0" w:after="283"/>
              <w:rPr/>
            </w:pPr>
            <w:r>
              <w:rPr/>
              <w:t> </w:t>
            </w:r>
          </w:p>
        </w:tc>
      </w:tr>
      <w:tr>
        <w:trPr/>
        <w:tc>
          <w:tcPr>
            <w:tcW w:w="33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GAMCO Asset Management Inc. et al.</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875,729</w:t>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(9)</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17.59%</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One Corporate Center</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Rye, NY 10580</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rPr>
                <w:sz w:val="4"/>
                <w:szCs w:val="4"/>
              </w:rPr>
            </w:pPr>
            <w:r>
              <w:rPr>
                <w:sz w:val="4"/>
                <w:szCs w:val="4"/>
              </w:rPr>
            </w:r>
          </w:p>
        </w:tc>
      </w:tr>
      <w:tr>
        <w:trPr/>
        <w:tc>
          <w:tcPr>
            <w:tcW w:w="10500" w:type="dxa"/>
            <w:gridSpan w:val="11"/>
            <w:tcBorders/>
            <w:shd w:fill="auto" w:val="clear"/>
            <w:vAlign w:val="center"/>
          </w:tcPr>
          <w:p>
            <w:pPr>
              <w:pStyle w:val="TableContents"/>
              <w:spacing w:before="0" w:after="283"/>
              <w:rPr/>
            </w:pPr>
            <w:r>
              <w:rPr/>
              <w:t> </w:t>
            </w:r>
          </w:p>
        </w:tc>
      </w:tr>
      <w:tr>
        <w:trPr/>
        <w:tc>
          <w:tcPr>
            <w:tcW w:w="33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Renaissance Technologies LLC</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299,225</w:t>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(10)</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800 Third Avenue</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New York, NY 10022</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rPr>
                <w:sz w:val="4"/>
                <w:szCs w:val="4"/>
              </w:rPr>
            </w:pPr>
            <w:r>
              <w:rPr>
                <w:sz w:val="4"/>
                <w:szCs w:val="4"/>
              </w:rPr>
            </w:r>
          </w:p>
        </w:tc>
      </w:tr>
      <w:tr>
        <w:trPr/>
        <w:tc>
          <w:tcPr>
            <w:tcW w:w="10500" w:type="dxa"/>
            <w:gridSpan w:val="11"/>
            <w:tcBorders/>
            <w:shd w:fill="auto" w:val="clear"/>
            <w:vAlign w:val="center"/>
          </w:tcPr>
          <w:p>
            <w:pPr>
              <w:pStyle w:val="TableContents"/>
              <w:spacing w:before="0" w:after="283"/>
              <w:rPr/>
            </w:pPr>
            <w:r>
              <w:rPr/>
              <w:t> </w:t>
            </w:r>
          </w:p>
        </w:tc>
      </w:tr>
      <w:tr>
        <w:trPr/>
        <w:tc>
          <w:tcPr>
            <w:tcW w:w="33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 Rowe Price Associates, Inc.</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609,656</w:t>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(11)</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12.24%</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100 East Pratt Street</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Baltimore, MD 21202</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rPr>
                <w:sz w:val="4"/>
                <w:szCs w:val="4"/>
              </w:rPr>
            </w:pPr>
            <w:r>
              <w:rPr>
                <w:sz w:val="4"/>
                <w:szCs w:val="4"/>
              </w:rPr>
            </w:r>
          </w:p>
        </w:tc>
      </w:tr>
      <w:tr>
        <w:trPr/>
        <w:tc>
          <w:tcPr>
            <w:tcW w:w="10500" w:type="dxa"/>
            <w:gridSpan w:val="11"/>
            <w:tcBorders/>
            <w:shd w:fill="auto" w:val="clear"/>
            <w:vAlign w:val="center"/>
          </w:tcPr>
          <w:p>
            <w:pPr>
              <w:pStyle w:val="TableContents"/>
              <w:spacing w:before="0" w:after="283"/>
              <w:rPr/>
            </w:pPr>
            <w:r>
              <w:rPr/>
              <w:t> </w:t>
            </w:r>
          </w:p>
        </w:tc>
      </w:tr>
      <w:tr>
        <w:trPr/>
        <w:tc>
          <w:tcPr>
            <w:tcW w:w="33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Harvey Partners, LLC</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298,201</w:t>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(12)</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5.99%</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135 East 57</w:t>
            </w:r>
            <w:r>
              <w:rPr>
                <w:rFonts w:ascii="Times New Roman" w:hAnsi="Times New Roman"/>
                <w:position w:val="7"/>
                <w:sz w:val="16"/>
                <w:sz w:val="20"/>
              </w:rPr>
              <w:t xml:space="preserve">th </w:t>
            </w:r>
            <w:r>
              <w:rPr>
                <w:rFonts w:ascii="Times New Roman" w:hAnsi="Times New Roman"/>
                <w:sz w:val="20"/>
              </w:rPr>
              <w:t>Street, 24</w:t>
            </w:r>
            <w:r>
              <w:rPr>
                <w:rFonts w:ascii="Times New Roman" w:hAnsi="Times New Roman"/>
                <w:position w:val="7"/>
                <w:sz w:val="16"/>
                <w:sz w:val="20"/>
              </w:rPr>
              <w:t xml:space="preserve">th </w:t>
            </w:r>
            <w:r>
              <w:rPr>
                <w:rFonts w:ascii="Times New Roman" w:hAnsi="Times New Roman"/>
                <w:sz w:val="20"/>
              </w:rPr>
              <w:t>Floor</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320" w:type="dxa"/>
            <w:tcBorders/>
            <w:shd w:fill="C0C0C0" w:val="clear"/>
            <w:vAlign w:val="bottom"/>
          </w:tcPr>
          <w:p>
            <w:pPr>
              <w:pStyle w:val="TableContents"/>
              <w:spacing w:before="0" w:after="283"/>
              <w:jc w:val="left"/>
              <w:rPr/>
            </w:pPr>
            <w:r>
              <w:rPr/>
              <w:t xml:space="preserve">       </w:t>
            </w:r>
            <w:r>
              <w:rPr>
                <w:rFonts w:ascii="Times New Roman" w:hAnsi="Times New Roman"/>
                <w:sz w:val="20"/>
              </w:rPr>
              <w:t>New York, NY 10022</w:t>
            </w:r>
          </w:p>
        </w:tc>
        <w:tc>
          <w:tcPr>
            <w:tcW w:w="360" w:type="dxa"/>
            <w:tcBorders/>
            <w:shd w:fill="C0C0C0" w:val="clear"/>
            <w:vAlign w:val="bottom"/>
          </w:tcPr>
          <w:p>
            <w:pPr>
              <w:pStyle w:val="TableContents"/>
              <w:spacing w:before="0" w:after="283"/>
              <w:rPr>
                <w:sz w:val="4"/>
                <w:szCs w:val="4"/>
              </w:rPr>
            </w:pPr>
            <w:r>
              <w:rPr>
                <w:sz w:val="4"/>
                <w:szCs w:val="4"/>
              </w:rPr>
            </w:r>
          </w:p>
        </w:tc>
        <w:tc>
          <w:tcPr>
            <w:tcW w:w="1280"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50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5" w:type="dxa"/>
            <w:tcBorders/>
            <w:shd w:fill="C0C0C0" w:val="clear"/>
            <w:vAlign w:val="bottom"/>
          </w:tcPr>
          <w:p>
            <w:pPr>
              <w:pStyle w:val="TableContents"/>
              <w:spacing w:before="0" w:after="283"/>
              <w:rPr>
                <w:sz w:val="4"/>
                <w:szCs w:val="4"/>
              </w:rPr>
            </w:pPr>
            <w:r>
              <w:rPr>
                <w:sz w:val="4"/>
                <w:szCs w:val="4"/>
              </w:rPr>
            </w:r>
          </w:p>
        </w:tc>
      </w:tr>
    </w:tbl>
    <w:p>
      <w:pPr>
        <w:pStyle w:val="TextBody"/>
        <w:rPr/>
      </w:pPr>
      <w:r>
        <w:rPr/>
      </w:r>
    </w:p>
    <w:p>
      <w:pPr>
        <w:pStyle w:val="TextBody"/>
        <w:jc w:val="center"/>
        <w:rPr>
          <w:rFonts w:ascii="Times New Roman" w:hAnsi="Times New Roman"/>
          <w:sz w:val="20"/>
        </w:rPr>
      </w:pPr>
      <w:r>
        <w:rPr>
          <w:rFonts w:ascii="Times New Roman" w:hAnsi="Times New Roman"/>
          <w:sz w:val="20"/>
        </w:rPr>
        <w:t>47</w:t>
      </w:r>
    </w:p>
    <w:p>
      <w:pPr>
        <w:pStyle w:val="HorizontalLine"/>
        <w:pBdr>
          <w:bottom w:val="single" w:sz="12" w:space="0" w:color="808080"/>
        </w:pBdr>
        <w:rPr/>
      </w:pPr>
      <w:r>
        <w:rPr/>
      </w:r>
    </w:p>
    <w:p>
      <w:pPr>
        <w:pStyle w:val="TextBody"/>
        <w:rPr/>
      </w:pPr>
      <w:r>
        <w:rPr/>
      </w:r>
    </w:p>
    <w:p>
      <w:pPr>
        <w:pStyle w:val="TextBody"/>
        <w:jc w:val="both"/>
        <w:rPr>
          <w:rFonts w:ascii="Times New Roman" w:hAnsi="Times New Roman"/>
          <w:sz w:val="20"/>
        </w:rPr>
      </w:pPr>
      <w:r>
        <w:rPr>
          <w:rFonts w:ascii="Times New Roman" w:hAnsi="Times New Roman"/>
          <w:sz w:val="20"/>
        </w:rPr>
        <w:t>(1) 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18, 2013,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4,978,893 shares of Common Stock and 2,074,927 shares of Class B Stock outstanding as of the close of business on October 18, 2013. Shares of Common Stock and Class B Stock subject to options, warrants or other rights that are exercisable or convertible within 60 days after October 18, 2013, are deemed outstanding for the purpose of calculating the percentage ownership of the person holding those options, warrants or other rights but are not treated as outstanding for the purpose of calculating the percentage ownership of any other person.</w:t>
      </w:r>
    </w:p>
    <w:p>
      <w:pPr>
        <w:pStyle w:val="TextBody"/>
        <w:jc w:val="both"/>
        <w:rPr>
          <w:rFonts w:ascii="Times New Roman" w:hAnsi="Times New Roman"/>
          <w:sz w:val="20"/>
        </w:rPr>
      </w:pPr>
      <w:r>
        <w:rPr>
          <w:rFonts w:ascii="Times New Roman" w:hAnsi="Times New Roman"/>
          <w:sz w:val="20"/>
        </w:rPr>
        <w:t>(2) Daniel S. Jaffee is Richard M. Jaffees son.</w:t>
      </w:r>
    </w:p>
    <w:p>
      <w:pPr>
        <w:pStyle w:val="TextBody"/>
        <w:jc w:val="both"/>
        <w:rPr>
          <w:rFonts w:ascii="Times New Roman" w:hAnsi="Times New Roman"/>
          <w:sz w:val="20"/>
        </w:rPr>
      </w:pPr>
      <w:r>
        <w:rPr>
          <w:rFonts w:ascii="Times New Roman" w:hAnsi="Times New Roman"/>
          <w:sz w:val="20"/>
        </w:rPr>
        <w:t>(3) By virtue of their direct and indirect ownership of shares of our stock, Richard M. Jaffee and Jaffee Investment Partnership, L.P. may be deemed to be control persons of the Company under federal securities laws.</w:t>
      </w:r>
    </w:p>
    <w:p>
      <w:pPr>
        <w:pStyle w:val="TextBody"/>
        <w:jc w:val="both"/>
        <w:rPr>
          <w:rFonts w:ascii="Times New Roman" w:hAnsi="Times New Roman"/>
          <w:sz w:val="20"/>
        </w:rPr>
      </w:pPr>
      <w:r>
        <w:rPr>
          <w:rFonts w:ascii="Times New Roman" w:hAnsi="Times New Roman"/>
          <w:sz w:val="20"/>
        </w:rPr>
        <w:t>(4) Consists of 290,895 shares held in a revocable trust of which Richard M. Jaffee is the grantor and, during his lifetime, the trustee and sole beneficiary, and 118,538 shares held in a revocable trust of which his spouse is the grantor and, during her lifetime, the trustee and sole beneficiary, and 125 shares held in joint tenancy with his spouse.</w:t>
      </w:r>
    </w:p>
    <w:p>
      <w:pPr>
        <w:pStyle w:val="TextBody"/>
        <w:jc w:val="both"/>
        <w:rPr>
          <w:rFonts w:ascii="Times New Roman" w:hAnsi="Times New Roman"/>
          <w:sz w:val="20"/>
        </w:rPr>
      </w:pPr>
      <w:r>
        <w:rPr>
          <w:rFonts w:ascii="Times New Roman" w:hAnsi="Times New Roman"/>
          <w:sz w:val="20"/>
        </w:rPr>
        <w:t>(5) Jaffee Investment Partnership, L.P. is managed by its general partners, generally acting by a majority vote. Two of the general partners, Richard M. Jaffee and his spouse Shirley H. Jaffee, each have eight votes. Each of the remaining four general partners, Daniel S. Jaffee, Karen Jaffee Cofsky, Susan Jaffee and Nancy E. Jaffee, all children of Richard M. and Shirley H. Jaffee, have one vote. Richard M. Jaffee, as the managing general partner, might be deemed to have, but disclaims, beneficial ownership of the partnerships shares, which are not reflected in his share ownership shown in this table.</w:t>
      </w:r>
    </w:p>
    <w:p>
      <w:pPr>
        <w:pStyle w:val="TextBody"/>
        <w:jc w:val="both"/>
        <w:rPr>
          <w:rFonts w:ascii="Times New Roman" w:hAnsi="Times New Roman"/>
          <w:sz w:val="20"/>
        </w:rPr>
      </w:pPr>
      <w:r>
        <w:rPr>
          <w:rFonts w:ascii="Times New Roman" w:hAnsi="Times New Roman"/>
          <w:sz w:val="20"/>
        </w:rPr>
        <w:t>(6) Does not include shares beneficially owned by Jaffee Investment Partnership, L.P.</w:t>
      </w:r>
    </w:p>
    <w:p>
      <w:pPr>
        <w:pStyle w:val="TextBody"/>
        <w:jc w:val="both"/>
        <w:rPr>
          <w:rFonts w:ascii="Times New Roman" w:hAnsi="Times New Roman"/>
          <w:sz w:val="20"/>
        </w:rPr>
      </w:pPr>
      <w:r>
        <w:rPr>
          <w:rFonts w:ascii="Times New Roman" w:hAnsi="Times New Roman"/>
          <w:sz w:val="20"/>
        </w:rPr>
        <w:t>(7) Consists of 272,299 shares of Class B Stock directly owned by Daniel S. Jaffee (61,396 of which are restricted shares), 2 shares of Class B Stock owned by his spouse, 5,625 shares of Class B Stock he owns as trustee for his children and 125 shares of Class B Stock held in joint tenancy with his spouse. Of the 61,396 restricted shares of Class B Stock: (a) 25,000 shares become non-forfeitable on October 6, 2014, and an additional 25,000 shares become non-forfeitable on the anniversary of that date; (b) 4,933 shares become non-forfeitable on July 31, 2014; (c) 5,006 shares become non-forfeitable on July 31, 2015; and (d) 6,390 shares become non-forfeitable on July 31, 2016.</w:t>
      </w:r>
    </w:p>
    <w:p>
      <w:pPr>
        <w:pStyle w:val="TextBody"/>
        <w:jc w:val="both"/>
        <w:rPr>
          <w:rFonts w:ascii="Times New Roman" w:hAnsi="Times New Roman"/>
          <w:sz w:val="20"/>
        </w:rPr>
      </w:pPr>
      <w:r>
        <w:rPr>
          <w:rFonts w:ascii="Times New Roman" w:hAnsi="Times New Roman"/>
          <w:sz w:val="20"/>
        </w:rPr>
        <w:t>(8) Information is as provided by the reporting persons in a Schedule 13G/A filed with the SEC on February 11, 2013. Based on such Schedule 13G/A, Dimensional Fund Advisors LP (Dimensional), a registered investment adviser, furnishes investment advice to four investment companies registered under the Investment Company Act of 1940 and serves as investment manager to certain other commingled group trusts and separate accounts. These investment companies, trusts and accounts are the Funds. In certain cases, subsidiaries of Dimensional may act as adviser or sub-adviser to certain Funds. Although such Schedule 13G/A identifies Dimensional as having sole voting power over 356,073 shares of Common Stock and sole dispositive power over 357,694 shares of Common Stock, it notes that in its role as investment advisor, sub-adviser and/or manager, neither Dimensional nor its subsidiaries possesses investment and/or voting power over the shares of Common Stock owned by the Funds, and may be deemed to be the beneficial owner of those shares under applicable SEC rules; however, all of these shares are owned by the Funds, and Dimensional disclaims beneficial ownership of such shares.</w:t>
      </w:r>
    </w:p>
    <w:p>
      <w:pPr>
        <w:pStyle w:val="TextBody"/>
        <w:jc w:val="center"/>
        <w:rPr>
          <w:rFonts w:ascii="Times New Roman" w:hAnsi="Times New Roman"/>
          <w:sz w:val="20"/>
        </w:rPr>
      </w:pPr>
      <w:r>
        <w:rPr>
          <w:rFonts w:ascii="Times New Roman" w:hAnsi="Times New Roman"/>
          <w:sz w:val="20"/>
        </w:rPr>
        <w:t>48</w:t>
      </w:r>
    </w:p>
    <w:p>
      <w:pPr>
        <w:pStyle w:val="HorizontalLine"/>
        <w:pBdr>
          <w:bottom w:val="single" w:sz="12" w:space="0" w:color="808080"/>
        </w:pBdr>
        <w:rPr/>
      </w:pPr>
      <w:r>
        <w:rPr/>
      </w:r>
    </w:p>
    <w:p>
      <w:pPr>
        <w:pStyle w:val="TextBody"/>
        <w:rPr/>
      </w:pPr>
      <w:r>
        <w:rPr/>
      </w:r>
    </w:p>
    <w:p>
      <w:pPr>
        <w:pStyle w:val="TextBody"/>
        <w:jc w:val="both"/>
        <w:rPr>
          <w:rFonts w:ascii="Times New Roman" w:hAnsi="Times New Roman"/>
          <w:sz w:val="20"/>
        </w:rPr>
      </w:pPr>
      <w:r>
        <w:rPr>
          <w:rFonts w:ascii="Times New Roman" w:hAnsi="Times New Roman"/>
          <w:sz w:val="20"/>
        </w:rPr>
        <w:t>(9) Information is as provided by the reporting persons in a Schedule 13D/A filed with the SEC on June 11, 2012. Such Schedule 13D/A filed by Gabelli Funds, LLC (Gabelli Funds), GAMCO Asset Management, Inc. (GAMCO), Teton Advisors, Inc. (Teton Advisors), GGCP, Inc., GAMCO Investors, Inc. (GBL) and Mario J. Gabelli reports: (a) 165,500 shares of Common Stock beneficially owned by Gabelli Funds; (b) 583,839 shares of Common Stock beneficially owned by GAMCO; and (c) 126,390 shares of Common Stock beneficially owned by Teton Advisors. The Schedule 13D/A reports that each such entity has sole voting and sole dispositive power over the shares reported as beneficially owned by it, except that: (i) Gabelli Funds has sole dispositive and voting power with respect to the shares held by such funds so long as the aggregate voting interest of all joint filers does not exceed 25% of their total voting interest in the Company; (ii) GAMCO does not have the authority to vote 1,500 of the reported shares; (iii) in certain circumstances, proxy voting committees of each fund may have voting power over the reported shares; and (iv) the power of Mario J. Gabelli, GBL and GGCP, Inc. is indirect with respect to securities beneficially owned directly by other reporting persons.</w:t>
      </w:r>
    </w:p>
    <w:p>
      <w:pPr>
        <w:pStyle w:val="TextBody"/>
        <w:jc w:val="both"/>
        <w:rPr>
          <w:rFonts w:ascii="Times New Roman" w:hAnsi="Times New Roman"/>
          <w:sz w:val="20"/>
        </w:rPr>
      </w:pPr>
      <w:r>
        <w:rPr>
          <w:rFonts w:ascii="Times New Roman" w:hAnsi="Times New Roman"/>
          <w:sz w:val="20"/>
        </w:rPr>
        <w:t>(10) Information is as provided by the reporting persons in a Schedule 13G/A filed with the SEC on February 12, 2013. Such Schedule 13G/A filed by Renaissance Technologies LLC, an investment adviser (RTC), and Renaissance Technologies Holding Corporation, majority owner of RTC (RTHC), reports that RTC and RTHC have sole voting and sole dispositive power over 299,225 shares of Common Stock.</w:t>
      </w:r>
    </w:p>
    <w:p>
      <w:pPr>
        <w:pStyle w:val="TextBody"/>
        <w:jc w:val="both"/>
        <w:rPr>
          <w:rFonts w:ascii="Times New Roman" w:hAnsi="Times New Roman"/>
          <w:sz w:val="20"/>
        </w:rPr>
      </w:pPr>
      <w:r>
        <w:rPr>
          <w:rFonts w:ascii="Times New Roman" w:hAnsi="Times New Roman"/>
          <w:sz w:val="20"/>
        </w:rPr>
        <w:t>(11) Information is as provided by the reporting persons in a Schedule 13G/A filed with the SEC on February 8, 2013. Such Schedule 13G/A filed by T. Rowe Price Associates, Inc., a registered investment adviser (Price Associates), and T. Rowe Price Small-Cap Value Fund, Inc. reports that Price Associates held sole voting power over 7,790 shares of Common Stock and sole dispositive power over 609,656 shares of Common Stock, and T. Rowe Price Small-Cap Value Fund, Inc. held sole voting power over 601,866 shares of Common Stock. Price Associates expressly disclaims that it is, in fact, the beneficial owner of such securities.</w:t>
      </w:r>
    </w:p>
    <w:p>
      <w:pPr>
        <w:pStyle w:val="TextBody"/>
        <w:jc w:val="both"/>
        <w:rPr>
          <w:rFonts w:ascii="Times New Roman" w:hAnsi="Times New Roman"/>
          <w:sz w:val="20"/>
        </w:rPr>
      </w:pPr>
      <w:r>
        <w:rPr>
          <w:rFonts w:ascii="Times New Roman" w:hAnsi="Times New Roman"/>
          <w:sz w:val="20"/>
        </w:rPr>
        <w:t>(12) Information is as provided by the reporting persons in a Schedule 13G/A filed with the SEC on February 14, 2013. Based on such Schedule 13G/A, Harvey Partners, LLC (Harvey Partners) is the investment manager of the following entities, which hold the following number of shares of Common Stock: (a) Harvey SMidCap Fund, LP, which holds 60,888 shares of Common Stock; (b) Harvey SMidCap Offshore Fund, Ltd., which holds 144,687 shares of Common Stock; and (c) Harvey QP, LP, which holds 92,626 shares of Common Stock. As the investment manager of such entities, Harvey Partners possesses the sole power to vote and the sole power to direct the disposition of the aggregate 298,201 shares of Common Stock held by such entities. James A. Schwartz and Jeffrey C. Moskowitz are the managing members of Harvey Partners and share voting and investment power with respect to all securities beneficially owned by Harvey Partners.</w:t>
      </w:r>
    </w:p>
    <w:p>
      <w:pPr>
        <w:pStyle w:val="TextBody"/>
        <w:jc w:val="center"/>
        <w:rPr>
          <w:rFonts w:ascii="Times New Roman" w:hAnsi="Times New Roman"/>
          <w:sz w:val="20"/>
        </w:rPr>
      </w:pPr>
      <w:r>
        <w:rPr>
          <w:rFonts w:ascii="Times New Roman" w:hAnsi="Times New Roman"/>
          <w:sz w:val="20"/>
        </w:rPr>
        <w:t>49</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Security Ownership of Management</w:t>
      </w:r>
    </w:p>
    <w:p>
      <w:pPr>
        <w:pStyle w:val="TextBody"/>
        <w:jc w:val="both"/>
        <w:rPr/>
      </w:pPr>
      <w:r>
        <w:rPr/>
        <w:t xml:space="preserve">     </w:t>
      </w:r>
      <w:r>
        <w:rPr>
          <w:rFonts w:ascii="Times New Roman" w:hAnsi="Times New Roman"/>
          <w:sz w:val="20"/>
        </w:rPr>
        <w:t>The following table shows the number of shares of Common Stock and Class B Stock beneficially owned as of October 18, 2013 by our directors, by the named executive officers and by our directors and named executive officers as a group.</w:t>
      </w:r>
    </w:p>
    <w:tbl>
      <w:tblPr>
        <w:tblW w:w="4500" w:type="pct"/>
        <w:jc w:val="center"/>
        <w:tblInd w:w="0" w:type="dxa"/>
        <w:tblCellMar>
          <w:top w:w="0" w:type="dxa"/>
          <w:left w:w="0" w:type="dxa"/>
          <w:bottom w:w="0" w:type="dxa"/>
          <w:right w:w="0" w:type="dxa"/>
        </w:tblCellMar>
      </w:tblPr>
      <w:tblGrid>
        <w:gridCol w:w="3196"/>
        <w:gridCol w:w="1116"/>
        <w:gridCol w:w="246"/>
        <w:gridCol w:w="713"/>
        <w:gridCol w:w="306"/>
        <w:gridCol w:w="1176"/>
        <w:gridCol w:w="306"/>
        <w:gridCol w:w="1250"/>
        <w:gridCol w:w="246"/>
        <w:gridCol w:w="629"/>
      </w:tblGrid>
      <w:tr>
        <w:trPr/>
        <w:tc>
          <w:tcPr>
            <w:tcW w:w="3196" w:type="dxa"/>
            <w:tcBorders/>
            <w:shd w:fill="auto" w:val="clear"/>
            <w:vAlign w:val="bottom"/>
          </w:tcPr>
          <w:p>
            <w:pPr>
              <w:pStyle w:val="TableContents"/>
              <w:spacing w:before="0" w:after="283"/>
              <w:rPr>
                <w:sz w:val="4"/>
                <w:szCs w:val="4"/>
              </w:rPr>
            </w:pPr>
            <w:r>
              <w:rPr>
                <w:sz w:val="4"/>
                <w:szCs w:val="4"/>
              </w:rPr>
            </w:r>
          </w:p>
        </w:tc>
        <w:tc>
          <w:tcPr>
            <w:tcW w:w="1116"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117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Percentage of</w:t>
            </w:r>
          </w:p>
        </w:tc>
        <w:tc>
          <w:tcPr>
            <w:tcW w:w="306" w:type="dxa"/>
            <w:tcBorders/>
            <w:shd w:fill="auto" w:val="clear"/>
            <w:vAlign w:val="bottom"/>
          </w:tcPr>
          <w:p>
            <w:pPr>
              <w:pStyle w:val="TableContents"/>
              <w:spacing w:before="0" w:after="283"/>
              <w:rPr>
                <w:sz w:val="4"/>
                <w:szCs w:val="4"/>
              </w:rPr>
            </w:pPr>
            <w:r>
              <w:rPr>
                <w:sz w:val="4"/>
                <w:szCs w:val="4"/>
              </w:rPr>
            </w:r>
          </w:p>
        </w:tc>
        <w:tc>
          <w:tcPr>
            <w:tcW w:w="1250"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629" w:type="dxa"/>
            <w:tcBorders/>
            <w:shd w:fill="auto" w:val="clear"/>
            <w:vAlign w:val="bottom"/>
          </w:tcPr>
          <w:p>
            <w:pPr>
              <w:pStyle w:val="TableContents"/>
              <w:spacing w:before="0" w:after="283"/>
              <w:rPr>
                <w:sz w:val="4"/>
                <w:szCs w:val="4"/>
              </w:rPr>
            </w:pPr>
            <w:r>
              <w:rPr>
                <w:sz w:val="4"/>
                <w:szCs w:val="4"/>
              </w:rPr>
            </w:r>
          </w:p>
        </w:tc>
      </w:tr>
      <w:tr>
        <w:trPr/>
        <w:tc>
          <w:tcPr>
            <w:tcW w:w="3196" w:type="dxa"/>
            <w:tcBorders/>
            <w:shd w:fill="auto" w:val="clear"/>
            <w:vAlign w:val="bottom"/>
          </w:tcPr>
          <w:p>
            <w:pPr>
              <w:pStyle w:val="TableContents"/>
              <w:spacing w:before="0" w:after="283"/>
              <w:rPr>
                <w:sz w:val="4"/>
                <w:szCs w:val="4"/>
              </w:rPr>
            </w:pPr>
            <w:r>
              <w:rPr>
                <w:sz w:val="4"/>
                <w:szCs w:val="4"/>
              </w:rPr>
            </w:r>
          </w:p>
        </w:tc>
        <w:tc>
          <w:tcPr>
            <w:tcW w:w="1116"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117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Outstanding</w:t>
            </w:r>
          </w:p>
        </w:tc>
        <w:tc>
          <w:tcPr>
            <w:tcW w:w="306" w:type="dxa"/>
            <w:tcBorders/>
            <w:shd w:fill="auto" w:val="clear"/>
            <w:vAlign w:val="bottom"/>
          </w:tcPr>
          <w:p>
            <w:pPr>
              <w:pStyle w:val="TableContents"/>
              <w:spacing w:before="0" w:after="283"/>
              <w:rPr>
                <w:sz w:val="4"/>
                <w:szCs w:val="4"/>
              </w:rPr>
            </w:pPr>
            <w:r>
              <w:rPr>
                <w:sz w:val="4"/>
                <w:szCs w:val="4"/>
              </w:rPr>
            </w:r>
          </w:p>
        </w:tc>
        <w:tc>
          <w:tcPr>
            <w:tcW w:w="212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r>
      <w:tr>
        <w:trPr/>
        <w:tc>
          <w:tcPr>
            <w:tcW w:w="3196" w:type="dxa"/>
            <w:tcBorders/>
            <w:shd w:fill="auto" w:val="clear"/>
            <w:vAlign w:val="bottom"/>
          </w:tcPr>
          <w:p>
            <w:pPr>
              <w:pStyle w:val="TableContents"/>
              <w:spacing w:before="0" w:after="283"/>
              <w:rPr>
                <w:sz w:val="4"/>
                <w:szCs w:val="4"/>
              </w:rPr>
            </w:pPr>
            <w:r>
              <w:rPr>
                <w:sz w:val="4"/>
                <w:szCs w:val="4"/>
              </w:rPr>
            </w:r>
          </w:p>
        </w:tc>
        <w:tc>
          <w:tcPr>
            <w:tcW w:w="207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 of</w:t>
            </w:r>
          </w:p>
        </w:tc>
        <w:tc>
          <w:tcPr>
            <w:tcW w:w="306" w:type="dxa"/>
            <w:tcBorders/>
            <w:shd w:fill="auto" w:val="clear"/>
            <w:vAlign w:val="bottom"/>
          </w:tcPr>
          <w:p>
            <w:pPr>
              <w:pStyle w:val="TableContents"/>
              <w:spacing w:before="0" w:after="283"/>
              <w:rPr>
                <w:sz w:val="4"/>
                <w:szCs w:val="4"/>
              </w:rPr>
            </w:pPr>
            <w:r>
              <w:rPr>
                <w:sz w:val="4"/>
                <w:szCs w:val="4"/>
              </w:rPr>
            </w:r>
          </w:p>
        </w:tc>
        <w:tc>
          <w:tcPr>
            <w:tcW w:w="117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Common</w:t>
            </w:r>
          </w:p>
        </w:tc>
        <w:tc>
          <w:tcPr>
            <w:tcW w:w="306" w:type="dxa"/>
            <w:tcBorders/>
            <w:shd w:fill="auto" w:val="clear"/>
            <w:vAlign w:val="bottom"/>
          </w:tcPr>
          <w:p>
            <w:pPr>
              <w:pStyle w:val="TableContents"/>
              <w:spacing w:before="0" w:after="283"/>
              <w:rPr>
                <w:sz w:val="4"/>
                <w:szCs w:val="4"/>
              </w:rPr>
            </w:pPr>
            <w:r>
              <w:rPr>
                <w:sz w:val="4"/>
                <w:szCs w:val="4"/>
              </w:rPr>
            </w:r>
          </w:p>
        </w:tc>
        <w:tc>
          <w:tcPr>
            <w:tcW w:w="212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 of Class B</w:t>
            </w:r>
          </w:p>
        </w:tc>
      </w:tr>
      <w:tr>
        <w:trPr/>
        <w:tc>
          <w:tcPr>
            <w:tcW w:w="3196"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 of Beneficial Owner (1)</w:t>
            </w:r>
          </w:p>
        </w:tc>
        <w:tc>
          <w:tcPr>
            <w:tcW w:w="207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Common Stock</w:t>
            </w:r>
          </w:p>
        </w:tc>
        <w:tc>
          <w:tcPr>
            <w:tcW w:w="306"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176"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306"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2125" w:type="dxa"/>
            <w:gridSpan w:val="3"/>
            <w:tcBorders>
              <w:bottom w:val="single" w:sz="8" w:space="0" w:color="000000"/>
            </w:tcBorders>
            <w:shd w:fill="auto" w:val="clear"/>
            <w:tcMar>
              <w:bottom w:w="28" w:type="dxa"/>
            </w:tcMar>
            <w:vAlign w:val="bottom"/>
          </w:tcPr>
          <w:p>
            <w:pPr>
              <w:pStyle w:val="TableContents"/>
              <w:spacing w:before="0" w:after="283"/>
              <w:jc w:val="center"/>
              <w:rPr/>
            </w:pPr>
            <w:r>
              <w:rPr>
                <w:rStyle w:val="StrongEmphasis"/>
                <w:rFonts w:ascii="Times New Roman" w:hAnsi="Times New Roman"/>
                <w:sz w:val="20"/>
              </w:rPr>
              <w:t>Stock (2)</w:t>
            </w:r>
          </w:p>
        </w:tc>
      </w:tr>
      <w:tr>
        <w:trPr/>
        <w:tc>
          <w:tcPr>
            <w:tcW w:w="319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Richard M. Jaffee (3)</w:t>
            </w:r>
          </w:p>
        </w:tc>
        <w:tc>
          <w:tcPr>
            <w:tcW w:w="11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C0C0C0" w:val="clear"/>
            <w:vAlign w:val="bottom"/>
          </w:tcPr>
          <w:p>
            <w:pPr>
              <w:pStyle w:val="TableContents"/>
              <w:spacing w:before="0" w:after="283"/>
              <w:jc w:val="left"/>
              <w:rPr/>
            </w:pPr>
            <w:r>
              <w:rPr/>
              <w:t xml:space="preserve">    </w:t>
            </w:r>
          </w:p>
        </w:tc>
        <w:tc>
          <w:tcPr>
            <w:tcW w:w="71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306" w:type="dxa"/>
            <w:tcBorders/>
            <w:shd w:fill="C0C0C0" w:val="clear"/>
            <w:vAlign w:val="bottom"/>
          </w:tcPr>
          <w:p>
            <w:pPr>
              <w:pStyle w:val="TableContents"/>
              <w:spacing w:before="0" w:after="283"/>
              <w:rPr>
                <w:sz w:val="4"/>
                <w:szCs w:val="4"/>
              </w:rPr>
            </w:pPr>
            <w:r>
              <w:rPr>
                <w:sz w:val="4"/>
                <w:szCs w:val="4"/>
              </w:rPr>
            </w:r>
          </w:p>
        </w:tc>
        <w:tc>
          <w:tcPr>
            <w:tcW w:w="1176" w:type="dxa"/>
            <w:tcBorders/>
            <w:shd w:fill="C0C0C0" w:val="clear"/>
            <w:vAlign w:val="bottom"/>
          </w:tcPr>
          <w:p>
            <w:pPr>
              <w:pStyle w:val="TableContents"/>
              <w:spacing w:before="0" w:after="283"/>
              <w:rPr>
                <w:sz w:val="4"/>
                <w:szCs w:val="4"/>
              </w:rPr>
            </w:pPr>
            <w:r>
              <w:rPr>
                <w:sz w:val="4"/>
                <w:szCs w:val="4"/>
              </w:rPr>
            </w:r>
          </w:p>
        </w:tc>
        <w:tc>
          <w:tcPr>
            <w:tcW w:w="306" w:type="dxa"/>
            <w:tcBorders/>
            <w:shd w:fill="C0C0C0" w:val="clear"/>
            <w:vAlign w:val="bottom"/>
          </w:tcPr>
          <w:p>
            <w:pPr>
              <w:pStyle w:val="TableContents"/>
              <w:spacing w:before="0" w:after="283"/>
              <w:rPr>
                <w:sz w:val="4"/>
                <w:szCs w:val="4"/>
              </w:rPr>
            </w:pPr>
            <w:r>
              <w:rPr>
                <w:sz w:val="4"/>
                <w:szCs w:val="4"/>
              </w:rPr>
            </w:r>
          </w:p>
        </w:tc>
        <w:tc>
          <w:tcPr>
            <w:tcW w:w="1250" w:type="dxa"/>
            <w:tcBorders/>
            <w:shd w:fill="C0C0C0" w:val="clear"/>
            <w:vAlign w:val="bottom"/>
          </w:tcPr>
          <w:p>
            <w:pPr>
              <w:pStyle w:val="TableContents"/>
              <w:spacing w:before="0" w:after="283"/>
              <w:rPr>
                <w:sz w:val="4"/>
                <w:szCs w:val="4"/>
              </w:rPr>
            </w:pPr>
            <w:r>
              <w:rPr>
                <w:sz w:val="4"/>
                <w:szCs w:val="4"/>
              </w:rPr>
            </w:r>
          </w:p>
        </w:tc>
        <w:tc>
          <w:tcPr>
            <w:tcW w:w="246" w:type="dxa"/>
            <w:tcBorders/>
            <w:shd w:fill="C0C0C0" w:val="clear"/>
            <w:vAlign w:val="bottom"/>
          </w:tcPr>
          <w:p>
            <w:pPr>
              <w:pStyle w:val="TableContents"/>
              <w:spacing w:before="0" w:after="283"/>
              <w:jc w:val="left"/>
              <w:rPr/>
            </w:pPr>
            <w:r>
              <w:rPr/>
              <w:t xml:space="preserve">    </w:t>
            </w:r>
          </w:p>
        </w:tc>
        <w:tc>
          <w:tcPr>
            <w:tcW w:w="62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(4)</w:t>
            </w:r>
          </w:p>
        </w:tc>
      </w:tr>
      <w:tr>
        <w:trPr/>
        <w:tc>
          <w:tcPr>
            <w:tcW w:w="319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11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306" w:type="dxa"/>
            <w:tcBorders/>
            <w:shd w:fill="auto" w:val="clear"/>
            <w:vAlign w:val="bottom"/>
          </w:tcPr>
          <w:p>
            <w:pPr>
              <w:pStyle w:val="TableContents"/>
              <w:spacing w:before="0" w:after="283"/>
              <w:rPr>
                <w:sz w:val="4"/>
                <w:szCs w:val="4"/>
              </w:rPr>
            </w:pPr>
            <w:r>
              <w:rPr>
                <w:sz w:val="4"/>
                <w:szCs w:val="4"/>
              </w:rPr>
            </w:r>
          </w:p>
        </w:tc>
        <w:tc>
          <w:tcPr>
            <w:tcW w:w="1176"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1250"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62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(4)</w:t>
            </w:r>
          </w:p>
        </w:tc>
      </w:tr>
      <w:tr>
        <w:trPr/>
        <w:tc>
          <w:tcPr>
            <w:tcW w:w="319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 (3)</w:t>
            </w:r>
          </w:p>
        </w:tc>
        <w:tc>
          <w:tcPr>
            <w:tcW w:w="11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586</w:t>
            </w:r>
          </w:p>
        </w:tc>
        <w:tc>
          <w:tcPr>
            <w:tcW w:w="246" w:type="dxa"/>
            <w:tcBorders/>
            <w:shd w:fill="C0C0C0" w:val="clear"/>
            <w:vAlign w:val="bottom"/>
          </w:tcPr>
          <w:p>
            <w:pPr>
              <w:pStyle w:val="TableContents"/>
              <w:spacing w:before="0" w:after="283"/>
              <w:rPr>
                <w:sz w:val="4"/>
                <w:szCs w:val="4"/>
              </w:rPr>
            </w:pPr>
            <w:r>
              <w:rPr>
                <w:sz w:val="4"/>
                <w:szCs w:val="4"/>
              </w:rPr>
            </w:r>
          </w:p>
        </w:tc>
        <w:tc>
          <w:tcPr>
            <w:tcW w:w="71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306" w:type="dxa"/>
            <w:tcBorders/>
            <w:shd w:fill="C0C0C0" w:val="clear"/>
            <w:vAlign w:val="bottom"/>
          </w:tcPr>
          <w:p>
            <w:pPr>
              <w:pStyle w:val="TableContents"/>
              <w:spacing w:before="0" w:after="283"/>
              <w:rPr>
                <w:sz w:val="4"/>
                <w:szCs w:val="4"/>
              </w:rPr>
            </w:pPr>
            <w:r>
              <w:rPr>
                <w:sz w:val="4"/>
                <w:szCs w:val="4"/>
              </w:rPr>
            </w:r>
          </w:p>
        </w:tc>
        <w:tc>
          <w:tcPr>
            <w:tcW w:w="11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6" w:type="dxa"/>
            <w:tcBorders/>
            <w:shd w:fill="C0C0C0" w:val="clear"/>
            <w:vAlign w:val="bottom"/>
          </w:tcPr>
          <w:p>
            <w:pPr>
              <w:pStyle w:val="TableContents"/>
              <w:spacing w:before="0" w:after="283"/>
              <w:rPr>
                <w:sz w:val="4"/>
                <w:szCs w:val="4"/>
              </w:rPr>
            </w:pPr>
            <w:r>
              <w:rPr>
                <w:sz w:val="4"/>
                <w:szCs w:val="4"/>
              </w:rPr>
            </w:r>
          </w:p>
        </w:tc>
        <w:tc>
          <w:tcPr>
            <w:tcW w:w="1250" w:type="dxa"/>
            <w:tcBorders/>
            <w:shd w:fill="C0C0C0" w:val="clear"/>
            <w:vAlign w:val="bottom"/>
          </w:tcPr>
          <w:p>
            <w:pPr>
              <w:pStyle w:val="TableContents"/>
              <w:spacing w:before="0" w:after="283"/>
              <w:jc w:val="right"/>
              <w:rPr/>
            </w:pPr>
            <w:r>
              <w:rPr/>
              <w:t xml:space="preserve">           </w:t>
            </w:r>
            <w:r>
              <w:rPr>
                <w:rFonts w:ascii="Times New Roman" w:hAnsi="Times New Roman"/>
                <w:sz w:val="20"/>
              </w:rPr>
              <w:t>63,453</w:t>
            </w:r>
          </w:p>
        </w:tc>
        <w:tc>
          <w:tcPr>
            <w:tcW w:w="246" w:type="dxa"/>
            <w:tcBorders/>
            <w:shd w:fill="C0C0C0" w:val="clear"/>
            <w:vAlign w:val="bottom"/>
          </w:tcPr>
          <w:p>
            <w:pPr>
              <w:pStyle w:val="TableContents"/>
              <w:spacing w:before="0" w:after="283"/>
              <w:rPr>
                <w:sz w:val="4"/>
                <w:szCs w:val="4"/>
              </w:rPr>
            </w:pPr>
            <w:r>
              <w:rPr>
                <w:sz w:val="4"/>
                <w:szCs w:val="4"/>
              </w:rPr>
            </w:r>
          </w:p>
        </w:tc>
        <w:tc>
          <w:tcPr>
            <w:tcW w:w="62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(6)</w:t>
            </w:r>
          </w:p>
        </w:tc>
      </w:tr>
      <w:tr>
        <w:trPr/>
        <w:tc>
          <w:tcPr>
            <w:tcW w:w="319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11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25,674</w:t>
            </w:r>
          </w:p>
        </w:tc>
        <w:tc>
          <w:tcPr>
            <w:tcW w:w="246"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(7)</w:t>
            </w:r>
          </w:p>
        </w:tc>
        <w:tc>
          <w:tcPr>
            <w:tcW w:w="306" w:type="dxa"/>
            <w:tcBorders/>
            <w:shd w:fill="auto" w:val="clear"/>
            <w:vAlign w:val="bottom"/>
          </w:tcPr>
          <w:p>
            <w:pPr>
              <w:pStyle w:val="TableContents"/>
              <w:spacing w:before="0" w:after="283"/>
              <w:rPr>
                <w:sz w:val="4"/>
                <w:szCs w:val="4"/>
              </w:rPr>
            </w:pPr>
            <w:r>
              <w:rPr>
                <w:sz w:val="4"/>
                <w:szCs w:val="4"/>
              </w:rPr>
            </w:r>
          </w:p>
        </w:tc>
        <w:tc>
          <w:tcPr>
            <w:tcW w:w="11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6" w:type="dxa"/>
            <w:tcBorders/>
            <w:shd w:fill="auto" w:val="clear"/>
            <w:vAlign w:val="bottom"/>
          </w:tcPr>
          <w:p>
            <w:pPr>
              <w:pStyle w:val="TableContents"/>
              <w:spacing w:before="0" w:after="283"/>
              <w:rPr>
                <w:sz w:val="4"/>
                <w:szCs w:val="4"/>
              </w:rPr>
            </w:pPr>
            <w:r>
              <w:rPr>
                <w:sz w:val="4"/>
                <w:szCs w:val="4"/>
              </w:rPr>
            </w:r>
          </w:p>
        </w:tc>
        <w:tc>
          <w:tcPr>
            <w:tcW w:w="1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rPr>
                <w:sz w:val="4"/>
                <w:szCs w:val="4"/>
              </w:rPr>
            </w:pPr>
            <w:r>
              <w:rPr>
                <w:sz w:val="4"/>
                <w:szCs w:val="4"/>
              </w:rPr>
            </w:r>
          </w:p>
        </w:tc>
        <w:tc>
          <w:tcPr>
            <w:tcW w:w="629" w:type="dxa"/>
            <w:tcBorders/>
            <w:shd w:fill="auto" w:val="clear"/>
            <w:vAlign w:val="bottom"/>
          </w:tcPr>
          <w:p>
            <w:pPr>
              <w:pStyle w:val="TableContents"/>
              <w:spacing w:before="0" w:after="283"/>
              <w:rPr>
                <w:sz w:val="4"/>
                <w:szCs w:val="4"/>
              </w:rPr>
            </w:pPr>
            <w:r>
              <w:rPr>
                <w:sz w:val="4"/>
                <w:szCs w:val="4"/>
              </w:rPr>
            </w:r>
          </w:p>
        </w:tc>
      </w:tr>
      <w:tr>
        <w:trPr/>
        <w:tc>
          <w:tcPr>
            <w:tcW w:w="319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11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19,034</w:t>
            </w:r>
          </w:p>
        </w:tc>
        <w:tc>
          <w:tcPr>
            <w:tcW w:w="246" w:type="dxa"/>
            <w:tcBorders/>
            <w:shd w:fill="C0C0C0" w:val="clear"/>
            <w:vAlign w:val="bottom"/>
          </w:tcPr>
          <w:p>
            <w:pPr>
              <w:pStyle w:val="TableContents"/>
              <w:spacing w:before="0" w:after="283"/>
              <w:rPr>
                <w:sz w:val="4"/>
                <w:szCs w:val="4"/>
              </w:rPr>
            </w:pPr>
            <w:r>
              <w:rPr>
                <w:sz w:val="4"/>
                <w:szCs w:val="4"/>
              </w:rPr>
            </w:r>
          </w:p>
        </w:tc>
        <w:tc>
          <w:tcPr>
            <w:tcW w:w="71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(8)</w:t>
            </w:r>
          </w:p>
        </w:tc>
        <w:tc>
          <w:tcPr>
            <w:tcW w:w="306" w:type="dxa"/>
            <w:tcBorders/>
            <w:shd w:fill="C0C0C0" w:val="clear"/>
            <w:vAlign w:val="bottom"/>
          </w:tcPr>
          <w:p>
            <w:pPr>
              <w:pStyle w:val="TableContents"/>
              <w:spacing w:before="0" w:after="283"/>
              <w:rPr>
                <w:sz w:val="4"/>
                <w:szCs w:val="4"/>
              </w:rPr>
            </w:pPr>
            <w:r>
              <w:rPr>
                <w:sz w:val="4"/>
                <w:szCs w:val="4"/>
              </w:rPr>
            </w:r>
          </w:p>
        </w:tc>
        <w:tc>
          <w:tcPr>
            <w:tcW w:w="11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6" w:type="dxa"/>
            <w:tcBorders/>
            <w:shd w:fill="C0C0C0" w:val="clear"/>
            <w:vAlign w:val="bottom"/>
          </w:tcPr>
          <w:p>
            <w:pPr>
              <w:pStyle w:val="TableContents"/>
              <w:spacing w:before="0" w:after="283"/>
              <w:rPr>
                <w:sz w:val="4"/>
                <w:szCs w:val="4"/>
              </w:rPr>
            </w:pPr>
            <w:r>
              <w:rPr>
                <w:sz w:val="4"/>
                <w:szCs w:val="4"/>
              </w:rPr>
            </w:r>
          </w:p>
        </w:tc>
        <w:tc>
          <w:tcPr>
            <w:tcW w:w="12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C0C0C0" w:val="clear"/>
            <w:vAlign w:val="bottom"/>
          </w:tcPr>
          <w:p>
            <w:pPr>
              <w:pStyle w:val="TableContents"/>
              <w:spacing w:before="0" w:after="283"/>
              <w:rPr>
                <w:sz w:val="4"/>
                <w:szCs w:val="4"/>
              </w:rPr>
            </w:pPr>
            <w:r>
              <w:rPr>
                <w:sz w:val="4"/>
                <w:szCs w:val="4"/>
              </w:rPr>
            </w:r>
          </w:p>
        </w:tc>
        <w:tc>
          <w:tcPr>
            <w:tcW w:w="629" w:type="dxa"/>
            <w:tcBorders/>
            <w:shd w:fill="C0C0C0" w:val="clear"/>
            <w:vAlign w:val="bottom"/>
          </w:tcPr>
          <w:p>
            <w:pPr>
              <w:pStyle w:val="TableContents"/>
              <w:spacing w:before="0" w:after="283"/>
              <w:rPr>
                <w:sz w:val="4"/>
                <w:szCs w:val="4"/>
              </w:rPr>
            </w:pPr>
            <w:r>
              <w:rPr>
                <w:sz w:val="4"/>
                <w:szCs w:val="4"/>
              </w:rPr>
            </w:r>
          </w:p>
        </w:tc>
      </w:tr>
      <w:tr>
        <w:trPr/>
        <w:tc>
          <w:tcPr>
            <w:tcW w:w="319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11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20,401</w:t>
            </w:r>
          </w:p>
        </w:tc>
        <w:tc>
          <w:tcPr>
            <w:tcW w:w="246"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(9)</w:t>
            </w:r>
          </w:p>
        </w:tc>
        <w:tc>
          <w:tcPr>
            <w:tcW w:w="306" w:type="dxa"/>
            <w:tcBorders/>
            <w:shd w:fill="auto" w:val="clear"/>
            <w:vAlign w:val="bottom"/>
          </w:tcPr>
          <w:p>
            <w:pPr>
              <w:pStyle w:val="TableContents"/>
              <w:spacing w:before="0" w:after="283"/>
              <w:rPr>
                <w:sz w:val="4"/>
                <w:szCs w:val="4"/>
              </w:rPr>
            </w:pPr>
            <w:r>
              <w:rPr>
                <w:sz w:val="4"/>
                <w:szCs w:val="4"/>
              </w:rPr>
            </w:r>
          </w:p>
        </w:tc>
        <w:tc>
          <w:tcPr>
            <w:tcW w:w="11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6" w:type="dxa"/>
            <w:tcBorders/>
            <w:shd w:fill="auto" w:val="clear"/>
            <w:vAlign w:val="bottom"/>
          </w:tcPr>
          <w:p>
            <w:pPr>
              <w:pStyle w:val="TableContents"/>
              <w:spacing w:before="0" w:after="283"/>
              <w:rPr>
                <w:sz w:val="4"/>
                <w:szCs w:val="4"/>
              </w:rPr>
            </w:pPr>
            <w:r>
              <w:rPr>
                <w:sz w:val="4"/>
                <w:szCs w:val="4"/>
              </w:rPr>
            </w:r>
          </w:p>
        </w:tc>
        <w:tc>
          <w:tcPr>
            <w:tcW w:w="1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rPr>
                <w:sz w:val="4"/>
                <w:szCs w:val="4"/>
              </w:rPr>
            </w:pPr>
            <w:r>
              <w:rPr>
                <w:sz w:val="4"/>
                <w:szCs w:val="4"/>
              </w:rPr>
            </w:r>
          </w:p>
        </w:tc>
        <w:tc>
          <w:tcPr>
            <w:tcW w:w="629" w:type="dxa"/>
            <w:tcBorders/>
            <w:shd w:fill="auto" w:val="clear"/>
            <w:vAlign w:val="bottom"/>
          </w:tcPr>
          <w:p>
            <w:pPr>
              <w:pStyle w:val="TableContents"/>
              <w:spacing w:before="0" w:after="283"/>
              <w:rPr>
                <w:sz w:val="4"/>
                <w:szCs w:val="4"/>
              </w:rPr>
            </w:pPr>
            <w:r>
              <w:rPr>
                <w:sz w:val="4"/>
                <w:szCs w:val="4"/>
              </w:rPr>
            </w:r>
          </w:p>
        </w:tc>
      </w:tr>
      <w:tr>
        <w:trPr/>
        <w:tc>
          <w:tcPr>
            <w:tcW w:w="319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11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246" w:type="dxa"/>
            <w:tcBorders/>
            <w:shd w:fill="C0C0C0" w:val="clear"/>
            <w:vAlign w:val="bottom"/>
          </w:tcPr>
          <w:p>
            <w:pPr>
              <w:pStyle w:val="TableContents"/>
              <w:spacing w:before="0" w:after="283"/>
              <w:rPr>
                <w:sz w:val="4"/>
                <w:szCs w:val="4"/>
              </w:rPr>
            </w:pPr>
            <w:r>
              <w:rPr>
                <w:sz w:val="4"/>
                <w:szCs w:val="4"/>
              </w:rPr>
            </w:r>
          </w:p>
        </w:tc>
        <w:tc>
          <w:tcPr>
            <w:tcW w:w="713" w:type="dxa"/>
            <w:tcBorders/>
            <w:shd w:fill="C0C0C0" w:val="clear"/>
            <w:vAlign w:val="bottom"/>
          </w:tcPr>
          <w:p>
            <w:pPr>
              <w:pStyle w:val="TableContents"/>
              <w:spacing w:before="0" w:after="283"/>
              <w:rPr>
                <w:sz w:val="4"/>
                <w:szCs w:val="4"/>
              </w:rPr>
            </w:pPr>
            <w:r>
              <w:rPr>
                <w:sz w:val="4"/>
                <w:szCs w:val="4"/>
              </w:rPr>
            </w:r>
          </w:p>
        </w:tc>
        <w:tc>
          <w:tcPr>
            <w:tcW w:w="306" w:type="dxa"/>
            <w:tcBorders/>
            <w:shd w:fill="C0C0C0" w:val="clear"/>
            <w:vAlign w:val="bottom"/>
          </w:tcPr>
          <w:p>
            <w:pPr>
              <w:pStyle w:val="TableContents"/>
              <w:spacing w:before="0" w:after="283"/>
              <w:rPr>
                <w:sz w:val="4"/>
                <w:szCs w:val="4"/>
              </w:rPr>
            </w:pPr>
            <w:r>
              <w:rPr>
                <w:sz w:val="4"/>
                <w:szCs w:val="4"/>
              </w:rPr>
            </w:r>
          </w:p>
        </w:tc>
        <w:tc>
          <w:tcPr>
            <w:tcW w:w="11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6" w:type="dxa"/>
            <w:tcBorders/>
            <w:shd w:fill="C0C0C0" w:val="clear"/>
            <w:vAlign w:val="bottom"/>
          </w:tcPr>
          <w:p>
            <w:pPr>
              <w:pStyle w:val="TableContents"/>
              <w:spacing w:before="0" w:after="283"/>
              <w:rPr>
                <w:sz w:val="4"/>
                <w:szCs w:val="4"/>
              </w:rPr>
            </w:pPr>
            <w:r>
              <w:rPr>
                <w:sz w:val="4"/>
                <w:szCs w:val="4"/>
              </w:rPr>
            </w:r>
          </w:p>
        </w:tc>
        <w:tc>
          <w:tcPr>
            <w:tcW w:w="12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C0C0C0" w:val="clear"/>
            <w:vAlign w:val="bottom"/>
          </w:tcPr>
          <w:p>
            <w:pPr>
              <w:pStyle w:val="TableContents"/>
              <w:spacing w:before="0" w:after="283"/>
              <w:rPr>
                <w:sz w:val="4"/>
                <w:szCs w:val="4"/>
              </w:rPr>
            </w:pPr>
            <w:r>
              <w:rPr>
                <w:sz w:val="4"/>
                <w:szCs w:val="4"/>
              </w:rPr>
            </w:r>
          </w:p>
        </w:tc>
        <w:tc>
          <w:tcPr>
            <w:tcW w:w="629" w:type="dxa"/>
            <w:tcBorders/>
            <w:shd w:fill="C0C0C0" w:val="clear"/>
            <w:vAlign w:val="bottom"/>
          </w:tcPr>
          <w:p>
            <w:pPr>
              <w:pStyle w:val="TableContents"/>
              <w:spacing w:before="0" w:after="283"/>
              <w:rPr>
                <w:sz w:val="4"/>
                <w:szCs w:val="4"/>
              </w:rPr>
            </w:pPr>
            <w:r>
              <w:rPr>
                <w:sz w:val="4"/>
                <w:szCs w:val="4"/>
              </w:rPr>
            </w:r>
          </w:p>
        </w:tc>
      </w:tr>
      <w:tr>
        <w:trPr/>
        <w:tc>
          <w:tcPr>
            <w:tcW w:w="319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11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18,500</w:t>
            </w:r>
          </w:p>
        </w:tc>
        <w:tc>
          <w:tcPr>
            <w:tcW w:w="246"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(9)</w:t>
            </w:r>
          </w:p>
        </w:tc>
        <w:tc>
          <w:tcPr>
            <w:tcW w:w="306" w:type="dxa"/>
            <w:tcBorders/>
            <w:shd w:fill="auto" w:val="clear"/>
            <w:vAlign w:val="bottom"/>
          </w:tcPr>
          <w:p>
            <w:pPr>
              <w:pStyle w:val="TableContents"/>
              <w:spacing w:before="0" w:after="283"/>
              <w:rPr>
                <w:sz w:val="4"/>
                <w:szCs w:val="4"/>
              </w:rPr>
            </w:pPr>
            <w:r>
              <w:rPr>
                <w:sz w:val="4"/>
                <w:szCs w:val="4"/>
              </w:rPr>
            </w:r>
          </w:p>
        </w:tc>
        <w:tc>
          <w:tcPr>
            <w:tcW w:w="11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6" w:type="dxa"/>
            <w:tcBorders/>
            <w:shd w:fill="auto" w:val="clear"/>
            <w:vAlign w:val="bottom"/>
          </w:tcPr>
          <w:p>
            <w:pPr>
              <w:pStyle w:val="TableContents"/>
              <w:spacing w:before="0" w:after="283"/>
              <w:rPr>
                <w:sz w:val="4"/>
                <w:szCs w:val="4"/>
              </w:rPr>
            </w:pPr>
            <w:r>
              <w:rPr>
                <w:sz w:val="4"/>
                <w:szCs w:val="4"/>
              </w:rPr>
            </w:r>
          </w:p>
        </w:tc>
        <w:tc>
          <w:tcPr>
            <w:tcW w:w="1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rPr>
                <w:sz w:val="4"/>
                <w:szCs w:val="4"/>
              </w:rPr>
            </w:pPr>
            <w:r>
              <w:rPr>
                <w:sz w:val="4"/>
                <w:szCs w:val="4"/>
              </w:rPr>
            </w:r>
          </w:p>
        </w:tc>
        <w:tc>
          <w:tcPr>
            <w:tcW w:w="629" w:type="dxa"/>
            <w:tcBorders/>
            <w:shd w:fill="auto" w:val="clear"/>
            <w:vAlign w:val="bottom"/>
          </w:tcPr>
          <w:p>
            <w:pPr>
              <w:pStyle w:val="TableContents"/>
              <w:spacing w:before="0" w:after="283"/>
              <w:rPr>
                <w:sz w:val="4"/>
                <w:szCs w:val="4"/>
              </w:rPr>
            </w:pPr>
            <w:r>
              <w:rPr>
                <w:sz w:val="4"/>
                <w:szCs w:val="4"/>
              </w:rPr>
            </w:r>
          </w:p>
        </w:tc>
      </w:tr>
      <w:tr>
        <w:trPr/>
        <w:tc>
          <w:tcPr>
            <w:tcW w:w="319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Lawrence E. Washow</w:t>
            </w:r>
          </w:p>
        </w:tc>
        <w:tc>
          <w:tcPr>
            <w:tcW w:w="11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246" w:type="dxa"/>
            <w:tcBorders/>
            <w:shd w:fill="C0C0C0" w:val="clear"/>
            <w:vAlign w:val="bottom"/>
          </w:tcPr>
          <w:p>
            <w:pPr>
              <w:pStyle w:val="TableContents"/>
              <w:spacing w:before="0" w:after="283"/>
              <w:rPr>
                <w:sz w:val="4"/>
                <w:szCs w:val="4"/>
              </w:rPr>
            </w:pPr>
            <w:r>
              <w:rPr>
                <w:sz w:val="4"/>
                <w:szCs w:val="4"/>
              </w:rPr>
            </w:r>
          </w:p>
        </w:tc>
        <w:tc>
          <w:tcPr>
            <w:tcW w:w="713" w:type="dxa"/>
            <w:tcBorders/>
            <w:shd w:fill="C0C0C0" w:val="clear"/>
            <w:vAlign w:val="bottom"/>
          </w:tcPr>
          <w:p>
            <w:pPr>
              <w:pStyle w:val="TableContents"/>
              <w:spacing w:before="0" w:after="283"/>
              <w:rPr>
                <w:sz w:val="4"/>
                <w:szCs w:val="4"/>
              </w:rPr>
            </w:pPr>
            <w:r>
              <w:rPr>
                <w:sz w:val="4"/>
                <w:szCs w:val="4"/>
              </w:rPr>
            </w:r>
          </w:p>
        </w:tc>
        <w:tc>
          <w:tcPr>
            <w:tcW w:w="306" w:type="dxa"/>
            <w:tcBorders/>
            <w:shd w:fill="C0C0C0" w:val="clear"/>
            <w:vAlign w:val="bottom"/>
          </w:tcPr>
          <w:p>
            <w:pPr>
              <w:pStyle w:val="TableContents"/>
              <w:spacing w:before="0" w:after="283"/>
              <w:rPr>
                <w:sz w:val="4"/>
                <w:szCs w:val="4"/>
              </w:rPr>
            </w:pPr>
            <w:r>
              <w:rPr>
                <w:sz w:val="4"/>
                <w:szCs w:val="4"/>
              </w:rPr>
            </w:r>
          </w:p>
        </w:tc>
        <w:tc>
          <w:tcPr>
            <w:tcW w:w="11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6" w:type="dxa"/>
            <w:tcBorders/>
            <w:shd w:fill="C0C0C0" w:val="clear"/>
            <w:vAlign w:val="bottom"/>
          </w:tcPr>
          <w:p>
            <w:pPr>
              <w:pStyle w:val="TableContents"/>
              <w:spacing w:before="0" w:after="283"/>
              <w:rPr>
                <w:sz w:val="4"/>
                <w:szCs w:val="4"/>
              </w:rPr>
            </w:pPr>
            <w:r>
              <w:rPr>
                <w:sz w:val="4"/>
                <w:szCs w:val="4"/>
              </w:rPr>
            </w:r>
          </w:p>
        </w:tc>
        <w:tc>
          <w:tcPr>
            <w:tcW w:w="12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C0C0C0" w:val="clear"/>
            <w:vAlign w:val="bottom"/>
          </w:tcPr>
          <w:p>
            <w:pPr>
              <w:pStyle w:val="TableContents"/>
              <w:spacing w:before="0" w:after="283"/>
              <w:rPr>
                <w:sz w:val="4"/>
                <w:szCs w:val="4"/>
              </w:rPr>
            </w:pPr>
            <w:r>
              <w:rPr>
                <w:sz w:val="4"/>
                <w:szCs w:val="4"/>
              </w:rPr>
            </w:r>
          </w:p>
        </w:tc>
        <w:tc>
          <w:tcPr>
            <w:tcW w:w="629" w:type="dxa"/>
            <w:tcBorders/>
            <w:shd w:fill="C0C0C0" w:val="clear"/>
            <w:vAlign w:val="bottom"/>
          </w:tcPr>
          <w:p>
            <w:pPr>
              <w:pStyle w:val="TableContents"/>
              <w:spacing w:before="0" w:after="283"/>
              <w:rPr>
                <w:sz w:val="4"/>
                <w:szCs w:val="4"/>
              </w:rPr>
            </w:pPr>
            <w:r>
              <w:rPr>
                <w:sz w:val="4"/>
                <w:szCs w:val="4"/>
              </w:rPr>
            </w:r>
          </w:p>
        </w:tc>
      </w:tr>
      <w:tr>
        <w:trPr/>
        <w:tc>
          <w:tcPr>
            <w:tcW w:w="319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11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2,515</w:t>
            </w:r>
          </w:p>
        </w:tc>
        <w:tc>
          <w:tcPr>
            <w:tcW w:w="246"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(10)</w:t>
            </w:r>
          </w:p>
        </w:tc>
        <w:tc>
          <w:tcPr>
            <w:tcW w:w="306" w:type="dxa"/>
            <w:tcBorders/>
            <w:shd w:fill="auto" w:val="clear"/>
            <w:vAlign w:val="bottom"/>
          </w:tcPr>
          <w:p>
            <w:pPr>
              <w:pStyle w:val="TableContents"/>
              <w:spacing w:before="0" w:after="283"/>
              <w:rPr>
                <w:sz w:val="4"/>
                <w:szCs w:val="4"/>
              </w:rPr>
            </w:pPr>
            <w:r>
              <w:rPr>
                <w:sz w:val="4"/>
                <w:szCs w:val="4"/>
              </w:rPr>
            </w:r>
          </w:p>
        </w:tc>
        <w:tc>
          <w:tcPr>
            <w:tcW w:w="11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6" w:type="dxa"/>
            <w:tcBorders/>
            <w:shd w:fill="auto" w:val="clear"/>
            <w:vAlign w:val="bottom"/>
          </w:tcPr>
          <w:p>
            <w:pPr>
              <w:pStyle w:val="TableContents"/>
              <w:spacing w:before="0" w:after="283"/>
              <w:rPr>
                <w:sz w:val="4"/>
                <w:szCs w:val="4"/>
              </w:rPr>
            </w:pPr>
            <w:r>
              <w:rPr>
                <w:sz w:val="4"/>
                <w:szCs w:val="4"/>
              </w:rPr>
            </w:r>
          </w:p>
        </w:tc>
        <w:tc>
          <w:tcPr>
            <w:tcW w:w="1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rPr>
                <w:sz w:val="4"/>
                <w:szCs w:val="4"/>
              </w:rPr>
            </w:pPr>
            <w:r>
              <w:rPr>
                <w:sz w:val="4"/>
                <w:szCs w:val="4"/>
              </w:rPr>
            </w:r>
          </w:p>
        </w:tc>
        <w:tc>
          <w:tcPr>
            <w:tcW w:w="629" w:type="dxa"/>
            <w:tcBorders/>
            <w:shd w:fill="auto" w:val="clear"/>
            <w:vAlign w:val="bottom"/>
          </w:tcPr>
          <w:p>
            <w:pPr>
              <w:pStyle w:val="TableContents"/>
              <w:spacing w:before="0" w:after="283"/>
              <w:rPr>
                <w:sz w:val="4"/>
                <w:szCs w:val="4"/>
              </w:rPr>
            </w:pPr>
            <w:r>
              <w:rPr>
                <w:sz w:val="4"/>
                <w:szCs w:val="4"/>
              </w:rPr>
            </w:r>
          </w:p>
        </w:tc>
      </w:tr>
      <w:tr>
        <w:trPr/>
        <w:tc>
          <w:tcPr>
            <w:tcW w:w="319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11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246" w:type="dxa"/>
            <w:tcBorders/>
            <w:shd w:fill="C0C0C0" w:val="clear"/>
            <w:vAlign w:val="bottom"/>
          </w:tcPr>
          <w:p>
            <w:pPr>
              <w:pStyle w:val="TableContents"/>
              <w:spacing w:before="0" w:after="283"/>
              <w:rPr>
                <w:sz w:val="4"/>
                <w:szCs w:val="4"/>
              </w:rPr>
            </w:pPr>
            <w:r>
              <w:rPr>
                <w:sz w:val="4"/>
                <w:szCs w:val="4"/>
              </w:rPr>
            </w:r>
          </w:p>
        </w:tc>
        <w:tc>
          <w:tcPr>
            <w:tcW w:w="71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(11)</w:t>
            </w:r>
          </w:p>
        </w:tc>
        <w:tc>
          <w:tcPr>
            <w:tcW w:w="306" w:type="dxa"/>
            <w:tcBorders/>
            <w:shd w:fill="C0C0C0" w:val="clear"/>
            <w:vAlign w:val="bottom"/>
          </w:tcPr>
          <w:p>
            <w:pPr>
              <w:pStyle w:val="TableContents"/>
              <w:spacing w:before="0" w:after="283"/>
              <w:rPr>
                <w:sz w:val="4"/>
                <w:szCs w:val="4"/>
              </w:rPr>
            </w:pPr>
            <w:r>
              <w:rPr>
                <w:sz w:val="4"/>
                <w:szCs w:val="4"/>
              </w:rPr>
            </w:r>
          </w:p>
        </w:tc>
        <w:tc>
          <w:tcPr>
            <w:tcW w:w="11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6" w:type="dxa"/>
            <w:tcBorders/>
            <w:shd w:fill="C0C0C0" w:val="clear"/>
            <w:vAlign w:val="bottom"/>
          </w:tcPr>
          <w:p>
            <w:pPr>
              <w:pStyle w:val="TableContents"/>
              <w:spacing w:before="0" w:after="283"/>
              <w:rPr>
                <w:sz w:val="4"/>
                <w:szCs w:val="4"/>
              </w:rPr>
            </w:pPr>
            <w:r>
              <w:rPr>
                <w:sz w:val="4"/>
                <w:szCs w:val="4"/>
              </w:rPr>
            </w:r>
          </w:p>
        </w:tc>
        <w:tc>
          <w:tcPr>
            <w:tcW w:w="12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C0C0C0" w:val="clear"/>
            <w:vAlign w:val="bottom"/>
          </w:tcPr>
          <w:p>
            <w:pPr>
              <w:pStyle w:val="TableContents"/>
              <w:spacing w:before="0" w:after="283"/>
              <w:rPr>
                <w:sz w:val="4"/>
                <w:szCs w:val="4"/>
              </w:rPr>
            </w:pPr>
            <w:r>
              <w:rPr>
                <w:sz w:val="4"/>
                <w:szCs w:val="4"/>
              </w:rPr>
            </w:r>
          </w:p>
        </w:tc>
        <w:tc>
          <w:tcPr>
            <w:tcW w:w="629" w:type="dxa"/>
            <w:tcBorders/>
            <w:shd w:fill="C0C0C0" w:val="clear"/>
            <w:vAlign w:val="bottom"/>
          </w:tcPr>
          <w:p>
            <w:pPr>
              <w:pStyle w:val="TableContents"/>
              <w:spacing w:before="0" w:after="283"/>
              <w:rPr>
                <w:sz w:val="4"/>
                <w:szCs w:val="4"/>
              </w:rPr>
            </w:pPr>
            <w:r>
              <w:rPr>
                <w:sz w:val="4"/>
                <w:szCs w:val="4"/>
              </w:rPr>
            </w:r>
          </w:p>
        </w:tc>
      </w:tr>
      <w:tr>
        <w:trPr/>
        <w:tc>
          <w:tcPr>
            <w:tcW w:w="319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11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(12)</w:t>
            </w:r>
          </w:p>
        </w:tc>
        <w:tc>
          <w:tcPr>
            <w:tcW w:w="306" w:type="dxa"/>
            <w:tcBorders/>
            <w:shd w:fill="auto" w:val="clear"/>
            <w:vAlign w:val="bottom"/>
          </w:tcPr>
          <w:p>
            <w:pPr>
              <w:pStyle w:val="TableContents"/>
              <w:spacing w:before="0" w:after="283"/>
              <w:rPr>
                <w:sz w:val="4"/>
                <w:szCs w:val="4"/>
              </w:rPr>
            </w:pPr>
            <w:r>
              <w:rPr>
                <w:sz w:val="4"/>
                <w:szCs w:val="4"/>
              </w:rPr>
            </w:r>
          </w:p>
        </w:tc>
        <w:tc>
          <w:tcPr>
            <w:tcW w:w="1176"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1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rPr>
                <w:sz w:val="4"/>
                <w:szCs w:val="4"/>
              </w:rPr>
            </w:pPr>
            <w:r>
              <w:rPr>
                <w:sz w:val="4"/>
                <w:szCs w:val="4"/>
              </w:rPr>
            </w:r>
          </w:p>
        </w:tc>
        <w:tc>
          <w:tcPr>
            <w:tcW w:w="629" w:type="dxa"/>
            <w:tcBorders/>
            <w:shd w:fill="auto" w:val="clear"/>
            <w:vAlign w:val="bottom"/>
          </w:tcPr>
          <w:p>
            <w:pPr>
              <w:pStyle w:val="TableContents"/>
              <w:spacing w:before="0" w:after="283"/>
              <w:rPr>
                <w:sz w:val="4"/>
                <w:szCs w:val="4"/>
              </w:rPr>
            </w:pPr>
            <w:r>
              <w:rPr>
                <w:sz w:val="4"/>
                <w:szCs w:val="4"/>
              </w:rPr>
            </w:r>
          </w:p>
        </w:tc>
      </w:tr>
      <w:tr>
        <w:trPr/>
        <w:tc>
          <w:tcPr>
            <w:tcW w:w="319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All Directors and Named</w:t>
            </w:r>
          </w:p>
        </w:tc>
        <w:tc>
          <w:tcPr>
            <w:tcW w:w="1116" w:type="dxa"/>
            <w:tcBorders/>
            <w:shd w:fill="C0C0C0" w:val="clear"/>
            <w:vAlign w:val="bottom"/>
          </w:tcPr>
          <w:p>
            <w:pPr>
              <w:pStyle w:val="TableContents"/>
              <w:spacing w:before="0" w:after="283"/>
              <w:jc w:val="right"/>
              <w:rPr/>
            </w:pPr>
            <w:r>
              <w:rPr/>
              <w:t xml:space="preserve">       </w:t>
            </w:r>
            <w:r>
              <w:rPr>
                <w:rFonts w:ascii="Times New Roman" w:hAnsi="Times New Roman"/>
                <w:sz w:val="20"/>
              </w:rPr>
              <w:t>116,710</w:t>
            </w:r>
          </w:p>
        </w:tc>
        <w:tc>
          <w:tcPr>
            <w:tcW w:w="246" w:type="dxa"/>
            <w:tcBorders/>
            <w:shd w:fill="C0C0C0" w:val="clear"/>
            <w:vAlign w:val="bottom"/>
          </w:tcPr>
          <w:p>
            <w:pPr>
              <w:pStyle w:val="TableContents"/>
              <w:spacing w:before="0" w:after="283"/>
              <w:rPr>
                <w:sz w:val="4"/>
                <w:szCs w:val="4"/>
              </w:rPr>
            </w:pPr>
            <w:r>
              <w:rPr>
                <w:sz w:val="4"/>
                <w:szCs w:val="4"/>
              </w:rPr>
            </w:r>
          </w:p>
        </w:tc>
        <w:tc>
          <w:tcPr>
            <w:tcW w:w="71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(13)        </w:t>
            </w:r>
          </w:p>
        </w:tc>
        <w:tc>
          <w:tcPr>
            <w:tcW w:w="306" w:type="dxa"/>
            <w:tcBorders/>
            <w:shd w:fill="C0C0C0" w:val="clear"/>
            <w:vAlign w:val="bottom"/>
          </w:tcPr>
          <w:p>
            <w:pPr>
              <w:pStyle w:val="TableContents"/>
              <w:spacing w:before="0" w:after="283"/>
              <w:rPr>
                <w:sz w:val="4"/>
                <w:szCs w:val="4"/>
              </w:rPr>
            </w:pPr>
            <w:r>
              <w:rPr>
                <w:sz w:val="4"/>
                <w:szCs w:val="4"/>
              </w:rPr>
            </w:r>
          </w:p>
        </w:tc>
        <w:tc>
          <w:tcPr>
            <w:tcW w:w="117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306" w:type="dxa"/>
            <w:tcBorders/>
            <w:shd w:fill="C0C0C0" w:val="clear"/>
            <w:vAlign w:val="bottom"/>
          </w:tcPr>
          <w:p>
            <w:pPr>
              <w:pStyle w:val="TableContents"/>
              <w:spacing w:before="0" w:after="283"/>
              <w:rPr>
                <w:sz w:val="4"/>
                <w:szCs w:val="4"/>
              </w:rPr>
            </w:pPr>
            <w:r>
              <w:rPr>
                <w:sz w:val="4"/>
                <w:szCs w:val="4"/>
              </w:rPr>
            </w:r>
          </w:p>
        </w:tc>
        <w:tc>
          <w:tcPr>
            <w:tcW w:w="1250" w:type="dxa"/>
            <w:tcBorders/>
            <w:shd w:fill="C0C0C0" w:val="clear"/>
            <w:vAlign w:val="bottom"/>
          </w:tcPr>
          <w:p>
            <w:pPr>
              <w:pStyle w:val="TableContents"/>
              <w:spacing w:before="0" w:after="283"/>
              <w:jc w:val="right"/>
              <w:rPr/>
            </w:pPr>
            <w:r>
              <w:rPr/>
              <w:t xml:space="preserve">      </w:t>
            </w:r>
            <w:r>
              <w:rPr>
                <w:rFonts w:ascii="Times New Roman" w:hAnsi="Times New Roman"/>
                <w:sz w:val="20"/>
              </w:rPr>
              <w:t>751,062</w:t>
            </w:r>
          </w:p>
        </w:tc>
        <w:tc>
          <w:tcPr>
            <w:tcW w:w="246" w:type="dxa"/>
            <w:tcBorders/>
            <w:shd w:fill="C0C0C0" w:val="clear"/>
            <w:vAlign w:val="bottom"/>
          </w:tcPr>
          <w:p>
            <w:pPr>
              <w:pStyle w:val="TableContents"/>
              <w:spacing w:before="0" w:after="283"/>
              <w:rPr>
                <w:sz w:val="4"/>
                <w:szCs w:val="4"/>
              </w:rPr>
            </w:pPr>
            <w:r>
              <w:rPr>
                <w:sz w:val="4"/>
                <w:szCs w:val="4"/>
              </w:rPr>
            </w:r>
          </w:p>
        </w:tc>
        <w:tc>
          <w:tcPr>
            <w:tcW w:w="62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(14)      </w:t>
            </w:r>
          </w:p>
        </w:tc>
      </w:tr>
      <w:tr>
        <w:trPr/>
        <w:tc>
          <w:tcPr>
            <w:tcW w:w="3196" w:type="dxa"/>
            <w:tcBorders/>
            <w:shd w:fill="C0C0C0" w:val="clear"/>
            <w:vAlign w:val="center"/>
          </w:tcPr>
          <w:p>
            <w:pPr>
              <w:pStyle w:val="TableContents"/>
              <w:spacing w:before="0" w:after="283"/>
              <w:jc w:val="left"/>
              <w:rPr>
                <w:rFonts w:ascii="Times New Roman" w:hAnsi="Times New Roman"/>
                <w:sz w:val="20"/>
              </w:rPr>
            </w:pPr>
            <w:r>
              <w:rPr>
                <w:rFonts w:ascii="Times New Roman" w:hAnsi="Times New Roman"/>
                <w:sz w:val="20"/>
              </w:rPr>
              <w:t>Executive Officers as a Group</w:t>
            </w:r>
          </w:p>
        </w:tc>
        <w:tc>
          <w:tcPr>
            <w:tcW w:w="1116" w:type="dxa"/>
            <w:tcBorders/>
            <w:shd w:fill="C0C0C0" w:val="clear"/>
            <w:vAlign w:val="center"/>
          </w:tcPr>
          <w:p>
            <w:pPr>
              <w:pStyle w:val="TableContents"/>
              <w:spacing w:before="0" w:after="283"/>
              <w:rPr>
                <w:sz w:val="4"/>
                <w:szCs w:val="4"/>
              </w:rPr>
            </w:pPr>
            <w:r>
              <w:rPr>
                <w:sz w:val="4"/>
                <w:szCs w:val="4"/>
              </w:rPr>
            </w:r>
          </w:p>
        </w:tc>
        <w:tc>
          <w:tcPr>
            <w:tcW w:w="246" w:type="dxa"/>
            <w:tcBorders/>
            <w:shd w:fill="C0C0C0" w:val="clear"/>
            <w:vAlign w:val="center"/>
          </w:tcPr>
          <w:p>
            <w:pPr>
              <w:pStyle w:val="TableContents"/>
              <w:spacing w:before="0" w:after="283"/>
              <w:rPr>
                <w:sz w:val="4"/>
                <w:szCs w:val="4"/>
              </w:rPr>
            </w:pPr>
            <w:r>
              <w:rPr>
                <w:sz w:val="4"/>
                <w:szCs w:val="4"/>
              </w:rPr>
            </w:r>
          </w:p>
        </w:tc>
        <w:tc>
          <w:tcPr>
            <w:tcW w:w="713" w:type="dxa"/>
            <w:tcBorders/>
            <w:shd w:fill="C0C0C0" w:val="clear"/>
            <w:vAlign w:val="center"/>
          </w:tcPr>
          <w:p>
            <w:pPr>
              <w:pStyle w:val="TableContents"/>
              <w:spacing w:before="0" w:after="283"/>
              <w:rPr>
                <w:sz w:val="4"/>
                <w:szCs w:val="4"/>
              </w:rPr>
            </w:pPr>
            <w:r>
              <w:rPr>
                <w:sz w:val="4"/>
                <w:szCs w:val="4"/>
              </w:rPr>
            </w:r>
          </w:p>
        </w:tc>
        <w:tc>
          <w:tcPr>
            <w:tcW w:w="306" w:type="dxa"/>
            <w:tcBorders/>
            <w:shd w:fill="C0C0C0" w:val="clear"/>
            <w:vAlign w:val="center"/>
          </w:tcPr>
          <w:p>
            <w:pPr>
              <w:pStyle w:val="TableContents"/>
              <w:spacing w:before="0" w:after="283"/>
              <w:rPr>
                <w:sz w:val="4"/>
                <w:szCs w:val="4"/>
              </w:rPr>
            </w:pPr>
            <w:r>
              <w:rPr>
                <w:sz w:val="4"/>
                <w:szCs w:val="4"/>
              </w:rPr>
            </w:r>
          </w:p>
        </w:tc>
        <w:tc>
          <w:tcPr>
            <w:tcW w:w="1176" w:type="dxa"/>
            <w:tcBorders/>
            <w:shd w:fill="C0C0C0" w:val="clear"/>
            <w:vAlign w:val="center"/>
          </w:tcPr>
          <w:p>
            <w:pPr>
              <w:pStyle w:val="TableContents"/>
              <w:spacing w:before="0" w:after="283"/>
              <w:rPr>
                <w:sz w:val="4"/>
                <w:szCs w:val="4"/>
              </w:rPr>
            </w:pPr>
            <w:r>
              <w:rPr>
                <w:sz w:val="4"/>
                <w:szCs w:val="4"/>
              </w:rPr>
            </w:r>
          </w:p>
        </w:tc>
        <w:tc>
          <w:tcPr>
            <w:tcW w:w="306" w:type="dxa"/>
            <w:tcBorders/>
            <w:shd w:fill="C0C0C0" w:val="clear"/>
            <w:vAlign w:val="center"/>
          </w:tcPr>
          <w:p>
            <w:pPr>
              <w:pStyle w:val="TableContents"/>
              <w:spacing w:before="0" w:after="283"/>
              <w:rPr>
                <w:sz w:val="4"/>
                <w:szCs w:val="4"/>
              </w:rPr>
            </w:pPr>
            <w:r>
              <w:rPr>
                <w:sz w:val="4"/>
                <w:szCs w:val="4"/>
              </w:rPr>
            </w:r>
          </w:p>
        </w:tc>
        <w:tc>
          <w:tcPr>
            <w:tcW w:w="1250" w:type="dxa"/>
            <w:tcBorders/>
            <w:shd w:fill="C0C0C0" w:val="clear"/>
            <w:vAlign w:val="center"/>
          </w:tcPr>
          <w:p>
            <w:pPr>
              <w:pStyle w:val="TableContents"/>
              <w:spacing w:before="0" w:after="283"/>
              <w:rPr>
                <w:sz w:val="4"/>
                <w:szCs w:val="4"/>
              </w:rPr>
            </w:pPr>
            <w:r>
              <w:rPr>
                <w:sz w:val="4"/>
                <w:szCs w:val="4"/>
              </w:rPr>
            </w:r>
          </w:p>
        </w:tc>
        <w:tc>
          <w:tcPr>
            <w:tcW w:w="246" w:type="dxa"/>
            <w:tcBorders/>
            <w:shd w:fill="C0C0C0" w:val="clear"/>
            <w:vAlign w:val="center"/>
          </w:tcPr>
          <w:p>
            <w:pPr>
              <w:pStyle w:val="TableContents"/>
              <w:spacing w:before="0" w:after="283"/>
              <w:rPr>
                <w:sz w:val="4"/>
                <w:szCs w:val="4"/>
              </w:rPr>
            </w:pPr>
            <w:r>
              <w:rPr>
                <w:sz w:val="4"/>
                <w:szCs w:val="4"/>
              </w:rPr>
            </w:r>
          </w:p>
        </w:tc>
        <w:tc>
          <w:tcPr>
            <w:tcW w:w="629" w:type="dxa"/>
            <w:tcBorders/>
            <w:shd w:fill="C0C0C0" w:val="clear"/>
            <w:vAlign w:val="center"/>
          </w:tcPr>
          <w:p>
            <w:pPr>
              <w:pStyle w:val="TableContents"/>
              <w:spacing w:before="0" w:after="283"/>
              <w:rPr>
                <w:sz w:val="4"/>
                <w:szCs w:val="4"/>
              </w:rPr>
            </w:pPr>
            <w:r>
              <w:rPr>
                <w:sz w:val="4"/>
                <w:szCs w:val="4"/>
              </w:rPr>
            </w:r>
          </w:p>
        </w:tc>
      </w:tr>
    </w:tbl>
    <w:p>
      <w:pPr>
        <w:pStyle w:val="TextBody"/>
        <w:rPr/>
      </w:pPr>
      <w:r>
        <w:rPr/>
      </w:r>
    </w:p>
    <w:p>
      <w:pPr>
        <w:pStyle w:val="TextBody"/>
        <w:jc w:val="both"/>
        <w:rPr/>
      </w:pPr>
      <w:r>
        <w:rPr/>
        <w:t>                      </w:t>
      </w:r>
      <w:r>
        <w:rPr>
          <w:rFonts w:ascii="Times New Roman" w:hAnsi="Times New Roman"/>
          <w:sz w:val="20"/>
        </w:rPr>
        <w:t>* Does not exceed 1%</w:t>
      </w:r>
    </w:p>
    <w:p>
      <w:pPr>
        <w:pStyle w:val="TextBody"/>
        <w:jc w:val="both"/>
        <w:rPr>
          <w:rFonts w:ascii="Times New Roman" w:hAnsi="Times New Roman"/>
          <w:sz w:val="20"/>
        </w:rPr>
      </w:pPr>
      <w:r>
        <w:rPr>
          <w:rFonts w:ascii="Times New Roman" w:hAnsi="Times New Roman"/>
          <w:sz w:val="20"/>
        </w:rPr>
        <w:t>(1) 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18, 2013,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4,978,893 shares of Common Stock and 2,074,927 shares of Class B Stock outstanding as of the close of business on October 18, 2013. Shares of Common Stock and Class B Stock subject to options, warrants or other rights that are exercisable or convertible within 60 days after October 18, 2013, are deemed outstanding for the purpose of calculating the percentage ownership of the person holding those options, warrants or other rights, but are not treated as outstanding for the purpose of calculating the percentage ownership of any other person.</w:t>
      </w:r>
    </w:p>
    <w:p>
      <w:pPr>
        <w:pStyle w:val="TextBody"/>
        <w:jc w:val="both"/>
        <w:rPr>
          <w:rFonts w:ascii="Times New Roman" w:hAnsi="Times New Roman"/>
          <w:sz w:val="20"/>
        </w:rPr>
      </w:pPr>
      <w:r>
        <w:rPr>
          <w:rFonts w:ascii="Times New Roman" w:hAnsi="Times New Roman"/>
          <w:sz w:val="20"/>
        </w:rPr>
        <w:t>(2) Except for Richard M. Jaffee, Daniel S. Jaffee and Thomas F. Cofsky, none of our directors or executive officers, including the named executive officers, own any shares of Class B Stock.</w:t>
      </w:r>
    </w:p>
    <w:p>
      <w:pPr>
        <w:pStyle w:val="TextBody"/>
        <w:jc w:val="both"/>
        <w:rPr>
          <w:rFonts w:ascii="Times New Roman" w:hAnsi="Times New Roman"/>
          <w:sz w:val="20"/>
        </w:rPr>
      </w:pPr>
      <w:r>
        <w:rPr>
          <w:rFonts w:ascii="Times New Roman" w:hAnsi="Times New Roman"/>
          <w:sz w:val="20"/>
        </w:rPr>
        <w:t>(3) Thomas F. Cofsky is Richard M. Jaffees son-in-law.</w:t>
      </w:r>
    </w:p>
    <w:p>
      <w:pPr>
        <w:pStyle w:val="TextBody"/>
        <w:jc w:val="both"/>
        <w:rPr>
          <w:rFonts w:ascii="Times New Roman" w:hAnsi="Times New Roman"/>
          <w:sz w:val="20"/>
        </w:rPr>
      </w:pPr>
      <w:r>
        <w:rPr>
          <w:rFonts w:ascii="Times New Roman" w:hAnsi="Times New Roman"/>
          <w:sz w:val="20"/>
        </w:rPr>
        <w:t>(4) For information regarding the shares beneficially owned by Richard M. Jaffee and Daniel S. Jaffee, see the table under Principal Stockholders above and the notes thereto.</w:t>
      </w:r>
    </w:p>
    <w:p>
      <w:pPr>
        <w:pStyle w:val="TextBody"/>
        <w:jc w:val="center"/>
        <w:rPr>
          <w:rFonts w:ascii="Times New Roman" w:hAnsi="Times New Roman"/>
          <w:sz w:val="20"/>
        </w:rPr>
      </w:pPr>
      <w:r>
        <w:rPr>
          <w:rFonts w:ascii="Times New Roman" w:hAnsi="Times New Roman"/>
          <w:sz w:val="20"/>
        </w:rPr>
        <w:t>50</w:t>
      </w:r>
    </w:p>
    <w:p>
      <w:pPr>
        <w:pStyle w:val="HorizontalLine"/>
        <w:pBdr>
          <w:bottom w:val="single" w:sz="12" w:space="0" w:color="808080"/>
        </w:pBdr>
        <w:rPr/>
      </w:pPr>
      <w:r>
        <w:rPr/>
      </w:r>
    </w:p>
    <w:p>
      <w:pPr>
        <w:pStyle w:val="TextBody"/>
        <w:rPr/>
      </w:pPr>
      <w:r>
        <w:rPr/>
      </w:r>
    </w:p>
    <w:p>
      <w:pPr>
        <w:pStyle w:val="TextBody"/>
        <w:jc w:val="both"/>
        <w:rPr>
          <w:rFonts w:ascii="Times New Roman" w:hAnsi="Times New Roman"/>
          <w:sz w:val="20"/>
        </w:rPr>
      </w:pPr>
      <w:r>
        <w:rPr>
          <w:rFonts w:ascii="Times New Roman" w:hAnsi="Times New Roman"/>
          <w:sz w:val="20"/>
        </w:rPr>
        <w:t>(5) Consists of 512 shares of Common Stock owned by Mr. Cofsky and 74 shares of Common Stock owned by his spouse.</w:t>
      </w:r>
    </w:p>
    <w:p>
      <w:pPr>
        <w:pStyle w:val="TextBody"/>
        <w:jc w:val="both"/>
        <w:rPr>
          <w:rFonts w:ascii="Times New Roman" w:hAnsi="Times New Roman"/>
          <w:sz w:val="20"/>
        </w:rPr>
      </w:pPr>
      <w:r>
        <w:rPr>
          <w:rFonts w:ascii="Times New Roman" w:hAnsi="Times New Roman"/>
          <w:sz w:val="20"/>
        </w:rPr>
        <w:t>(6) Consists of 10,835 shares of Class B Stock directly owned by Thomas F. Cofsky (8,135 of which are restricted shares), 42,867 shares of Class B Stock owned by his spouse, 9,375 shares of Class B Stock his spouse owns as trustee for their children, and 376 shares of Class B Stock held in joint tenancy with his spouse. Of the 8,135 restricted shares of Class B Stock, (a) 2,000 shares are scheduled to cliff vest in full on March 30, 2014, (b) 2,344 are scheduled to cliff vest in full on July 31, 2015, and (c) 3,791 are scheduled to cliff vest in full on July 31, 2016.</w:t>
      </w:r>
    </w:p>
    <w:p>
      <w:pPr>
        <w:pStyle w:val="TextBody"/>
        <w:jc w:val="both"/>
        <w:rPr>
          <w:rFonts w:ascii="Times New Roman" w:hAnsi="Times New Roman"/>
          <w:sz w:val="20"/>
        </w:rPr>
      </w:pPr>
      <w:r>
        <w:rPr>
          <w:rFonts w:ascii="Times New Roman" w:hAnsi="Times New Roman"/>
          <w:sz w:val="20"/>
        </w:rPr>
        <w:t>(7) Consists of 24,466 shares of Common Stock owned by Mr. Cole and 1,208 shares of Common Stock owned by his spouse.</w:t>
      </w:r>
    </w:p>
    <w:p>
      <w:pPr>
        <w:pStyle w:val="TextBody"/>
        <w:jc w:val="both"/>
        <w:rPr>
          <w:rFonts w:ascii="Times New Roman" w:hAnsi="Times New Roman"/>
          <w:sz w:val="20"/>
        </w:rPr>
      </w:pPr>
      <w:r>
        <w:rPr>
          <w:rFonts w:ascii="Times New Roman" w:hAnsi="Times New Roman"/>
          <w:sz w:val="20"/>
        </w:rPr>
        <w:t>(8) Includes 16,525 shares of Common Stock held by Mr. Miller as trustee for the benefit of his spouse.</w:t>
      </w:r>
    </w:p>
    <w:p>
      <w:pPr>
        <w:pStyle w:val="TextBody"/>
        <w:jc w:val="both"/>
        <w:rPr>
          <w:rFonts w:ascii="Times New Roman" w:hAnsi="Times New Roman"/>
          <w:sz w:val="20"/>
        </w:rPr>
      </w:pPr>
      <w:r>
        <w:rPr>
          <w:rFonts w:ascii="Times New Roman" w:hAnsi="Times New Roman"/>
          <w:sz w:val="20"/>
        </w:rPr>
        <w:t>(9) Includes 12,500 shares of Common Stock that this director has the right to acquire within 60 days of October 18, 2013, pursuant to stock options.</w:t>
      </w:r>
    </w:p>
    <w:p>
      <w:pPr>
        <w:pStyle w:val="TextBody"/>
        <w:jc w:val="both"/>
        <w:rPr>
          <w:rFonts w:ascii="Times New Roman" w:hAnsi="Times New Roman"/>
          <w:sz w:val="20"/>
        </w:rPr>
      </w:pPr>
      <w:r>
        <w:rPr>
          <w:rFonts w:ascii="Times New Roman" w:hAnsi="Times New Roman"/>
          <w:sz w:val="20"/>
        </w:rPr>
        <w:t>(10) Includes 1,000 restricted shares of Common Stock awarded on April 2, 2013, scheduled to vest on April 1, 2015.</w:t>
      </w:r>
    </w:p>
    <w:p>
      <w:pPr>
        <w:pStyle w:val="TextBody"/>
        <w:jc w:val="both"/>
        <w:rPr>
          <w:rFonts w:ascii="Times New Roman" w:hAnsi="Times New Roman"/>
          <w:sz w:val="20"/>
        </w:rPr>
      </w:pPr>
      <w:r>
        <w:rPr>
          <w:rFonts w:ascii="Times New Roman" w:hAnsi="Times New Roman"/>
          <w:sz w:val="20"/>
        </w:rPr>
        <w:t>(11) Restricted shares of Common Stock awarded on February 7, 2011, scheduled to vest on February 7, 2014.</w:t>
      </w:r>
    </w:p>
    <w:p>
      <w:pPr>
        <w:pStyle w:val="TextBody"/>
        <w:jc w:val="both"/>
        <w:rPr>
          <w:rFonts w:ascii="Times New Roman" w:hAnsi="Times New Roman"/>
          <w:sz w:val="20"/>
        </w:rPr>
      </w:pPr>
      <w:r>
        <w:rPr>
          <w:rFonts w:ascii="Times New Roman" w:hAnsi="Times New Roman"/>
          <w:sz w:val="20"/>
        </w:rPr>
        <w:t>(12) Mr. Jean forfeited his 4,000 unvested restricted shares of Common Stock in connection with his departure from the Company effective on September 19, 2013.</w:t>
      </w:r>
    </w:p>
    <w:p>
      <w:pPr>
        <w:pStyle w:val="TextBody"/>
        <w:jc w:val="both"/>
        <w:rPr>
          <w:rFonts w:ascii="Times New Roman" w:hAnsi="Times New Roman"/>
          <w:sz w:val="20"/>
        </w:rPr>
      </w:pPr>
      <w:r>
        <w:rPr>
          <w:rFonts w:ascii="Times New Roman" w:hAnsi="Times New Roman"/>
          <w:sz w:val="20"/>
        </w:rPr>
        <w:t>(13) Includes the shares of our current directors and executive officers as of October 18, 2013 and therefore, does not include the shares, if any, owned by Mr. Jean, who departed from the Company on September 19, 2013, and does include 10,000 restricted shares of Common Stock that are scheduled to vest on October 16, 2018 that are owned by Mr. Jeans successor, Paul D. Ziemnisky, who was appointed an executive officer on October 16, 2013. Also includes 25,000 shares of Common Stock constituting all such shares that our directors and named executive officers have the right to acquire within 60 days of October 18, 2013, pursuant to stock options (including the shares of Common Stock that may be acquired as described in the notes above). Also includes 13,000 restricted shares of Common Stock: (a) 2,000 of which become non-forfeitable on February 7, 2014; (b) 1,000 of which become non-forfeitable on April 1, 2015 and (c) 10,000 of which become non-forfeitable on October 16, 2018. The number of shares of Common Stock owned beneficially by our directors and named executive officers as a group represents approximately 2.33% of the number of outstanding shares of Common Stock and approximately 0.45% of the aggregate voting power of the Common Stock and Class B Stock.</w:t>
      </w:r>
    </w:p>
    <w:p>
      <w:pPr>
        <w:pStyle w:val="TextBody"/>
        <w:jc w:val="both"/>
        <w:rPr>
          <w:rFonts w:ascii="Times New Roman" w:hAnsi="Times New Roman"/>
          <w:sz w:val="20"/>
        </w:rPr>
      </w:pPr>
      <w:r>
        <w:rPr>
          <w:rFonts w:ascii="Times New Roman" w:hAnsi="Times New Roman"/>
          <w:sz w:val="20"/>
        </w:rPr>
        <w:t>(14) Includes 69,531 restricted shares of Class B Stock: (a) 25,000 of which become non-forfeitable on October 6, 2014, and an additional 25,000 of which become non-forfeitable on the anniversary of that date; (b) 2,000 of which become non-forfeitable on March 30, 2014; (c) 7,350 of which become non-forfeitable on July 31, 2015; and (d) 10,181 of which become non-forfeitable on July 31, 2016.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named executive officers as a group represents approximately 36.20% of the number of outstanding shares of Class B Stock and approximately 29.16% of the aggregate voting power of the Common Stock and Class B Stock.</w:t>
      </w:r>
    </w:p>
    <w:p>
      <w:pPr>
        <w:pStyle w:val="TextBody"/>
        <w:jc w:val="center"/>
        <w:rPr>
          <w:rFonts w:ascii="Times New Roman" w:hAnsi="Times New Roman"/>
          <w:sz w:val="20"/>
        </w:rPr>
      </w:pPr>
      <w:r>
        <w:rPr>
          <w:rFonts w:ascii="Times New Roman" w:hAnsi="Times New Roman"/>
          <w:sz w:val="20"/>
        </w:rPr>
        <w:t>51</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Section 16(a) Beneficial Ownership Reporting Compliance</w:t>
      </w:r>
    </w:p>
    <w:p>
      <w:pPr>
        <w:pStyle w:val="TextBody"/>
        <w:jc w:val="both"/>
        <w:rPr/>
      </w:pPr>
      <w:r>
        <w:rPr/>
        <w:t xml:space="preserve">     </w:t>
      </w:r>
      <w:r>
        <w:rPr>
          <w:rFonts w:ascii="Times New Roman" w:hAnsi="Times New Roman"/>
          <w:sz w:val="20"/>
        </w:rPr>
        <w:t>Under SEC rules, our directors, executive officers and beneficial owners of more than 10% of the Companys Common Stock or Class B Stock are required to file reports of their ownership and changes in that ownership with the SEC. Based solely on our review of copies of these reports and representations of the reporting persons, we believe that during the fiscal year ended July 31, 2013, all reportable transactions were reported and all required reports were timely filed with the SEC, except for (i) the filing of a Form 3 for Lawrence E. Washow that was not reported on a timely basis as a result of an administrative error, but which was subsequently filed, and (ii) one transaction of Allan H. Selig that was not reported on a timely basis on a Form 4 as a result of an administrative error, but which was subsequently reported on a Form 4.</w:t>
      </w:r>
    </w:p>
    <w:p>
      <w:pPr>
        <w:pStyle w:val="TextBody"/>
        <w:jc w:val="center"/>
        <w:rPr>
          <w:rFonts w:ascii="Times New Roman" w:hAnsi="Times New Roman"/>
          <w:sz w:val="20"/>
        </w:rPr>
      </w:pPr>
      <w:r>
        <w:rPr>
          <w:rFonts w:ascii="Times New Roman" w:hAnsi="Times New Roman"/>
          <w:sz w:val="20"/>
        </w:rPr>
        <w:t>52</w:t>
      </w:r>
    </w:p>
    <w:p>
      <w:pPr>
        <w:pStyle w:val="HorizontalLine"/>
        <w:pBdr>
          <w:bottom w:val="single" w:sz="12" w:space="0" w:color="808080"/>
        </w:pBdr>
        <w:rPr/>
      </w:pPr>
      <w:r>
        <w:rPr/>
      </w:r>
    </w:p>
    <w:p>
      <w:pPr>
        <w:pStyle w:val="TextBody"/>
        <w:spacing w:before="0" w:after="0"/>
        <w:rPr/>
      </w:pPr>
      <w:r>
        <w:rPr/>
      </w:r>
    </w:p>
    <w:p>
      <w:pPr>
        <w:pStyle w:val="TextBody"/>
        <w:rPr/>
      </w:pPr>
      <w:r>
        <w:rPr/>
        <w:br/>
        <w:br/>
        <w:br/>
        <w:br/>
        <w:br/>
        <w:br/>
        <w:br/>
        <w:br/>
        <w:br/>
        <w:br/>
        <w:br/>
        <w:br/>
        <w:br/>
        <w:br/>
        <w:br/>
        <w:br/>
        <w:br/>
        <w:br/>
        <w:br/>
        <w:br/>
        <w:br/>
        <w:br/>
        <w:br/>
        <w:br/>
        <w:br/>
        <w:br/>
        <w:br/>
        <w:br/>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3175000" cy="1105535"/>
                <wp:effectExtent l="0" t="0" r="0" b="0"/>
                <wp:wrapSquare wrapText="largest"/>
                <wp:docPr id="12" name="Frame1"/>
                <a:graphic xmlns:a="http://schemas.openxmlformats.org/drawingml/2006/main">
                  <a:graphicData uri="http://schemas.microsoft.com/office/word/2010/wordprocessingShape">
                    <wps:wsp>
                      <wps:cNvSpPr txBox="1"/>
                      <wps:spPr>
                        <a:xfrm>
                          <a:off x="0" y="0"/>
                          <a:ext cx="3175000" cy="1105535"/>
                        </a:xfrm>
                        <a:prstGeom prst="rect"/>
                      </wps:spPr>
                      <wps:txbx>
                        <w:txbxContent>
                          <w:p>
                            <w:pPr>
                              <w:pStyle w:val="TextBody"/>
                              <w:spacing w:before="0" w:after="283"/>
                              <w:rPr/>
                            </w:pPr>
                            <w:r>
                              <w:rPr/>
                              <w:drawing>
                                <wp:inline distT="0" distB="0" distL="0" distR="0">
                                  <wp:extent cx="1333500" cy="48577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1333500" cy="485775"/>
                                          </a:xfrm>
                                          <a:prstGeom prst="rect">
                                            <a:avLst/>
                                          </a:prstGeom>
                                        </pic:spPr>
                                      </pic:pic>
                                    </a:graphicData>
                                  </a:graphic>
                                </wp:inline>
                              </w:drawing>
                            </w:r>
                            <w:r>
                              <w:rPr/>
                              <w:t> </w:t>
                            </w:r>
                            <w:r>
                              <w:rPr/>
                              <w:br/>
                            </w:r>
                            <w:r>
                              <w:rPr>
                                <w:rFonts w:ascii="Times New Roman" w:hAnsi="Times New Roman"/>
                                <w:b/>
                                <w:i/>
                                <w:sz w:val="20"/>
                              </w:rPr>
                              <w:t xml:space="preserve">ATTN: INVESTOR RELATIONS </w:t>
                              <w:br/>
                              <w:t xml:space="preserve">OIL-DRI CORPORATION OF AMERICA </w:t>
                              <w:br/>
                              <w:t xml:space="preserve">410 N. MICHIGAN AVE #400 </w:t>
                              <w:br/>
                              <w:t>CHICAGO, IL 60611-4213</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7.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rPr/>
                      </w:pPr>
                      <w:r>
                        <w:rPr/>
                        <w:drawing>
                          <wp:inline distT="0" distB="0" distL="0" distR="0">
                            <wp:extent cx="1333500" cy="48577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333500" cy="485775"/>
                                    </a:xfrm>
                                    <a:prstGeom prst="rect">
                                      <a:avLst/>
                                    </a:prstGeom>
                                  </pic:spPr>
                                </pic:pic>
                              </a:graphicData>
                            </a:graphic>
                          </wp:inline>
                        </w:drawing>
                      </w:r>
                      <w:r>
                        <w:rPr/>
                        <w:t> </w:t>
                      </w:r>
                      <w:r>
                        <w:rPr/>
                        <w:br/>
                      </w:r>
                      <w:r>
                        <w:rPr>
                          <w:rFonts w:ascii="Times New Roman" w:hAnsi="Times New Roman"/>
                          <w:b/>
                          <w:i/>
                          <w:sz w:val="20"/>
                        </w:rPr>
                        <w:t xml:space="preserve">ATTN: INVESTOR RELATIONS </w:t>
                        <w:br/>
                        <w:t xml:space="preserve">OIL-DRI CORPORATION OF AMERICA </w:t>
                        <w:br/>
                        <w:t xml:space="preserve">410 N. MICHIGAN AVE #400 </w:t>
                        <w:br/>
                        <w:t>CHICAGO, IL 60611-4213</w:t>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right</wp:align>
                </wp:positionH>
                <wp:positionV relativeFrom="line">
                  <wp:posOffset>635</wp:posOffset>
                </wp:positionV>
                <wp:extent cx="3175000" cy="3454400"/>
                <wp:effectExtent l="0" t="0" r="0" b="0"/>
                <wp:wrapSquare wrapText="largest"/>
                <wp:docPr id="15" name="Frame2"/>
                <a:graphic xmlns:a="http://schemas.openxmlformats.org/drawingml/2006/main">
                  <a:graphicData uri="http://schemas.microsoft.com/office/word/2010/wordprocessingShape">
                    <wps:wsp>
                      <wps:cNvSpPr txBox="1"/>
                      <wps:spPr>
                        <a:xfrm>
                          <a:off x="0" y="0"/>
                          <a:ext cx="3175000" cy="3454400"/>
                        </a:xfrm>
                        <a:prstGeom prst="rect"/>
                      </wps:spPr>
                      <wps:txbx>
                        <w:txbxContent>
                          <w:p>
                            <w:pPr>
                              <w:pStyle w:val="TextBody"/>
                              <w:jc w:val="both"/>
                              <w:rPr/>
                            </w:pPr>
                            <w:r>
                              <w:rPr>
                                <w:rFonts w:ascii="Times New Roman" w:hAnsi="Times New Roman"/>
                                <w:b/>
                                <w:sz w:val="14"/>
                              </w:rPr>
                              <w:t xml:space="preserve">VOTE BY INTERNET - </w:t>
                            </w:r>
                            <w:r>
                              <w:rPr>
                                <w:rFonts w:ascii="Times New Roman" w:hAnsi="Times New Roman"/>
                                <w:b/>
                                <w:sz w:val="14"/>
                                <w:u w:val="single"/>
                              </w:rPr>
                              <w:t>www.proxyvote.com</w:t>
                            </w:r>
                            <w:r>
                              <w:rPr>
                                <w:rFonts w:ascii="Times New Roman" w:hAnsi="Times New Roman"/>
                                <w:b/>
                                <w:sz w:val="14"/>
                              </w:rPr>
                              <w:br/>
                            </w:r>
                            <w:r>
                              <w:rPr>
                                <w:rFonts w:ascii="Times New Roman" w:hAnsi="Times New Roman"/>
                                <w:sz w:val="14"/>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pStyle w:val="TextBody"/>
                              <w:jc w:val="both"/>
                              <w:rPr/>
                            </w:pPr>
                            <w:r>
                              <w:rPr>
                                <w:rFonts w:ascii="Times New Roman" w:hAnsi="Times New Roman"/>
                                <w:b/>
                                <w:sz w:val="14"/>
                              </w:rPr>
                              <w:t>ELECTRONIC DELIVERY OF FUTURE PROXY MATERIALS</w:t>
                              <w:br/>
                            </w:r>
                            <w:r>
                              <w:rPr>
                                <w:rFonts w:ascii="Times New Roman" w:hAnsi="Times New Roman"/>
                                <w:sz w:val="14"/>
                              </w:rPr>
                              <w:t>If you would like to reduce the costs incurred by Oil-Dri Corporation of America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pStyle w:val="TextBody"/>
                              <w:jc w:val="both"/>
                              <w:rPr/>
                            </w:pPr>
                            <w:r>
                              <w:rPr>
                                <w:rFonts w:ascii="Times New Roman" w:hAnsi="Times New Roman"/>
                                <w:b/>
                                <w:sz w:val="14"/>
                              </w:rPr>
                              <w:t>VOTE BY PHONE - 1-800-690-6903</w:t>
                              <w:br/>
                            </w:r>
                            <w:r>
                              <w:rPr>
                                <w:rFonts w:ascii="Times New Roman" w:hAnsi="Times New Roman"/>
                                <w:sz w:val="14"/>
                              </w:rPr>
                              <w:t>Use any touch-tone telephone to transmit your voting instructions up until 11:59 PM Eastern Time the day before the meeting date. Have your proxy card in hand when you call and then follow the instructions.</w:t>
                            </w:r>
                          </w:p>
                          <w:p>
                            <w:pPr>
                              <w:pStyle w:val="TextBody"/>
                              <w:jc w:val="both"/>
                              <w:rPr/>
                            </w:pPr>
                            <w:r>
                              <w:rPr>
                                <w:rFonts w:ascii="Times New Roman" w:hAnsi="Times New Roman"/>
                                <w:b/>
                                <w:sz w:val="14"/>
                              </w:rPr>
                              <w:t>VOTE BY MAIL</w:t>
                              <w:br/>
                            </w:r>
                            <w:r>
                              <w:rPr>
                                <w:rFonts w:ascii="Times New Roman" w:hAnsi="Times New Roman"/>
                                <w:sz w:val="14"/>
                              </w:rPr>
                              <w:t>Mark, sign and date your proxy card and return it in the postage-paid envelope we have provided or return it to Vote Processing, c/o Broadridge, 51 Mercedes Way, Edgewood, NY 11717.</w:t>
                            </w:r>
                          </w:p>
                          <w:p>
                            <w:pPr>
                              <w:pStyle w:val="TextBody"/>
                              <w:jc w:val="both"/>
                              <w:rPr/>
                            </w:pPr>
                            <w:r>
                              <w:rPr>
                                <w:rFonts w:ascii="Times New Roman" w:hAnsi="Times New Roman"/>
                                <w:b/>
                                <w:sz w:val="14"/>
                              </w:rPr>
                              <w:t>HOUSEHOLDING REVOCATION</w:t>
                              <w:br/>
                            </w:r>
                            <w:r>
                              <w:rPr>
                                <w:rFonts w:ascii="Times New Roman" w:hAnsi="Times New Roman"/>
                                <w:sz w:val="14"/>
                              </w:rPr>
                              <w:t>If you wish to revoke your consent to the receipt of stockholder information in a single package per household, you may do so by calling 1-800-542-1061.</w:t>
                            </w:r>
                          </w:p>
                          <w:p>
                            <w:pPr>
                              <w:pStyle w:val="TextBody"/>
                              <w:spacing w:before="0" w:after="283"/>
                              <w:jc w:val="both"/>
                              <w:rPr>
                                <w:rFonts w:ascii="Times New Roman" w:hAnsi="Times New Roman"/>
                                <w:b/>
                                <w:sz w:val="14"/>
                              </w:rPr>
                            </w:pPr>
                            <w:r>
                              <w:rPr>
                                <w:rFonts w:ascii="Times New Roman" w:hAnsi="Times New Roman"/>
                                <w:b/>
                                <w:sz w:val="14"/>
                              </w:rPr>
                              <w:t>If you vote your proxy through the Internet or by telephone, you do NOT need to mail back your card.</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72pt;mso-wrap-distance-left:0pt;mso-wrap-distance-right:0pt;mso-wrap-distance-top:0pt;mso-wrap-distance-bottom:0pt;margin-top:0pt;mso-position-vertical:top;mso-position-vertical-relative:text;margin-left:260.25pt;mso-position-horizontal:right;mso-position-horizontal-relative:text">
                <v:textbox inset="0in,0in,0in,0in">
                  <w:txbxContent>
                    <w:p>
                      <w:pPr>
                        <w:pStyle w:val="TextBody"/>
                        <w:jc w:val="both"/>
                        <w:rPr/>
                      </w:pPr>
                      <w:r>
                        <w:rPr>
                          <w:rFonts w:ascii="Times New Roman" w:hAnsi="Times New Roman"/>
                          <w:b/>
                          <w:sz w:val="14"/>
                        </w:rPr>
                        <w:t xml:space="preserve">VOTE BY INTERNET - </w:t>
                      </w:r>
                      <w:r>
                        <w:rPr>
                          <w:rFonts w:ascii="Times New Roman" w:hAnsi="Times New Roman"/>
                          <w:b/>
                          <w:sz w:val="14"/>
                          <w:u w:val="single"/>
                        </w:rPr>
                        <w:t>www.proxyvote.com</w:t>
                      </w:r>
                      <w:r>
                        <w:rPr>
                          <w:rFonts w:ascii="Times New Roman" w:hAnsi="Times New Roman"/>
                          <w:b/>
                          <w:sz w:val="14"/>
                        </w:rPr>
                        <w:br/>
                      </w:r>
                      <w:r>
                        <w:rPr>
                          <w:rFonts w:ascii="Times New Roman" w:hAnsi="Times New Roman"/>
                          <w:sz w:val="14"/>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pStyle w:val="TextBody"/>
                        <w:jc w:val="both"/>
                        <w:rPr/>
                      </w:pPr>
                      <w:r>
                        <w:rPr>
                          <w:rFonts w:ascii="Times New Roman" w:hAnsi="Times New Roman"/>
                          <w:b/>
                          <w:sz w:val="14"/>
                        </w:rPr>
                        <w:t>ELECTRONIC DELIVERY OF FUTURE PROXY MATERIALS</w:t>
                        <w:br/>
                      </w:r>
                      <w:r>
                        <w:rPr>
                          <w:rFonts w:ascii="Times New Roman" w:hAnsi="Times New Roman"/>
                          <w:sz w:val="14"/>
                        </w:rPr>
                        <w:t>If you would like to reduce the costs incurred by Oil-Dri Corporation of America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pStyle w:val="TextBody"/>
                        <w:jc w:val="both"/>
                        <w:rPr/>
                      </w:pPr>
                      <w:r>
                        <w:rPr>
                          <w:rFonts w:ascii="Times New Roman" w:hAnsi="Times New Roman"/>
                          <w:b/>
                          <w:sz w:val="14"/>
                        </w:rPr>
                        <w:t>VOTE BY PHONE - 1-800-690-6903</w:t>
                        <w:br/>
                      </w:r>
                      <w:r>
                        <w:rPr>
                          <w:rFonts w:ascii="Times New Roman" w:hAnsi="Times New Roman"/>
                          <w:sz w:val="14"/>
                        </w:rPr>
                        <w:t>Use any touch-tone telephone to transmit your voting instructions up until 11:59 PM Eastern Time the day before the meeting date. Have your proxy card in hand when you call and then follow the instructions.</w:t>
                      </w:r>
                    </w:p>
                    <w:p>
                      <w:pPr>
                        <w:pStyle w:val="TextBody"/>
                        <w:jc w:val="both"/>
                        <w:rPr/>
                      </w:pPr>
                      <w:r>
                        <w:rPr>
                          <w:rFonts w:ascii="Times New Roman" w:hAnsi="Times New Roman"/>
                          <w:b/>
                          <w:sz w:val="14"/>
                        </w:rPr>
                        <w:t>VOTE BY MAIL</w:t>
                        <w:br/>
                      </w:r>
                      <w:r>
                        <w:rPr>
                          <w:rFonts w:ascii="Times New Roman" w:hAnsi="Times New Roman"/>
                          <w:sz w:val="14"/>
                        </w:rPr>
                        <w:t>Mark, sign and date your proxy card and return it in the postage-paid envelope we have provided or return it to Vote Processing, c/o Broadridge, 51 Mercedes Way, Edgewood, NY 11717.</w:t>
                      </w:r>
                    </w:p>
                    <w:p>
                      <w:pPr>
                        <w:pStyle w:val="TextBody"/>
                        <w:jc w:val="both"/>
                        <w:rPr/>
                      </w:pPr>
                      <w:r>
                        <w:rPr>
                          <w:rFonts w:ascii="Times New Roman" w:hAnsi="Times New Roman"/>
                          <w:b/>
                          <w:sz w:val="14"/>
                        </w:rPr>
                        <w:t>HOUSEHOLDING REVOCATION</w:t>
                        <w:br/>
                      </w:r>
                      <w:r>
                        <w:rPr>
                          <w:rFonts w:ascii="Times New Roman" w:hAnsi="Times New Roman"/>
                          <w:sz w:val="14"/>
                        </w:rPr>
                        <w:t>If you wish to revoke your consent to the receipt of stockholder information in a single package per household, you may do so by calling 1-800-542-1061.</w:t>
                      </w:r>
                    </w:p>
                    <w:p>
                      <w:pPr>
                        <w:pStyle w:val="TextBody"/>
                        <w:spacing w:before="0" w:after="283"/>
                        <w:jc w:val="both"/>
                        <w:rPr>
                          <w:rFonts w:ascii="Times New Roman" w:hAnsi="Times New Roman"/>
                          <w:b/>
                          <w:sz w:val="14"/>
                        </w:rPr>
                      </w:pPr>
                      <w:r>
                        <w:rPr>
                          <w:rFonts w:ascii="Times New Roman" w:hAnsi="Times New Roman"/>
                          <w:b/>
                          <w:sz w:val="14"/>
                        </w:rPr>
                        <w:t>If you vote your proxy through the Internet or by telephone, you do NOT need to mail back your card.</w:t>
                      </w:r>
                    </w:p>
                  </w:txbxContent>
                </v:textbox>
                <w10:wrap type="square" side="left"/>
              </v:rect>
            </w:pict>
          </mc:Fallback>
        </mc:AlternateContent>
      </w:r>
    </w:p>
    <w:tbl>
      <w:tblPr>
        <w:tblW w:w="5000" w:type="pct"/>
        <w:jc w:val="left"/>
        <w:tblInd w:w="0" w:type="dxa"/>
        <w:tblCellMar>
          <w:top w:w="0" w:type="dxa"/>
          <w:left w:w="0" w:type="dxa"/>
          <w:bottom w:w="0" w:type="dxa"/>
          <w:right w:w="0" w:type="dxa"/>
        </w:tblCellMar>
      </w:tblPr>
      <w:tblGrid>
        <w:gridCol w:w="7167"/>
        <w:gridCol w:w="3038"/>
      </w:tblGrid>
      <w:tr>
        <w:trPr/>
        <w:tc>
          <w:tcPr>
            <w:tcW w:w="10205" w:type="dxa"/>
            <w:gridSpan w:val="2"/>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TO VOTE, MARK BLOCKS BELOW IN BLUE OR BLACK INK AS FOLLOWS:</w:t>
            </w:r>
          </w:p>
        </w:tc>
      </w:tr>
      <w:tr>
        <w:trPr/>
        <w:tc>
          <w:tcPr>
            <w:tcW w:w="7167" w:type="dxa"/>
            <w:tcBorders>
              <w:bottom w:val="dashed"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M63369-TBD             </w:t>
            </w:r>
          </w:p>
        </w:tc>
        <w:tc>
          <w:tcPr>
            <w:tcW w:w="3038" w:type="dxa"/>
            <w:tcBorders>
              <w:bottom w:val="dashed"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KEEP THIS PORTION FOR YOUR RECORDS</w:t>
            </w:r>
          </w:p>
        </w:tc>
      </w:tr>
      <w:tr>
        <w:trPr/>
        <w:tc>
          <w:tcPr>
            <w:tcW w:w="7167" w:type="dxa"/>
            <w:tcBorders/>
            <w:shd w:fill="auto" w:val="clear"/>
            <w:vAlign w:val="bottom"/>
          </w:tcPr>
          <w:p>
            <w:pPr>
              <w:pStyle w:val="TableContents"/>
              <w:spacing w:before="0" w:after="283"/>
              <w:rPr>
                <w:sz w:val="4"/>
                <w:szCs w:val="4"/>
              </w:rPr>
            </w:pPr>
            <w:r>
              <w:rPr>
                <w:sz w:val="4"/>
                <w:szCs w:val="4"/>
              </w:rPr>
            </w:r>
          </w:p>
        </w:tc>
        <w:tc>
          <w:tcPr>
            <w:tcW w:w="30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DETACH AND RETURN THIS PORTION ONLY</w:t>
            </w:r>
          </w:p>
        </w:tc>
      </w:tr>
      <w:tr>
        <w:trPr/>
        <w:tc>
          <w:tcPr>
            <w:tcW w:w="10205" w:type="dxa"/>
            <w:gridSpan w:val="2"/>
            <w:tcBorders/>
            <w:shd w:fill="auto" w:val="clear"/>
            <w:vAlign w:val="center"/>
          </w:tcPr>
          <w:p>
            <w:pPr>
              <w:pStyle w:val="TableContents"/>
              <w:spacing w:before="0" w:after="283"/>
              <w:jc w:val="center"/>
              <w:rPr/>
            </w:pPr>
            <w:r>
              <w:rPr>
                <w:rStyle w:val="StrongEmphasis"/>
                <w:rFonts w:ascii="Times New Roman" w:hAnsi="Times New Roman"/>
                <w:sz w:val="14"/>
              </w:rPr>
              <w:t>THIS PROXY CARD IS VALID ONLY WHEN SIGNED AND DATED.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14"/>
        <w:gridCol w:w="3517"/>
        <w:gridCol w:w="315"/>
        <w:gridCol w:w="249"/>
        <w:gridCol w:w="315"/>
        <w:gridCol w:w="591"/>
        <w:gridCol w:w="315"/>
        <w:gridCol w:w="449"/>
        <w:gridCol w:w="315"/>
        <w:gridCol w:w="2004"/>
        <w:gridCol w:w="647"/>
        <w:gridCol w:w="1174"/>
      </w:tblGrid>
      <w:tr>
        <w:trPr/>
        <w:tc>
          <w:tcPr>
            <w:tcW w:w="3831" w:type="dxa"/>
            <w:gridSpan w:val="2"/>
            <w:tcBorders/>
            <w:shd w:fill="auto" w:val="clear"/>
          </w:tcPr>
          <w:p>
            <w:pPr>
              <w:pStyle w:val="TableContents"/>
              <w:spacing w:before="0" w:after="0"/>
              <w:jc w:val="left"/>
              <w:rPr>
                <w:rFonts w:ascii="Times New Roman" w:hAnsi="Times New Roman"/>
                <w:b/>
                <w:sz w:val="14"/>
              </w:rPr>
            </w:pPr>
            <w:r>
              <w:rPr>
                <w:rFonts w:ascii="Times New Roman" w:hAnsi="Times New Roman"/>
                <w:b/>
                <w:sz w:val="14"/>
              </w:rPr>
              <w:t>OIL-DRI CORPORATION OF AMERICA</w:t>
            </w:r>
          </w:p>
        </w:tc>
        <w:tc>
          <w:tcPr>
            <w:tcW w:w="315" w:type="dxa"/>
            <w:tcBorders/>
            <w:shd w:fill="auto" w:val="clear"/>
          </w:tcPr>
          <w:p>
            <w:pPr>
              <w:pStyle w:val="TableContents"/>
              <w:spacing w:before="0" w:after="283"/>
              <w:jc w:val="center"/>
              <w:rPr/>
            </w:pPr>
            <w:r>
              <w:rPr/>
              <w:t>     </w:t>
            </w:r>
          </w:p>
        </w:tc>
        <w:tc>
          <w:tcPr>
            <w:tcW w:w="249" w:type="dxa"/>
            <w:vMerge w:val="restart"/>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For</w:t>
              <w:br/>
              <w:t>All</w:t>
            </w:r>
          </w:p>
        </w:tc>
        <w:tc>
          <w:tcPr>
            <w:tcW w:w="315" w:type="dxa"/>
            <w:tcBorders/>
            <w:shd w:fill="auto" w:val="clear"/>
          </w:tcPr>
          <w:p>
            <w:pPr>
              <w:pStyle w:val="TableContents"/>
              <w:spacing w:before="0" w:after="283"/>
              <w:jc w:val="both"/>
              <w:rPr/>
            </w:pPr>
            <w:r>
              <w:rPr/>
              <w:t>     </w:t>
            </w:r>
          </w:p>
        </w:tc>
        <w:tc>
          <w:tcPr>
            <w:tcW w:w="591" w:type="dxa"/>
            <w:vMerge w:val="restart"/>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Withhold</w:t>
              <w:br/>
              <w:t>All</w:t>
            </w:r>
          </w:p>
        </w:tc>
        <w:tc>
          <w:tcPr>
            <w:tcW w:w="315" w:type="dxa"/>
            <w:tcBorders/>
            <w:shd w:fill="auto" w:val="clear"/>
          </w:tcPr>
          <w:p>
            <w:pPr>
              <w:pStyle w:val="TableContents"/>
              <w:spacing w:before="0" w:after="283"/>
              <w:jc w:val="both"/>
              <w:rPr/>
            </w:pPr>
            <w:r>
              <w:rPr/>
              <w:t>     </w:t>
            </w:r>
          </w:p>
        </w:tc>
        <w:tc>
          <w:tcPr>
            <w:tcW w:w="449" w:type="dxa"/>
            <w:vMerge w:val="restart"/>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For All</w:t>
              <w:br/>
              <w:t>Except</w:t>
            </w:r>
          </w:p>
        </w:tc>
        <w:tc>
          <w:tcPr>
            <w:tcW w:w="315" w:type="dxa"/>
            <w:tcBorders/>
            <w:shd w:fill="auto" w:val="clear"/>
          </w:tcPr>
          <w:p>
            <w:pPr>
              <w:pStyle w:val="TableContents"/>
              <w:spacing w:before="0" w:after="283"/>
              <w:jc w:val="both"/>
              <w:rPr/>
            </w:pPr>
            <w:r>
              <w:rPr/>
              <w:t>     </w:t>
            </w:r>
          </w:p>
        </w:tc>
        <w:tc>
          <w:tcPr>
            <w:tcW w:w="2004" w:type="dxa"/>
            <w:vMerge w:val="restart"/>
            <w:tcBorders/>
            <w:shd w:fill="auto" w:val="clear"/>
          </w:tcPr>
          <w:p>
            <w:pPr>
              <w:pStyle w:val="TableContents"/>
              <w:spacing w:before="0" w:after="283"/>
              <w:jc w:val="both"/>
              <w:rPr>
                <w:rFonts w:ascii="Times New Roman" w:hAnsi="Times New Roman"/>
                <w:sz w:val="14"/>
              </w:rPr>
            </w:pPr>
            <w:r>
              <w:rPr>
                <w:rFonts w:ascii="Times New Roman" w:hAnsi="Times New Roman"/>
                <w:sz w:val="14"/>
              </w:rPr>
              <w:t>To withhold authority to vote for any individual nominee(s), mark For All Except and write the number(s) of the nominee(s) on the line below.</w:t>
            </w:r>
          </w:p>
        </w:tc>
        <w:tc>
          <w:tcPr>
            <w:tcW w:w="1821" w:type="dxa"/>
            <w:gridSpan w:val="2"/>
            <w:tcBorders/>
            <w:shd w:fill="auto" w:val="clear"/>
            <w:vAlign w:val="bottom"/>
          </w:tcPr>
          <w:p>
            <w:pPr>
              <w:pStyle w:val="TableContents"/>
              <w:spacing w:before="0" w:after="283"/>
              <w:rPr>
                <w:sz w:val="4"/>
                <w:szCs w:val="4"/>
              </w:rPr>
            </w:pPr>
            <w:r>
              <w:rPr>
                <w:sz w:val="4"/>
                <w:szCs w:val="4"/>
              </w:rPr>
            </w:r>
          </w:p>
        </w:tc>
      </w:tr>
      <w:tr>
        <w:trPr/>
        <w:tc>
          <w:tcPr>
            <w:tcW w:w="314" w:type="dxa"/>
            <w:tcBorders/>
            <w:shd w:fill="auto" w:val="clear"/>
          </w:tcPr>
          <w:p>
            <w:pPr>
              <w:pStyle w:val="TableContents"/>
              <w:spacing w:before="0" w:after="283"/>
              <w:rPr>
                <w:sz w:val="4"/>
                <w:szCs w:val="4"/>
              </w:rPr>
            </w:pPr>
            <w:r>
              <w:rPr>
                <w:sz w:val="4"/>
                <w:szCs w:val="4"/>
              </w:rPr>
            </w:r>
          </w:p>
        </w:tc>
        <w:tc>
          <w:tcPr>
            <w:tcW w:w="3517" w:type="dxa"/>
            <w:tcBorders>
              <w:top w:val="single" w:sz="9" w:space="0" w:color="000000"/>
              <w:left w:val="single" w:sz="9" w:space="0" w:color="000000"/>
              <w:bottom w:val="single" w:sz="9" w:space="0" w:color="000000"/>
              <w:right w:val="single" w:sz="9" w:space="0" w:color="000000"/>
            </w:tcBorders>
            <w:shd w:fill="auto" w:val="clear"/>
            <w:tcMar>
              <w:top w:w="40" w:type="dxa"/>
              <w:left w:w="28" w:type="dxa"/>
              <w:bottom w:w="40" w:type="dxa"/>
              <w:right w:w="28" w:type="dxa"/>
            </w:tcMar>
          </w:tcPr>
          <w:p>
            <w:pPr>
              <w:pStyle w:val="TableContents"/>
              <w:spacing w:before="0" w:after="283"/>
              <w:jc w:val="center"/>
              <w:rPr>
                <w:rFonts w:ascii="Times New Roman" w:hAnsi="Times New Roman"/>
                <w:b/>
                <w:sz w:val="20"/>
              </w:rPr>
            </w:pPr>
            <w:r>
              <w:rPr>
                <w:rFonts w:ascii="Times New Roman" w:hAnsi="Times New Roman"/>
                <w:b/>
                <w:sz w:val="20"/>
              </w:rPr>
              <w:t>Annual Meeting Proxy Card</w:t>
            </w:r>
          </w:p>
        </w:tc>
        <w:tc>
          <w:tcPr>
            <w:tcW w:w="315" w:type="dxa"/>
            <w:tcBorders/>
            <w:shd w:fill="auto" w:val="clear"/>
          </w:tcPr>
          <w:p>
            <w:pPr>
              <w:pStyle w:val="TableContents"/>
              <w:spacing w:before="0" w:after="283"/>
              <w:rPr>
                <w:sz w:val="4"/>
                <w:szCs w:val="4"/>
              </w:rPr>
            </w:pPr>
            <w:r>
              <w:rPr>
                <w:sz w:val="4"/>
                <w:szCs w:val="4"/>
              </w:rPr>
            </w:r>
          </w:p>
        </w:tc>
        <w:tc>
          <w:tcPr>
            <w:tcW w:w="249" w:type="dxa"/>
            <w:vMerge w:val="continue"/>
            <w:tcBorders/>
            <w:shd w:fill="auto" w:val="clear"/>
          </w:tcPr>
          <w:p>
            <w:pPr>
              <w:pStyle w:val="Normal"/>
              <w:rPr/>
            </w:pPr>
            <w:r>
              <w:rPr/>
            </w:r>
          </w:p>
        </w:tc>
        <w:tc>
          <w:tcPr>
            <w:tcW w:w="315" w:type="dxa"/>
            <w:tcBorders/>
            <w:shd w:fill="auto" w:val="clear"/>
          </w:tcPr>
          <w:p>
            <w:pPr>
              <w:pStyle w:val="TableContents"/>
              <w:spacing w:before="0" w:after="283"/>
              <w:rPr>
                <w:sz w:val="4"/>
                <w:szCs w:val="4"/>
              </w:rPr>
            </w:pPr>
            <w:r>
              <w:rPr>
                <w:sz w:val="4"/>
                <w:szCs w:val="4"/>
              </w:rPr>
            </w:r>
          </w:p>
        </w:tc>
        <w:tc>
          <w:tcPr>
            <w:tcW w:w="591" w:type="dxa"/>
            <w:vMerge w:val="continue"/>
            <w:tcBorders/>
            <w:shd w:fill="auto" w:val="clear"/>
          </w:tcPr>
          <w:p>
            <w:pPr>
              <w:pStyle w:val="Normal"/>
              <w:rPr/>
            </w:pPr>
            <w:r>
              <w:rPr/>
            </w:r>
          </w:p>
        </w:tc>
        <w:tc>
          <w:tcPr>
            <w:tcW w:w="315" w:type="dxa"/>
            <w:tcBorders/>
            <w:shd w:fill="auto" w:val="clear"/>
          </w:tcPr>
          <w:p>
            <w:pPr>
              <w:pStyle w:val="TableContents"/>
              <w:spacing w:before="0" w:after="283"/>
              <w:rPr>
                <w:sz w:val="4"/>
                <w:szCs w:val="4"/>
              </w:rPr>
            </w:pPr>
            <w:r>
              <w:rPr>
                <w:sz w:val="4"/>
                <w:szCs w:val="4"/>
              </w:rPr>
            </w:r>
          </w:p>
        </w:tc>
        <w:tc>
          <w:tcPr>
            <w:tcW w:w="449" w:type="dxa"/>
            <w:vMerge w:val="continue"/>
            <w:tcBorders/>
            <w:shd w:fill="auto" w:val="clear"/>
          </w:tcPr>
          <w:p>
            <w:pPr>
              <w:pStyle w:val="Normal"/>
              <w:rPr/>
            </w:pPr>
            <w:r>
              <w:rPr/>
            </w:r>
          </w:p>
        </w:tc>
        <w:tc>
          <w:tcPr>
            <w:tcW w:w="315" w:type="dxa"/>
            <w:tcBorders/>
            <w:shd w:fill="auto" w:val="clear"/>
          </w:tcPr>
          <w:p>
            <w:pPr>
              <w:pStyle w:val="TableContents"/>
              <w:spacing w:before="0" w:after="283"/>
              <w:rPr>
                <w:sz w:val="4"/>
                <w:szCs w:val="4"/>
              </w:rPr>
            </w:pPr>
            <w:r>
              <w:rPr>
                <w:sz w:val="4"/>
                <w:szCs w:val="4"/>
              </w:rPr>
            </w:r>
          </w:p>
        </w:tc>
        <w:tc>
          <w:tcPr>
            <w:tcW w:w="2004" w:type="dxa"/>
            <w:vMerge w:val="continue"/>
            <w:tcBorders/>
            <w:shd w:fill="auto" w:val="clear"/>
          </w:tcPr>
          <w:p>
            <w:pPr>
              <w:pStyle w:val="Normal"/>
              <w:rPr/>
            </w:pPr>
            <w:r>
              <w:rPr/>
            </w:r>
          </w:p>
        </w:tc>
        <w:tc>
          <w:tcPr>
            <w:tcW w:w="647" w:type="dxa"/>
            <w:tcBorders/>
            <w:shd w:fill="auto" w:val="clear"/>
            <w:vAlign w:val="bottom"/>
          </w:tcPr>
          <w:p>
            <w:pPr>
              <w:pStyle w:val="TableContents"/>
              <w:spacing w:before="0" w:after="283"/>
              <w:jc w:val="left"/>
              <w:rPr/>
            </w:pPr>
            <w:r>
              <w:rPr/>
              <w:t>      </w:t>
            </w:r>
          </w:p>
        </w:tc>
        <w:tc>
          <w:tcPr>
            <w:tcW w:w="1174" w:type="dxa"/>
            <w:tcBorders>
              <w:top w:val="single" w:sz="16" w:space="0" w:color="000000"/>
              <w:right w:val="single" w:sz="16" w:space="0" w:color="000000"/>
            </w:tcBorders>
            <w:shd w:fill="auto" w:val="clear"/>
            <w:tcMar>
              <w:top w:w="28" w:type="dxa"/>
              <w:right w:w="28" w:type="dxa"/>
            </w:tcMar>
            <w:vAlign w:val="bottom"/>
          </w:tcPr>
          <w:p>
            <w:pPr>
              <w:pStyle w:val="TableContents"/>
              <w:spacing w:before="0" w:after="283"/>
              <w:jc w:val="left"/>
              <w:rPr/>
            </w:pPr>
            <w:r>
              <w:rPr/>
              <w:t xml:space="preserve">               </w:t>
            </w:r>
          </w:p>
        </w:tc>
      </w:tr>
      <w:tr>
        <w:trPr/>
        <w:tc>
          <w:tcPr>
            <w:tcW w:w="314" w:type="dxa"/>
            <w:vMerge w:val="restart"/>
            <w:tcBorders/>
            <w:shd w:fill="auto" w:val="clear"/>
          </w:tcPr>
          <w:p>
            <w:pPr>
              <w:pStyle w:val="TableContents"/>
              <w:spacing w:before="0" w:after="283"/>
              <w:jc w:val="left"/>
              <w:rPr/>
            </w:pPr>
            <w:r>
              <w:rPr/>
              <w:t>     </w:t>
            </w:r>
          </w:p>
        </w:tc>
        <w:tc>
          <w:tcPr>
            <w:tcW w:w="3517" w:type="dxa"/>
            <w:vMerge w:val="restart"/>
            <w:tcBorders/>
            <w:shd w:fill="auto" w:val="clear"/>
          </w:tcPr>
          <w:p>
            <w:pPr>
              <w:pStyle w:val="TableContents"/>
              <w:spacing w:before="0" w:after="283"/>
              <w:jc w:val="left"/>
              <w:rPr>
                <w:rFonts w:ascii="Times New Roman" w:hAnsi="Times New Roman"/>
                <w:b/>
                <w:sz w:val="14"/>
              </w:rPr>
            </w:pPr>
            <w:r>
              <w:rPr>
                <w:rFonts w:ascii="Times New Roman" w:hAnsi="Times New Roman"/>
                <w:b/>
                <w:sz w:val="14"/>
              </w:rPr>
              <w:br/>
              <w:t>The Board of Directors recommends that you vote</w:t>
              <w:br/>
              <w:t>FOR each of the listed nominees:</w:t>
            </w:r>
          </w:p>
        </w:tc>
        <w:tc>
          <w:tcPr>
            <w:tcW w:w="315" w:type="dxa"/>
            <w:tcBorders/>
            <w:shd w:fill="auto" w:val="clear"/>
          </w:tcPr>
          <w:p>
            <w:pPr>
              <w:pStyle w:val="TableContents"/>
              <w:spacing w:before="0" w:after="283"/>
              <w:jc w:val="center"/>
              <w:rPr/>
            </w:pPr>
            <w:r>
              <w:rPr/>
              <w:t> </w:t>
            </w:r>
          </w:p>
        </w:tc>
        <w:tc>
          <w:tcPr>
            <w:tcW w:w="249" w:type="dxa"/>
            <w:tcBorders/>
            <w:shd w:fill="auto" w:val="clear"/>
            <w:vAlign w:val="center"/>
          </w:tcPr>
          <w:p>
            <w:pPr>
              <w:pStyle w:val="TableContents"/>
              <w:spacing w:before="0" w:after="283"/>
              <w:jc w:val="center"/>
              <w:rPr>
                <w:rFonts w:ascii="Wingdings" w:hAnsi="Wingdings"/>
                <w:sz w:val="20"/>
              </w:rPr>
            </w:pPr>
            <w:r>
              <w:rPr>
                <w:rFonts w:ascii="Wingdings" w:hAnsi="Wingdings"/>
                <w:sz w:val="20"/>
              </w:rPr>
              <w:t>o</w:t>
            </w:r>
          </w:p>
        </w:tc>
        <w:tc>
          <w:tcPr>
            <w:tcW w:w="315" w:type="dxa"/>
            <w:tcBorders/>
            <w:shd w:fill="auto" w:val="clear"/>
            <w:vAlign w:val="center"/>
          </w:tcPr>
          <w:p>
            <w:pPr>
              <w:pStyle w:val="TableContents"/>
              <w:spacing w:before="0" w:after="283"/>
              <w:jc w:val="center"/>
              <w:rPr/>
            </w:pPr>
            <w:r>
              <w:rPr/>
              <w:t> </w:t>
            </w:r>
          </w:p>
        </w:tc>
        <w:tc>
          <w:tcPr>
            <w:tcW w:w="591" w:type="dxa"/>
            <w:tcBorders/>
            <w:shd w:fill="auto" w:val="clear"/>
            <w:vAlign w:val="center"/>
          </w:tcPr>
          <w:p>
            <w:pPr>
              <w:pStyle w:val="TableContents"/>
              <w:spacing w:before="0" w:after="283"/>
              <w:jc w:val="center"/>
              <w:rPr>
                <w:rFonts w:ascii="Wingdings" w:hAnsi="Wingdings"/>
                <w:sz w:val="20"/>
              </w:rPr>
            </w:pPr>
            <w:r>
              <w:rPr>
                <w:rFonts w:ascii="Wingdings" w:hAnsi="Wingdings"/>
                <w:sz w:val="20"/>
              </w:rPr>
              <w:t>o</w:t>
            </w:r>
          </w:p>
        </w:tc>
        <w:tc>
          <w:tcPr>
            <w:tcW w:w="315"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jc w:val="center"/>
              <w:rPr>
                <w:rFonts w:ascii="Wingdings" w:hAnsi="Wingdings"/>
                <w:sz w:val="20"/>
              </w:rPr>
            </w:pPr>
            <w:r>
              <w:rPr>
                <w:rFonts w:ascii="Wingdings" w:hAnsi="Wingdings"/>
                <w:sz w:val="20"/>
              </w:rPr>
              <w:t>o</w:t>
            </w:r>
          </w:p>
        </w:tc>
        <w:tc>
          <w:tcPr>
            <w:tcW w:w="315" w:type="dxa"/>
            <w:tcBorders/>
            <w:shd w:fill="auto" w:val="clear"/>
          </w:tcPr>
          <w:p>
            <w:pPr>
              <w:pStyle w:val="TableContents"/>
              <w:spacing w:before="0" w:after="283"/>
              <w:rPr>
                <w:sz w:val="4"/>
                <w:szCs w:val="4"/>
              </w:rPr>
            </w:pPr>
            <w:r>
              <w:rPr>
                <w:sz w:val="4"/>
                <w:szCs w:val="4"/>
              </w:rPr>
            </w:r>
          </w:p>
        </w:tc>
        <w:tc>
          <w:tcPr>
            <w:tcW w:w="2004" w:type="dxa"/>
            <w:tcBorders/>
            <w:shd w:fill="auto" w:val="clear"/>
            <w:vAlign w:val="bottom"/>
          </w:tcPr>
          <w:p>
            <w:pPr>
              <w:pStyle w:val="HorizontalLine"/>
              <w:pBdr>
                <w:bottom w:val="double" w:sz="2" w:space="0" w:color="000000"/>
              </w:pBdr>
              <w:spacing w:before="0" w:after="283"/>
              <w:rPr/>
            </w:pPr>
            <w:r>
              <w:rPr/>
            </w:r>
          </w:p>
        </w:tc>
        <w:tc>
          <w:tcPr>
            <w:tcW w:w="647" w:type="dxa"/>
            <w:tcBorders/>
            <w:shd w:fill="auto" w:val="clear"/>
            <w:vAlign w:val="bottom"/>
          </w:tcPr>
          <w:p>
            <w:pPr>
              <w:pStyle w:val="TableContents"/>
              <w:spacing w:before="0" w:after="283"/>
              <w:rPr>
                <w:sz w:val="4"/>
                <w:szCs w:val="4"/>
              </w:rPr>
            </w:pPr>
            <w:r>
              <w:rPr>
                <w:sz w:val="4"/>
                <w:szCs w:val="4"/>
              </w:rPr>
            </w:r>
          </w:p>
        </w:tc>
        <w:tc>
          <w:tcPr>
            <w:tcW w:w="1174" w:type="dxa"/>
            <w:tcBorders>
              <w:right w:val="single" w:sz="16" w:space="0" w:color="000000"/>
            </w:tcBorders>
            <w:shd w:fill="auto" w:val="clear"/>
            <w:tcMar>
              <w:right w:w="28" w:type="dxa"/>
            </w:tcMar>
            <w:vAlign w:val="bottom"/>
          </w:tcPr>
          <w:p>
            <w:pPr>
              <w:pStyle w:val="TableContents"/>
              <w:spacing w:before="0" w:after="283"/>
              <w:jc w:val="left"/>
              <w:rPr/>
            </w:pPr>
            <w:r>
              <w:rPr/>
              <w:t> </w:t>
            </w:r>
          </w:p>
        </w:tc>
      </w:tr>
      <w:tr>
        <w:trPr/>
        <w:tc>
          <w:tcPr>
            <w:tcW w:w="314" w:type="dxa"/>
            <w:vMerge w:val="continue"/>
            <w:tcBorders/>
            <w:shd w:fill="auto" w:val="clear"/>
          </w:tcPr>
          <w:p>
            <w:pPr>
              <w:pStyle w:val="Normal"/>
              <w:rPr/>
            </w:pPr>
            <w:r>
              <w:rPr/>
            </w:r>
          </w:p>
        </w:tc>
        <w:tc>
          <w:tcPr>
            <w:tcW w:w="3517" w:type="dxa"/>
            <w:vMerge w:val="continue"/>
            <w:tcBorders/>
            <w:shd w:fill="auto" w:val="clear"/>
          </w:tcPr>
          <w:p>
            <w:pPr>
              <w:pStyle w:val="Normal"/>
              <w:rPr/>
            </w:pPr>
            <w:r>
              <w:rPr/>
            </w:r>
          </w:p>
        </w:tc>
        <w:tc>
          <w:tcPr>
            <w:tcW w:w="315" w:type="dxa"/>
            <w:tcBorders/>
            <w:shd w:fill="auto" w:val="clear"/>
          </w:tcPr>
          <w:p>
            <w:pPr>
              <w:pStyle w:val="TableContents"/>
              <w:spacing w:before="0" w:after="283"/>
              <w:rPr>
                <w:sz w:val="4"/>
                <w:szCs w:val="4"/>
              </w:rPr>
            </w:pPr>
            <w:r>
              <w:rPr>
                <w:sz w:val="4"/>
                <w:szCs w:val="4"/>
              </w:rPr>
            </w:r>
          </w:p>
        </w:tc>
        <w:tc>
          <w:tcPr>
            <w:tcW w:w="249" w:type="dxa"/>
            <w:tcBorders/>
            <w:shd w:fill="auto" w:val="clear"/>
          </w:tcPr>
          <w:p>
            <w:pPr>
              <w:pStyle w:val="TableContents"/>
              <w:spacing w:before="0" w:after="283"/>
              <w:jc w:val="left"/>
              <w:rPr/>
            </w:pPr>
            <w:r>
              <w:rPr/>
              <w:t> </w:t>
            </w:r>
          </w:p>
        </w:tc>
        <w:tc>
          <w:tcPr>
            <w:tcW w:w="315" w:type="dxa"/>
            <w:tcBorders/>
            <w:shd w:fill="auto" w:val="clear"/>
          </w:tcPr>
          <w:p>
            <w:pPr>
              <w:pStyle w:val="TableContents"/>
              <w:spacing w:before="0" w:after="283"/>
              <w:rPr>
                <w:sz w:val="4"/>
                <w:szCs w:val="4"/>
              </w:rPr>
            </w:pPr>
            <w:r>
              <w:rPr>
                <w:sz w:val="4"/>
                <w:szCs w:val="4"/>
              </w:rPr>
            </w:r>
          </w:p>
        </w:tc>
        <w:tc>
          <w:tcPr>
            <w:tcW w:w="591" w:type="dxa"/>
            <w:tcBorders/>
            <w:shd w:fill="auto" w:val="clear"/>
          </w:tcPr>
          <w:p>
            <w:pPr>
              <w:pStyle w:val="TableContents"/>
              <w:spacing w:before="0" w:after="283"/>
              <w:jc w:val="left"/>
              <w:rPr/>
            </w:pPr>
            <w:r>
              <w:rPr/>
              <w:t> </w:t>
            </w:r>
          </w:p>
        </w:tc>
        <w:tc>
          <w:tcPr>
            <w:tcW w:w="315" w:type="dxa"/>
            <w:tcBorders/>
            <w:shd w:fill="auto" w:val="clear"/>
          </w:tcPr>
          <w:p>
            <w:pPr>
              <w:pStyle w:val="TableContents"/>
              <w:spacing w:before="0" w:after="283"/>
              <w:jc w:val="left"/>
              <w:rPr/>
            </w:pPr>
            <w:r>
              <w:rPr/>
              <w:t> </w:t>
            </w:r>
          </w:p>
        </w:tc>
        <w:tc>
          <w:tcPr>
            <w:tcW w:w="449" w:type="dxa"/>
            <w:tcBorders/>
            <w:shd w:fill="auto" w:val="clear"/>
          </w:tcPr>
          <w:p>
            <w:pPr>
              <w:pStyle w:val="TableContents"/>
              <w:spacing w:before="0" w:after="283"/>
              <w:jc w:val="left"/>
              <w:rPr/>
            </w:pPr>
            <w:r>
              <w:rPr/>
              <w:t> </w:t>
            </w:r>
          </w:p>
        </w:tc>
        <w:tc>
          <w:tcPr>
            <w:tcW w:w="315" w:type="dxa"/>
            <w:tcBorders/>
            <w:shd w:fill="auto" w:val="clear"/>
          </w:tcPr>
          <w:p>
            <w:pPr>
              <w:pStyle w:val="TableContents"/>
              <w:spacing w:before="0" w:after="283"/>
              <w:jc w:val="left"/>
              <w:rPr/>
            </w:pPr>
            <w:r>
              <w:rPr/>
              <w:t> </w:t>
            </w:r>
          </w:p>
        </w:tc>
        <w:tc>
          <w:tcPr>
            <w:tcW w:w="2004" w:type="dxa"/>
            <w:tcBorders/>
            <w:shd w:fill="auto" w:val="clear"/>
          </w:tcPr>
          <w:p>
            <w:pPr>
              <w:pStyle w:val="TableContents"/>
              <w:spacing w:before="0" w:after="283"/>
              <w:jc w:val="left"/>
              <w:rPr/>
            </w:pPr>
            <w:r>
              <w:rPr/>
              <w:t> </w:t>
            </w:r>
          </w:p>
        </w:tc>
        <w:tc>
          <w:tcPr>
            <w:tcW w:w="1821" w:type="dxa"/>
            <w:gridSpan w:val="2"/>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43"/>
        <w:gridCol w:w="567"/>
        <w:gridCol w:w="175"/>
        <w:gridCol w:w="264"/>
        <w:gridCol w:w="175"/>
        <w:gridCol w:w="1012"/>
        <w:gridCol w:w="457"/>
        <w:gridCol w:w="264"/>
        <w:gridCol w:w="175"/>
        <w:gridCol w:w="6773"/>
      </w:tblGrid>
      <w:tr>
        <w:trPr/>
        <w:tc>
          <w:tcPr>
            <w:tcW w:w="343" w:type="dxa"/>
            <w:tcBorders/>
            <w:shd w:fill="FFFFFF" w:val="clear"/>
            <w:vAlign w:val="bottom"/>
          </w:tcPr>
          <w:p>
            <w:pPr>
              <w:pStyle w:val="TableContents"/>
              <w:spacing w:before="0" w:after="283"/>
              <w:rPr>
                <w:sz w:val="4"/>
                <w:szCs w:val="4"/>
              </w:rPr>
            </w:pPr>
            <w:r>
              <w:rPr>
                <w:sz w:val="4"/>
                <w:szCs w:val="4"/>
              </w:rPr>
            </w:r>
          </w:p>
        </w:tc>
        <w:tc>
          <w:tcPr>
            <w:tcW w:w="567" w:type="dxa"/>
            <w:tcBorders/>
            <w:shd w:fill="000000" w:val="clear"/>
            <w:vAlign w:val="bottom"/>
          </w:tcPr>
          <w:p>
            <w:pPr>
              <w:pStyle w:val="TableContents"/>
              <w:spacing w:before="0" w:after="283"/>
              <w:jc w:val="center"/>
              <w:rPr>
                <w:color w:val="FFFFFF"/>
              </w:rPr>
            </w:pPr>
            <w:r>
              <w:rPr>
                <w:color w:val="FFFFFF"/>
              </w:rPr>
              <w:t xml:space="preserve">   </w:t>
            </w:r>
            <w:r>
              <w:rPr>
                <w:rFonts w:ascii="Times New Roman" w:hAnsi="Times New Roman"/>
                <w:b/>
                <w:color w:val="FFFFFF"/>
                <w:sz w:val="20"/>
              </w:rPr>
              <w:t>A   </w:t>
            </w:r>
          </w:p>
        </w:tc>
        <w:tc>
          <w:tcPr>
            <w:tcW w:w="175" w:type="dxa"/>
            <w:tcBorders/>
            <w:shd w:fill="auto" w:val="clear"/>
            <w:vAlign w:val="bottom"/>
          </w:tcPr>
          <w:p>
            <w:pPr>
              <w:pStyle w:val="TableContents"/>
              <w:spacing w:before="0" w:after="283"/>
              <w:rPr>
                <w:sz w:val="4"/>
                <w:szCs w:val="4"/>
              </w:rPr>
            </w:pPr>
            <w:r>
              <w:rPr>
                <w:sz w:val="4"/>
                <w:szCs w:val="4"/>
              </w:rPr>
            </w:r>
          </w:p>
        </w:tc>
        <w:tc>
          <w:tcPr>
            <w:tcW w:w="9120" w:type="dxa"/>
            <w:gridSpan w:val="7"/>
            <w:tcBorders/>
            <w:shd w:fill="auto" w:val="clear"/>
            <w:vAlign w:val="bottom"/>
          </w:tcPr>
          <w:p>
            <w:pPr>
              <w:pStyle w:val="TableContents"/>
              <w:spacing w:before="0" w:after="283"/>
              <w:jc w:val="left"/>
              <w:rPr/>
            </w:pPr>
            <w:r>
              <w:rPr/>
              <w:t xml:space="preserve">  </w:t>
            </w:r>
            <w:r>
              <w:rPr>
                <w:rFonts w:ascii="Times New Roman" w:hAnsi="Times New Roman"/>
                <w:b/>
                <w:sz w:val="20"/>
              </w:rPr>
              <w:t>Election of Directors</w:t>
            </w:r>
          </w:p>
        </w:tc>
      </w:tr>
      <w:tr>
        <w:trPr/>
        <w:tc>
          <w:tcPr>
            <w:tcW w:w="343" w:type="dxa"/>
            <w:tcBorders/>
            <w:shd w:fill="auto" w:val="clear"/>
            <w:vAlign w:val="center"/>
          </w:tcPr>
          <w:p>
            <w:pPr>
              <w:pStyle w:val="TableContents"/>
              <w:spacing w:before="0" w:after="283"/>
              <w:rPr>
                <w:sz w:val="4"/>
                <w:szCs w:val="4"/>
              </w:rPr>
            </w:pPr>
            <w:r>
              <w:rPr>
                <w:sz w:val="4"/>
                <w:szCs w:val="4"/>
              </w:rPr>
            </w:r>
          </w:p>
        </w:tc>
        <w:tc>
          <w:tcPr>
            <w:tcW w:w="9862" w:type="dxa"/>
            <w:gridSpan w:val="9"/>
            <w:tcBorders/>
            <w:shd w:fill="auto" w:val="clear"/>
            <w:vAlign w:val="center"/>
          </w:tcPr>
          <w:p>
            <w:pPr>
              <w:pStyle w:val="TableContents"/>
              <w:spacing w:before="0" w:after="283"/>
              <w:rPr/>
            </w:pPr>
            <w:r>
              <w:rPr/>
              <w:t> </w:t>
            </w:r>
          </w:p>
        </w:tc>
      </w:tr>
      <w:tr>
        <w:trPr/>
        <w:tc>
          <w:tcPr>
            <w:tcW w:w="343"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1.</w:t>
            </w:r>
          </w:p>
        </w:tc>
        <w:tc>
          <w:tcPr>
            <w:tcW w:w="175" w:type="dxa"/>
            <w:tcBorders/>
            <w:shd w:fill="auto" w:val="clear"/>
            <w:vAlign w:val="bottom"/>
          </w:tcPr>
          <w:p>
            <w:pPr>
              <w:pStyle w:val="TableContents"/>
              <w:spacing w:before="0" w:after="283"/>
              <w:jc w:val="left"/>
              <w:rPr/>
            </w:pPr>
            <w:r>
              <w:rPr/>
              <w:t>  </w:t>
            </w:r>
          </w:p>
        </w:tc>
        <w:tc>
          <w:tcPr>
            <w:tcW w:w="1451" w:type="dxa"/>
            <w:gridSpan w:val="3"/>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Nominees:</w:t>
            </w:r>
          </w:p>
        </w:tc>
        <w:tc>
          <w:tcPr>
            <w:tcW w:w="457"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6773" w:type="dxa"/>
            <w:tcBorders/>
            <w:shd w:fill="auto" w:val="clear"/>
            <w:vAlign w:val="bottom"/>
          </w:tcPr>
          <w:p>
            <w:pPr>
              <w:pStyle w:val="TableContents"/>
              <w:spacing w:before="0" w:after="283"/>
              <w:rPr>
                <w:sz w:val="4"/>
                <w:szCs w:val="4"/>
              </w:rPr>
            </w:pPr>
            <w:r>
              <w:rPr>
                <w:sz w:val="4"/>
                <w:szCs w:val="4"/>
              </w:rPr>
            </w:r>
          </w:p>
        </w:tc>
      </w:tr>
      <w:tr>
        <w:trPr/>
        <w:tc>
          <w:tcPr>
            <w:tcW w:w="343" w:type="dxa"/>
            <w:tcBorders/>
            <w:shd w:fill="auto" w:val="clear"/>
            <w:vAlign w:val="center"/>
          </w:tcPr>
          <w:p>
            <w:pPr>
              <w:pStyle w:val="TableContents"/>
              <w:spacing w:before="0" w:after="283"/>
              <w:rPr/>
            </w:pPr>
            <w:r>
              <w:rPr/>
              <w:t>     </w:t>
            </w:r>
          </w:p>
        </w:tc>
        <w:tc>
          <w:tcPr>
            <w:tcW w:w="9862" w:type="dxa"/>
            <w:gridSpan w:val="9"/>
            <w:tcBorders/>
            <w:shd w:fill="auto" w:val="clear"/>
            <w:vAlign w:val="center"/>
          </w:tcPr>
          <w:p>
            <w:pPr>
              <w:pStyle w:val="TableContents"/>
              <w:spacing w:before="0" w:after="283"/>
              <w:rPr/>
            </w:pPr>
            <w:r>
              <w:rPr/>
              <w:t> </w:t>
            </w:r>
          </w:p>
        </w:tc>
      </w:tr>
      <w:tr>
        <w:trPr/>
        <w:tc>
          <w:tcPr>
            <w:tcW w:w="343"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01)</w:t>
            </w:r>
          </w:p>
        </w:tc>
        <w:tc>
          <w:tcPr>
            <w:tcW w:w="175" w:type="dxa"/>
            <w:tcBorders/>
            <w:shd w:fill="auto" w:val="clear"/>
            <w:vAlign w:val="bottom"/>
          </w:tcPr>
          <w:p>
            <w:pPr>
              <w:pStyle w:val="TableContents"/>
              <w:spacing w:before="0" w:after="283"/>
              <w:jc w:val="left"/>
              <w:rPr/>
            </w:pPr>
            <w:r>
              <w:rPr/>
              <w:t>  </w:t>
            </w:r>
          </w:p>
        </w:tc>
        <w:tc>
          <w:tcPr>
            <w:tcW w:w="1012"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J. Steven Cole</w:t>
            </w:r>
          </w:p>
        </w:tc>
        <w:tc>
          <w:tcPr>
            <w:tcW w:w="457"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05)</w:t>
            </w:r>
          </w:p>
        </w:tc>
        <w:tc>
          <w:tcPr>
            <w:tcW w:w="175" w:type="dxa"/>
            <w:tcBorders/>
            <w:shd w:fill="auto" w:val="clear"/>
            <w:vAlign w:val="bottom"/>
          </w:tcPr>
          <w:p>
            <w:pPr>
              <w:pStyle w:val="TableContents"/>
              <w:spacing w:before="0" w:after="283"/>
              <w:jc w:val="left"/>
              <w:rPr/>
            </w:pPr>
            <w:r>
              <w:rPr/>
              <w:t>  </w:t>
            </w:r>
          </w:p>
        </w:tc>
        <w:tc>
          <w:tcPr>
            <w:tcW w:w="67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Michael A. Nemeroff</w:t>
            </w:r>
          </w:p>
        </w:tc>
      </w:tr>
      <w:tr>
        <w:trPr/>
        <w:tc>
          <w:tcPr>
            <w:tcW w:w="343"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jc w:val="left"/>
              <w:rPr/>
            </w:pPr>
            <w:r>
              <w:rPr/>
              <w:t> </w:t>
            </w:r>
          </w:p>
        </w:tc>
        <w:tc>
          <w:tcPr>
            <w:tcW w:w="26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02)</w:t>
            </w:r>
          </w:p>
        </w:tc>
        <w:tc>
          <w:tcPr>
            <w:tcW w:w="175" w:type="dxa"/>
            <w:tcBorders/>
            <w:shd w:fill="auto" w:val="clear"/>
            <w:vAlign w:val="bottom"/>
          </w:tcPr>
          <w:p>
            <w:pPr>
              <w:pStyle w:val="TableContents"/>
              <w:spacing w:before="0" w:after="283"/>
              <w:rPr>
                <w:sz w:val="4"/>
                <w:szCs w:val="4"/>
              </w:rPr>
            </w:pPr>
            <w:r>
              <w:rPr>
                <w:sz w:val="4"/>
                <w:szCs w:val="4"/>
              </w:rPr>
            </w:r>
          </w:p>
        </w:tc>
        <w:tc>
          <w:tcPr>
            <w:tcW w:w="1012"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Daniel S. Jaffee</w:t>
            </w:r>
          </w:p>
        </w:tc>
        <w:tc>
          <w:tcPr>
            <w:tcW w:w="45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06)</w:t>
            </w:r>
          </w:p>
        </w:tc>
        <w:tc>
          <w:tcPr>
            <w:tcW w:w="175" w:type="dxa"/>
            <w:tcBorders/>
            <w:shd w:fill="auto" w:val="clear"/>
            <w:vAlign w:val="bottom"/>
          </w:tcPr>
          <w:p>
            <w:pPr>
              <w:pStyle w:val="TableContents"/>
              <w:spacing w:before="0" w:after="283"/>
              <w:rPr>
                <w:sz w:val="4"/>
                <w:szCs w:val="4"/>
              </w:rPr>
            </w:pPr>
            <w:r>
              <w:rPr>
                <w:sz w:val="4"/>
                <w:szCs w:val="4"/>
              </w:rPr>
            </w:r>
          </w:p>
        </w:tc>
        <w:tc>
          <w:tcPr>
            <w:tcW w:w="67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Allan H. Selig</w:t>
            </w:r>
          </w:p>
        </w:tc>
      </w:tr>
      <w:tr>
        <w:trPr/>
        <w:tc>
          <w:tcPr>
            <w:tcW w:w="343"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03)</w:t>
            </w:r>
          </w:p>
        </w:tc>
        <w:tc>
          <w:tcPr>
            <w:tcW w:w="175" w:type="dxa"/>
            <w:tcBorders/>
            <w:shd w:fill="auto" w:val="clear"/>
            <w:vAlign w:val="bottom"/>
          </w:tcPr>
          <w:p>
            <w:pPr>
              <w:pStyle w:val="TableContents"/>
              <w:spacing w:before="0" w:after="283"/>
              <w:rPr>
                <w:sz w:val="4"/>
                <w:szCs w:val="4"/>
              </w:rPr>
            </w:pPr>
            <w:r>
              <w:rPr>
                <w:sz w:val="4"/>
                <w:szCs w:val="4"/>
              </w:rPr>
            </w:r>
          </w:p>
        </w:tc>
        <w:tc>
          <w:tcPr>
            <w:tcW w:w="1012"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Richard M. Jaffee</w:t>
            </w:r>
          </w:p>
        </w:tc>
        <w:tc>
          <w:tcPr>
            <w:tcW w:w="457"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07)</w:t>
            </w:r>
          </w:p>
        </w:tc>
        <w:tc>
          <w:tcPr>
            <w:tcW w:w="175" w:type="dxa"/>
            <w:tcBorders/>
            <w:shd w:fill="auto" w:val="clear"/>
            <w:vAlign w:val="bottom"/>
          </w:tcPr>
          <w:p>
            <w:pPr>
              <w:pStyle w:val="TableContents"/>
              <w:spacing w:before="0" w:after="283"/>
              <w:rPr>
                <w:sz w:val="4"/>
                <w:szCs w:val="4"/>
              </w:rPr>
            </w:pPr>
            <w:r>
              <w:rPr>
                <w:sz w:val="4"/>
                <w:szCs w:val="4"/>
              </w:rPr>
            </w:r>
          </w:p>
        </w:tc>
        <w:tc>
          <w:tcPr>
            <w:tcW w:w="67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Paul E. Suckow</w:t>
            </w:r>
          </w:p>
        </w:tc>
      </w:tr>
      <w:tr>
        <w:trPr/>
        <w:tc>
          <w:tcPr>
            <w:tcW w:w="343"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04)</w:t>
            </w:r>
          </w:p>
        </w:tc>
        <w:tc>
          <w:tcPr>
            <w:tcW w:w="175" w:type="dxa"/>
            <w:tcBorders/>
            <w:shd w:fill="auto" w:val="clear"/>
            <w:vAlign w:val="bottom"/>
          </w:tcPr>
          <w:p>
            <w:pPr>
              <w:pStyle w:val="TableContents"/>
              <w:spacing w:before="0" w:after="283"/>
              <w:rPr>
                <w:sz w:val="4"/>
                <w:szCs w:val="4"/>
              </w:rPr>
            </w:pPr>
            <w:r>
              <w:rPr>
                <w:sz w:val="4"/>
                <w:szCs w:val="4"/>
              </w:rPr>
            </w:r>
          </w:p>
        </w:tc>
        <w:tc>
          <w:tcPr>
            <w:tcW w:w="1012"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Joseph C. Miller</w:t>
            </w:r>
          </w:p>
        </w:tc>
        <w:tc>
          <w:tcPr>
            <w:tcW w:w="457"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08)</w:t>
            </w:r>
          </w:p>
        </w:tc>
        <w:tc>
          <w:tcPr>
            <w:tcW w:w="175" w:type="dxa"/>
            <w:tcBorders/>
            <w:shd w:fill="auto" w:val="clear"/>
            <w:vAlign w:val="bottom"/>
          </w:tcPr>
          <w:p>
            <w:pPr>
              <w:pStyle w:val="TableContents"/>
              <w:spacing w:before="0" w:after="283"/>
              <w:rPr>
                <w:sz w:val="4"/>
                <w:szCs w:val="4"/>
              </w:rPr>
            </w:pPr>
            <w:r>
              <w:rPr>
                <w:sz w:val="4"/>
                <w:szCs w:val="4"/>
              </w:rPr>
            </w:r>
          </w:p>
        </w:tc>
        <w:tc>
          <w:tcPr>
            <w:tcW w:w="67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Lawrence E. Washow</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02"/>
        <w:gridCol w:w="470"/>
        <w:gridCol w:w="127"/>
        <w:gridCol w:w="7673"/>
        <w:gridCol w:w="245"/>
        <w:gridCol w:w="186"/>
        <w:gridCol w:w="505"/>
        <w:gridCol w:w="186"/>
        <w:gridCol w:w="511"/>
      </w:tblGrid>
      <w:tr>
        <w:trPr/>
        <w:tc>
          <w:tcPr>
            <w:tcW w:w="302" w:type="dxa"/>
            <w:tcBorders/>
            <w:shd w:fill="auto" w:val="clear"/>
            <w:vAlign w:val="bottom"/>
          </w:tcPr>
          <w:p>
            <w:pPr>
              <w:pStyle w:val="TableContents"/>
              <w:spacing w:before="0" w:after="283"/>
              <w:rPr>
                <w:sz w:val="4"/>
                <w:szCs w:val="4"/>
              </w:rPr>
            </w:pPr>
            <w:r>
              <w:rPr>
                <w:sz w:val="4"/>
                <w:szCs w:val="4"/>
              </w:rPr>
            </w:r>
          </w:p>
        </w:tc>
        <w:tc>
          <w:tcPr>
            <w:tcW w:w="8270" w:type="dxa"/>
            <w:gridSpan w:val="3"/>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The Board of Directors recommends that you vote FOR proposal 2:</w:t>
            </w:r>
          </w:p>
        </w:tc>
        <w:tc>
          <w:tcPr>
            <w:tcW w:w="245"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bottom"/>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r>
      <w:tr>
        <w:trPr/>
        <w:tc>
          <w:tcPr>
            <w:tcW w:w="302" w:type="dxa"/>
            <w:tcBorders/>
            <w:shd w:fill="auto" w:val="clear"/>
            <w:vAlign w:val="center"/>
          </w:tcPr>
          <w:p>
            <w:pPr>
              <w:pStyle w:val="TableContents"/>
              <w:spacing w:before="0" w:after="283"/>
              <w:rPr>
                <w:sz w:val="4"/>
                <w:szCs w:val="4"/>
              </w:rPr>
            </w:pPr>
            <w:r>
              <w:rPr>
                <w:sz w:val="4"/>
                <w:szCs w:val="4"/>
              </w:rPr>
            </w:r>
          </w:p>
        </w:tc>
        <w:tc>
          <w:tcPr>
            <w:tcW w:w="8270" w:type="dxa"/>
            <w:gridSpan w:val="3"/>
            <w:tcBorders/>
            <w:shd w:fill="auto" w:val="clear"/>
            <w:vAlign w:val="center"/>
          </w:tcPr>
          <w:p>
            <w:pPr>
              <w:pStyle w:val="TableContents"/>
              <w:spacing w:before="0" w:after="283"/>
              <w:jc w:val="left"/>
              <w:rPr/>
            </w:pPr>
            <w:r>
              <w:rPr/>
              <w:t> </w:t>
            </w:r>
          </w:p>
        </w:tc>
        <w:tc>
          <w:tcPr>
            <w:tcW w:w="245" w:type="dxa"/>
            <w:tcBorders/>
            <w:shd w:fill="auto" w:val="clear"/>
            <w:vAlign w:val="center"/>
          </w:tcPr>
          <w:p>
            <w:pPr>
              <w:pStyle w:val="TableContents"/>
              <w:spacing w:before="0" w:after="283"/>
              <w:jc w:val="left"/>
              <w:rPr/>
            </w:pPr>
            <w:r>
              <w:rPr/>
              <w:t> </w:t>
            </w:r>
          </w:p>
        </w:tc>
        <w:tc>
          <w:tcPr>
            <w:tcW w:w="186" w:type="dxa"/>
            <w:tcBorders/>
            <w:shd w:fill="auto" w:val="clear"/>
            <w:vAlign w:val="center"/>
          </w:tcPr>
          <w:p>
            <w:pPr>
              <w:pStyle w:val="TableContents"/>
              <w:spacing w:before="0" w:after="283"/>
              <w:jc w:val="left"/>
              <w:rPr/>
            </w:pPr>
            <w:r>
              <w:rPr/>
              <w:t> </w:t>
            </w:r>
          </w:p>
        </w:tc>
        <w:tc>
          <w:tcPr>
            <w:tcW w:w="505" w:type="dxa"/>
            <w:tcBorders/>
            <w:shd w:fill="auto" w:val="clear"/>
            <w:vAlign w:val="center"/>
          </w:tcPr>
          <w:p>
            <w:pPr>
              <w:pStyle w:val="TableContents"/>
              <w:spacing w:before="0" w:after="283"/>
              <w:jc w:val="left"/>
              <w:rPr/>
            </w:pPr>
            <w:r>
              <w:rPr/>
              <w:t> </w:t>
            </w:r>
          </w:p>
        </w:tc>
        <w:tc>
          <w:tcPr>
            <w:tcW w:w="186" w:type="dxa"/>
            <w:tcBorders/>
            <w:shd w:fill="auto" w:val="clear"/>
            <w:vAlign w:val="center"/>
          </w:tcPr>
          <w:p>
            <w:pPr>
              <w:pStyle w:val="TableContents"/>
              <w:spacing w:before="0" w:after="283"/>
              <w:jc w:val="left"/>
              <w:rPr/>
            </w:pPr>
            <w:r>
              <w:rPr/>
              <w:t> </w:t>
            </w:r>
          </w:p>
        </w:tc>
        <w:tc>
          <w:tcPr>
            <w:tcW w:w="511" w:type="dxa"/>
            <w:tcBorders/>
            <w:shd w:fill="auto" w:val="clear"/>
            <w:vAlign w:val="center"/>
          </w:tcPr>
          <w:p>
            <w:pPr>
              <w:pStyle w:val="TableContents"/>
              <w:spacing w:before="0" w:after="283"/>
              <w:jc w:val="left"/>
              <w:rPr/>
            </w:pPr>
            <w:r>
              <w:rPr/>
              <w:t> </w:t>
            </w:r>
          </w:p>
        </w:tc>
      </w:tr>
      <w:tr>
        <w:trPr/>
        <w:tc>
          <w:tcPr>
            <w:tcW w:w="302" w:type="dxa"/>
            <w:tcBorders/>
            <w:shd w:fill="FFFFFF" w:val="clear"/>
            <w:vAlign w:val="bottom"/>
          </w:tcPr>
          <w:p>
            <w:pPr>
              <w:pStyle w:val="TableContents"/>
              <w:spacing w:before="0" w:after="283"/>
              <w:rPr>
                <w:sz w:val="4"/>
                <w:szCs w:val="4"/>
              </w:rPr>
            </w:pPr>
            <w:r>
              <w:rPr>
                <w:sz w:val="4"/>
                <w:szCs w:val="4"/>
              </w:rPr>
            </w:r>
          </w:p>
        </w:tc>
        <w:tc>
          <w:tcPr>
            <w:tcW w:w="470" w:type="dxa"/>
            <w:tcBorders/>
            <w:shd w:fill="000000" w:val="clear"/>
            <w:vAlign w:val="bottom"/>
          </w:tcPr>
          <w:p>
            <w:pPr>
              <w:pStyle w:val="TableContents"/>
              <w:spacing w:before="0" w:after="283"/>
              <w:jc w:val="right"/>
              <w:rPr/>
            </w:pPr>
            <w:r>
              <w:rPr>
                <w:color w:val="FFFFFF"/>
              </w:rPr>
              <w:t>  </w:t>
            </w:r>
            <w:r>
              <w:rPr/>
              <w:t xml:space="preserve"> </w:t>
            </w:r>
            <w:r>
              <w:rPr>
                <w:rFonts w:ascii="Times New Roman" w:hAnsi="Times New Roman"/>
                <w:b/>
                <w:color w:val="FFFFFF"/>
                <w:sz w:val="20"/>
              </w:rPr>
              <w:t>B   </w:t>
            </w:r>
          </w:p>
        </w:tc>
        <w:tc>
          <w:tcPr>
            <w:tcW w:w="127" w:type="dxa"/>
            <w:tcBorders/>
            <w:shd w:fill="auto" w:val="clear"/>
            <w:vAlign w:val="bottom"/>
          </w:tcPr>
          <w:p>
            <w:pPr>
              <w:pStyle w:val="TableContents"/>
              <w:spacing w:before="0" w:after="283"/>
              <w:rPr>
                <w:sz w:val="4"/>
                <w:szCs w:val="4"/>
              </w:rPr>
            </w:pPr>
            <w:r>
              <w:rPr>
                <w:sz w:val="4"/>
                <w:szCs w:val="4"/>
              </w:rPr>
            </w:r>
          </w:p>
        </w:tc>
        <w:tc>
          <w:tcPr>
            <w:tcW w:w="7673" w:type="dxa"/>
            <w:tcBorders/>
            <w:shd w:fill="auto" w:val="clear"/>
            <w:vAlign w:val="bottom"/>
          </w:tcPr>
          <w:p>
            <w:pPr>
              <w:pStyle w:val="TableContents"/>
              <w:spacing w:before="0" w:after="283"/>
              <w:jc w:val="left"/>
              <w:rPr/>
            </w:pPr>
            <w:r>
              <w:rPr/>
              <w:t xml:space="preserve">  </w:t>
            </w:r>
            <w:r>
              <w:rPr>
                <w:rFonts w:ascii="Times New Roman" w:hAnsi="Times New Roman"/>
                <w:b/>
                <w:sz w:val="20"/>
              </w:rPr>
              <w:t>Issues</w:t>
            </w:r>
          </w:p>
        </w:tc>
        <w:tc>
          <w:tcPr>
            <w:tcW w:w="24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w:t>
            </w:r>
          </w:p>
        </w:tc>
        <w:tc>
          <w:tcPr>
            <w:tcW w:w="186" w:type="dxa"/>
            <w:tcBorders/>
            <w:shd w:fill="auto" w:val="clear"/>
            <w:vAlign w:val="bottom"/>
          </w:tcPr>
          <w:p>
            <w:pPr>
              <w:pStyle w:val="TableContents"/>
              <w:spacing w:before="0" w:after="283"/>
              <w:jc w:val="center"/>
              <w:rPr/>
            </w:pPr>
            <w:r>
              <w:rPr/>
              <w:t xml:space="preserve">   </w:t>
            </w:r>
          </w:p>
        </w:tc>
        <w:tc>
          <w:tcPr>
            <w:tcW w:w="505" w:type="dxa"/>
            <w:tcBorders/>
            <w:shd w:fill="auto" w:val="clear"/>
            <w:vAlign w:val="bottom"/>
          </w:tcPr>
          <w:p>
            <w:pPr>
              <w:pStyle w:val="TableContents"/>
              <w:spacing w:before="0" w:after="283"/>
              <w:jc w:val="center"/>
              <w:rPr/>
            </w:pPr>
            <w:r>
              <w:rPr>
                <w:rStyle w:val="StrongEmphasis"/>
                <w:rFonts w:ascii="Times New Roman" w:hAnsi="Times New Roman"/>
                <w:sz w:val="14"/>
              </w:rPr>
              <w:t>Against</w:t>
            </w:r>
          </w:p>
        </w:tc>
        <w:tc>
          <w:tcPr>
            <w:tcW w:w="186" w:type="dxa"/>
            <w:tcBorders/>
            <w:shd w:fill="auto" w:val="clear"/>
            <w:vAlign w:val="bottom"/>
          </w:tcPr>
          <w:p>
            <w:pPr>
              <w:pStyle w:val="TableContents"/>
              <w:spacing w:before="0" w:after="283"/>
              <w:jc w:val="center"/>
              <w:rPr/>
            </w:pPr>
            <w:r>
              <w:rPr/>
              <w:t xml:space="preserve">   </w:t>
            </w:r>
          </w:p>
        </w:tc>
        <w:tc>
          <w:tcPr>
            <w:tcW w:w="511" w:type="dxa"/>
            <w:tcBorders/>
            <w:shd w:fill="auto" w:val="clear"/>
            <w:vAlign w:val="bottom"/>
          </w:tcPr>
          <w:p>
            <w:pPr>
              <w:pStyle w:val="TableContents"/>
              <w:spacing w:before="0" w:after="283"/>
              <w:jc w:val="center"/>
              <w:rPr/>
            </w:pPr>
            <w:r>
              <w:rPr>
                <w:rStyle w:val="StrongEmphasis"/>
                <w:rFonts w:ascii="Times New Roman" w:hAnsi="Times New Roman"/>
                <w:sz w:val="14"/>
              </w:rPr>
              <w:t>Abstain</w:t>
            </w:r>
          </w:p>
        </w:tc>
      </w:tr>
      <w:tr>
        <w:trPr/>
        <w:tc>
          <w:tcPr>
            <w:tcW w:w="302"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left"/>
              <w:rPr/>
            </w:pPr>
            <w:r>
              <w:rPr/>
              <w:t xml:space="preserve">  </w:t>
            </w:r>
          </w:p>
        </w:tc>
        <w:tc>
          <w:tcPr>
            <w:tcW w:w="127" w:type="dxa"/>
            <w:tcBorders/>
            <w:shd w:fill="auto" w:val="clear"/>
            <w:vAlign w:val="center"/>
          </w:tcPr>
          <w:p>
            <w:pPr>
              <w:pStyle w:val="TableContents"/>
              <w:spacing w:before="0" w:after="283"/>
              <w:jc w:val="left"/>
              <w:rPr/>
            </w:pPr>
            <w:r>
              <w:rPr/>
              <w:t> </w:t>
            </w:r>
          </w:p>
        </w:tc>
        <w:tc>
          <w:tcPr>
            <w:tcW w:w="7673" w:type="dxa"/>
            <w:tcBorders/>
            <w:shd w:fill="auto" w:val="clear"/>
            <w:vAlign w:val="center"/>
          </w:tcPr>
          <w:p>
            <w:pPr>
              <w:pStyle w:val="TableContents"/>
              <w:spacing w:before="0" w:after="283"/>
              <w:jc w:val="left"/>
              <w:rPr/>
            </w:pPr>
            <w:r>
              <w:rPr/>
              <w:t> </w:t>
            </w:r>
          </w:p>
        </w:tc>
        <w:tc>
          <w:tcPr>
            <w:tcW w:w="245" w:type="dxa"/>
            <w:tcBorders/>
            <w:shd w:fill="auto" w:val="clear"/>
            <w:vAlign w:val="center"/>
          </w:tcPr>
          <w:p>
            <w:pPr>
              <w:pStyle w:val="TableContents"/>
              <w:spacing w:before="0" w:after="283"/>
              <w:jc w:val="center"/>
              <w:rPr/>
            </w:pPr>
            <w:r>
              <w:rPr/>
              <w:t> </w:t>
            </w:r>
          </w:p>
        </w:tc>
        <w:tc>
          <w:tcPr>
            <w:tcW w:w="186" w:type="dxa"/>
            <w:tcBorders/>
            <w:shd w:fill="auto" w:val="clear"/>
            <w:vAlign w:val="center"/>
          </w:tcPr>
          <w:p>
            <w:pPr>
              <w:pStyle w:val="TableContents"/>
              <w:spacing w:before="0" w:after="283"/>
              <w:jc w:val="center"/>
              <w:rPr/>
            </w:pPr>
            <w:r>
              <w:rPr/>
              <w:t> </w:t>
            </w:r>
          </w:p>
        </w:tc>
        <w:tc>
          <w:tcPr>
            <w:tcW w:w="505" w:type="dxa"/>
            <w:tcBorders/>
            <w:shd w:fill="auto" w:val="clear"/>
            <w:vAlign w:val="center"/>
          </w:tcPr>
          <w:p>
            <w:pPr>
              <w:pStyle w:val="TableContents"/>
              <w:spacing w:before="0" w:after="283"/>
              <w:jc w:val="center"/>
              <w:rPr/>
            </w:pPr>
            <w:r>
              <w:rPr/>
              <w:t> </w:t>
            </w:r>
          </w:p>
        </w:tc>
        <w:tc>
          <w:tcPr>
            <w:tcW w:w="186" w:type="dxa"/>
            <w:tcBorders/>
            <w:shd w:fill="auto" w:val="clear"/>
            <w:vAlign w:val="center"/>
          </w:tcPr>
          <w:p>
            <w:pPr>
              <w:pStyle w:val="TableContents"/>
              <w:spacing w:before="0" w:after="283"/>
              <w:jc w:val="center"/>
              <w:rPr/>
            </w:pPr>
            <w:r>
              <w:rPr/>
              <w:t> </w:t>
            </w:r>
          </w:p>
        </w:tc>
        <w:tc>
          <w:tcPr>
            <w:tcW w:w="511" w:type="dxa"/>
            <w:tcBorders/>
            <w:shd w:fill="auto" w:val="clear"/>
            <w:vAlign w:val="center"/>
          </w:tcPr>
          <w:p>
            <w:pPr>
              <w:pStyle w:val="TableContents"/>
              <w:spacing w:before="0" w:after="283"/>
              <w:jc w:val="center"/>
              <w:rPr/>
            </w:pPr>
            <w:r>
              <w:rPr/>
              <w:t> </w:t>
            </w:r>
          </w:p>
        </w:tc>
      </w:tr>
      <w:tr>
        <w:trPr/>
        <w:tc>
          <w:tcPr>
            <w:tcW w:w="302"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2.</w:t>
            </w:r>
          </w:p>
        </w:tc>
        <w:tc>
          <w:tcPr>
            <w:tcW w:w="127" w:type="dxa"/>
            <w:tcBorders/>
            <w:shd w:fill="auto" w:val="clear"/>
            <w:vAlign w:val="bottom"/>
          </w:tcPr>
          <w:p>
            <w:pPr>
              <w:pStyle w:val="TableContents"/>
              <w:spacing w:before="0" w:after="283"/>
              <w:jc w:val="left"/>
              <w:rPr/>
            </w:pPr>
            <w:r>
              <w:rPr/>
              <w:t>  </w:t>
            </w:r>
          </w:p>
        </w:tc>
        <w:tc>
          <w:tcPr>
            <w:tcW w:w="76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Ratification of the appointment of PricewaterhouseCoopers LLP as the Company's independent auditor for the fiscal year ending July 31, 2014.</w:t>
            </w:r>
          </w:p>
        </w:tc>
        <w:tc>
          <w:tcPr>
            <w:tcW w:w="245" w:type="dxa"/>
            <w:tcBorders/>
            <w:shd w:fill="auto" w:val="clear"/>
          </w:tcPr>
          <w:p>
            <w:pPr>
              <w:pStyle w:val="TableContents"/>
              <w:spacing w:before="0" w:after="283"/>
              <w:jc w:val="center"/>
              <w:rPr>
                <w:rFonts w:ascii="Wingdings" w:hAnsi="Wingdings"/>
                <w:sz w:val="20"/>
              </w:rPr>
            </w:pPr>
            <w:r>
              <w:rPr>
                <w:rFonts w:ascii="Wingdings" w:hAnsi="Wingdings"/>
                <w:sz w:val="20"/>
              </w:rPr>
              <w:t>o</w:t>
            </w:r>
          </w:p>
        </w:tc>
        <w:tc>
          <w:tcPr>
            <w:tcW w:w="186" w:type="dxa"/>
            <w:tcBorders/>
            <w:shd w:fill="auto" w:val="clear"/>
          </w:tcPr>
          <w:p>
            <w:pPr>
              <w:pStyle w:val="TableContents"/>
              <w:spacing w:before="0" w:after="283"/>
              <w:jc w:val="center"/>
              <w:rPr/>
            </w:pPr>
            <w:r>
              <w:rPr/>
              <w:t> </w:t>
            </w:r>
          </w:p>
        </w:tc>
        <w:tc>
          <w:tcPr>
            <w:tcW w:w="505" w:type="dxa"/>
            <w:tcBorders/>
            <w:shd w:fill="auto" w:val="clear"/>
          </w:tcPr>
          <w:p>
            <w:pPr>
              <w:pStyle w:val="TableContents"/>
              <w:spacing w:before="0" w:after="283"/>
              <w:jc w:val="center"/>
              <w:rPr>
                <w:rFonts w:ascii="Wingdings" w:hAnsi="Wingdings"/>
                <w:sz w:val="20"/>
              </w:rPr>
            </w:pPr>
            <w:r>
              <w:rPr>
                <w:rFonts w:ascii="Wingdings" w:hAnsi="Wingdings"/>
                <w:sz w:val="20"/>
              </w:rPr>
              <w:t>o</w:t>
            </w:r>
          </w:p>
        </w:tc>
        <w:tc>
          <w:tcPr>
            <w:tcW w:w="186" w:type="dxa"/>
            <w:tcBorders/>
            <w:shd w:fill="auto" w:val="clear"/>
          </w:tcPr>
          <w:p>
            <w:pPr>
              <w:pStyle w:val="TableContents"/>
              <w:spacing w:before="0" w:after="283"/>
              <w:jc w:val="center"/>
              <w:rPr/>
            </w:pPr>
            <w:r>
              <w:rPr/>
              <w:t> </w:t>
            </w:r>
          </w:p>
        </w:tc>
        <w:tc>
          <w:tcPr>
            <w:tcW w:w="511" w:type="dxa"/>
            <w:tcBorders/>
            <w:shd w:fill="auto" w:val="clear"/>
          </w:tcPr>
          <w:p>
            <w:pPr>
              <w:pStyle w:val="TableContents"/>
              <w:spacing w:before="0" w:after="283"/>
              <w:jc w:val="center"/>
              <w:rPr>
                <w:rFonts w:ascii="Wingdings" w:hAnsi="Wingdings"/>
                <w:sz w:val="20"/>
              </w:rPr>
            </w:pPr>
            <w:r>
              <w:rPr>
                <w:rFonts w:ascii="Wingdings" w:hAnsi="Wingdings"/>
                <w:sz w:val="20"/>
              </w:rPr>
              <w:t>o</w:t>
            </w:r>
          </w:p>
        </w:tc>
      </w:tr>
      <w:tr>
        <w:trPr/>
        <w:tc>
          <w:tcPr>
            <w:tcW w:w="302" w:type="dxa"/>
            <w:tcBorders/>
            <w:shd w:fill="auto" w:val="clear"/>
            <w:vAlign w:val="center"/>
          </w:tcPr>
          <w:p>
            <w:pPr>
              <w:pStyle w:val="TableContents"/>
              <w:spacing w:before="0" w:after="283"/>
              <w:rPr>
                <w:sz w:val="4"/>
                <w:szCs w:val="4"/>
              </w:rPr>
            </w:pPr>
            <w:r>
              <w:rPr>
                <w:sz w:val="4"/>
                <w:szCs w:val="4"/>
              </w:rPr>
            </w:r>
          </w:p>
        </w:tc>
        <w:tc>
          <w:tcPr>
            <w:tcW w:w="9903" w:type="dxa"/>
            <w:gridSpan w:val="8"/>
            <w:tcBorders/>
            <w:shd w:fill="auto" w:val="clear"/>
            <w:vAlign w:val="center"/>
          </w:tcPr>
          <w:p>
            <w:pPr>
              <w:pStyle w:val="TableContents"/>
              <w:spacing w:before="0" w:after="283"/>
              <w:jc w:val="left"/>
              <w:rPr/>
            </w:pPr>
            <w:r>
              <w:rPr/>
              <w:t> </w:t>
            </w:r>
          </w:p>
        </w:tc>
      </w:tr>
      <w:tr>
        <w:trPr/>
        <w:tc>
          <w:tcPr>
            <w:tcW w:w="302"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3.</w:t>
            </w:r>
          </w:p>
        </w:tc>
        <w:tc>
          <w:tcPr>
            <w:tcW w:w="127" w:type="dxa"/>
            <w:tcBorders/>
            <w:shd w:fill="auto" w:val="clear"/>
            <w:vAlign w:val="bottom"/>
          </w:tcPr>
          <w:p>
            <w:pPr>
              <w:pStyle w:val="TableContents"/>
              <w:spacing w:before="0" w:after="283"/>
              <w:jc w:val="left"/>
              <w:rPr/>
            </w:pPr>
            <w:r>
              <w:rPr/>
              <w:t> </w:t>
            </w:r>
          </w:p>
        </w:tc>
        <w:tc>
          <w:tcPr>
            <w:tcW w:w="767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In their discretion, the Proxies are authorized to vote upon such other business as may properly come before the meeting.</w:t>
            </w:r>
          </w:p>
        </w:tc>
        <w:tc>
          <w:tcPr>
            <w:tcW w:w="245"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bottom"/>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09"/>
        <w:gridCol w:w="4535"/>
        <w:gridCol w:w="287"/>
        <w:gridCol w:w="432"/>
        <w:gridCol w:w="239"/>
        <w:gridCol w:w="366"/>
        <w:gridCol w:w="161"/>
        <w:gridCol w:w="366"/>
        <w:gridCol w:w="2324"/>
        <w:gridCol w:w="366"/>
        <w:gridCol w:w="245"/>
        <w:gridCol w:w="366"/>
        <w:gridCol w:w="209"/>
      </w:tblGrid>
      <w:tr>
        <w:trPr/>
        <w:tc>
          <w:tcPr>
            <w:tcW w:w="309" w:type="dxa"/>
            <w:tcBorders/>
            <w:shd w:fill="auto" w:val="clear"/>
            <w:vAlign w:val="center"/>
          </w:tcPr>
          <w:p>
            <w:pPr>
              <w:pStyle w:val="TableContents"/>
              <w:spacing w:before="0" w:after="283"/>
              <w:jc w:val="left"/>
              <w:rPr/>
            </w:pPr>
            <w:r>
              <w:rPr/>
              <w:t>     </w:t>
            </w:r>
          </w:p>
        </w:tc>
        <w:tc>
          <w:tcPr>
            <w:tcW w:w="5493" w:type="dxa"/>
            <w:gridSpan w:val="4"/>
            <w:tcBorders/>
            <w:shd w:fill="auto" w:val="clear"/>
            <w:vAlign w:val="center"/>
          </w:tcPr>
          <w:p>
            <w:pPr>
              <w:pStyle w:val="TableContents"/>
              <w:spacing w:before="0" w:after="283"/>
              <w:jc w:val="left"/>
              <w:rPr/>
            </w:pPr>
            <w:r>
              <w:rPr/>
              <w:t> </w:t>
            </w:r>
            <w:r>
              <w:rPr/>
              <w:br/>
              <w:t> </w:t>
            </w:r>
          </w:p>
        </w:tc>
        <w:tc>
          <w:tcPr>
            <w:tcW w:w="36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jc w:val="left"/>
              <w:rPr/>
            </w:pPr>
            <w:r>
              <w:rPr/>
              <w:t xml:space="preserve">      </w:t>
            </w:r>
          </w:p>
        </w:tc>
        <w:tc>
          <w:tcPr>
            <w:tcW w:w="232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309" w:type="dxa"/>
            <w:tcBorders/>
            <w:shd w:fill="auto" w:val="clear"/>
            <w:vAlign w:val="center"/>
          </w:tcPr>
          <w:p>
            <w:pPr>
              <w:pStyle w:val="TableContents"/>
              <w:spacing w:before="0" w:after="283"/>
              <w:rPr>
                <w:sz w:val="4"/>
                <w:szCs w:val="4"/>
              </w:rPr>
            </w:pPr>
            <w:r>
              <w:rPr>
                <w:sz w:val="4"/>
                <w:szCs w:val="4"/>
              </w:rPr>
            </w:r>
          </w:p>
        </w:tc>
        <w:tc>
          <w:tcPr>
            <w:tcW w:w="5493" w:type="dxa"/>
            <w:gridSpan w:val="4"/>
            <w:tcBorders/>
            <w:shd w:fill="auto" w:val="clear"/>
            <w:vAlign w:val="center"/>
          </w:tcPr>
          <w:p>
            <w:pPr>
              <w:pStyle w:val="TableContents"/>
              <w:spacing w:before="0" w:after="283"/>
              <w:jc w:val="left"/>
              <w:rPr>
                <w:sz w:val="14"/>
              </w:rPr>
            </w:pPr>
            <w:r>
              <w:rPr>
                <w:sz w:val="14"/>
              </w:rPr>
              <w:t>For address changes and/or comments, please check this box and write them</w:t>
              <w:br/>
              <w:t>on the back where indicated.</w:t>
            </w:r>
          </w:p>
        </w:tc>
        <w:tc>
          <w:tcPr>
            <w:tcW w:w="366" w:type="dxa"/>
            <w:tcBorders/>
            <w:shd w:fill="auto" w:val="clear"/>
            <w:vAlign w:val="center"/>
          </w:tcPr>
          <w:p>
            <w:pPr>
              <w:pStyle w:val="TableContents"/>
              <w:spacing w:before="0" w:after="283"/>
              <w:jc w:val="left"/>
              <w:rPr/>
            </w:pPr>
            <w:r>
              <w:rPr/>
              <w:t xml:space="preserve">      </w:t>
            </w:r>
          </w:p>
        </w:tc>
        <w:tc>
          <w:tcPr>
            <w:tcW w:w="161" w:type="dxa"/>
            <w:tcBorders/>
            <w:shd w:fill="auto" w:val="clear"/>
          </w:tcPr>
          <w:p>
            <w:pPr>
              <w:pStyle w:val="TableContents"/>
              <w:spacing w:before="0" w:after="283"/>
              <w:jc w:val="center"/>
              <w:rPr>
                <w:rFonts w:ascii="Wingdings" w:hAnsi="Wingdings"/>
                <w:sz w:val="20"/>
              </w:rPr>
            </w:pPr>
            <w:r>
              <w:rPr>
                <w:rFonts w:ascii="Wingdings" w:hAnsi="Wingdings"/>
                <w:sz w:val="20"/>
              </w:rPr>
              <w:t>o</w:t>
            </w:r>
          </w:p>
        </w:tc>
        <w:tc>
          <w:tcPr>
            <w:tcW w:w="366" w:type="dxa"/>
            <w:tcBorders/>
            <w:shd w:fill="auto" w:val="clear"/>
          </w:tcPr>
          <w:p>
            <w:pPr>
              <w:pStyle w:val="TableContents"/>
              <w:spacing w:before="0" w:after="283"/>
              <w:rPr>
                <w:sz w:val="4"/>
                <w:szCs w:val="4"/>
              </w:rPr>
            </w:pPr>
            <w:r>
              <w:rPr>
                <w:sz w:val="4"/>
                <w:szCs w:val="4"/>
              </w:rPr>
            </w:r>
          </w:p>
        </w:tc>
        <w:tc>
          <w:tcPr>
            <w:tcW w:w="2324"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tcPr>
          <w:p>
            <w:pPr>
              <w:pStyle w:val="TableContents"/>
              <w:spacing w:before="0" w:after="283"/>
              <w:rPr>
                <w:sz w:val="4"/>
                <w:szCs w:val="4"/>
              </w:rPr>
            </w:pPr>
            <w:r>
              <w:rPr>
                <w:sz w:val="4"/>
                <w:szCs w:val="4"/>
              </w:rPr>
            </w:r>
          </w:p>
        </w:tc>
        <w:tc>
          <w:tcPr>
            <w:tcW w:w="245" w:type="dxa"/>
            <w:tcBorders/>
            <w:shd w:fill="auto" w:val="clear"/>
          </w:tcPr>
          <w:p>
            <w:pPr>
              <w:pStyle w:val="TableContents"/>
              <w:spacing w:before="0" w:after="283"/>
              <w:rPr>
                <w:sz w:val="4"/>
                <w:szCs w:val="4"/>
              </w:rPr>
            </w:pPr>
            <w:r>
              <w:rPr>
                <w:sz w:val="4"/>
                <w:szCs w:val="4"/>
              </w:rPr>
            </w:r>
          </w:p>
        </w:tc>
        <w:tc>
          <w:tcPr>
            <w:tcW w:w="366" w:type="dxa"/>
            <w:tcBorders/>
            <w:shd w:fill="auto" w:val="clear"/>
          </w:tcPr>
          <w:p>
            <w:pPr>
              <w:pStyle w:val="TableContents"/>
              <w:spacing w:before="0" w:after="283"/>
              <w:rPr>
                <w:sz w:val="4"/>
                <w:szCs w:val="4"/>
              </w:rPr>
            </w:pPr>
            <w:r>
              <w:rPr>
                <w:sz w:val="4"/>
                <w:szCs w:val="4"/>
              </w:rPr>
            </w:r>
          </w:p>
        </w:tc>
        <w:tc>
          <w:tcPr>
            <w:tcW w:w="209" w:type="dxa"/>
            <w:tcBorders/>
            <w:shd w:fill="auto" w:val="clear"/>
          </w:tcPr>
          <w:p>
            <w:pPr>
              <w:pStyle w:val="TableContents"/>
              <w:spacing w:before="0" w:after="283"/>
              <w:rPr>
                <w:sz w:val="4"/>
                <w:szCs w:val="4"/>
              </w:rPr>
            </w:pPr>
            <w:r>
              <w:rPr>
                <w:sz w:val="4"/>
                <w:szCs w:val="4"/>
              </w:rPr>
            </w:r>
          </w:p>
        </w:tc>
      </w:tr>
      <w:tr>
        <w:trPr/>
        <w:tc>
          <w:tcPr>
            <w:tcW w:w="309" w:type="dxa"/>
            <w:tcBorders/>
            <w:shd w:fill="auto" w:val="clear"/>
            <w:vAlign w:val="bottom"/>
          </w:tcPr>
          <w:p>
            <w:pPr>
              <w:pStyle w:val="TableContents"/>
              <w:spacing w:before="0" w:after="283"/>
              <w:jc w:val="left"/>
              <w:rPr/>
            </w:pPr>
            <w:r>
              <w:rPr/>
              <w:t> </w:t>
            </w:r>
          </w:p>
        </w:tc>
        <w:tc>
          <w:tcPr>
            <w:tcW w:w="4535" w:type="dxa"/>
            <w:vMerge w:val="restart"/>
            <w:tcBorders/>
            <w:shd w:fill="auto" w:val="clear"/>
            <w:vAlign w:val="bottom"/>
          </w:tcPr>
          <w:p>
            <w:pPr>
              <w:pStyle w:val="TableContents"/>
              <w:spacing w:before="0" w:after="283"/>
              <w:jc w:val="left"/>
              <w:rPr/>
            </w:pPr>
            <w:r>
              <w:rPr/>
              <w:t> </w:t>
            </w:r>
            <w:r>
              <w:rPr/>
              <w:br/>
            </w:r>
            <w:r>
              <w:rPr>
                <w:rFonts w:ascii="Times New Roman" w:hAnsi="Times New Roman"/>
                <w:sz w:val="14"/>
              </w:rPr>
              <w:t>Please indicate if you plan to attend this meeting.</w:t>
            </w:r>
          </w:p>
        </w:tc>
        <w:tc>
          <w:tcPr>
            <w:tcW w:w="287"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jc w:val="left"/>
              <w:rPr/>
            </w:pPr>
            <w:r>
              <w:rPr/>
              <w:t> </w:t>
            </w:r>
          </w:p>
        </w:tc>
        <w:tc>
          <w:tcPr>
            <w:tcW w:w="161"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jc w:val="left"/>
              <w:rPr/>
            </w:pPr>
            <w:r>
              <w:rPr/>
              <w:t> </w:t>
            </w:r>
          </w:p>
        </w:tc>
        <w:tc>
          <w:tcPr>
            <w:tcW w:w="2324" w:type="dxa"/>
            <w:vMerge w:val="restart"/>
            <w:tcBorders/>
            <w:shd w:fill="auto" w:val="clear"/>
            <w:vAlign w:val="bottom"/>
          </w:tcPr>
          <w:p>
            <w:pPr>
              <w:pStyle w:val="TableContents"/>
              <w:spacing w:before="0" w:after="283"/>
              <w:jc w:val="both"/>
              <w:rPr>
                <w:sz w:val="14"/>
              </w:rPr>
            </w:pPr>
            <w:r>
              <w:rPr>
                <w:sz w:val="14"/>
              </w:rPr>
              <w:t>Please indicate if you consent to receive certain future investor communications in a single package per household (Please note that each registered stockholder in your household will need to consent to this option.)</w:t>
            </w:r>
          </w:p>
        </w:tc>
        <w:tc>
          <w:tcPr>
            <w:tcW w:w="366"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jc w:val="left"/>
              <w:rPr/>
            </w:pPr>
            <w:r>
              <w:rPr/>
              <w:t xml:space="preserve">     </w:t>
            </w:r>
          </w:p>
        </w:tc>
        <w:tc>
          <w:tcPr>
            <w:tcW w:w="209" w:type="dxa"/>
            <w:tcBorders/>
            <w:shd w:fill="auto" w:val="clear"/>
            <w:vAlign w:val="bottom"/>
          </w:tcPr>
          <w:p>
            <w:pPr>
              <w:pStyle w:val="TableContents"/>
              <w:spacing w:before="0" w:after="283"/>
              <w:rPr>
                <w:sz w:val="4"/>
                <w:szCs w:val="4"/>
              </w:rPr>
            </w:pPr>
            <w:r>
              <w:rPr>
                <w:sz w:val="4"/>
                <w:szCs w:val="4"/>
              </w:rPr>
            </w:r>
          </w:p>
        </w:tc>
      </w:tr>
      <w:tr>
        <w:trPr/>
        <w:tc>
          <w:tcPr>
            <w:tcW w:w="309" w:type="dxa"/>
            <w:tcBorders/>
            <w:shd w:fill="auto" w:val="clear"/>
            <w:vAlign w:val="bottom"/>
          </w:tcPr>
          <w:p>
            <w:pPr>
              <w:pStyle w:val="TableContents"/>
              <w:spacing w:before="0" w:after="283"/>
              <w:rPr>
                <w:sz w:val="4"/>
                <w:szCs w:val="4"/>
              </w:rPr>
            </w:pPr>
            <w:r>
              <w:rPr>
                <w:sz w:val="4"/>
                <w:szCs w:val="4"/>
              </w:rPr>
            </w:r>
          </w:p>
        </w:tc>
        <w:tc>
          <w:tcPr>
            <w:tcW w:w="4535" w:type="dxa"/>
            <w:vMerge w:val="continue"/>
            <w:tcBorders/>
            <w:shd w:fill="auto" w:val="clear"/>
            <w:vAlign w:val="bottom"/>
          </w:tcPr>
          <w:p>
            <w:pPr>
              <w:pStyle w:val="Normal"/>
              <w:rPr/>
            </w:pPr>
            <w:r>
              <w:rPr/>
            </w:r>
          </w:p>
        </w:tc>
        <w:tc>
          <w:tcPr>
            <w:tcW w:w="287" w:type="dxa"/>
            <w:tcBorders/>
            <w:shd w:fill="auto" w:val="clear"/>
            <w:vAlign w:val="bottom"/>
          </w:tcPr>
          <w:p>
            <w:pPr>
              <w:pStyle w:val="TableContents"/>
              <w:spacing w:before="0" w:after="283"/>
              <w:jc w:val="center"/>
              <w:rPr>
                <w:rFonts w:ascii="Wingdings" w:hAnsi="Wingdings"/>
                <w:sz w:val="20"/>
              </w:rPr>
            </w:pPr>
            <w:r>
              <w:rPr>
                <w:rFonts w:ascii="Wingdings" w:hAnsi="Wingdings"/>
                <w:sz w:val="20"/>
              </w:rPr>
              <w:t>o</w:t>
            </w:r>
          </w:p>
        </w:tc>
        <w:tc>
          <w:tcPr>
            <w:tcW w:w="432" w:type="dxa"/>
            <w:tcBorders/>
            <w:shd w:fill="auto" w:val="clear"/>
            <w:vAlign w:val="bottom"/>
          </w:tcPr>
          <w:p>
            <w:pPr>
              <w:pStyle w:val="TableContents"/>
              <w:spacing w:before="0" w:after="283"/>
              <w:jc w:val="center"/>
              <w:rPr/>
            </w:pPr>
            <w:r>
              <w:rPr/>
              <w:t xml:space="preserve">      </w:t>
            </w:r>
          </w:p>
        </w:tc>
        <w:tc>
          <w:tcPr>
            <w:tcW w:w="239" w:type="dxa"/>
            <w:tcBorders/>
            <w:shd w:fill="auto" w:val="clear"/>
            <w:vAlign w:val="bottom"/>
          </w:tcPr>
          <w:p>
            <w:pPr>
              <w:pStyle w:val="TableContents"/>
              <w:spacing w:before="0" w:after="283"/>
              <w:jc w:val="center"/>
              <w:rPr>
                <w:rFonts w:ascii="Wingdings" w:hAnsi="Wingdings"/>
                <w:sz w:val="20"/>
              </w:rPr>
            </w:pPr>
            <w:r>
              <w:rPr>
                <w:rFonts w:ascii="Wingdings" w:hAnsi="Wingdings"/>
                <w:sz w:val="20"/>
              </w:rPr>
              <w:t>o</w:t>
            </w:r>
          </w:p>
        </w:tc>
        <w:tc>
          <w:tcPr>
            <w:tcW w:w="366"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2324" w:type="dxa"/>
            <w:vMerge w:val="continue"/>
            <w:tcBorders/>
            <w:shd w:fill="auto" w:val="clear"/>
            <w:vAlign w:val="bottom"/>
          </w:tcPr>
          <w:p>
            <w:pPr>
              <w:pStyle w:val="Normal"/>
              <w:rPr/>
            </w:pPr>
            <w:r>
              <w:rPr/>
            </w:r>
          </w:p>
        </w:tc>
        <w:tc>
          <w:tcPr>
            <w:tcW w:w="366" w:type="dxa"/>
            <w:tcBorders/>
            <w:shd w:fill="auto" w:val="clear"/>
            <w:vAlign w:val="bottom"/>
          </w:tcPr>
          <w:p>
            <w:pPr>
              <w:pStyle w:val="TableContents"/>
              <w:spacing w:before="0" w:after="283"/>
              <w:rPr/>
            </w:pPr>
            <w:r>
              <w:rPr/>
              <w:t xml:space="preserve">      </w:t>
            </w:r>
          </w:p>
        </w:tc>
        <w:tc>
          <w:tcPr>
            <w:tcW w:w="245" w:type="dxa"/>
            <w:tcBorders/>
            <w:shd w:fill="auto" w:val="clear"/>
            <w:vAlign w:val="bottom"/>
          </w:tcPr>
          <w:p>
            <w:pPr>
              <w:pStyle w:val="TableContents"/>
              <w:spacing w:before="0" w:after="283"/>
              <w:jc w:val="center"/>
              <w:rPr>
                <w:rFonts w:ascii="Wingdings" w:hAnsi="Wingdings"/>
                <w:sz w:val="20"/>
              </w:rPr>
            </w:pPr>
            <w:r>
              <w:rPr>
                <w:rFonts w:ascii="Wingdings" w:hAnsi="Wingdings"/>
                <w:sz w:val="20"/>
              </w:rPr>
              <w:t>o</w:t>
            </w:r>
          </w:p>
        </w:tc>
        <w:tc>
          <w:tcPr>
            <w:tcW w:w="366" w:type="dxa"/>
            <w:tcBorders/>
            <w:shd w:fill="auto" w:val="clear"/>
            <w:vAlign w:val="bottom"/>
          </w:tcPr>
          <w:p>
            <w:pPr>
              <w:pStyle w:val="TableContents"/>
              <w:spacing w:before="0" w:after="283"/>
              <w:rPr/>
            </w:pPr>
            <w:r>
              <w:rPr/>
              <w:t xml:space="preserve">      </w:t>
            </w:r>
          </w:p>
        </w:tc>
        <w:tc>
          <w:tcPr>
            <w:tcW w:w="209" w:type="dxa"/>
            <w:tcBorders/>
            <w:shd w:fill="auto" w:val="clear"/>
            <w:vAlign w:val="bottom"/>
          </w:tcPr>
          <w:p>
            <w:pPr>
              <w:pStyle w:val="TableContents"/>
              <w:spacing w:before="0" w:after="283"/>
              <w:jc w:val="center"/>
              <w:rPr>
                <w:rFonts w:ascii="Wingdings" w:hAnsi="Wingdings"/>
                <w:sz w:val="20"/>
              </w:rPr>
            </w:pPr>
            <w:r>
              <w:rPr>
                <w:rFonts w:ascii="Wingdings" w:hAnsi="Wingdings"/>
                <w:sz w:val="20"/>
              </w:rPr>
              <w:t>o</w:t>
            </w:r>
          </w:p>
        </w:tc>
      </w:tr>
      <w:tr>
        <w:trPr/>
        <w:tc>
          <w:tcPr>
            <w:tcW w:w="309" w:type="dxa"/>
            <w:tcBorders/>
            <w:shd w:fill="auto" w:val="clear"/>
            <w:vAlign w:val="bottom"/>
          </w:tcPr>
          <w:p>
            <w:pPr>
              <w:pStyle w:val="TableContents"/>
              <w:spacing w:before="0" w:after="283"/>
              <w:rPr>
                <w:sz w:val="4"/>
                <w:szCs w:val="4"/>
              </w:rPr>
            </w:pPr>
            <w:r>
              <w:rPr>
                <w:sz w:val="4"/>
                <w:szCs w:val="4"/>
              </w:rPr>
            </w:r>
          </w:p>
        </w:tc>
        <w:tc>
          <w:tcPr>
            <w:tcW w:w="4535"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Yes</w:t>
            </w:r>
          </w:p>
        </w:tc>
        <w:tc>
          <w:tcPr>
            <w:tcW w:w="432"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No</w:t>
            </w:r>
          </w:p>
        </w:tc>
        <w:tc>
          <w:tcPr>
            <w:tcW w:w="366"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2324"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rStyle w:val="StrongEmphasis"/>
                <w:sz w:val="14"/>
              </w:rPr>
              <w:t>Yes</w:t>
            </w:r>
          </w:p>
        </w:tc>
        <w:tc>
          <w:tcPr>
            <w:tcW w:w="366"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rStyle w:val="StrongEmphasis"/>
                <w:sz w:val="14"/>
              </w:rPr>
              <w:t>No</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41"/>
        <w:gridCol w:w="488"/>
        <w:gridCol w:w="9376"/>
      </w:tblGrid>
      <w:tr>
        <w:trPr/>
        <w:tc>
          <w:tcPr>
            <w:tcW w:w="341" w:type="dxa"/>
            <w:tcBorders/>
            <w:shd w:fill="FFFFFF" w:val="clear"/>
            <w:vAlign w:val="bottom"/>
          </w:tcPr>
          <w:p>
            <w:pPr>
              <w:pStyle w:val="TableContents"/>
              <w:spacing w:before="0" w:after="283"/>
              <w:rPr>
                <w:sz w:val="4"/>
                <w:szCs w:val="4"/>
              </w:rPr>
            </w:pPr>
            <w:r>
              <w:rPr>
                <w:sz w:val="4"/>
                <w:szCs w:val="4"/>
              </w:rPr>
            </w:r>
          </w:p>
        </w:tc>
        <w:tc>
          <w:tcPr>
            <w:tcW w:w="488" w:type="dxa"/>
            <w:tcBorders/>
            <w:shd w:fill="000000" w:val="clear"/>
            <w:vAlign w:val="bottom"/>
          </w:tcPr>
          <w:p>
            <w:pPr>
              <w:pStyle w:val="TableContents"/>
              <w:spacing w:before="0" w:after="283"/>
              <w:jc w:val="left"/>
              <w:rPr/>
            </w:pPr>
            <w:r>
              <w:rPr>
                <w:rStyle w:val="StrongEmphasis"/>
                <w:color w:val="FFFFFF"/>
              </w:rPr>
              <w:t>   </w:t>
            </w:r>
            <w:r>
              <w:rPr>
                <w:rStyle w:val="StrongEmphasis"/>
                <w:rFonts w:ascii="Times New Roman" w:hAnsi="Times New Roman"/>
                <w:color w:val="FFFFFF"/>
                <w:sz w:val="20"/>
              </w:rPr>
              <w:t>C   </w:t>
            </w:r>
          </w:p>
        </w:tc>
        <w:tc>
          <w:tcPr>
            <w:tcW w:w="9376" w:type="dxa"/>
            <w:tcBorders/>
            <w:shd w:fill="auto" w:val="clear"/>
            <w:vAlign w:val="bottom"/>
          </w:tcPr>
          <w:p>
            <w:pPr>
              <w:pStyle w:val="TableContents"/>
              <w:spacing w:before="0" w:after="283"/>
              <w:jc w:val="left"/>
              <w:rPr/>
            </w:pPr>
            <w:r>
              <w:rPr/>
              <w:t xml:space="preserve">   </w:t>
            </w:r>
            <w:r>
              <w:rPr>
                <w:rFonts w:ascii="Times New Roman" w:hAnsi="Times New Roman"/>
                <w:b/>
                <w:sz w:val="20"/>
              </w:rPr>
              <w:t>Authorized Signatures - Sign Below - This section must be completed for your instructions to be executed.</w:t>
            </w:r>
          </w:p>
        </w:tc>
      </w:tr>
      <w:tr>
        <w:trPr/>
        <w:tc>
          <w:tcPr>
            <w:tcW w:w="341" w:type="dxa"/>
            <w:tcBorders/>
            <w:shd w:fill="auto" w:val="clear"/>
            <w:vAlign w:val="center"/>
          </w:tcPr>
          <w:p>
            <w:pPr>
              <w:pStyle w:val="TableContents"/>
              <w:spacing w:before="0" w:after="283"/>
              <w:rPr/>
            </w:pPr>
            <w:r>
              <w:rPr/>
              <w:t>     </w:t>
            </w:r>
          </w:p>
        </w:tc>
        <w:tc>
          <w:tcPr>
            <w:tcW w:w="9864" w:type="dxa"/>
            <w:gridSpan w:val="2"/>
            <w:tcBorders/>
            <w:shd w:fill="auto" w:val="clear"/>
            <w:vAlign w:val="center"/>
          </w:tcPr>
          <w:p>
            <w:pPr>
              <w:pStyle w:val="TableContents"/>
              <w:spacing w:before="0" w:after="283"/>
              <w:jc w:val="left"/>
              <w:rPr/>
            </w:pPr>
            <w:r>
              <w:rPr/>
              <w:t xml:space="preserve">  </w:t>
            </w:r>
          </w:p>
        </w:tc>
      </w:tr>
      <w:tr>
        <w:trPr/>
        <w:tc>
          <w:tcPr>
            <w:tcW w:w="341" w:type="dxa"/>
            <w:tcBorders/>
            <w:shd w:fill="auto" w:val="clear"/>
            <w:vAlign w:val="bottom"/>
          </w:tcPr>
          <w:p>
            <w:pPr>
              <w:pStyle w:val="TableContents"/>
              <w:spacing w:before="0" w:after="283"/>
              <w:rPr>
                <w:sz w:val="4"/>
                <w:szCs w:val="4"/>
              </w:rPr>
            </w:pPr>
            <w:r>
              <w:rPr>
                <w:sz w:val="4"/>
                <w:szCs w:val="4"/>
              </w:rPr>
            </w:r>
          </w:p>
        </w:tc>
        <w:tc>
          <w:tcPr>
            <w:tcW w:w="9864" w:type="dxa"/>
            <w:gridSpan w:val="2"/>
            <w:tcBorders/>
            <w:shd w:fill="auto" w:val="clear"/>
            <w:vAlign w:val="bottom"/>
          </w:tcPr>
          <w:p>
            <w:pPr>
              <w:pStyle w:val="TableContents"/>
              <w:spacing w:before="0" w:after="283"/>
              <w:jc w:val="both"/>
              <w:rPr>
                <w:rFonts w:ascii="Times New Roman" w:hAnsi="Times New Roman"/>
                <w:sz w:val="14"/>
              </w:rPr>
            </w:pPr>
            <w:r>
              <w:rPr>
                <w:rFonts w:ascii="Times New Roman" w:hAnsi="Times New Roman"/>
                <w:sz w:val="14"/>
              </w:rPr>
              <w:t>Please sign exactly as your name appears on this proxy. When shares are held by joint tenants, both should sign. When signing as attorney, administrator, trustee or guardian, please give full title as such. If a corporation, please sign in full corporate name by president or other authorized officer. If a partnership, please sign in partnership name by an authorized person.</w:t>
            </w:r>
          </w:p>
        </w:tc>
      </w:tr>
    </w:tbl>
    <w:p>
      <w:pPr>
        <w:pStyle w:val="TextBody"/>
        <w:spacing w:before="0" w:after="0"/>
        <w:rPr/>
      </w:pPr>
      <w:r>
        <w:rPr/>
      </w:r>
    </w:p>
    <w:tbl>
      <w:tblPr>
        <w:tblW w:w="4500" w:type="pct"/>
        <w:jc w:val="left"/>
        <w:tblInd w:w="0" w:type="dxa"/>
        <w:tblCellMar>
          <w:top w:w="0" w:type="dxa"/>
          <w:left w:w="0" w:type="dxa"/>
          <w:bottom w:w="0" w:type="dxa"/>
          <w:right w:w="0" w:type="dxa"/>
        </w:tblCellMar>
      </w:tblPr>
      <w:tblGrid>
        <w:gridCol w:w="300"/>
        <w:gridCol w:w="3489"/>
        <w:gridCol w:w="547"/>
        <w:gridCol w:w="634"/>
        <w:gridCol w:w="2846"/>
        <w:gridCol w:w="547"/>
        <w:gridCol w:w="821"/>
      </w:tblGrid>
      <w:tr>
        <w:trPr/>
        <w:tc>
          <w:tcPr>
            <w:tcW w:w="300" w:type="dxa"/>
            <w:tcBorders/>
            <w:shd w:fill="auto" w:val="clear"/>
            <w:vAlign w:val="center"/>
          </w:tcPr>
          <w:p>
            <w:pPr>
              <w:pStyle w:val="TableContents"/>
              <w:spacing w:before="0" w:after="283"/>
              <w:rPr>
                <w:sz w:val="4"/>
                <w:szCs w:val="4"/>
              </w:rPr>
            </w:pPr>
            <w:r>
              <w:rPr>
                <w:sz w:val="4"/>
                <w:szCs w:val="4"/>
              </w:rPr>
            </w:r>
          </w:p>
        </w:tc>
        <w:tc>
          <w:tcPr>
            <w:tcW w:w="3489" w:type="dxa"/>
            <w:tcBorders>
              <w:top w:val="single" w:sz="8" w:space="0" w:color="000000"/>
              <w:left w:val="single" w:sz="8" w:space="0" w:color="000000"/>
              <w:bottom w:val="single" w:sz="10"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283"/>
              <w:jc w:val="left"/>
              <w:rPr/>
            </w:pPr>
            <w:r>
              <w:rPr/>
              <w:t> </w:t>
            </w:r>
          </w:p>
        </w:tc>
        <w:tc>
          <w:tcPr>
            <w:tcW w:w="547" w:type="dxa"/>
            <w:tcBorders>
              <w:top w:val="single" w:sz="8" w:space="0" w:color="000000"/>
              <w:bottom w:val="single" w:sz="10" w:space="0" w:color="000000"/>
              <w:right w:val="single" w:sz="8" w:space="0" w:color="000000"/>
            </w:tcBorders>
            <w:shd w:fill="auto" w:val="clear"/>
            <w:tcMar>
              <w:top w:w="28" w:type="dxa"/>
              <w:bottom w:w="28" w:type="dxa"/>
              <w:right w:w="28" w:type="dxa"/>
            </w:tcM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2846" w:type="dxa"/>
            <w:tcBorders>
              <w:top w:val="single" w:sz="8" w:space="0" w:color="000000"/>
              <w:left w:val="single" w:sz="8" w:space="0" w:color="000000"/>
              <w:bottom w:val="single" w:sz="10"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283"/>
              <w:jc w:val="left"/>
              <w:rPr/>
            </w:pPr>
            <w:r>
              <w:rPr/>
              <w:t> </w:t>
            </w:r>
          </w:p>
        </w:tc>
        <w:tc>
          <w:tcPr>
            <w:tcW w:w="547" w:type="dxa"/>
            <w:tcBorders>
              <w:top w:val="single" w:sz="8" w:space="0" w:color="000000"/>
              <w:bottom w:val="single" w:sz="10" w:space="0" w:color="000000"/>
              <w:right w:val="single" w:sz="8" w:space="0" w:color="000000"/>
            </w:tcBorders>
            <w:shd w:fill="auto" w:val="clear"/>
            <w:tcMar>
              <w:top w:w="28" w:type="dxa"/>
              <w:bottom w:w="28" w:type="dxa"/>
              <w:right w:w="28" w:type="dxa"/>
            </w:tcM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bottom"/>
          </w:tcPr>
          <w:p>
            <w:pPr>
              <w:pStyle w:val="TableContents"/>
              <w:spacing w:before="0" w:after="283"/>
              <w:jc w:val="left"/>
              <w:rPr/>
            </w:pPr>
            <w:r>
              <w:rPr/>
              <w:t>     </w:t>
            </w:r>
          </w:p>
        </w:tc>
        <w:tc>
          <w:tcPr>
            <w:tcW w:w="3489"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Signature [PLEASE SIGN WITHIN BOX]</w:t>
            </w:r>
          </w:p>
        </w:tc>
        <w:tc>
          <w:tcPr>
            <w:tcW w:w="54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Date</w:t>
            </w:r>
          </w:p>
        </w:tc>
        <w:tc>
          <w:tcPr>
            <w:tcW w:w="634" w:type="dxa"/>
            <w:tcBorders/>
            <w:shd w:fill="auto" w:val="clear"/>
            <w:vAlign w:val="bottom"/>
          </w:tcPr>
          <w:p>
            <w:pPr>
              <w:pStyle w:val="TableContents"/>
              <w:spacing w:before="0" w:after="283"/>
              <w:jc w:val="left"/>
              <w:rPr/>
            </w:pPr>
            <w:r>
              <w:rPr/>
              <w:t> </w:t>
            </w:r>
          </w:p>
        </w:tc>
        <w:tc>
          <w:tcPr>
            <w:tcW w:w="284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Signature (Joint Owners)</w:t>
            </w:r>
          </w:p>
        </w:tc>
        <w:tc>
          <w:tcPr>
            <w:tcW w:w="54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Date</w:t>
            </w:r>
          </w:p>
        </w:tc>
        <w:tc>
          <w:tcPr>
            <w:tcW w:w="821"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r>
    </w:p>
    <w:p>
      <w:pPr>
        <w:pStyle w:val="HorizontalLine"/>
        <w:pBdr>
          <w:bottom w:val="single" w:sz="12" w:space="0" w:color="808080"/>
        </w:pBdr>
        <w:rPr/>
      </w:pPr>
      <w:r>
        <w:rPr/>
      </w:r>
    </w:p>
    <w:p>
      <w:pPr>
        <w:pStyle w:val="TextBody"/>
        <w:rPr/>
      </w:pPr>
      <w:r>
        <w:rPr/>
      </w:r>
    </w:p>
    <w:p>
      <w:pPr>
        <w:pStyle w:val="TextBody"/>
        <w:pBdr/>
        <w:jc w:val="both"/>
        <w:rPr/>
      </w:pPr>
      <w:r>
        <w:rPr/>
        <w:t> </w:t>
      </w:r>
    </w:p>
    <w:p>
      <w:pPr>
        <w:pStyle w:val="TextBody"/>
        <w:pBdr/>
        <w:jc w:val="both"/>
        <w:rPr/>
      </w:pPr>
      <w:r>
        <w:rPr/>
        <w:t> </w:t>
      </w:r>
    </w:p>
    <w:p>
      <w:pPr>
        <w:pStyle w:val="TextBody"/>
        <w:pBdr/>
        <w:jc w:val="both"/>
        <w:rPr/>
      </w:pPr>
      <w:r>
        <w:rPr/>
        <w:t> </w:t>
      </w:r>
    </w:p>
    <w:p>
      <w:pPr>
        <w:pStyle w:val="TextBody"/>
        <w:pBdr/>
        <w:jc w:val="both"/>
        <w:rPr/>
      </w:pPr>
      <w:r>
        <w:rPr/>
        <w:t> </w:t>
      </w:r>
    </w:p>
    <w:p>
      <w:pPr>
        <w:pStyle w:val="TextBody"/>
        <w:pBdr/>
        <w:jc w:val="both"/>
        <w:rPr/>
      </w:pPr>
      <w:r>
        <w:rPr>
          <w:rFonts w:ascii="Times New Roman" w:hAnsi="Times New Roman"/>
          <w:b/>
          <w:sz w:val="20"/>
        </w:rPr>
        <w:t>Important Notice Regarding the Availability of Proxy Materials for the Annual Meeting to be held on December 10, 2013:</w:t>
      </w:r>
      <w:r>
        <w:rPr/>
        <w:t xml:space="preserve"> </w:t>
      </w:r>
      <w:r>
        <w:rPr>
          <w:rFonts w:ascii="Times New Roman" w:hAnsi="Times New Roman"/>
          <w:sz w:val="20"/>
        </w:rPr>
        <w:t>The Company's 2013 Proxy Statement and its 2013 Annual Report on Form 10-K are available at: http://www.oildri.com/investors/.</w:t>
      </w:r>
    </w:p>
    <w:p>
      <w:pPr>
        <w:pStyle w:val="TextBody"/>
        <w:pBdr/>
        <w:jc w:val="both"/>
        <w:rPr/>
      </w:pPr>
      <w:r>
        <w:rPr/>
        <w:t> </w:t>
      </w:r>
    </w:p>
    <w:p>
      <w:pPr>
        <w:pStyle w:val="TextBody"/>
        <w:pBdr/>
        <w:jc w:val="both"/>
        <w:rPr/>
      </w:pPr>
      <w:r>
        <w:rPr/>
        <w:t> </w:t>
      </w:r>
    </w:p>
    <w:p>
      <w:pPr>
        <w:pStyle w:val="TextBody"/>
        <w:pBdr/>
        <w:jc w:val="both"/>
        <w:rPr/>
      </w:pPr>
      <w:r>
        <w:rPr/>
        <w:t> </w:t>
      </w:r>
    </w:p>
    <w:p>
      <w:pPr>
        <w:pStyle w:val="TextBody"/>
        <w:pBdr/>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dashed" w:sz="8" w:space="0" w:color="000000"/>
            </w:tcBorders>
            <w:shd w:fill="auto" w:val="clear"/>
            <w:vAlign w:val="center"/>
          </w:tcPr>
          <w:p>
            <w:pPr>
              <w:pStyle w:val="TableContents"/>
              <w:spacing w:before="0" w:after="283"/>
              <w:jc w:val="left"/>
              <w:rPr/>
            </w:pPr>
            <w:r>
              <w:rPr/>
              <w:t> </w:t>
            </w:r>
          </w:p>
        </w:tc>
      </w:tr>
      <w:tr>
        <w:trPr/>
        <w:tc>
          <w:tcPr>
            <w:tcW w:w="10205" w:type="dxa"/>
            <w:tcBorders/>
            <w:shd w:fill="auto" w:val="clear"/>
            <w:tcMar>
              <w:bottom w:w="0" w:type="dxa"/>
            </w:tcMar>
            <w:vAlign w:val="bottom"/>
          </w:tcPr>
          <w:p>
            <w:pPr>
              <w:pStyle w:val="TableContents"/>
              <w:spacing w:before="0" w:after="283"/>
              <w:jc w:val="right"/>
              <w:rPr>
                <w:rFonts w:ascii="Times New Roman" w:hAnsi="Times New Roman"/>
                <w:sz w:val="14"/>
              </w:rPr>
            </w:pPr>
            <w:r>
              <w:rPr>
                <w:rFonts w:ascii="Times New Roman" w:hAnsi="Times New Roman"/>
                <w:sz w:val="14"/>
              </w:rPr>
              <w:t>M63370-TBD</w:t>
            </w:r>
          </w:p>
        </w:tc>
      </w:tr>
    </w:tbl>
    <w:p>
      <w:pPr>
        <w:pStyle w:val="TextBody"/>
        <w:spacing w:before="0" w:after="0"/>
        <w:rPr/>
      </w:pPr>
      <w:r>
        <w:rPr/>
      </w:r>
    </w:p>
    <w:tbl>
      <w:tblPr>
        <w:tblW w:w="5000" w:type="pct"/>
        <w:jc w:val="left"/>
        <w:tblInd w:w="0" w:type="dxa"/>
        <w:tblCellMar>
          <w:top w:w="28" w:type="dxa"/>
          <w:left w:w="0" w:type="dxa"/>
          <w:bottom w:w="28" w:type="dxa"/>
          <w:right w:w="0" w:type="dxa"/>
        </w:tblCellMar>
      </w:tblPr>
      <w:tblGrid>
        <w:gridCol w:w="10205"/>
      </w:tblGrid>
      <w:tr>
        <w:trPr/>
        <w:tc>
          <w:tcPr>
            <w:tcW w:w="10205" w:type="dxa"/>
            <w:tcBorders>
              <w:top w:val="single" w:sz="24" w:space="0" w:color="000000"/>
              <w:bottom w:val="single" w:sz="24" w:space="0" w:color="000000"/>
            </w:tcBorders>
            <w:shd w:fill="auto" w:val="clear"/>
            <w:vAlign w:val="center"/>
          </w:tcPr>
          <w:p>
            <w:pPr>
              <w:pStyle w:val="TableContents"/>
              <w:spacing w:before="0" w:after="283"/>
              <w:rPr/>
            </w:pPr>
            <w:r>
              <w:rPr/>
              <w:t xml:space="preserve">  </w:t>
            </w:r>
            <w:r>
              <w:rPr>
                <w:rStyle w:val="StrongEmphasis"/>
                <w:rFonts w:ascii="Times New Roman" w:hAnsi="Times New Roman"/>
                <w:sz w:val="28"/>
              </w:rPr>
              <w:t>Proxy - OIL-DRI CORPORATION OF AMERICA</w:t>
            </w:r>
          </w:p>
        </w:tc>
      </w:tr>
    </w:tbl>
    <w:p>
      <w:pPr>
        <w:pStyle w:val="TextBody"/>
        <w:jc w:val="both"/>
        <w:rPr>
          <w:rFonts w:ascii="Times New Roman" w:hAnsi="Times New Roman"/>
          <w:b/>
          <w:sz w:val="20"/>
          <w:bdr w:val="single" w:sz="18" w:space="15" w:color="000000"/>
        </w:rPr>
      </w:pPr>
      <w:r>
        <w:rPr>
          <w:rFonts w:ascii="Times New Roman" w:hAnsi="Times New Roman"/>
          <w:b/>
          <w:sz w:val="20"/>
          <w:bdr w:val="single" w:sz="18" w:space="15" w:color="000000"/>
        </w:rPr>
        <w:t xml:space="preserve">410 North Michigan Avenue, Suite 400, Chicago, Illinois 60611-4213 </w:t>
      </w:r>
    </w:p>
    <w:p>
      <w:pPr>
        <w:pStyle w:val="TextBody"/>
        <w:jc w:val="both"/>
        <w:rPr>
          <w:rFonts w:ascii="Times New Roman" w:hAnsi="Times New Roman"/>
          <w:b/>
          <w:sz w:val="20"/>
          <w:bdr w:val="single" w:sz="18" w:space="15" w:color="000000"/>
        </w:rPr>
      </w:pPr>
      <w:r>
        <w:rPr>
          <w:rFonts w:ascii="Times New Roman" w:hAnsi="Times New Roman"/>
          <w:b/>
          <w:sz w:val="20"/>
          <w:bdr w:val="single" w:sz="18" w:space="15" w:color="000000"/>
        </w:rPr>
        <w:t>This Proxy is solicited on Behalf of the Board of Directors</w:t>
      </w:r>
    </w:p>
    <w:p>
      <w:pPr>
        <w:pStyle w:val="TextBody"/>
        <w:jc w:val="both"/>
        <w:rPr>
          <w:rFonts w:ascii="Times New Roman" w:hAnsi="Times New Roman"/>
          <w:sz w:val="20"/>
          <w:bdr w:val="single" w:sz="18" w:space="15" w:color="000000"/>
        </w:rPr>
      </w:pPr>
      <w:r>
        <w:rPr>
          <w:rFonts w:ascii="Times New Roman" w:hAnsi="Times New Roman"/>
          <w:sz w:val="20"/>
          <w:bdr w:val="single" w:sz="18" w:space="15" w:color="000000"/>
        </w:rPr>
        <w:t>The undersigned hereby appoints Richard M. Jaffee, Daniel S. Jaffee and Douglas A. Graham as Proxies, each with the full power to appoint his substitute (the action of one, if only one be present and acting, to be in any event controlling), and hereby authorizes them to represent and to vote, as designated on the reverse side, all of the shares of Common Stock and Class B Stock of Oil-Dri Corporation of America held of record by the undersigned at the close of business on October 18, 2013, at the Annual Meeting of Stockholders to be held at The Standard Club, 320 South Plymouth Court, Chicago, Illinois on December 10, 2013, at 9:30 a.m., local time, and any adjournments thereof, upon the proposals described in the Notice of Annual Meeting of Stockholders and Proxy Statement, both dated November 6, 2013, the receipt of which is hereby acknowledged. The Proxies, in their discretion, are further authorized to vote for the election of a person to the Board of Directors if any of the nominees named herein becomes unavailable to serve, and to vote on any other matters which may properly come before the Annual Meeting and any adjournments thereof.</w:t>
      </w:r>
    </w:p>
    <w:p>
      <w:pPr>
        <w:pStyle w:val="TextBody"/>
        <w:jc w:val="both"/>
        <w:rPr>
          <w:rFonts w:ascii="Times New Roman" w:hAnsi="Times New Roman"/>
          <w:b/>
          <w:sz w:val="20"/>
          <w:bdr w:val="single" w:sz="18" w:space="15" w:color="000000"/>
        </w:rPr>
      </w:pPr>
      <w:r>
        <w:rPr>
          <w:rFonts w:ascii="Times New Roman" w:hAnsi="Times New Roman"/>
          <w:b/>
          <w:sz w:val="20"/>
          <w:bdr w:val="single" w:sz="18" w:space="15" w:color="000000"/>
        </w:rPr>
        <w:t>This Proxy, when properly executed, will be voted in the manner directed herein by the undersigned stockholder. If no direction is made, this Proxy will be voted FOR all nominees listed in Proposal 1 and FOR Proposal 2 to ratify the appointment of PricewaterhouseCoopers LLP as independent auditor. This Proxy will be voted with discretionary authority to the Proxies appointed hereby on all other matters that may properly come before the Annual Meeting and any adjournments thereof.</w:t>
      </w:r>
    </w:p>
    <w:p>
      <w:pPr>
        <w:pStyle w:val="TextBody"/>
        <w:jc w:val="both"/>
        <w:rPr>
          <w:rFonts w:ascii="Times New Roman" w:hAnsi="Times New Roman"/>
          <w:b/>
          <w:sz w:val="20"/>
          <w:bdr w:val="single" w:sz="18" w:space="15" w:color="000000"/>
        </w:rPr>
      </w:pPr>
      <w:r>
        <w:rPr>
          <w:rFonts w:ascii="Times New Roman" w:hAnsi="Times New Roman"/>
          <w:b/>
          <w:sz w:val="20"/>
          <w:bdr w:val="single" w:sz="18" w:space="15" w:color="000000"/>
        </w:rPr>
        <w:t>Please mark, sign, date and mail the proxy card promptly using the enclosed envelope.</w:t>
      </w:r>
    </w:p>
    <w:tbl>
      <w:tblPr>
        <w:tblW w:w="5000" w:type="pct"/>
        <w:jc w:val="center"/>
        <w:tblInd w:w="0" w:type="dxa"/>
        <w:shd w:fill="FFFFFF" w:val="clear"/>
        <w:tblCellMar>
          <w:top w:w="0" w:type="dxa"/>
          <w:left w:w="0" w:type="dxa"/>
          <w:bottom w:w="0" w:type="dxa"/>
          <w:right w:w="0" w:type="dxa"/>
        </w:tblCellMar>
      </w:tblPr>
      <w:tblGrid>
        <w:gridCol w:w="2550"/>
        <w:gridCol w:w="7655"/>
      </w:tblGrid>
      <w:tr>
        <w:trPr/>
        <w:tc>
          <w:tcPr>
            <w:tcW w:w="2550" w:type="dxa"/>
            <w:tcBorders/>
            <w:shd w:fill="FFFFFF" w:val="clear"/>
            <w:vAlign w:val="center"/>
          </w:tcPr>
          <w:p>
            <w:pPr>
              <w:pStyle w:val="TableContents"/>
              <w:spacing w:before="0" w:after="283"/>
              <w:jc w:val="left"/>
              <w:rPr>
                <w:rFonts w:ascii="times new roman" w:hAnsi="times new roman"/>
                <w:b/>
                <w:sz w:val="20"/>
              </w:rPr>
            </w:pPr>
            <w:r>
              <w:rPr>
                <w:rFonts w:ascii="times new roman" w:hAnsi="times new roman"/>
                <w:b/>
                <w:sz w:val="20"/>
              </w:rPr>
              <w:t>Address Changes/Comments: </w:t>
            </w:r>
          </w:p>
        </w:tc>
        <w:tc>
          <w:tcPr>
            <w:tcW w:w="7655" w:type="dxa"/>
            <w:tcBorders>
              <w:bottom w:val="single" w:sz="2" w:space="0" w:color="000000"/>
            </w:tcBorders>
            <w:shd w:fill="FFFFFF" w:val="clear"/>
            <w:tcMar>
              <w:bottom w:w="28" w:type="dxa"/>
            </w:tcMar>
            <w:vAlign w:val="center"/>
          </w:tcPr>
          <w:p>
            <w:pPr>
              <w:pStyle w:val="TableContents"/>
              <w:spacing w:before="0" w:after="283"/>
              <w:jc w:val="left"/>
              <w:rPr/>
            </w:pPr>
            <w:r>
              <w:rPr/>
              <w:t> </w:t>
            </w:r>
          </w:p>
        </w:tc>
      </w:tr>
      <w:tr>
        <w:trPr/>
        <w:tc>
          <w:tcPr>
            <w:tcW w:w="10205" w:type="dxa"/>
            <w:gridSpan w:val="2"/>
            <w:tcBorders>
              <w:bottom w:val="single" w:sz="2" w:space="0" w:color="000000"/>
            </w:tcBorders>
            <w:shd w:fill="FFFFFF" w:val="clear"/>
            <w:tcMar>
              <w:bottom w:w="28" w:type="dxa"/>
            </w:tcMar>
            <w:vAlign w:val="center"/>
          </w:tcPr>
          <w:p>
            <w:pPr>
              <w:pStyle w:val="TableContents"/>
              <w:spacing w:before="0" w:after="283"/>
              <w:jc w:val="left"/>
              <w:rPr/>
            </w:pPr>
            <w:r>
              <w:rPr/>
              <w:t> </w:t>
            </w:r>
          </w:p>
        </w:tc>
      </w:tr>
      <w:tr>
        <w:trPr/>
        <w:tc>
          <w:tcPr>
            <w:tcW w:w="10205" w:type="dxa"/>
            <w:gridSpan w:val="2"/>
            <w:tcBorders/>
            <w:shd w:fill="FFFFFF" w:val="clear"/>
            <w:vAlign w:val="center"/>
          </w:tcPr>
          <w:p>
            <w:pPr>
              <w:pStyle w:val="TableContents"/>
              <w:spacing w:before="0" w:after="283"/>
              <w:rPr/>
            </w:pPr>
            <w:r>
              <w:rPr/>
              <w:t> </w:t>
            </w:r>
          </w:p>
        </w:tc>
      </w:tr>
    </w:tbl>
    <w:p>
      <w:pPr>
        <w:pStyle w:val="TextBody"/>
        <w:jc w:val="center"/>
        <w:rPr>
          <w:rFonts w:ascii="Times New Roman" w:hAnsi="Times New Roman"/>
          <w:sz w:val="14"/>
          <w:bdr w:val="single" w:sz="18" w:space="15" w:color="000000"/>
        </w:rPr>
      </w:pPr>
      <w:r>
        <w:rPr>
          <w:rFonts w:ascii="Times New Roman" w:hAnsi="Times New Roman"/>
          <w:sz w:val="14"/>
          <w:bdr w:val="single" w:sz="18" w:space="15" w:color="000000"/>
        </w:rPr>
        <w:t>(If you noted any Address Changes/Comments above, please mark corresponding box on the reverse side.)</w:t>
      </w:r>
    </w:p>
    <w:p>
      <w:pPr>
        <w:pStyle w:val="TextBody"/>
        <w:jc w:val="both"/>
        <w:rPr>
          <w:rFonts w:ascii="Times New Roman" w:hAnsi="Times New Roman"/>
          <w:b/>
          <w:sz w:val="20"/>
          <w:bdr w:val="single" w:sz="18" w:space="15" w:color="000000"/>
        </w:rPr>
      </w:pPr>
      <w:r>
        <w:rPr>
          <w:rFonts w:ascii="Times New Roman" w:hAnsi="Times New Roman"/>
          <w:b/>
          <w:sz w:val="20"/>
          <w:bdr w:val="single" w:sz="18" w:space="15" w:color="000000"/>
        </w:rPr>
        <w:t>(Continued and to be signed on reverse side.)</w:t>
      </w:r>
    </w:p>
    <w:p>
      <w:pPr>
        <w:pStyle w:val="TextBody"/>
        <w:spacing w:before="0" w:after="0"/>
        <w:rPr/>
      </w:pPr>
      <w:r>
        <w:rPr/>
      </w:r>
    </w:p>
    <w:p>
      <w:pPr>
        <w:pStyle w:val="HorizontalLine"/>
        <w:pBdr>
          <w:bottom w:val="single" w:sz="1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26368</Words>
  <CharactersWithSpaces>161700</CharactersWithSpaces>
  <Paragraphs>2530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