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355" w:lineRule="exact"/>
        <w:rPr>
          <w:sz w:val="24"/>
          <w:szCs w:val="24"/>
          <w:color w:val="auto"/>
        </w:rPr>
      </w:pPr>
    </w:p>
    <w:tbl>
      <w:tblPr>
        <w:tblLayout w:type="fixed"/>
        <w:tblInd w:w="280" w:type="dxa"/>
        <w:tblCellMar>
          <w:top w:w="0" w:type="dxa"/>
          <w:left w:w="0" w:type="dxa"/>
          <w:bottom w:w="0" w:type="dxa"/>
          <w:right w:w="0" w:type="dxa"/>
        </w:tblCellMar>
      </w:tblPr>
      <w:tr>
        <w:trPr>
          <w:trHeight w:val="248"/>
        </w:trPr>
        <w:tc>
          <w:tcPr>
            <w:tcW w:w="75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tc>
        <w:tc>
          <w:tcPr>
            <w:tcW w:w="2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June 4, 2025</w:t>
            </w:r>
          </w:p>
        </w:tc>
      </w:tr>
      <w:tr>
        <w:trPr>
          <w:trHeight w:val="522"/>
        </w:trPr>
        <w:tc>
          <w:tcPr>
            <w:tcW w:w="3320" w:type="dxa"/>
            <w:vAlign w:val="bottom"/>
          </w:tcPr>
          <w:p>
            <w:pPr>
              <w:spacing w:after="0"/>
              <w:rPr>
                <w:sz w:val="24"/>
                <w:szCs w:val="24"/>
                <w:color w:val="auto"/>
              </w:rPr>
            </w:pPr>
          </w:p>
        </w:tc>
        <w:tc>
          <w:tcPr>
            <w:tcW w:w="42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OIL-DRI CORPORATION OF AMERICA</w:t>
            </w:r>
          </w:p>
        </w:tc>
        <w:tc>
          <w:tcPr>
            <w:tcW w:w="2780" w:type="dxa"/>
            <w:vAlign w:val="bottom"/>
          </w:tcPr>
          <w:p>
            <w:pPr>
              <w:spacing w:after="0"/>
              <w:rPr>
                <w:sz w:val="24"/>
                <w:szCs w:val="24"/>
                <w:color w:val="auto"/>
              </w:rPr>
            </w:pPr>
          </w:p>
        </w:tc>
      </w:tr>
      <w:tr>
        <w:trPr>
          <w:trHeight w:val="234"/>
        </w:trPr>
        <w:tc>
          <w:tcPr>
            <w:tcW w:w="3320" w:type="dxa"/>
            <w:vAlign w:val="bottom"/>
          </w:tcPr>
          <w:p>
            <w:pPr>
              <w:spacing w:after="0"/>
              <w:rPr>
                <w:sz w:val="20"/>
                <w:szCs w:val="20"/>
                <w:color w:val="auto"/>
              </w:rPr>
            </w:pPr>
          </w:p>
        </w:tc>
        <w:tc>
          <w:tcPr>
            <w:tcW w:w="42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(Exact name of the registrant as specified in its charter)</w:t>
            </w:r>
          </w:p>
        </w:tc>
        <w:tc>
          <w:tcPr>
            <w:tcW w:w="2780" w:type="dxa"/>
            <w:vAlign w:val="bottom"/>
          </w:tcPr>
          <w:p>
            <w:pPr>
              <w:spacing w:after="0"/>
              <w:rPr>
                <w:sz w:val="20"/>
                <w:szCs w:val="20"/>
                <w:color w:val="auto"/>
              </w:rPr>
            </w:pPr>
          </w:p>
        </w:tc>
      </w:tr>
      <w:tr>
        <w:trPr>
          <w:trHeight w:val="589"/>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200" w:type="dxa"/>
            <w:vAlign w:val="bottom"/>
          </w:tcPr>
          <w:p>
            <w:pPr>
              <w:jc w:val="right"/>
              <w:ind w:right="1730"/>
              <w:spacing w:after="0"/>
              <w:rPr>
                <w:sz w:val="20"/>
                <w:szCs w:val="20"/>
                <w:color w:val="auto"/>
              </w:rPr>
            </w:pPr>
            <w:r>
              <w:rPr>
                <w:rFonts w:ascii="Times New Roman" w:cs="Times New Roman" w:eastAsia="Times New Roman" w:hAnsi="Times New Roman"/>
                <w:sz w:val="18"/>
                <w:szCs w:val="18"/>
                <w:b w:val="1"/>
                <w:bCs w:val="1"/>
                <w:color w:val="auto"/>
              </w:rPr>
              <w:t>001-12622</w:t>
            </w:r>
          </w:p>
        </w:tc>
        <w:tc>
          <w:tcPr>
            <w:tcW w:w="278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36-2048898</w:t>
            </w:r>
          </w:p>
        </w:tc>
      </w:tr>
      <w:tr>
        <w:trPr>
          <w:trHeight w:val="180"/>
        </w:trPr>
        <w:tc>
          <w:tcPr>
            <w:tcW w:w="33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4200" w:type="dxa"/>
            <w:vAlign w:val="bottom"/>
          </w:tcPr>
          <w:p>
            <w:pPr>
              <w:spacing w:after="0"/>
              <w:rPr>
                <w:sz w:val="15"/>
                <w:szCs w:val="15"/>
                <w:color w:val="auto"/>
              </w:rPr>
            </w:pPr>
          </w:p>
        </w:tc>
        <w:tc>
          <w:tcPr>
            <w:tcW w:w="2780" w:type="dxa"/>
            <w:vAlign w:val="bottom"/>
          </w:tcPr>
          <w:p>
            <w:pPr>
              <w:spacing w:after="0"/>
              <w:rPr>
                <w:sz w:val="15"/>
                <w:szCs w:val="15"/>
                <w:color w:val="auto"/>
              </w:rPr>
            </w:pPr>
          </w:p>
        </w:tc>
      </w:tr>
      <w:tr>
        <w:trPr>
          <w:trHeight w:val="243"/>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organization)</w:t>
            </w:r>
          </w:p>
        </w:tc>
        <w:tc>
          <w:tcPr>
            <w:tcW w:w="42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(Commission File Number)</w:t>
            </w:r>
          </w:p>
        </w:tc>
        <w:tc>
          <w:tcPr>
            <w:tcW w:w="27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33"/>
        </w:trPr>
        <w:tc>
          <w:tcPr>
            <w:tcW w:w="3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410 North Michigan Avenue, Suite 400</w:t>
            </w:r>
          </w:p>
        </w:tc>
        <w:tc>
          <w:tcPr>
            <w:tcW w:w="420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30"/>
        </w:trPr>
        <w:tc>
          <w:tcPr>
            <w:tcW w:w="33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Chicago, Illinois</w:t>
            </w:r>
          </w:p>
        </w:tc>
        <w:tc>
          <w:tcPr>
            <w:tcW w:w="4200" w:type="dxa"/>
            <w:vAlign w:val="bottom"/>
          </w:tcPr>
          <w:p>
            <w:pPr>
              <w:spacing w:after="0"/>
              <w:rPr>
                <w:sz w:val="19"/>
                <w:szCs w:val="19"/>
                <w:color w:val="auto"/>
              </w:rPr>
            </w:pPr>
          </w:p>
        </w:tc>
        <w:tc>
          <w:tcPr>
            <w:tcW w:w="27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60611-4213</w:t>
            </w:r>
          </w:p>
        </w:tc>
      </w:tr>
      <w:tr>
        <w:trPr>
          <w:trHeight w:val="234"/>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200" w:type="dxa"/>
            <w:vAlign w:val="bottom"/>
          </w:tcPr>
          <w:p>
            <w:pPr>
              <w:spacing w:after="0"/>
              <w:rPr>
                <w:sz w:val="20"/>
                <w:szCs w:val="20"/>
                <w:color w:val="auto"/>
              </w:rPr>
            </w:pPr>
          </w:p>
        </w:tc>
        <w:tc>
          <w:tcPr>
            <w:tcW w:w="27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registrant's telephone number, including area code: (312) 321-1515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8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33" w:lineRule="exact"/>
        <w:rPr>
          <w:sz w:val="24"/>
          <w:szCs w:val="24"/>
          <w:color w:val="auto"/>
        </w:rPr>
      </w:pPr>
    </w:p>
    <w:p>
      <w:pPr>
        <w:jc w:val="both"/>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81" w:lineRule="exact"/>
        <w:rPr>
          <w:sz w:val="24"/>
          <w:szCs w:val="24"/>
          <w:color w:val="auto"/>
        </w:rPr>
      </w:pPr>
    </w:p>
    <w:p>
      <w:pPr>
        <w:ind w:left="760" w:hanging="532"/>
        <w:spacing w:after="0"/>
        <w:tabs>
          <w:tab w:leader="none" w:pos="7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995" w:right="339" w:bottom="1440" w:gutter="0" w:footer="0" w:header="0"/>
        </w:sectPr>
      </w:pPr>
    </w:p>
    <w:p>
      <w:pPr>
        <w:spacing w:after="0" w:line="127" w:lineRule="exact"/>
        <w:rPr>
          <w:sz w:val="24"/>
          <w:szCs w:val="24"/>
          <w:color w:val="auto"/>
        </w:rPr>
      </w:pPr>
    </w:p>
    <w:p>
      <w:pPr>
        <w:jc w:val="center"/>
        <w:ind w:left="106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1060"/>
        <w:spacing w:after="0"/>
        <w:rPr>
          <w:sz w:val="20"/>
          <w:szCs w:val="20"/>
          <w:color w:val="auto"/>
        </w:rPr>
      </w:pPr>
      <w:r>
        <w:rPr>
          <w:rFonts w:ascii="Times New Roman" w:cs="Times New Roman" w:eastAsia="Times New Roman" w:hAnsi="Times New Roman"/>
          <w:sz w:val="17"/>
          <w:szCs w:val="17"/>
          <w:color w:val="auto"/>
        </w:rPr>
        <w:t>Common Stock, par value $0.10 per share</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ODC</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193" w:lineRule="exact"/>
        <w:rPr>
          <w:sz w:val="24"/>
          <w:szCs w:val="24"/>
          <w:color w:val="auto"/>
        </w:rPr>
      </w:pPr>
    </w:p>
    <w:p>
      <w:pPr>
        <w:sectPr>
          <w:pgSz w:w="11900" w:h="16838" w:orient="portrait"/>
          <w:cols w:equalWidth="0" w:num="3">
            <w:col w:w="4080" w:space="620"/>
            <w:col w:w="1440" w:space="660"/>
            <w:col w:w="4440"/>
          </w:cols>
          <w:pgMar w:left="320" w:top="995" w:right="339" w:bottom="1440" w:gutter="0" w:footer="0" w:header="0"/>
          <w:type w:val="continuous"/>
        </w:sect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852805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85725</wp:posOffset>
            </wp:positionV>
            <wp:extent cx="70891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51435</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bookmarkStart w:id="1" w:name="page2"/>
    <w:bookmarkEnd w:id="1"/>
    <w:p>
      <w:pPr>
        <w:ind w:left="220"/>
        <w:spacing w:after="0"/>
        <w:tabs>
          <w:tab w:leader="none" w:pos="1260" w:val="left"/>
        </w:tabs>
        <w:rPr>
          <w:sz w:val="20"/>
          <w:szCs w:val="20"/>
          <w:color w:val="auto"/>
        </w:rPr>
      </w:pPr>
      <w:r>
        <w:rPr>
          <w:rFonts w:ascii="Times New Roman" w:cs="Times New Roman" w:eastAsia="Times New Roman" w:hAnsi="Times New Roman"/>
          <w:sz w:val="18"/>
          <w:szCs w:val="18"/>
          <w:b w:val="1"/>
          <w:bCs w:val="1"/>
          <w:u w:val="single" w:color="auto"/>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3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5, 2025, Oil-Dri Corporation of America (the “Company”) issued a press release announcing its results of operations for its third quarter ended April 30, 2025. A copy of the press release is attached as Exhibit 99.1, and the information contained therein is incorporated herein by reference.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including Exhibit 99.1 hereto, is being furnished and shall not be deemed “filed” for purposes of Section 18 of the Securities Exchange Act of 1934, as amended (the “Exchange Act”), or otherwise subject to the liabilities of that section. This information shall not be deemed to be incorporated by reference into any filing under the Securities Act of 1933, as amended, or the Exchange Act, except as shall be expressly set forth by specific reference to such disclosure in this Form 8-K in such a filing.</w:t>
      </w:r>
    </w:p>
    <w:p>
      <w:pPr>
        <w:spacing w:after="0" w:line="338" w:lineRule="exact"/>
        <w:rPr>
          <w:sz w:val="20"/>
          <w:szCs w:val="20"/>
          <w:color w:val="auto"/>
        </w:rPr>
      </w:pPr>
    </w:p>
    <w:p>
      <w:pPr>
        <w:ind w:left="220"/>
        <w:spacing w:after="0"/>
        <w:tabs>
          <w:tab w:leader="none" w:pos="1260" w:val="left"/>
        </w:tabs>
        <w:rPr>
          <w:sz w:val="20"/>
          <w:szCs w:val="20"/>
          <w:color w:val="auto"/>
        </w:rPr>
      </w:pPr>
      <w:r>
        <w:rPr>
          <w:rFonts w:ascii="Times New Roman" w:cs="Times New Roman" w:eastAsia="Times New Roman" w:hAnsi="Times New Roman"/>
          <w:sz w:val="18"/>
          <w:szCs w:val="18"/>
          <w:b w:val="1"/>
          <w:bCs w:val="1"/>
          <w:u w:val="single" w:color="auto"/>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3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June 4, 2025, the Company issued a press release announcing that, at its regular meeting on June 4, 2025, the Board of Directors of the Company (the “Board”) declared quarterly cash dividends of $0.18 per share of Common Stock, and $0.135 per share of Class B Stock. The dividends will be payable on August 22, 2025 to stockholders of record at the close of business on August 8, 2025.</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attached as Exhibit 99.2, and the information contained therein is incorporated herein by reference.</w:t>
      </w:r>
    </w:p>
    <w:p>
      <w:pPr>
        <w:spacing w:after="0" w:line="370" w:lineRule="exact"/>
        <w:rPr>
          <w:sz w:val="20"/>
          <w:szCs w:val="20"/>
          <w:color w:val="auto"/>
        </w:rPr>
      </w:pPr>
    </w:p>
    <w:p>
      <w:pPr>
        <w:ind w:left="220"/>
        <w:spacing w:after="0"/>
        <w:tabs>
          <w:tab w:leader="none" w:pos="1260" w:val="left"/>
        </w:tabs>
        <w:rPr>
          <w:sz w:val="20"/>
          <w:szCs w:val="20"/>
          <w:color w:val="auto"/>
        </w:rPr>
      </w:pPr>
      <w:r>
        <w:rPr>
          <w:rFonts w:ascii="Times New Roman" w:cs="Times New Roman" w:eastAsia="Times New Roman" w:hAnsi="Times New Roman"/>
          <w:sz w:val="18"/>
          <w:szCs w:val="18"/>
          <w:b w:val="1"/>
          <w:bCs w:val="1"/>
          <w:u w:val="single" w:color="auto"/>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10" w:lineRule="exact"/>
        <w:rPr>
          <w:sz w:val="20"/>
          <w:szCs w:val="20"/>
          <w:color w:val="auto"/>
        </w:rPr>
      </w:pPr>
    </w:p>
    <w:p>
      <w:pPr>
        <w:ind w:left="640" w:hanging="63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1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w:t>
            </w:r>
          </w:p>
        </w:tc>
        <w:tc>
          <w:tcPr>
            <w:tcW w:w="5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gridSpan w:val="3"/>
          </w:tcPr>
          <w:p>
            <w:pPr>
              <w:ind w:left="3900"/>
              <w:spacing w:after="0"/>
              <w:rPr>
                <w:sz w:val="20"/>
                <w:szCs w:val="20"/>
                <w:color w:val="auto"/>
              </w:rPr>
            </w:pPr>
            <w:r>
              <w:rPr>
                <w:rFonts w:ascii="Times New Roman" w:cs="Times New Roman" w:eastAsia="Times New Roman" w:hAnsi="Times New Roman"/>
                <w:sz w:val="18"/>
                <w:szCs w:val="18"/>
                <w:color w:val="auto"/>
              </w:rPr>
              <w:t>Description of Exhibits</w:t>
            </w:r>
          </w:p>
        </w:tc>
        <w:tc>
          <w:tcPr>
            <w:tcW w:w="20" w:type="dxa"/>
            <w:vAlign w:val="bottom"/>
          </w:tcPr>
          <w:p>
            <w:pPr>
              <w:spacing w:after="0"/>
              <w:rPr>
                <w:sz w:val="20"/>
                <w:szCs w:val="20"/>
                <w:color w:val="auto"/>
              </w:rPr>
            </w:pPr>
          </w:p>
        </w:tc>
      </w:tr>
      <w:tr>
        <w:trPr>
          <w:trHeight w:val="412"/>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Earnings Press Release of the Company dated June 5, 2025</w:t>
            </w:r>
          </w:p>
        </w:tc>
      </w:tr>
      <w:tr>
        <w:trPr>
          <w:trHeight w:val="20"/>
        </w:trPr>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r>
      <w:tr>
        <w:trPr>
          <w:trHeight w:val="264"/>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5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Dividends Press Release of the Company dated June 4, 2025</w:t>
            </w:r>
          </w:p>
        </w:tc>
      </w:tr>
      <w:tr>
        <w:trPr>
          <w:trHeight w:val="20"/>
        </w:trPr>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60" w:type="dxa"/>
            <w:vAlign w:val="bottom"/>
            <w:gridSpan w:val="2"/>
            <w:shd w:val="clear" w:color="auto" w:fill="0000FF"/>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r>
      <w:tr>
        <w:trPr>
          <w:trHeight w:val="304"/>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iXBRL document)</w:t>
            </w:r>
          </w:p>
        </w:tc>
      </w:tr>
      <w:tr>
        <w:trPr>
          <w:trHeight w:val="1546"/>
        </w:trPr>
        <w:tc>
          <w:tcPr>
            <w:tcW w:w="11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firstLine="52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OIL-DRI CORPORATION OF AMERICA</w:t>
      </w:r>
    </w:p>
    <w:p>
      <w:pPr>
        <w:spacing w:after="0" w:line="252" w:lineRule="exact"/>
        <w:rPr>
          <w:sz w:val="20"/>
          <w:szCs w:val="20"/>
          <w:color w:val="auto"/>
        </w:rPr>
      </w:pPr>
    </w:p>
    <w:tbl>
      <w:tblPr>
        <w:tblLayout w:type="fixed"/>
        <w:tblInd w:w="538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Anthony W. Parker</w:t>
            </w:r>
          </w:p>
        </w:tc>
      </w:tr>
      <w:tr>
        <w:trPr>
          <w:trHeight w:val="218"/>
        </w:trPr>
        <w:tc>
          <w:tcPr>
            <w:tcW w:w="64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Anthony W. Parker</w:t>
            </w:r>
          </w:p>
        </w:tc>
      </w:tr>
      <w:tr>
        <w:trPr>
          <w:trHeight w:val="234"/>
        </w:trPr>
        <w:tc>
          <w:tcPr>
            <w:tcW w:w="64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General Counsel &amp; Secretary</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5, 2025</w:t>
      </w:r>
    </w:p>
    <w:p>
      <w:pPr>
        <w:sectPr>
          <w:pgSz w:w="11900" w:h="16838" w:orient="portrait"/>
          <w:cols w:equalWidth="0" w:num="1">
            <w:col w:w="11220"/>
          </w:cols>
          <w:pgMar w:left="320" w:top="887" w:right="35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5"/>
          <w:szCs w:val="15"/>
          <w:i w:val="1"/>
          <w:iCs w:val="1"/>
          <w:color w:val="002D69"/>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t>410 N. Michigan Ave. Chicago, Illinois 60611, U.S.A</w:t>
      </w:r>
    </w:p>
    <w:p>
      <w:pPr>
        <w:spacing w:after="0" w:line="29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b w:val="1"/>
          <w:bCs w:val="1"/>
          <w:color w:val="002D69"/>
        </w:rPr>
        <w:t>News Announcement</w:t>
      </w:r>
    </w:p>
    <w:p>
      <w:pPr>
        <w:spacing w:after="0" w:line="3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98425</wp:posOffset>
            </wp:positionV>
            <wp:extent cx="659193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91935" cy="1714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2"/>
          <w:szCs w:val="22"/>
          <w:color w:val="auto"/>
        </w:rPr>
        <w:t>Exhibit 99.1</w:t>
      </w: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Oil-Dri Announces Highest Third Quarter Results on Record</w:t>
      </w:r>
    </w:p>
    <w:p>
      <w:pPr>
        <w:spacing w:after="0" w:line="251"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22"/>
          <w:szCs w:val="22"/>
          <w:color w:val="auto"/>
        </w:rPr>
        <w:t>CHICAGO-(June 5, 2025) - Oil-Dri Corporation of America (NYSE: ODC), producer and marketer of sorbent mineral products, today announced results for its third quarter and first nine-months of fiscal year 2025.</w:t>
      </w:r>
    </w:p>
    <w:p>
      <w:pPr>
        <w:spacing w:after="0" w:line="68"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3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Third Quarter</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7"/>
              </w:rPr>
              <w:t>Year to Date</w:t>
            </w:r>
          </w:p>
        </w:tc>
        <w:tc>
          <w:tcPr>
            <w:tcW w:w="1120" w:type="dxa"/>
            <w:vAlign w:val="bottom"/>
          </w:tcPr>
          <w:p>
            <w:pPr>
              <w:spacing w:after="0"/>
              <w:rPr>
                <w:sz w:val="20"/>
                <w:szCs w:val="20"/>
                <w:color w:val="auto"/>
              </w:rPr>
            </w:pPr>
          </w:p>
        </w:tc>
      </w:tr>
      <w:tr>
        <w:trPr>
          <w:trHeight w:val="236"/>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Ended April 30,</w:t>
            </w: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Ended April 30,</w:t>
            </w:r>
          </w:p>
        </w:tc>
        <w:tc>
          <w:tcPr>
            <w:tcW w:w="1120" w:type="dxa"/>
            <w:vAlign w:val="bottom"/>
            <w:tcBorders>
              <w:bottom w:val="single" w:sz="8" w:color="auto"/>
            </w:tcBorders>
          </w:tcPr>
          <w:p>
            <w:pPr>
              <w:spacing w:after="0"/>
              <w:rPr>
                <w:sz w:val="20"/>
                <w:szCs w:val="20"/>
                <w:color w:val="auto"/>
              </w:rPr>
            </w:pPr>
          </w:p>
        </w:tc>
      </w:tr>
      <w:tr>
        <w:trPr>
          <w:trHeight w:val="223"/>
        </w:trPr>
        <w:tc>
          <w:tcPr>
            <w:tcW w:w="3960" w:type="dxa"/>
            <w:vAlign w:val="bottom"/>
            <w:tcBorders>
              <w:left w:val="single" w:sz="8" w:color="auto"/>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19"/>
                <w:szCs w:val="19"/>
                <w:color w:val="auto"/>
              </w:rPr>
            </w:pPr>
          </w:p>
        </w:tc>
        <w:tc>
          <w:tcPr>
            <w:tcW w:w="10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40" w:type="dxa"/>
            <w:vAlign w:val="bottom"/>
          </w:tcPr>
          <w:p>
            <w:pPr>
              <w:spacing w:after="0"/>
              <w:rPr>
                <w:sz w:val="19"/>
                <w:szCs w:val="19"/>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9"/>
                <w:szCs w:val="19"/>
                <w:color w:val="auto"/>
              </w:rPr>
            </w:pPr>
          </w:p>
        </w:tc>
        <w:tc>
          <w:tcPr>
            <w:tcW w:w="12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9"/>
        </w:trPr>
        <w:tc>
          <w:tcPr>
            <w:tcW w:w="3960" w:type="dxa"/>
            <w:vAlign w:val="bottom"/>
            <w:tcBorders>
              <w:left w:val="single" w:sz="8" w:color="auto"/>
              <w:right w:val="single" w:sz="8" w:color="auto"/>
            </w:tcBorders>
            <w:shd w:val="clear" w:color="auto" w:fill="000000"/>
          </w:tcPr>
          <w:p>
            <w:pPr>
              <w:ind w:left="40"/>
              <w:spacing w:after="0"/>
              <w:rPr>
                <w:sz w:val="20"/>
                <w:szCs w:val="20"/>
                <w:color w:val="auto"/>
              </w:rPr>
            </w:pPr>
            <w:r>
              <w:rPr>
                <w:rFonts w:ascii="Times New Roman" w:cs="Times New Roman" w:eastAsia="Times New Roman" w:hAnsi="Times New Roman"/>
                <w:sz w:val="18"/>
                <w:szCs w:val="18"/>
                <w:color w:val="FFFFFF"/>
              </w:rPr>
              <w:t>Consolidated Results</w:t>
            </w:r>
          </w:p>
        </w:tc>
        <w:tc>
          <w:tcPr>
            <w:tcW w:w="240" w:type="dxa"/>
            <w:vAlign w:val="bottom"/>
            <w:shd w:val="clear" w:color="auto" w:fill="000000"/>
          </w:tcPr>
          <w:p>
            <w:pPr>
              <w:spacing w:after="0"/>
              <w:rPr>
                <w:sz w:val="19"/>
                <w:szCs w:val="19"/>
                <w:color w:val="auto"/>
              </w:rPr>
            </w:pPr>
          </w:p>
        </w:tc>
        <w:tc>
          <w:tcPr>
            <w:tcW w:w="920" w:type="dxa"/>
            <w:vAlign w:val="bottom"/>
            <w:shd w:val="clear" w:color="auto" w:fill="000000"/>
          </w:tcPr>
          <w:p>
            <w:pPr>
              <w:spacing w:after="0"/>
              <w:rPr>
                <w:sz w:val="19"/>
                <w:szCs w:val="19"/>
                <w:color w:val="auto"/>
              </w:rPr>
            </w:pPr>
          </w:p>
        </w:tc>
        <w:tc>
          <w:tcPr>
            <w:tcW w:w="300" w:type="dxa"/>
            <w:vAlign w:val="bottom"/>
            <w:shd w:val="clear" w:color="auto" w:fill="000000"/>
          </w:tcPr>
          <w:p>
            <w:pPr>
              <w:spacing w:after="0"/>
              <w:rPr>
                <w:sz w:val="19"/>
                <w:szCs w:val="19"/>
                <w:color w:val="auto"/>
              </w:rPr>
            </w:pPr>
          </w:p>
        </w:tc>
        <w:tc>
          <w:tcPr>
            <w:tcW w:w="1080" w:type="dxa"/>
            <w:vAlign w:val="bottom"/>
            <w:shd w:val="clear" w:color="auto" w:fill="000000"/>
          </w:tcPr>
          <w:p>
            <w:pPr>
              <w:spacing w:after="0"/>
              <w:rPr>
                <w:sz w:val="19"/>
                <w:szCs w:val="19"/>
                <w:color w:val="auto"/>
              </w:rPr>
            </w:pPr>
          </w:p>
        </w:tc>
        <w:tc>
          <w:tcPr>
            <w:tcW w:w="1120" w:type="dxa"/>
            <w:vAlign w:val="bottom"/>
            <w:tcBorders>
              <w:right w:val="single" w:sz="8" w:color="auto"/>
            </w:tcBorders>
            <w:shd w:val="clear" w:color="auto" w:fill="000000"/>
          </w:tcPr>
          <w:p>
            <w:pPr>
              <w:spacing w:after="0"/>
              <w:rPr>
                <w:sz w:val="19"/>
                <w:szCs w:val="19"/>
                <w:color w:val="auto"/>
              </w:rPr>
            </w:pPr>
          </w:p>
        </w:tc>
        <w:tc>
          <w:tcPr>
            <w:tcW w:w="240" w:type="dxa"/>
            <w:vAlign w:val="bottom"/>
            <w:shd w:val="clear" w:color="auto" w:fill="000000"/>
          </w:tcPr>
          <w:p>
            <w:pPr>
              <w:spacing w:after="0"/>
              <w:rPr>
                <w:sz w:val="19"/>
                <w:szCs w:val="19"/>
                <w:color w:val="auto"/>
              </w:rPr>
            </w:pPr>
          </w:p>
        </w:tc>
        <w:tc>
          <w:tcPr>
            <w:tcW w:w="920" w:type="dxa"/>
            <w:vAlign w:val="bottom"/>
            <w:shd w:val="clear" w:color="auto" w:fill="000000"/>
          </w:tcPr>
          <w:p>
            <w:pPr>
              <w:spacing w:after="0"/>
              <w:rPr>
                <w:sz w:val="19"/>
                <w:szCs w:val="19"/>
                <w:color w:val="auto"/>
              </w:rPr>
            </w:pPr>
          </w:p>
        </w:tc>
        <w:tc>
          <w:tcPr>
            <w:tcW w:w="140" w:type="dxa"/>
            <w:vAlign w:val="bottom"/>
            <w:shd w:val="clear" w:color="auto" w:fill="000000"/>
          </w:tcPr>
          <w:p>
            <w:pPr>
              <w:spacing w:after="0"/>
              <w:rPr>
                <w:sz w:val="19"/>
                <w:szCs w:val="19"/>
                <w:color w:val="auto"/>
              </w:rPr>
            </w:pPr>
          </w:p>
        </w:tc>
        <w:tc>
          <w:tcPr>
            <w:tcW w:w="1240" w:type="dxa"/>
            <w:vAlign w:val="bottom"/>
            <w:shd w:val="clear" w:color="auto" w:fill="000000"/>
          </w:tcPr>
          <w:p>
            <w:pPr>
              <w:spacing w:after="0"/>
              <w:rPr>
                <w:sz w:val="19"/>
                <w:szCs w:val="19"/>
                <w:color w:val="auto"/>
              </w:rPr>
            </w:pPr>
          </w:p>
        </w:tc>
        <w:tc>
          <w:tcPr>
            <w:tcW w:w="1120" w:type="dxa"/>
            <w:vAlign w:val="bottom"/>
            <w:tcBorders>
              <w:right w:val="single" w:sz="8" w:color="auto"/>
            </w:tcBorders>
            <w:shd w:val="clear" w:color="auto" w:fill="000000"/>
          </w:tcPr>
          <w:p>
            <w:pPr>
              <w:spacing w:after="0"/>
              <w:rPr>
                <w:sz w:val="19"/>
                <w:szCs w:val="19"/>
                <w:color w:val="auto"/>
              </w:rPr>
            </w:pPr>
          </w:p>
        </w:tc>
      </w:tr>
      <w:tr>
        <w:trPr>
          <w:trHeight w:val="225"/>
        </w:trPr>
        <w:tc>
          <w:tcPr>
            <w:tcW w:w="3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115,501</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106,779</w:t>
            </w:r>
          </w:p>
        </w:tc>
        <w:tc>
          <w:tcPr>
            <w:tcW w:w="112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8%</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360,360</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323,885</w:t>
            </w:r>
          </w:p>
        </w:tc>
        <w:tc>
          <w:tcPr>
            <w:tcW w:w="112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6"/>
              </w:rPr>
              <w:t>11%</w:t>
            </w:r>
          </w:p>
        </w:tc>
      </w:tr>
      <w:tr>
        <w:trPr>
          <w:trHeight w:val="230"/>
        </w:trPr>
        <w:tc>
          <w:tcPr>
            <w:tcW w:w="3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Operating Income *</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13,904</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10,432</w:t>
            </w:r>
          </w:p>
        </w:tc>
        <w:tc>
          <w:tcPr>
            <w:tcW w:w="112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52,576</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38,753</w:t>
            </w:r>
          </w:p>
        </w:tc>
        <w:tc>
          <w:tcPr>
            <w:tcW w:w="112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3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11,644</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7,777</w:t>
            </w:r>
          </w:p>
        </w:tc>
        <w:tc>
          <w:tcPr>
            <w:tcW w:w="112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40,941</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30,901</w:t>
            </w:r>
          </w:p>
        </w:tc>
        <w:tc>
          <w:tcPr>
            <w:tcW w:w="112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3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EBITDA †</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20,248</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14,997</w:t>
            </w:r>
          </w:p>
        </w:tc>
        <w:tc>
          <w:tcPr>
            <w:tcW w:w="112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68,631</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51,614</w:t>
            </w:r>
          </w:p>
        </w:tc>
        <w:tc>
          <w:tcPr>
            <w:tcW w:w="112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33%</w:t>
            </w:r>
          </w:p>
        </w:tc>
      </w:tr>
      <w:tr>
        <w:trPr>
          <w:trHeight w:val="234"/>
        </w:trPr>
        <w:tc>
          <w:tcPr>
            <w:tcW w:w="3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Diluted EPS - Common ‡</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0.53</w:t>
            </w:r>
          </w:p>
        </w:tc>
        <w:tc>
          <w:tcPr>
            <w:tcW w:w="112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2.13</w:t>
            </w:r>
          </w:p>
        </w:tc>
        <w:tc>
          <w:tcPr>
            <w:tcW w:w="112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3960" w:type="dxa"/>
            <w:vAlign w:val="bottom"/>
            <w:tcBorders>
              <w:left w:val="single" w:sz="8" w:color="auto"/>
              <w:right w:val="single" w:sz="8" w:color="auto"/>
            </w:tcBorders>
            <w:shd w:val="clear" w:color="auto" w:fill="000000"/>
          </w:tcPr>
          <w:p>
            <w:pPr>
              <w:ind w:left="40"/>
              <w:spacing w:after="0"/>
              <w:rPr>
                <w:sz w:val="20"/>
                <w:szCs w:val="20"/>
                <w:color w:val="auto"/>
              </w:rPr>
            </w:pPr>
            <w:r>
              <w:rPr>
                <w:rFonts w:ascii="Times New Roman" w:cs="Times New Roman" w:eastAsia="Times New Roman" w:hAnsi="Times New Roman"/>
                <w:sz w:val="18"/>
                <w:szCs w:val="18"/>
                <w:color w:val="FFFFFF"/>
              </w:rPr>
              <w:t>Business to Business</w:t>
            </w:r>
          </w:p>
        </w:tc>
        <w:tc>
          <w:tcPr>
            <w:tcW w:w="240" w:type="dxa"/>
            <w:vAlign w:val="bottom"/>
            <w:shd w:val="clear" w:color="auto" w:fill="000000"/>
          </w:tcPr>
          <w:p>
            <w:pPr>
              <w:spacing w:after="0"/>
              <w:rPr>
                <w:sz w:val="19"/>
                <w:szCs w:val="19"/>
                <w:color w:val="auto"/>
              </w:rPr>
            </w:pPr>
          </w:p>
        </w:tc>
        <w:tc>
          <w:tcPr>
            <w:tcW w:w="920" w:type="dxa"/>
            <w:vAlign w:val="bottom"/>
            <w:shd w:val="clear" w:color="auto" w:fill="000000"/>
          </w:tcPr>
          <w:p>
            <w:pPr>
              <w:spacing w:after="0"/>
              <w:rPr>
                <w:sz w:val="19"/>
                <w:szCs w:val="19"/>
                <w:color w:val="auto"/>
              </w:rPr>
            </w:pPr>
          </w:p>
        </w:tc>
        <w:tc>
          <w:tcPr>
            <w:tcW w:w="300" w:type="dxa"/>
            <w:vAlign w:val="bottom"/>
            <w:shd w:val="clear" w:color="auto" w:fill="000000"/>
          </w:tcPr>
          <w:p>
            <w:pPr>
              <w:spacing w:after="0"/>
              <w:rPr>
                <w:sz w:val="19"/>
                <w:szCs w:val="19"/>
                <w:color w:val="auto"/>
              </w:rPr>
            </w:pPr>
          </w:p>
        </w:tc>
        <w:tc>
          <w:tcPr>
            <w:tcW w:w="1080" w:type="dxa"/>
            <w:vAlign w:val="bottom"/>
            <w:shd w:val="clear" w:color="auto" w:fill="000000"/>
          </w:tcPr>
          <w:p>
            <w:pPr>
              <w:spacing w:after="0"/>
              <w:rPr>
                <w:sz w:val="19"/>
                <w:szCs w:val="19"/>
                <w:color w:val="auto"/>
              </w:rPr>
            </w:pPr>
          </w:p>
        </w:tc>
        <w:tc>
          <w:tcPr>
            <w:tcW w:w="1120" w:type="dxa"/>
            <w:vAlign w:val="bottom"/>
            <w:tcBorders>
              <w:right w:val="single" w:sz="8" w:color="auto"/>
            </w:tcBorders>
            <w:shd w:val="clear" w:color="auto" w:fill="000000"/>
          </w:tcPr>
          <w:p>
            <w:pPr>
              <w:spacing w:after="0"/>
              <w:rPr>
                <w:sz w:val="19"/>
                <w:szCs w:val="19"/>
                <w:color w:val="auto"/>
              </w:rPr>
            </w:pPr>
          </w:p>
        </w:tc>
        <w:tc>
          <w:tcPr>
            <w:tcW w:w="240" w:type="dxa"/>
            <w:vAlign w:val="bottom"/>
            <w:shd w:val="clear" w:color="auto" w:fill="000000"/>
          </w:tcPr>
          <w:p>
            <w:pPr>
              <w:spacing w:after="0"/>
              <w:rPr>
                <w:sz w:val="19"/>
                <w:szCs w:val="19"/>
                <w:color w:val="auto"/>
              </w:rPr>
            </w:pPr>
          </w:p>
        </w:tc>
        <w:tc>
          <w:tcPr>
            <w:tcW w:w="920" w:type="dxa"/>
            <w:vAlign w:val="bottom"/>
            <w:shd w:val="clear" w:color="auto" w:fill="000000"/>
          </w:tcPr>
          <w:p>
            <w:pPr>
              <w:spacing w:after="0"/>
              <w:rPr>
                <w:sz w:val="19"/>
                <w:szCs w:val="19"/>
                <w:color w:val="auto"/>
              </w:rPr>
            </w:pPr>
          </w:p>
        </w:tc>
        <w:tc>
          <w:tcPr>
            <w:tcW w:w="140" w:type="dxa"/>
            <w:vAlign w:val="bottom"/>
            <w:shd w:val="clear" w:color="auto" w:fill="000000"/>
          </w:tcPr>
          <w:p>
            <w:pPr>
              <w:spacing w:after="0"/>
              <w:rPr>
                <w:sz w:val="19"/>
                <w:szCs w:val="19"/>
                <w:color w:val="auto"/>
              </w:rPr>
            </w:pPr>
          </w:p>
        </w:tc>
        <w:tc>
          <w:tcPr>
            <w:tcW w:w="1240" w:type="dxa"/>
            <w:vAlign w:val="bottom"/>
            <w:shd w:val="clear" w:color="auto" w:fill="000000"/>
          </w:tcPr>
          <w:p>
            <w:pPr>
              <w:spacing w:after="0"/>
              <w:rPr>
                <w:sz w:val="19"/>
                <w:szCs w:val="19"/>
                <w:color w:val="auto"/>
              </w:rPr>
            </w:pPr>
          </w:p>
        </w:tc>
        <w:tc>
          <w:tcPr>
            <w:tcW w:w="1120" w:type="dxa"/>
            <w:vAlign w:val="bottom"/>
            <w:tcBorders>
              <w:right w:val="single" w:sz="8" w:color="auto"/>
            </w:tcBorders>
            <w:shd w:val="clear" w:color="auto" w:fill="000000"/>
          </w:tcPr>
          <w:p>
            <w:pPr>
              <w:spacing w:after="0"/>
              <w:rPr>
                <w:sz w:val="19"/>
                <w:szCs w:val="19"/>
                <w:color w:val="auto"/>
              </w:rPr>
            </w:pPr>
          </w:p>
        </w:tc>
      </w:tr>
      <w:tr>
        <w:trPr>
          <w:trHeight w:val="225"/>
        </w:trPr>
        <w:tc>
          <w:tcPr>
            <w:tcW w:w="3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42,678</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36,196</w:t>
            </w:r>
          </w:p>
        </w:tc>
        <w:tc>
          <w:tcPr>
            <w:tcW w:w="112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134,509</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111,591</w:t>
            </w:r>
          </w:p>
        </w:tc>
        <w:tc>
          <w:tcPr>
            <w:tcW w:w="112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3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13,382</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10,605</w:t>
            </w:r>
          </w:p>
        </w:tc>
        <w:tc>
          <w:tcPr>
            <w:tcW w:w="112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44,814</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32,713</w:t>
            </w:r>
          </w:p>
        </w:tc>
        <w:tc>
          <w:tcPr>
            <w:tcW w:w="112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37%</w:t>
            </w:r>
          </w:p>
        </w:tc>
      </w:tr>
      <w:tr>
        <w:trPr>
          <w:trHeight w:val="243"/>
        </w:trPr>
        <w:tc>
          <w:tcPr>
            <w:tcW w:w="3960" w:type="dxa"/>
            <w:vAlign w:val="bottom"/>
            <w:tcBorders>
              <w:left w:val="single" w:sz="8" w:color="auto"/>
              <w:right w:val="single" w:sz="8" w:color="auto"/>
            </w:tcBorders>
            <w:shd w:val="clear" w:color="auto" w:fill="000000"/>
          </w:tcPr>
          <w:p>
            <w:pPr>
              <w:ind w:left="40"/>
              <w:spacing w:after="0"/>
              <w:rPr>
                <w:sz w:val="20"/>
                <w:szCs w:val="20"/>
                <w:color w:val="auto"/>
              </w:rPr>
            </w:pPr>
            <w:r>
              <w:rPr>
                <w:rFonts w:ascii="Times New Roman" w:cs="Times New Roman" w:eastAsia="Times New Roman" w:hAnsi="Times New Roman"/>
                <w:sz w:val="18"/>
                <w:szCs w:val="18"/>
                <w:color w:val="FFFFFF"/>
              </w:rPr>
              <w:t>Retail and Wholesale</w:t>
            </w:r>
          </w:p>
        </w:tc>
        <w:tc>
          <w:tcPr>
            <w:tcW w:w="240" w:type="dxa"/>
            <w:vAlign w:val="bottom"/>
            <w:shd w:val="clear" w:color="auto" w:fill="000000"/>
          </w:tcPr>
          <w:p>
            <w:pPr>
              <w:spacing w:after="0"/>
              <w:rPr>
                <w:sz w:val="21"/>
                <w:szCs w:val="21"/>
                <w:color w:val="auto"/>
              </w:rPr>
            </w:pPr>
          </w:p>
        </w:tc>
        <w:tc>
          <w:tcPr>
            <w:tcW w:w="920" w:type="dxa"/>
            <w:vAlign w:val="bottom"/>
            <w:shd w:val="clear" w:color="auto" w:fill="000000"/>
          </w:tcPr>
          <w:p>
            <w:pPr>
              <w:spacing w:after="0"/>
              <w:rPr>
                <w:sz w:val="21"/>
                <w:szCs w:val="21"/>
                <w:color w:val="auto"/>
              </w:rPr>
            </w:pPr>
          </w:p>
        </w:tc>
        <w:tc>
          <w:tcPr>
            <w:tcW w:w="300" w:type="dxa"/>
            <w:vAlign w:val="bottom"/>
            <w:shd w:val="clear" w:color="auto" w:fill="000000"/>
          </w:tcPr>
          <w:p>
            <w:pPr>
              <w:spacing w:after="0"/>
              <w:rPr>
                <w:sz w:val="21"/>
                <w:szCs w:val="21"/>
                <w:color w:val="auto"/>
              </w:rPr>
            </w:pPr>
          </w:p>
        </w:tc>
        <w:tc>
          <w:tcPr>
            <w:tcW w:w="1080" w:type="dxa"/>
            <w:vAlign w:val="bottom"/>
            <w:shd w:val="clear" w:color="auto" w:fill="000000"/>
          </w:tcPr>
          <w:p>
            <w:pPr>
              <w:spacing w:after="0"/>
              <w:rPr>
                <w:sz w:val="21"/>
                <w:szCs w:val="21"/>
                <w:color w:val="auto"/>
              </w:rPr>
            </w:pPr>
          </w:p>
        </w:tc>
        <w:tc>
          <w:tcPr>
            <w:tcW w:w="1120" w:type="dxa"/>
            <w:vAlign w:val="bottom"/>
            <w:tcBorders>
              <w:right w:val="single" w:sz="8" w:color="auto"/>
            </w:tcBorders>
            <w:shd w:val="clear" w:color="auto" w:fill="000000"/>
          </w:tcPr>
          <w:p>
            <w:pPr>
              <w:spacing w:after="0"/>
              <w:rPr>
                <w:sz w:val="21"/>
                <w:szCs w:val="21"/>
                <w:color w:val="auto"/>
              </w:rPr>
            </w:pPr>
          </w:p>
        </w:tc>
        <w:tc>
          <w:tcPr>
            <w:tcW w:w="240" w:type="dxa"/>
            <w:vAlign w:val="bottom"/>
            <w:shd w:val="clear" w:color="auto" w:fill="000000"/>
          </w:tcPr>
          <w:p>
            <w:pPr>
              <w:spacing w:after="0"/>
              <w:rPr>
                <w:sz w:val="21"/>
                <w:szCs w:val="21"/>
                <w:color w:val="auto"/>
              </w:rPr>
            </w:pPr>
          </w:p>
        </w:tc>
        <w:tc>
          <w:tcPr>
            <w:tcW w:w="920" w:type="dxa"/>
            <w:vAlign w:val="bottom"/>
            <w:shd w:val="clear" w:color="auto" w:fill="000000"/>
          </w:tcPr>
          <w:p>
            <w:pPr>
              <w:spacing w:after="0"/>
              <w:rPr>
                <w:sz w:val="21"/>
                <w:szCs w:val="21"/>
                <w:color w:val="auto"/>
              </w:rPr>
            </w:pPr>
          </w:p>
        </w:tc>
        <w:tc>
          <w:tcPr>
            <w:tcW w:w="140" w:type="dxa"/>
            <w:vAlign w:val="bottom"/>
            <w:shd w:val="clear" w:color="auto" w:fill="000000"/>
          </w:tcPr>
          <w:p>
            <w:pPr>
              <w:spacing w:after="0"/>
              <w:rPr>
                <w:sz w:val="21"/>
                <w:szCs w:val="21"/>
                <w:color w:val="auto"/>
              </w:rPr>
            </w:pPr>
          </w:p>
        </w:tc>
        <w:tc>
          <w:tcPr>
            <w:tcW w:w="1240" w:type="dxa"/>
            <w:vAlign w:val="bottom"/>
            <w:shd w:val="clear" w:color="auto" w:fill="000000"/>
          </w:tcPr>
          <w:p>
            <w:pPr>
              <w:spacing w:after="0"/>
              <w:rPr>
                <w:sz w:val="21"/>
                <w:szCs w:val="21"/>
                <w:color w:val="auto"/>
              </w:rPr>
            </w:pPr>
          </w:p>
        </w:tc>
        <w:tc>
          <w:tcPr>
            <w:tcW w:w="1120" w:type="dxa"/>
            <w:vAlign w:val="bottom"/>
            <w:tcBorders>
              <w:right w:val="single" w:sz="8" w:color="auto"/>
            </w:tcBorders>
            <w:shd w:val="clear" w:color="auto" w:fill="000000"/>
          </w:tcPr>
          <w:p>
            <w:pPr>
              <w:spacing w:after="0"/>
              <w:rPr>
                <w:sz w:val="21"/>
                <w:szCs w:val="21"/>
                <w:color w:val="auto"/>
              </w:rPr>
            </w:pPr>
          </w:p>
        </w:tc>
      </w:tr>
      <w:tr>
        <w:trPr>
          <w:trHeight w:val="225"/>
        </w:trPr>
        <w:tc>
          <w:tcPr>
            <w:tcW w:w="3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72,823</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70,583</w:t>
            </w:r>
          </w:p>
        </w:tc>
        <w:tc>
          <w:tcPr>
            <w:tcW w:w="112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3%</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225,851</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212,294</w:t>
            </w:r>
          </w:p>
        </w:tc>
        <w:tc>
          <w:tcPr>
            <w:tcW w:w="112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6%</w:t>
            </w:r>
          </w:p>
        </w:tc>
      </w:tr>
      <w:tr>
        <w:trPr>
          <w:trHeight w:val="234"/>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9,709</w:t>
            </w: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10,872</w:t>
            </w:r>
          </w:p>
        </w:tc>
        <w:tc>
          <w:tcPr>
            <w:tcW w:w="1120" w:type="dxa"/>
            <w:vAlign w:val="bottom"/>
            <w:tcBorders>
              <w:bottom w:val="single" w:sz="8" w:color="auto"/>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7"/>
              </w:rPr>
              <w:t>(11)%</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34,414</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34,080</w:t>
            </w:r>
          </w:p>
        </w:tc>
        <w:tc>
          <w:tcPr>
            <w:tcW w:w="1120" w:type="dxa"/>
            <w:vAlign w:val="bottom"/>
            <w:tcBorders>
              <w:bottom w:val="single" w:sz="8" w:color="auto"/>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1%</w:t>
            </w:r>
          </w:p>
        </w:tc>
      </w:tr>
    </w:tbl>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 Includes unallocated corporate expenses.</w:t>
      </w:r>
    </w:p>
    <w:p>
      <w:pPr>
        <w:spacing w:after="0" w:line="11" w:lineRule="exact"/>
        <w:rPr>
          <w:sz w:val="20"/>
          <w:szCs w:val="20"/>
          <w:color w:val="auto"/>
        </w:rPr>
      </w:pPr>
    </w:p>
    <w:p>
      <w:pPr>
        <w:ind w:left="100" w:hanging="92"/>
        <w:spacing w:after="0"/>
        <w:tabs>
          <w:tab w:leader="none" w:pos="100" w:val="left"/>
        </w:tabs>
        <w:numPr>
          <w:ilvl w:val="0"/>
          <w:numId w:val="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Please refer to Reconciliation of Non-GAAP Financial Measures below for a reconciliation of Non-GAAP items to the comparable GAAP measures.</w:t>
      </w:r>
    </w:p>
    <w:p>
      <w:pPr>
        <w:spacing w:after="0"/>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 Prior year per share figures have been updated to reflect the stock-split.</w:t>
      </w:r>
    </w:p>
    <w:p>
      <w:pPr>
        <w:spacing w:after="0" w:line="57"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2"/>
          <w:szCs w:val="22"/>
          <w:color w:val="auto"/>
        </w:rPr>
        <w:t>Daniel S. Jaffee, President and Chief Executive Officer, stated, “The strength of our diverse product portfolio helped us achieve our highest third quarter net sales, gross profit and net income on record. The combination of our recently acquired crystal cat litter business along with significant demand for agricultural and renewable diesel products played a key role in driving our solid performance. Though we faced some headwinds in clay-based cat litter during the quarter, our focus on growing the lightweight litter segment remains strong. This segment is experiencing accelerated growth compared to the cat litter category as a whole, and I believe we will reap long-term benefits from this trend. During the third quarter of fiscal 2025, our ongoing efforts to create value from sorbent minerals proved successful as we reported the 13th consecutive quarter of year-over-year gross profit improvement. As we move into the fourth quarter of our fiscal year, we continue to prioritize strategic growth and execution with unwavering dedication to our loyal customers.”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Consolidated Results</w:t>
      </w:r>
    </w:p>
    <w:p>
      <w:pPr>
        <w:spacing w:after="0" w:line="33"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22"/>
          <w:szCs w:val="22"/>
          <w:color w:val="auto"/>
        </w:rPr>
        <w:t>Consolidated net sales for the third quarter of fiscal 2025 reached $115.5 million, or an 8% gain over the same period in the prior year. This marks the 16th consecutive quarter of year-over-year</w:t>
      </w:r>
    </w:p>
    <w:p>
      <w:pPr>
        <w:spacing w:after="0" w:line="2" w:lineRule="exact"/>
        <w:rPr>
          <w:sz w:val="20"/>
          <w:szCs w:val="20"/>
          <w:color w:val="auto"/>
        </w:rPr>
      </w:pPr>
    </w:p>
    <w:p>
      <w:pPr>
        <w:jc w:val="both"/>
        <w:ind w:right="60"/>
        <w:spacing w:after="0" w:line="271" w:lineRule="auto"/>
        <w:rPr>
          <w:sz w:val="20"/>
          <w:szCs w:val="20"/>
          <w:color w:val="auto"/>
        </w:rPr>
      </w:pPr>
      <w:r>
        <w:rPr>
          <w:rFonts w:ascii="Times New Roman" w:cs="Times New Roman" w:eastAsia="Times New Roman" w:hAnsi="Times New Roman"/>
          <w:sz w:val="21"/>
          <w:szCs w:val="21"/>
          <w:color w:val="auto"/>
        </w:rPr>
        <w:t>sales growth. This increase was the combination of 4% organic growth and an additional 4% resulting from the acquisition of our subsidiary, Ultra Pet Company, Inc. Revenue gains were driven by a favorable product mix, elevated volumes, and higher prices.</w:t>
      </w:r>
    </w:p>
    <w:p>
      <w:pPr>
        <w:spacing w:after="0" w:line="187"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22"/>
          <w:szCs w:val="22"/>
          <w:color w:val="auto"/>
        </w:rPr>
        <w:t>Consolidated gross profit of $33.0 million was achieved during the third quarter of fiscal year 2025, demonstrating a 10% gain over the prior year. Gross margins were 28.6% in the third quarter of fiscal year 2025 compared to 28.2% in the same period in fiscal year 2024. This marks the 11</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xml:space="preserve"> consecutive quarter of year-over-year gross margin expansion. Domestic cost of goods sold per ton increased by 5% compared to last year, driven by higher material and freight costs, partially offset by lower packaging costs.</w:t>
      </w:r>
    </w:p>
    <w:p>
      <w:pPr>
        <w:spacing w:after="0" w:line="206" w:lineRule="exact"/>
        <w:rPr>
          <w:sz w:val="20"/>
          <w:szCs w:val="20"/>
          <w:color w:val="auto"/>
        </w:rPr>
      </w:pPr>
    </w:p>
    <w:p>
      <w:pPr>
        <w:jc w:val="both"/>
        <w:ind w:right="300"/>
        <w:spacing w:after="0" w:line="263" w:lineRule="auto"/>
        <w:rPr>
          <w:sz w:val="20"/>
          <w:szCs w:val="20"/>
          <w:color w:val="auto"/>
        </w:rPr>
      </w:pPr>
      <w:r>
        <w:rPr>
          <w:rFonts w:ascii="Times New Roman" w:cs="Times New Roman" w:eastAsia="Times New Roman" w:hAnsi="Times New Roman"/>
          <w:sz w:val="22"/>
          <w:szCs w:val="22"/>
          <w:color w:val="auto"/>
        </w:rPr>
        <w:t>Selling, general and administrative expenses (“SG&amp;A”) were $19.1 million during the third quarter of fiscal 2025 compared to $19.7 million for the same period last year. This $600,000, or 3%, decrease was driven by non- recurring Ultra Pet acquisition-related transaction costs in the third quarter of fiscal year 2024.</w:t>
      </w:r>
    </w:p>
    <w:p>
      <w:pPr>
        <w:spacing w:after="0" w:line="194"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22"/>
          <w:szCs w:val="22"/>
          <w:color w:val="auto"/>
        </w:rPr>
        <w:t>Consolidated operating income increased to $13.9 million, or by 33%, in the third quarter of fiscal year 2025 compared to last year. Improved sales combined with lower SG&amp;A expenses drove this increase.</w:t>
      </w:r>
    </w:p>
    <w:p>
      <w:pPr>
        <w:spacing w:after="0" w:line="171"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22"/>
          <w:szCs w:val="22"/>
          <w:color w:val="auto"/>
        </w:rPr>
        <w:t>Total other income, net was $300,000 for the three months ended April 30, 2025, compared to ($300,000) in the same period last year. This $600,000 increase was mainly due to unrealized gains from foreign currency translations.</w:t>
      </w:r>
    </w:p>
    <w:p>
      <w:pPr>
        <w:sectPr>
          <w:pgSz w:w="11900" w:h="16838" w:orient="portrait"/>
          <w:cols w:equalWidth="0" w:num="1">
            <w:col w:w="11260"/>
          </w:cols>
          <w:pgMar w:left="320" w:top="1270" w:right="319" w:bottom="0" w:gutter="0" w:footer="0" w:header="0"/>
        </w:sectPr>
      </w:pPr>
    </w:p>
    <w:bookmarkStart w:id="4" w:name="page5"/>
    <w:bookmarkEnd w:id="4"/>
    <w:p>
      <w:pPr>
        <w:ind w:right="200"/>
        <w:spacing w:after="0" w:line="251" w:lineRule="auto"/>
        <w:rPr>
          <w:sz w:val="20"/>
          <w:szCs w:val="20"/>
          <w:color w:val="auto"/>
        </w:rPr>
      </w:pPr>
      <w:r>
        <w:rPr>
          <w:rFonts w:ascii="Times New Roman" w:cs="Times New Roman" w:eastAsia="Times New Roman" w:hAnsi="Times New Roman"/>
          <w:sz w:val="22"/>
          <w:szCs w:val="22"/>
          <w:color w:val="auto"/>
        </w:rPr>
        <w:t>During the third quarter of fiscal 2025, income tax expense was $2.6 million compared to $2.4 million in the prior year. This increase was primarily driven by higher pre-tax income, partially offset by a lower estimated annual tax rate (“ETR”). The ETR was 18% as of the third quarter of fiscal year 2025 compared to 23% as of the third quarter of fiscal year 2024.</w:t>
      </w:r>
    </w:p>
    <w:p>
      <w:pPr>
        <w:spacing w:after="0" w:line="192"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22"/>
          <w:szCs w:val="22"/>
          <w:color w:val="auto"/>
        </w:rPr>
        <w:t>Consolidated net income for the third quarter of fiscal year 2025 was $11.6 million, reflecting a 50% increase compared to the same period last year. Moreover, EBITDA increased by 35% to $20.2 million, demonstrating Oil-Dri's strong operational performance.</w:t>
      </w:r>
    </w:p>
    <w:p>
      <w:pPr>
        <w:spacing w:after="0" w:line="195" w:lineRule="exact"/>
        <w:rPr>
          <w:sz w:val="20"/>
          <w:szCs w:val="20"/>
          <w:color w:val="auto"/>
        </w:rPr>
      </w:pPr>
    </w:p>
    <w:p>
      <w:pPr>
        <w:ind w:right="500"/>
        <w:spacing w:after="0" w:line="250" w:lineRule="auto"/>
        <w:rPr>
          <w:sz w:val="20"/>
          <w:szCs w:val="20"/>
          <w:color w:val="auto"/>
        </w:rPr>
      </w:pPr>
      <w:r>
        <w:rPr>
          <w:rFonts w:ascii="Times New Roman" w:cs="Times New Roman" w:eastAsia="Times New Roman" w:hAnsi="Times New Roman"/>
          <w:sz w:val="22"/>
          <w:szCs w:val="22"/>
          <w:color w:val="auto"/>
        </w:rPr>
        <w:t>Cash and cash equivalents as of April 30, 2025, grew to $36.5 million from $23.5 million at the end of fiscal year 2024. The increase in cash was driven by higher net income during the current period. In the third quarter of fiscal year 2025, Oil-Dri continued its significant investment in manufacturing infrastructure improvements and dividend distribution.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Product Group Review</w:t>
      </w:r>
    </w:p>
    <w:p>
      <w:pPr>
        <w:spacing w:after="0" w:line="32"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2"/>
          <w:szCs w:val="22"/>
          <w:color w:val="auto"/>
        </w:rPr>
        <w:t>The Business to Business (“B2B”) Products Group’s third quarter of fiscal year 2025 revenues were $42.7 million, or 18% greater than the prior year. This positive growth was driven by strong performance from agricultural and fluids purification products. During the third quarter of fiscal 2025, revenues from the Company’s agricultural business reach an all-time high of $11.6 million, or 43% greater than last year. The increase was due to renewed demand from key customers, as purchasing patterns normalized following the resolution of prior year inventory surpluses. Sales of fluids purification products reached $25.3 million, representing a 13% increase compared to the prior year. This growth was due to elevated revenues of renewable</w:t>
      </w:r>
    </w:p>
    <w:p>
      <w:pPr>
        <w:spacing w:after="0" w:line="3"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22"/>
          <w:szCs w:val="22"/>
          <w:color w:val="auto"/>
        </w:rPr>
        <w:t>diesel products resulting from continued renewable diesel capacity expansion in the United States. Amlan International, the Company’s animal health business, generated $5.8 million in sales during the third quarter of fiscal year 2025. Though revenues remained flat compared to last year, the Company remains focused on optimizing its distribution strategy domestically and abroad.</w:t>
      </w:r>
    </w:p>
    <w:p>
      <w:pPr>
        <w:spacing w:after="0" w:line="226"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22"/>
          <w:szCs w:val="22"/>
          <w:color w:val="auto"/>
        </w:rPr>
        <w:t>Third quarter of fiscal year 2025 SG&amp;A costs within the B2B Products Group increased by $300,000, or 8%, compared to the same period last year.</w:t>
      </w:r>
    </w:p>
    <w:p>
      <w:pPr>
        <w:spacing w:after="0" w:line="18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22"/>
          <w:szCs w:val="22"/>
          <w:color w:val="auto"/>
        </w:rPr>
        <w:t>Operating income for the B2B Products Group was $13.4 million in the third quarter of fiscal year 2025 compared to $10.6 million in the same period of fiscal year 2024, reflecting an increase of 26%. This notable growth can be attributed to higher sales within the operating segment.</w:t>
      </w:r>
    </w:p>
    <w:p>
      <w:pPr>
        <w:spacing w:after="0" w:line="21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1"/>
          <w:szCs w:val="21"/>
          <w:color w:val="auto"/>
        </w:rPr>
        <w:t>The Retail and Wholesale (“R&amp;W”) Products Group’s third quarter revenues reached $72.8 million, a 3% increase over the prior year. This gain was driven by the acquisition of Ultra Pet, which contributed $4.8 million in sales from both branded and private label crystal litter products. Excluding the impact of the acquisition, organic sales within the operating segment decreased by 4%. Total domestic clay-based cat litter revenues, excluding the Company’s co-packaged coarse cat litter business, were $48.0 million, or 6% less than the prior year. This decrease was primarily due to a reduction in private label distribution and several customer bankruptcies. An increase in promotional activity by competitors likely also had a negative impact on Oil-Dri’s clay-based litter sales. During the third quarter of fiscal 2025, revenues of co-packaged coarse cat litter decreased by 2% versus last year, due to slightly softer volumes. Domestic industrial and sports products sales reached $12.3 million in the third quarter of fiscal 2025, or 5% higher than the same period in the prior year. This increase was driven by both the net effect of higher pricing to offset elevated costs and new distribution at a national retailer. The Company’s Canadian subsidiary experienced sales increases as a result of elevated revenues of cat litter products, partially offset by foreign exchange losses.</w:t>
      </w:r>
    </w:p>
    <w:p>
      <w:pPr>
        <w:spacing w:after="0" w:line="21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2"/>
          <w:szCs w:val="22"/>
          <w:color w:val="auto"/>
        </w:rPr>
        <w:t>During the third quarter of fiscal 2025, SG&amp;A expenses within the R&amp;W Products Group increased by $1.0 million, or 21%, over the prior year. This increase was driven by incremental SG&amp;A expenses related to the recently acquired crystal cat litter business. These elevated costs were partially offset by a decrease in advertising expenses. Oil-Dri expects advertising costs for the full fiscal year 2025 to be lower than fiscal year 2024.</w:t>
      </w:r>
    </w:p>
    <w:p>
      <w:pPr>
        <w:spacing w:after="0" w:line="206" w:lineRule="exact"/>
        <w:rPr>
          <w:sz w:val="20"/>
          <w:szCs w:val="20"/>
          <w:color w:val="auto"/>
        </w:rPr>
      </w:pPr>
    </w:p>
    <w:p>
      <w:pPr>
        <w:ind w:right="560"/>
        <w:spacing w:after="0" w:line="309" w:lineRule="auto"/>
        <w:rPr>
          <w:sz w:val="20"/>
          <w:szCs w:val="20"/>
          <w:color w:val="auto"/>
        </w:rPr>
      </w:pPr>
      <w:r>
        <w:rPr>
          <w:rFonts w:ascii="Times New Roman" w:cs="Times New Roman" w:eastAsia="Times New Roman" w:hAnsi="Times New Roman"/>
          <w:sz w:val="21"/>
          <w:szCs w:val="21"/>
          <w:color w:val="auto"/>
        </w:rPr>
        <w:t>Operating income for the R&amp;W Products Group was $9.7 million in the third quarter of fiscal year 2025 compared to $10.9 million in the prior year, reflecting an 11% decrease. Higher operating costs offset the increase in net sales in the quarter.</w:t>
      </w:r>
    </w:p>
    <w:p>
      <w:pPr>
        <w:spacing w:after="0" w:line="134" w:lineRule="exact"/>
        <w:rPr>
          <w:sz w:val="20"/>
          <w:szCs w:val="20"/>
          <w:color w:val="auto"/>
        </w:rPr>
      </w:pPr>
    </w:p>
    <w:p>
      <w:pPr>
        <w:ind w:right="520"/>
        <w:spacing w:after="0" w:line="245" w:lineRule="auto"/>
        <w:rPr>
          <w:sz w:val="20"/>
          <w:szCs w:val="20"/>
          <w:color w:val="auto"/>
        </w:rPr>
      </w:pPr>
      <w:r>
        <w:rPr>
          <w:rFonts w:ascii="Times New Roman" w:cs="Times New Roman" w:eastAsia="Times New Roman" w:hAnsi="Times New Roman"/>
          <w:sz w:val="22"/>
          <w:szCs w:val="22"/>
          <w:color w:val="auto"/>
        </w:rPr>
        <w:t>The Company will host its third quarter of fiscal year 2025 earnings discussion via a live webcast on Friday, June 6, 2025 at 10:00 a.m. Central Time. Participation details are available on the Company’s website’s Events page.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p>
    <w:p>
      <w:pPr>
        <w:sectPr>
          <w:pgSz w:w="11900" w:h="16838" w:orient="portrait"/>
          <w:cols w:equalWidth="0" w:num="1">
            <w:col w:w="11240"/>
          </w:cols>
          <w:pgMar w:left="320" w:top="112" w:right="339" w:bottom="1440" w:gutter="0" w:footer="0" w:header="0"/>
        </w:sect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“Oil-Dri”, “Amlan”, and “Ultra” are registered trademarks of Oil-Dri Corporation of America and its subsidiaries.</w:t>
      </w:r>
    </w:p>
    <w:p>
      <w:pPr>
        <w:sectPr>
          <w:pgSz w:w="11900" w:h="16838" w:orient="portrait"/>
          <w:cols w:equalWidth="0" w:num="1">
            <w:col w:w="11240"/>
          </w:cols>
          <w:pgMar w:left="320" w:top="112" w:right="339" w:bottom="1440"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Oil-Dri Corporation of America</w:t>
      </w:r>
    </w:p>
    <w:p>
      <w:pPr>
        <w:spacing w:after="0" w:line="18"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Oil-Dri Corporation of America is a leading manufacturer and supplier of specialty sorbent products for the pet care, animal health and nutrition, fluids purification, agricultural ingredients, sports field, industrial and automotive markets. Oil-Dri is vertically integrated which enables the Company to efficiently oversee every step of the process from research and development to supply chain to marketing and sales. With over 80 years of experience, the Company continues to fulfill its mission to Create Value from Sorbent Minerals.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3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1"/>
          <w:szCs w:val="21"/>
          <w:color w:val="auto"/>
        </w:rPr>
        <w:t>Certain statements in this press release may constitute forward-looking statements within the meaning of the safe harbor provisions of the U.S. Private Securities Litigation Reform Act of 1995.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These forward-looking statements are based on management’s current expectations, estimates, forecasts, assumptions and projections about future events, our future performance, the future of our business, our plans and strategies, projections, anticipated trends, the economy and other future developments and their potential effects on us.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Forward-looking statements can be identified by words such as “expect,” “outlook,” “forecast,” “would,” “could,” “should,” “project,” “intend,” “plan,” “continue,” “believe,” “seek,” “estimate,” “anticipate,” “may,” “assume,” “potential,” “strive,” and similar references to future periods.</w:t>
      </w:r>
    </w:p>
    <w:p>
      <w:pPr>
        <w:spacing w:after="0" w:line="20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Such statements are subject to certain risks, uncertainties and assumptions that could cause actual results to differ materially from those anticipated, intended, expected, believed, estimated, projected, planned or otherwise expressed in any forward-looking statements, including, but not limited to, those described in our most recent Annual Report on Form 10-K and from time to time in our other filings with the Securities and Exchange Commission. Investors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spacing w:after="0" w:line="18"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To supplement our consolidated financial statements prepared in accordance with generally accepted accounting principles (“GAAP”), we provide certain non-GAAP financial measures in this press release as supplemental financial metrics. In particular, EBITDA is a non-GAAP financial measure provided herein. We provide a reconciliation of this non-GAAP financial measure to the most directly comparable GAAP financial measure below.</w:t>
      </w:r>
    </w:p>
    <w:p>
      <w:pPr>
        <w:spacing w:after="0" w:line="2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The non-GAAP financial measures we use may not be the same or calculated in the same manner as those used and calculated by other companies. Non-GAAP financial measures have limitations</w:t>
      </w:r>
    </w:p>
    <w:p>
      <w:pPr>
        <w:sectPr>
          <w:pgSz w:w="11900" w:h="16838" w:orient="portrait"/>
          <w:cols w:equalWidth="0" w:num="1">
            <w:col w:w="11200"/>
          </w:cols>
          <w:pgMar w:left="320" w:top="1440" w:right="379" w:bottom="1440" w:gutter="0" w:footer="0" w:header="0"/>
        </w:sectPr>
      </w:pPr>
    </w:p>
    <w:bookmarkStart w:id="6" w:name="page7"/>
    <w:bookmarkEnd w:id="6"/>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3" w:lineRule="auto"/>
        <w:rPr>
          <w:sz w:val="20"/>
          <w:szCs w:val="20"/>
          <w:color w:val="auto"/>
        </w:rPr>
      </w:pPr>
      <w:r>
        <w:rPr>
          <w:rFonts w:ascii="Times New Roman" w:cs="Times New Roman" w:eastAsia="Times New Roman" w:hAnsi="Times New Roman"/>
          <w:sz w:val="22"/>
          <w:szCs w:val="22"/>
          <w:color w:val="auto"/>
        </w:rPr>
        <w:t>as analytical tools and should not be considered in isolation or as a substitute for our financial results prepared and reported in accordance with GAAP. We believe that certain non-GAAP measures may be helpful to investors and others in understanding and evaluating our operating results, and we urge investors to review the reconciliation of non-GAAP financial measures to the comparable GAAP financial measures included in this release, and not to rely on any single financial measure to evaluate our business.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Leslie A. Garber</w:t>
      </w:r>
    </w:p>
    <w:p>
      <w:pPr>
        <w:spacing w:after="0" w:line="230" w:lineRule="auto"/>
        <w:rPr>
          <w:sz w:val="20"/>
          <w:szCs w:val="20"/>
          <w:color w:val="auto"/>
        </w:rPr>
      </w:pPr>
      <w:r>
        <w:rPr>
          <w:rFonts w:ascii="Times New Roman" w:cs="Times New Roman" w:eastAsia="Times New Roman" w:hAnsi="Times New Roman"/>
          <w:sz w:val="22"/>
          <w:szCs w:val="22"/>
          <w:color w:val="auto"/>
        </w:rPr>
        <w:t>Director of Investor Relations</w:t>
      </w:r>
    </w:p>
    <w:p>
      <w:pPr>
        <w:spacing w:after="0" w:line="231" w:lineRule="auto"/>
        <w:rPr>
          <w:sz w:val="20"/>
          <w:szCs w:val="20"/>
          <w:color w:val="auto"/>
        </w:rPr>
      </w:pPr>
      <w:r>
        <w:rPr>
          <w:rFonts w:ascii="Times New Roman" w:cs="Times New Roman" w:eastAsia="Times New Roman" w:hAnsi="Times New Roman"/>
          <w:sz w:val="22"/>
          <w:szCs w:val="22"/>
          <w:color w:val="auto"/>
        </w:rPr>
        <w:t>Oil-Dri Corporation of America</w:t>
      </w:r>
    </w:p>
    <w:p>
      <w:pPr>
        <w:spacing w:after="0" w:line="230" w:lineRule="auto"/>
        <w:rPr>
          <w:sz w:val="20"/>
          <w:szCs w:val="20"/>
          <w:color w:val="auto"/>
        </w:rPr>
      </w:pPr>
      <w:r>
        <w:rPr>
          <w:rFonts w:ascii="Times New Roman" w:cs="Times New Roman" w:eastAsia="Times New Roman" w:hAnsi="Times New Roman"/>
          <w:sz w:val="22"/>
          <w:szCs w:val="22"/>
          <w:color w:val="0000FF"/>
        </w:rPr>
        <w:t>InvestorRelations@oildri.com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(312) 321-1515</w:t>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5"/>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Third Quarter Ended April 30,</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5"/>
            <w:vMerge w:val="continue"/>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1760" w:type="dxa"/>
            <w:vAlign w:val="bottom"/>
            <w:gridSpan w:val="3"/>
          </w:tcPr>
          <w:p>
            <w:pPr>
              <w:jc w:val="right"/>
              <w:ind w:right="579"/>
              <w:spacing w:after="0"/>
              <w:rPr>
                <w:sz w:val="20"/>
                <w:szCs w:val="20"/>
                <w:color w:val="auto"/>
              </w:rPr>
            </w:pPr>
            <w:r>
              <w:rPr>
                <w:rFonts w:ascii="Times New Roman" w:cs="Times New Roman" w:eastAsia="Times New Roman" w:hAnsi="Times New Roman"/>
                <w:sz w:val="18"/>
                <w:szCs w:val="18"/>
                <w:b w:val="1"/>
                <w:bCs w:val="1"/>
                <w:color w:val="auto"/>
              </w:rPr>
              <w:t>% of Sales</w:t>
            </w:r>
          </w:p>
        </w:tc>
        <w:tc>
          <w:tcPr>
            <w:tcW w:w="980" w:type="dxa"/>
            <w:vAlign w:val="bottom"/>
          </w:tcPr>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1380" w:type="dxa"/>
            <w:vAlign w:val="bottom"/>
          </w:tcPr>
          <w:p>
            <w:pPr>
              <w:jc w:val="right"/>
              <w:ind w:right="198"/>
              <w:spacing w:after="0"/>
              <w:rPr>
                <w:sz w:val="20"/>
                <w:szCs w:val="20"/>
                <w:color w:val="auto"/>
              </w:rPr>
            </w:pPr>
            <w:r>
              <w:rPr>
                <w:rFonts w:ascii="Times New Roman" w:cs="Times New Roman" w:eastAsia="Times New Roman" w:hAnsi="Times New Roman"/>
                <w:sz w:val="18"/>
                <w:szCs w:val="18"/>
                <w:b w:val="1"/>
                <w:bCs w:val="1"/>
                <w:color w:val="auto"/>
              </w:rPr>
              <w:t>% of Sales</w:t>
            </w:r>
          </w:p>
        </w:tc>
        <w:tc>
          <w:tcPr>
            <w:tcW w:w="0" w:type="dxa"/>
            <w:vAlign w:val="bottom"/>
          </w:tcPr>
          <w:p>
            <w:pPr>
              <w:spacing w:after="0"/>
              <w:rPr>
                <w:sz w:val="1"/>
                <w:szCs w:val="1"/>
                <w:color w:val="auto"/>
              </w:rPr>
            </w:pPr>
          </w:p>
        </w:tc>
      </w:tr>
      <w:tr>
        <w:trPr>
          <w:trHeight w:val="204"/>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115,501</w:t>
            </w:r>
          </w:p>
        </w:tc>
        <w:tc>
          <w:tcPr>
            <w:tcW w:w="120" w:type="dxa"/>
            <w:vAlign w:val="bottom"/>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17"/>
                <w:szCs w:val="17"/>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106,779</w:t>
            </w:r>
          </w:p>
        </w:tc>
        <w:tc>
          <w:tcPr>
            <w:tcW w:w="120" w:type="dxa"/>
            <w:vAlign w:val="bottom"/>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 of Goods Sold</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(82,479)</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(76,642)</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33,022</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30,137</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28.2 %</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Selling, General and Administrative Expenses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(19,118)</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(19,705)</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13,904</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10,432</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Income (Expense), Net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14,248</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10,138</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Taxes Expense</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(2,604)</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(2,361)</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188"/>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11,644</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10.1 %</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7,777</w:t>
            </w:r>
          </w:p>
        </w:tc>
        <w:tc>
          <w:tcPr>
            <w:tcW w:w="120" w:type="dxa"/>
            <w:vAlign w:val="bottom"/>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0" w:type="dxa"/>
            <w:vAlign w:val="bottom"/>
          </w:tcPr>
          <w:p>
            <w:pPr>
              <w:spacing w:after="0"/>
              <w:rPr>
                <w:sz w:val="1"/>
                <w:szCs w:val="1"/>
                <w:color w:val="auto"/>
              </w:rPr>
            </w:pPr>
          </w:p>
        </w:tc>
      </w:tr>
      <w:tr>
        <w:trPr>
          <w:trHeight w:val="21"/>
        </w:trPr>
        <w:tc>
          <w:tcPr>
            <w:tcW w:w="52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Income Per Share: Basic Common</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4"/>
        </w:trPr>
        <w:tc>
          <w:tcPr>
            <w:tcW w:w="5280" w:type="dxa"/>
            <w:vAlign w:val="bottom"/>
            <w:vMerge w:val="continue"/>
          </w:tcPr>
          <w:p>
            <w:pPr>
              <w:spacing w:after="0"/>
              <w:rPr>
                <w:sz w:val="24"/>
                <w:szCs w:val="24"/>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0.86</w:t>
            </w:r>
          </w:p>
        </w:tc>
        <w:tc>
          <w:tcPr>
            <w:tcW w:w="120" w:type="dxa"/>
            <w:vAlign w:val="bottom"/>
          </w:tcPr>
          <w:p>
            <w:pPr>
              <w:spacing w:after="0"/>
              <w:rPr>
                <w:sz w:val="24"/>
                <w:szCs w:val="24"/>
                <w:color w:val="auto"/>
              </w:rPr>
            </w:pPr>
          </w:p>
        </w:tc>
        <w:tc>
          <w:tcPr>
            <w:tcW w:w="176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0.58</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Basic Class B</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120" w:type="dxa"/>
            <w:vAlign w:val="bottom"/>
          </w:tcPr>
          <w:p>
            <w:pPr>
              <w:spacing w:after="0"/>
              <w:rPr>
                <w:sz w:val="18"/>
                <w:szCs w:val="18"/>
                <w:color w:val="auto"/>
              </w:rPr>
            </w:pPr>
          </w:p>
        </w:tc>
        <w:tc>
          <w:tcPr>
            <w:tcW w:w="176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Diluted Common</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0.80</w:t>
            </w:r>
          </w:p>
        </w:tc>
        <w:tc>
          <w:tcPr>
            <w:tcW w:w="120" w:type="dxa"/>
            <w:vAlign w:val="bottom"/>
          </w:tcPr>
          <w:p>
            <w:pPr>
              <w:spacing w:after="0"/>
              <w:rPr>
                <w:sz w:val="18"/>
                <w:szCs w:val="18"/>
                <w:color w:val="auto"/>
              </w:rPr>
            </w:pPr>
          </w:p>
        </w:tc>
        <w:tc>
          <w:tcPr>
            <w:tcW w:w="176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Diluted Class B</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120" w:type="dxa"/>
            <w:vAlign w:val="bottom"/>
          </w:tcPr>
          <w:p>
            <w:pPr>
              <w:spacing w:after="0"/>
              <w:rPr>
                <w:sz w:val="18"/>
                <w:szCs w:val="18"/>
                <w:color w:val="auto"/>
              </w:rPr>
            </w:pPr>
          </w:p>
        </w:tc>
        <w:tc>
          <w:tcPr>
            <w:tcW w:w="176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Avg Shares Outstanding: Basic Common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9,907</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9,824</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Basic Class B</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4,002</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3,961</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Diluted Common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13,909</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13,785</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Diluted Class B</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4,002</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3,961</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all prior period share and per-share data has been updated to reflect the stock-split.</w:t>
      </w:r>
    </w:p>
    <w:p>
      <w:pPr>
        <w:sectPr>
          <w:pgSz w:w="11900" w:h="16838" w:orient="portrait"/>
          <w:cols w:equalWidth="0" w:num="1">
            <w:col w:w="10900"/>
          </w:cols>
          <w:pgMar w:left="320" w:top="1440" w:right="679" w:bottom="1440" w:gutter="0" w:footer="0" w:header="0"/>
        </w:sectPr>
      </w:pPr>
    </w:p>
    <w:bookmarkStart w:id="8" w:name="page9"/>
    <w:bookmarkEnd w:id="8"/>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33"/>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5"/>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Nine Months Ended April 30,</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5"/>
            <w:vMerge w:val="continue"/>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178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 of Sales</w:t>
            </w: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of Sales</w:t>
            </w:r>
          </w:p>
        </w:tc>
        <w:tc>
          <w:tcPr>
            <w:tcW w:w="0" w:type="dxa"/>
            <w:vAlign w:val="bottom"/>
          </w:tcPr>
          <w:p>
            <w:pPr>
              <w:spacing w:after="0"/>
              <w:rPr>
                <w:sz w:val="1"/>
                <w:szCs w:val="1"/>
                <w:color w:val="auto"/>
              </w:rPr>
            </w:pPr>
          </w:p>
        </w:tc>
      </w:tr>
      <w:tr>
        <w:trPr>
          <w:trHeight w:val="214"/>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360,360</w:t>
            </w:r>
          </w:p>
        </w:tc>
        <w:tc>
          <w:tcPr>
            <w:tcW w:w="12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323,885</w:t>
            </w:r>
          </w:p>
        </w:tc>
        <w:tc>
          <w:tcPr>
            <w:tcW w:w="12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8"/>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(252,110)</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(231,815)</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14"/>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108,250</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92,070</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28.4 %</w:t>
            </w:r>
          </w:p>
        </w:tc>
        <w:tc>
          <w:tcPr>
            <w:tcW w:w="0" w:type="dxa"/>
            <w:vAlign w:val="bottom"/>
          </w:tcPr>
          <w:p>
            <w:pPr>
              <w:spacing w:after="0"/>
              <w:rPr>
                <w:sz w:val="1"/>
                <w:szCs w:val="1"/>
                <w:color w:val="auto"/>
              </w:rPr>
            </w:pPr>
          </w:p>
        </w:tc>
      </w:tr>
      <w:tr>
        <w:trPr>
          <w:trHeight w:val="238"/>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(55,674)</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(53,317)</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4"/>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52,576</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38,753</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38"/>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4"/>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50,710</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37,650</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0" w:type="dxa"/>
            <w:vAlign w:val="bottom"/>
          </w:tcPr>
          <w:p>
            <w:pPr>
              <w:spacing w:after="0"/>
              <w:rPr>
                <w:sz w:val="1"/>
                <w:szCs w:val="1"/>
                <w:color w:val="auto"/>
              </w:rPr>
            </w:pPr>
          </w:p>
        </w:tc>
      </w:tr>
      <w:tr>
        <w:trPr>
          <w:trHeight w:val="238"/>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Taxes Expense</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(9,769)</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(6,749)</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528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40,941</w:t>
            </w:r>
          </w:p>
        </w:tc>
        <w:tc>
          <w:tcPr>
            <w:tcW w:w="120" w:type="dxa"/>
            <w:vAlign w:val="bottom"/>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11.4 %</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30,901</w:t>
            </w:r>
          </w:p>
        </w:tc>
        <w:tc>
          <w:tcPr>
            <w:tcW w:w="120" w:type="dxa"/>
            <w:vAlign w:val="bottom"/>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Per Share: Basic Common</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5"/>
        </w:trPr>
        <w:tc>
          <w:tcPr>
            <w:tcW w:w="5280" w:type="dxa"/>
            <w:vAlign w:val="bottom"/>
            <w:vMerge w:val="continue"/>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Pr>
          <w:p>
            <w:pPr>
              <w:spacing w:after="0"/>
              <w:rPr>
                <w:sz w:val="24"/>
                <w:szCs w:val="24"/>
                <w:color w:val="auto"/>
              </w:rPr>
            </w:pPr>
          </w:p>
        </w:tc>
        <w:tc>
          <w:tcPr>
            <w:tcW w:w="17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Basic Class B</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19"/>
                <w:szCs w:val="19"/>
                <w:color w:val="auto"/>
              </w:rPr>
            </w:pPr>
          </w:p>
        </w:tc>
        <w:tc>
          <w:tcPr>
            <w:tcW w:w="17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Diluted Common</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Pr>
          <w:p>
            <w:pPr>
              <w:spacing w:after="0"/>
              <w:rPr>
                <w:sz w:val="19"/>
                <w:szCs w:val="19"/>
                <w:color w:val="auto"/>
              </w:rPr>
            </w:pPr>
          </w:p>
        </w:tc>
        <w:tc>
          <w:tcPr>
            <w:tcW w:w="17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rPr>
              <w:t>Diluted Class B</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19"/>
                <w:szCs w:val="19"/>
                <w:color w:val="auto"/>
              </w:rPr>
            </w:pPr>
          </w:p>
        </w:tc>
        <w:tc>
          <w:tcPr>
            <w:tcW w:w="17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Avg Shares Outstanding: Basic Common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9,882</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9,749</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Basic Class B</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Diluted Common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13,873</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13,698</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2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Diluted Class B</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all prior period share and per-share data has been updated to reflect the stock-split.</w:t>
      </w:r>
    </w:p>
    <w:p>
      <w:pPr>
        <w:sectPr>
          <w:pgSz w:w="11900" w:h="16838" w:orient="portrait"/>
          <w:cols w:equalWidth="0" w:num="1">
            <w:col w:w="10900"/>
          </w:cols>
          <w:pgMar w:left="320" w:top="1440" w:right="67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260" w:type="dxa"/>
            <w:vAlign w:val="bottom"/>
          </w:tcPr>
          <w:p>
            <w:pPr>
              <w:spacing w:after="0"/>
              <w:rPr>
                <w:sz w:val="20"/>
                <w:szCs w:val="20"/>
                <w:color w:val="auto"/>
              </w:rPr>
            </w:pPr>
          </w:p>
        </w:tc>
        <w:tc>
          <w:tcPr>
            <w:tcW w:w="21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As of April 30,</w:t>
            </w:r>
          </w:p>
        </w:tc>
        <w:tc>
          <w:tcPr>
            <w:tcW w:w="200" w:type="dxa"/>
            <w:vAlign w:val="bottom"/>
          </w:tcPr>
          <w:p>
            <w:pPr>
              <w:spacing w:after="0"/>
              <w:rPr>
                <w:sz w:val="20"/>
                <w:szCs w:val="20"/>
                <w:color w:val="auto"/>
              </w:rPr>
            </w:pPr>
          </w:p>
        </w:tc>
        <w:tc>
          <w:tcPr>
            <w:tcW w:w="14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 of July 31,</w:t>
            </w:r>
          </w:p>
        </w:tc>
        <w:tc>
          <w:tcPr>
            <w:tcW w:w="0" w:type="dxa"/>
            <w:vAlign w:val="bottom"/>
          </w:tcPr>
          <w:p>
            <w:pPr>
              <w:spacing w:after="0"/>
              <w:rPr>
                <w:sz w:val="1"/>
                <w:szCs w:val="1"/>
                <w:color w:val="auto"/>
              </w:rPr>
            </w:pPr>
          </w:p>
        </w:tc>
      </w:tr>
      <w:tr>
        <w:trPr>
          <w:trHeight w:val="229"/>
        </w:trPr>
        <w:tc>
          <w:tcPr>
            <w:tcW w:w="70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2"/>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1"/>
        </w:trPr>
        <w:tc>
          <w:tcPr>
            <w:tcW w:w="70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36,475</w:t>
            </w:r>
          </w:p>
        </w:tc>
        <w:tc>
          <w:tcPr>
            <w:tcW w:w="3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23,481</w:t>
            </w:r>
          </w:p>
        </w:tc>
        <w:tc>
          <w:tcPr>
            <w:tcW w:w="0" w:type="dxa"/>
            <w:vAlign w:val="bottom"/>
          </w:tcPr>
          <w:p>
            <w:pPr>
              <w:spacing w:after="0"/>
              <w:rPr>
                <w:sz w:val="1"/>
                <w:szCs w:val="1"/>
                <w:color w:val="auto"/>
              </w:rPr>
            </w:pPr>
          </w:p>
        </w:tc>
      </w:tr>
      <w:tr>
        <w:trPr>
          <w:trHeight w:val="229"/>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65,517</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62,171</w:t>
            </w:r>
          </w:p>
        </w:tc>
        <w:tc>
          <w:tcPr>
            <w:tcW w:w="0" w:type="dxa"/>
            <w:vAlign w:val="bottom"/>
          </w:tcPr>
          <w:p>
            <w:pPr>
              <w:spacing w:after="0"/>
              <w:rPr>
                <w:sz w:val="1"/>
                <w:szCs w:val="1"/>
                <w:color w:val="auto"/>
              </w:rPr>
            </w:pPr>
          </w:p>
        </w:tc>
      </w:tr>
      <w:tr>
        <w:trPr>
          <w:trHeight w:val="230"/>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Inventories, Net</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56,531</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54,236</w:t>
            </w:r>
          </w:p>
        </w:tc>
        <w:tc>
          <w:tcPr>
            <w:tcW w:w="0" w:type="dxa"/>
            <w:vAlign w:val="bottom"/>
          </w:tcPr>
          <w:p>
            <w:pPr>
              <w:spacing w:after="0"/>
              <w:rPr>
                <w:sz w:val="1"/>
                <w:szCs w:val="1"/>
                <w:color w:val="auto"/>
              </w:rPr>
            </w:pPr>
          </w:p>
        </w:tc>
      </w:tr>
      <w:tr>
        <w:trPr>
          <w:trHeight w:val="238"/>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Prepaid Expenses and Other Assets</w:t>
            </w: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4,903</w:t>
            </w: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7,270</w:t>
            </w:r>
          </w:p>
        </w:tc>
        <w:tc>
          <w:tcPr>
            <w:tcW w:w="0" w:type="dxa"/>
            <w:vAlign w:val="bottom"/>
          </w:tcPr>
          <w:p>
            <w:pPr>
              <w:spacing w:after="0"/>
              <w:rPr>
                <w:sz w:val="1"/>
                <w:szCs w:val="1"/>
                <w:color w:val="auto"/>
              </w:rPr>
            </w:pPr>
          </w:p>
        </w:tc>
      </w:tr>
      <w:tr>
        <w:trPr>
          <w:trHeight w:val="223"/>
        </w:trPr>
        <w:tc>
          <w:tcPr>
            <w:tcW w:w="70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163,426</w:t>
            </w: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147,158</w:t>
            </w:r>
          </w:p>
        </w:tc>
        <w:tc>
          <w:tcPr>
            <w:tcW w:w="0" w:type="dxa"/>
            <w:vAlign w:val="bottom"/>
          </w:tcPr>
          <w:p>
            <w:pPr>
              <w:spacing w:after="0"/>
              <w:rPr>
                <w:sz w:val="1"/>
                <w:szCs w:val="1"/>
                <w:color w:val="auto"/>
              </w:rPr>
            </w:pPr>
          </w:p>
        </w:tc>
      </w:tr>
      <w:tr>
        <w:trPr>
          <w:trHeight w:val="214"/>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139,837</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137,796</w:t>
            </w:r>
          </w:p>
        </w:tc>
        <w:tc>
          <w:tcPr>
            <w:tcW w:w="0" w:type="dxa"/>
            <w:vAlign w:val="bottom"/>
          </w:tcPr>
          <w:p>
            <w:pPr>
              <w:spacing w:after="0"/>
              <w:rPr>
                <w:sz w:val="1"/>
                <w:szCs w:val="1"/>
                <w:color w:val="auto"/>
              </w:rPr>
            </w:pPr>
          </w:p>
        </w:tc>
      </w:tr>
      <w:tr>
        <w:trPr>
          <w:trHeight w:val="238"/>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66,280</w:t>
            </w: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69,651</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369,543</w:t>
            </w:r>
          </w:p>
        </w:tc>
        <w:tc>
          <w:tcPr>
            <w:tcW w:w="3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354,605</w:t>
            </w:r>
          </w:p>
        </w:tc>
        <w:tc>
          <w:tcPr>
            <w:tcW w:w="0" w:type="dxa"/>
            <w:vAlign w:val="bottom"/>
          </w:tcPr>
          <w:p>
            <w:pPr>
              <w:spacing w:after="0"/>
              <w:rPr>
                <w:sz w:val="1"/>
                <w:szCs w:val="1"/>
                <w:color w:val="auto"/>
              </w:rPr>
            </w:pPr>
          </w:p>
        </w:tc>
      </w:tr>
      <w:tr>
        <w:trPr>
          <w:trHeight w:val="21"/>
        </w:trPr>
        <w:tc>
          <w:tcPr>
            <w:tcW w:w="7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4"/>
        </w:trPr>
        <w:tc>
          <w:tcPr>
            <w:tcW w:w="70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Current Maturities of Notes Payable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Accounts Payable</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13,177</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15,009</w:t>
            </w:r>
          </w:p>
        </w:tc>
        <w:tc>
          <w:tcPr>
            <w:tcW w:w="0" w:type="dxa"/>
            <w:vAlign w:val="bottom"/>
          </w:tcPr>
          <w:p>
            <w:pPr>
              <w:spacing w:after="0"/>
              <w:rPr>
                <w:sz w:val="1"/>
                <w:szCs w:val="1"/>
                <w:color w:val="auto"/>
              </w:rPr>
            </w:pPr>
          </w:p>
        </w:tc>
      </w:tr>
      <w:tr>
        <w:trPr>
          <w:trHeight w:val="230"/>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Dividends Payable</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0" w:type="dxa"/>
            <w:vAlign w:val="bottom"/>
          </w:tcPr>
          <w:p>
            <w:pPr>
              <w:spacing w:after="0"/>
              <w:rPr>
                <w:sz w:val="1"/>
                <w:szCs w:val="1"/>
                <w:color w:val="auto"/>
              </w:rPr>
            </w:pPr>
          </w:p>
        </w:tc>
      </w:tr>
      <w:tr>
        <w:trPr>
          <w:trHeight w:val="238"/>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41,374</w:t>
            </w: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48,572</w:t>
            </w:r>
          </w:p>
        </w:tc>
        <w:tc>
          <w:tcPr>
            <w:tcW w:w="0" w:type="dxa"/>
            <w:vAlign w:val="bottom"/>
          </w:tcPr>
          <w:p>
            <w:pPr>
              <w:spacing w:after="0"/>
              <w:rPr>
                <w:sz w:val="1"/>
                <w:szCs w:val="1"/>
                <w:color w:val="auto"/>
              </w:rPr>
            </w:pPr>
          </w:p>
        </w:tc>
      </w:tr>
      <w:tr>
        <w:trPr>
          <w:trHeight w:val="223"/>
        </w:trPr>
        <w:tc>
          <w:tcPr>
            <w:tcW w:w="70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57,656</w:t>
            </w: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66,677</w:t>
            </w:r>
          </w:p>
        </w:tc>
        <w:tc>
          <w:tcPr>
            <w:tcW w:w="0" w:type="dxa"/>
            <w:vAlign w:val="bottom"/>
          </w:tcPr>
          <w:p>
            <w:pPr>
              <w:spacing w:after="0"/>
              <w:rPr>
                <w:sz w:val="1"/>
                <w:szCs w:val="1"/>
                <w:color w:val="auto"/>
              </w:rPr>
            </w:pPr>
          </w:p>
        </w:tc>
      </w:tr>
      <w:tr>
        <w:trPr>
          <w:trHeight w:val="201"/>
        </w:trPr>
        <w:tc>
          <w:tcPr>
            <w:tcW w:w="700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39,807</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49,774</w:t>
            </w:r>
          </w:p>
        </w:tc>
        <w:tc>
          <w:tcPr>
            <w:tcW w:w="0" w:type="dxa"/>
            <w:vAlign w:val="bottom"/>
          </w:tcPr>
          <w:p>
            <w:pPr>
              <w:spacing w:after="0"/>
              <w:rPr>
                <w:sz w:val="1"/>
                <w:szCs w:val="1"/>
                <w:color w:val="auto"/>
              </w:rPr>
            </w:pPr>
          </w:p>
        </w:tc>
      </w:tr>
      <w:tr>
        <w:trPr>
          <w:trHeight w:val="238"/>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25,221</w:t>
            </w: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27,566</w:t>
            </w:r>
          </w:p>
        </w:tc>
        <w:tc>
          <w:tcPr>
            <w:tcW w:w="0" w:type="dxa"/>
            <w:vAlign w:val="bottom"/>
          </w:tcPr>
          <w:p>
            <w:pPr>
              <w:spacing w:after="0"/>
              <w:rPr>
                <w:sz w:val="1"/>
                <w:szCs w:val="1"/>
                <w:color w:val="auto"/>
              </w:rPr>
            </w:pPr>
          </w:p>
        </w:tc>
      </w:tr>
      <w:tr>
        <w:trPr>
          <w:trHeight w:val="223"/>
        </w:trPr>
        <w:tc>
          <w:tcPr>
            <w:tcW w:w="70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65,028</w:t>
            </w: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77,340</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246,859</w:t>
            </w: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210,588</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369,543</w:t>
            </w:r>
          </w:p>
        </w:tc>
        <w:tc>
          <w:tcPr>
            <w:tcW w:w="3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354,605</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Book Value Per Share Outstanding</w:t>
            </w: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000" w:type="dxa"/>
            <w:vAlign w:val="bottom"/>
            <w:vMerge w:val="continue"/>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36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all prior period share and per-share data has been updated to reflect the stock-split.</w:t>
      </w:r>
    </w:p>
    <w:p>
      <w:pPr>
        <w:sectPr>
          <w:pgSz w:w="11900" w:h="16838" w:orient="portrait"/>
          <w:cols w:equalWidth="0" w:num="1">
            <w:col w:w="11060"/>
          </w:cols>
          <w:pgMar w:left="320" w:top="1440" w:right="51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080" w:type="dxa"/>
            <w:vAlign w:val="bottom"/>
            <w:gridSpan w:val="4"/>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880" w:type="dxa"/>
            <w:vAlign w:val="bottom"/>
          </w:tcPr>
          <w:p>
            <w:pPr>
              <w:spacing w:after="0"/>
              <w:rPr>
                <w:sz w:val="19"/>
                <w:szCs w:val="19"/>
                <w:color w:val="auto"/>
              </w:rPr>
            </w:pPr>
          </w:p>
        </w:tc>
        <w:tc>
          <w:tcPr>
            <w:tcW w:w="3080" w:type="dxa"/>
            <w:vAlign w:val="bottom"/>
            <w:gridSpan w:val="4"/>
            <w:vMerge w:val="continue"/>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8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688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40,941</w:t>
            </w:r>
          </w:p>
        </w:tc>
        <w:tc>
          <w:tcPr>
            <w:tcW w:w="340" w:type="dxa"/>
            <w:vAlign w:val="bottom"/>
          </w:tcPr>
          <w:p>
            <w:pPr>
              <w:spacing w:after="0"/>
              <w:rPr>
                <w:sz w:val="19"/>
                <w:szCs w:val="19"/>
                <w:color w:val="auto"/>
              </w:rPr>
            </w:pP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30,901</w:t>
            </w:r>
          </w:p>
        </w:tc>
        <w:tc>
          <w:tcPr>
            <w:tcW w:w="0" w:type="dxa"/>
            <w:vAlign w:val="bottom"/>
          </w:tcPr>
          <w:p>
            <w:pPr>
              <w:spacing w:after="0"/>
              <w:rPr>
                <w:sz w:val="1"/>
                <w:szCs w:val="1"/>
                <w:color w:val="auto"/>
              </w:rPr>
            </w:pPr>
          </w:p>
        </w:tc>
      </w:tr>
      <w:tr>
        <w:trPr>
          <w:trHeight w:val="229"/>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to net cash</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provided by operating activities:</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16,391</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13,619</w:t>
            </w:r>
          </w:p>
        </w:tc>
        <w:tc>
          <w:tcPr>
            <w:tcW w:w="0" w:type="dxa"/>
            <w:vAlign w:val="bottom"/>
          </w:tcPr>
          <w:p>
            <w:pPr>
              <w:spacing w:after="0"/>
              <w:rPr>
                <w:sz w:val="1"/>
                <w:szCs w:val="1"/>
                <w:color w:val="auto"/>
              </w:rPr>
            </w:pPr>
          </w:p>
        </w:tc>
      </w:tr>
      <w:tr>
        <w:trPr>
          <w:trHeight w:val="230"/>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Increase in Accounts Receivable</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(3,816)</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0" w:type="dxa"/>
            <w:vAlign w:val="bottom"/>
          </w:tcPr>
          <w:p>
            <w:pPr>
              <w:spacing w:after="0"/>
              <w:rPr>
                <w:sz w:val="1"/>
                <w:szCs w:val="1"/>
                <w:color w:val="auto"/>
              </w:rPr>
            </w:pPr>
          </w:p>
        </w:tc>
      </w:tr>
      <w:tr>
        <w:trPr>
          <w:trHeight w:val="229"/>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Increase in Inventories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0" w:type="dxa"/>
            <w:vAlign w:val="bottom"/>
          </w:tcPr>
          <w:p>
            <w:pPr>
              <w:spacing w:after="0"/>
              <w:rPr>
                <w:sz w:val="1"/>
                <w:szCs w:val="1"/>
                <w:color w:val="auto"/>
              </w:rPr>
            </w:pPr>
          </w:p>
        </w:tc>
      </w:tr>
      <w:tr>
        <w:trPr>
          <w:trHeight w:val="229"/>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Decrease (Increase) in Prepaid Expenses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0" w:type="dxa"/>
            <w:vAlign w:val="bottom"/>
          </w:tcPr>
          <w:p>
            <w:pPr>
              <w:spacing w:after="0"/>
              <w:rPr>
                <w:sz w:val="1"/>
                <w:szCs w:val="1"/>
                <w:color w:val="auto"/>
              </w:rPr>
            </w:pPr>
          </w:p>
        </w:tc>
      </w:tr>
      <w:tr>
        <w:trPr>
          <w:trHeight w:val="230"/>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Increase (Decrease) in Accounts Payable</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0" w:type="dxa"/>
            <w:vAlign w:val="bottom"/>
          </w:tcPr>
          <w:p>
            <w:pPr>
              <w:spacing w:after="0"/>
              <w:rPr>
                <w:sz w:val="1"/>
                <w:szCs w:val="1"/>
                <w:color w:val="auto"/>
              </w:rPr>
            </w:pPr>
          </w:p>
        </w:tc>
      </w:tr>
      <w:tr>
        <w:trPr>
          <w:trHeight w:val="229"/>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Decrease in Accrued Expenses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0" w:type="dxa"/>
            <w:vAlign w:val="bottom"/>
          </w:tcPr>
          <w:p>
            <w:pPr>
              <w:spacing w:after="0"/>
              <w:rPr>
                <w:sz w:val="1"/>
                <w:szCs w:val="1"/>
                <w:color w:val="auto"/>
              </w:rPr>
            </w:pPr>
          </w:p>
        </w:tc>
      </w:tr>
      <w:tr>
        <w:trPr>
          <w:trHeight w:val="238"/>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3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4,828</w:t>
            </w:r>
          </w:p>
        </w:tc>
        <w:tc>
          <w:tcPr>
            <w:tcW w:w="0" w:type="dxa"/>
            <w:vAlign w:val="bottom"/>
          </w:tcPr>
          <w:p>
            <w:pPr>
              <w:spacing w:after="0"/>
              <w:rPr>
                <w:sz w:val="1"/>
                <w:szCs w:val="1"/>
                <w:color w:val="auto"/>
              </w:rPr>
            </w:pPr>
          </w:p>
        </w:tc>
      </w:tr>
      <w:tr>
        <w:trPr>
          <w:trHeight w:val="223"/>
        </w:trPr>
        <w:tc>
          <w:tcPr>
            <w:tcW w:w="68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14,047</w:t>
            </w:r>
          </w:p>
        </w:tc>
        <w:tc>
          <w:tcPr>
            <w:tcW w:w="3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6,028</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54,988</w:t>
            </w:r>
          </w:p>
        </w:tc>
        <w:tc>
          <w:tcPr>
            <w:tcW w:w="3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36,929</w:t>
            </w:r>
          </w:p>
        </w:tc>
        <w:tc>
          <w:tcPr>
            <w:tcW w:w="0" w:type="dxa"/>
            <w:vAlign w:val="bottom"/>
          </w:tcPr>
          <w:p>
            <w:pPr>
              <w:spacing w:after="0"/>
              <w:rPr>
                <w:sz w:val="1"/>
                <w:szCs w:val="1"/>
                <w:color w:val="auto"/>
              </w:rPr>
            </w:pPr>
          </w:p>
        </w:tc>
      </w:tr>
      <w:tr>
        <w:trPr>
          <w:trHeight w:val="457"/>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(24,483)</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(23,717)</w:t>
            </w:r>
          </w:p>
        </w:tc>
        <w:tc>
          <w:tcPr>
            <w:tcW w:w="0" w:type="dxa"/>
            <w:vAlign w:val="bottom"/>
          </w:tcPr>
          <w:p>
            <w:pPr>
              <w:spacing w:after="0"/>
              <w:rPr>
                <w:sz w:val="1"/>
                <w:szCs w:val="1"/>
                <w:color w:val="auto"/>
              </w:rPr>
            </w:pPr>
          </w:p>
        </w:tc>
      </w:tr>
      <w:tr>
        <w:trPr>
          <w:trHeight w:val="230"/>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Acquisition of Business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Proceeds from sale of property, plant and equipment</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(24,509)</w:t>
            </w:r>
          </w:p>
        </w:tc>
        <w:tc>
          <w:tcPr>
            <w:tcW w:w="3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(23,536)</w:t>
            </w:r>
          </w:p>
        </w:tc>
        <w:tc>
          <w:tcPr>
            <w:tcW w:w="0" w:type="dxa"/>
            <w:vAlign w:val="bottom"/>
          </w:tcPr>
          <w:p>
            <w:pPr>
              <w:spacing w:after="0"/>
              <w:rPr>
                <w:sz w:val="1"/>
                <w:szCs w:val="1"/>
                <w:color w:val="auto"/>
              </w:rPr>
            </w:pPr>
          </w:p>
        </w:tc>
      </w:tr>
      <w:tr>
        <w:trPr>
          <w:trHeight w:val="457"/>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Proceeds from long-term debt</w:t>
            </w:r>
          </w:p>
        </w:tc>
        <w:tc>
          <w:tcPr>
            <w:tcW w:w="1040" w:type="dxa"/>
            <w:vAlign w:val="bottom"/>
          </w:tcPr>
          <w:p>
            <w:pPr>
              <w:spacing w:after="0"/>
              <w:rPr>
                <w:sz w:val="19"/>
                <w:szCs w:val="19"/>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30"/>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Payments on Revolving Credit Facility</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(10,000)</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Dividends Paid</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(6,290)</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(5,848)</w:t>
            </w:r>
          </w:p>
        </w:tc>
        <w:tc>
          <w:tcPr>
            <w:tcW w:w="0" w:type="dxa"/>
            <w:vAlign w:val="bottom"/>
          </w:tcPr>
          <w:p>
            <w:pPr>
              <w:spacing w:after="0"/>
              <w:rPr>
                <w:sz w:val="1"/>
                <w:szCs w:val="1"/>
                <w:color w:val="auto"/>
              </w:rPr>
            </w:pPr>
          </w:p>
        </w:tc>
      </w:tr>
      <w:tr>
        <w:trPr>
          <w:trHeight w:val="238"/>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Purchases of Treasury Stock</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3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(18,523)</w:t>
            </w:r>
          </w:p>
        </w:tc>
        <w:tc>
          <w:tcPr>
            <w:tcW w:w="3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0" w:type="dxa"/>
            <w:vAlign w:val="bottom"/>
          </w:tcPr>
          <w:p>
            <w:pPr>
              <w:spacing w:after="0"/>
              <w:rPr>
                <w:sz w:val="1"/>
                <w:szCs w:val="1"/>
                <w:color w:val="auto"/>
              </w:rPr>
            </w:pPr>
          </w:p>
        </w:tc>
      </w:tr>
      <w:tr>
        <w:trPr>
          <w:trHeight w:val="466"/>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10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457"/>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10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11,994</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15,067</w:t>
            </w:r>
          </w:p>
        </w:tc>
        <w:tc>
          <w:tcPr>
            <w:tcW w:w="0" w:type="dxa"/>
            <w:vAlign w:val="bottom"/>
          </w:tcPr>
          <w:p>
            <w:pPr>
              <w:spacing w:after="0"/>
              <w:rPr>
                <w:sz w:val="1"/>
                <w:szCs w:val="1"/>
                <w:color w:val="auto"/>
              </w:rPr>
            </w:pPr>
          </w:p>
        </w:tc>
      </w:tr>
      <w:tr>
        <w:trPr>
          <w:trHeight w:val="238"/>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24,481</w:t>
            </w:r>
          </w:p>
        </w:tc>
        <w:tc>
          <w:tcPr>
            <w:tcW w:w="3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31,754</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36,475</w:t>
            </w:r>
          </w:p>
        </w:tc>
        <w:tc>
          <w:tcPr>
            <w:tcW w:w="340" w:type="dxa"/>
            <w:vAlign w:val="bottom"/>
          </w:tcPr>
          <w:p>
            <w:pPr>
              <w:spacing w:after="0"/>
              <w:rPr>
                <w:sz w:val="19"/>
                <w:szCs w:val="19"/>
                <w:color w:val="auto"/>
              </w:rPr>
            </w:pP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46,821</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620"/>
          </w:cols>
          <w:pgMar w:left="340" w:top="1440" w:right="9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3" w:lineRule="exact"/>
        <w:rPr>
          <w:sz w:val="20"/>
          <w:szCs w:val="20"/>
          <w:color w:val="auto"/>
        </w:rPr>
      </w:pPr>
    </w:p>
    <w:p>
      <w:pPr>
        <w:ind w:right="437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RECONCILIATION OF NON-GAAP FINANCIAL MEASURES </w:t>
      </w:r>
      <w:r>
        <w:rPr>
          <w:rFonts w:ascii="Times New Roman" w:cs="Times New Roman" w:eastAsia="Times New Roman" w:hAnsi="Times New Roman"/>
          <w:sz w:val="18"/>
          <w:szCs w:val="18"/>
          <w:color w:val="auto"/>
        </w:rPr>
        <w:t>(in thousands)</w:t>
      </w:r>
    </w:p>
    <w:tbl>
      <w:tblPr>
        <w:tblLayout w:type="fixed"/>
        <w:tblInd w:w="0" w:type="dxa"/>
        <w:tblCellMar>
          <w:top w:w="0" w:type="dxa"/>
          <w:left w:w="0" w:type="dxa"/>
          <w:bottom w:w="0" w:type="dxa"/>
          <w:right w:w="0" w:type="dxa"/>
        </w:tblCellMar>
      </w:tblPr>
      <w:tr>
        <w:trPr>
          <w:trHeight w:val="221"/>
        </w:trPr>
        <w:tc>
          <w:tcPr>
            <w:tcW w:w="4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0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Third Quarter</w:t>
            </w:r>
          </w:p>
        </w:tc>
        <w:tc>
          <w:tcPr>
            <w:tcW w:w="260" w:type="dxa"/>
            <w:vAlign w:val="bottom"/>
          </w:tcPr>
          <w:p>
            <w:pPr>
              <w:spacing w:after="0"/>
              <w:rPr>
                <w:sz w:val="19"/>
                <w:szCs w:val="19"/>
                <w:color w:val="auto"/>
              </w:rPr>
            </w:pPr>
          </w:p>
        </w:tc>
        <w:tc>
          <w:tcPr>
            <w:tcW w:w="218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Year to Date</w:t>
            </w:r>
          </w:p>
        </w:tc>
      </w:tr>
      <w:tr>
        <w:trPr>
          <w:trHeight w:val="238"/>
        </w:trPr>
        <w:tc>
          <w:tcPr>
            <w:tcW w:w="4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Ended April 30,</w:t>
            </w:r>
          </w:p>
        </w:tc>
        <w:tc>
          <w:tcPr>
            <w:tcW w:w="260" w:type="dxa"/>
            <w:vAlign w:val="bottom"/>
          </w:tcPr>
          <w:p>
            <w:pPr>
              <w:spacing w:after="0"/>
              <w:rPr>
                <w:sz w:val="20"/>
                <w:szCs w:val="20"/>
                <w:color w:val="auto"/>
              </w:rPr>
            </w:pPr>
          </w:p>
        </w:tc>
        <w:tc>
          <w:tcPr>
            <w:tcW w:w="218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Ended April 30,</w:t>
            </w:r>
          </w:p>
        </w:tc>
      </w:tr>
      <w:tr>
        <w:trPr>
          <w:trHeight w:val="223"/>
        </w:trPr>
        <w:tc>
          <w:tcPr>
            <w:tcW w:w="43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4"/>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11,644</w:t>
            </w:r>
          </w:p>
        </w:tc>
        <w:tc>
          <w:tcPr>
            <w:tcW w:w="1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7,777</w:t>
            </w:r>
          </w:p>
        </w:tc>
        <w:tc>
          <w:tcPr>
            <w:tcW w:w="1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40,941</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30,901</w:t>
            </w:r>
          </w:p>
        </w:tc>
      </w:tr>
      <w:tr>
        <w:trPr>
          <w:trHeight w:val="229"/>
        </w:trPr>
        <w:tc>
          <w:tcPr>
            <w:tcW w:w="43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13,619</w:t>
            </w:r>
          </w:p>
        </w:tc>
      </w:tr>
      <w:tr>
        <w:trPr>
          <w:trHeight w:val="230"/>
        </w:trPr>
        <w:tc>
          <w:tcPr>
            <w:tcW w:w="43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r>
      <w:tr>
        <w:trPr>
          <w:trHeight w:val="229"/>
        </w:trPr>
        <w:tc>
          <w:tcPr>
            <w:tcW w:w="43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r>
      <w:tr>
        <w:trPr>
          <w:trHeight w:val="238"/>
        </w:trPr>
        <w:tc>
          <w:tcPr>
            <w:tcW w:w="43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9,769</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6,749</w:t>
            </w:r>
          </w:p>
        </w:tc>
      </w:tr>
      <w:tr>
        <w:trPr>
          <w:trHeight w:val="223"/>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68,631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51,614</w:t>
            </w:r>
          </w:p>
        </w:tc>
      </w:tr>
      <w:tr>
        <w:trPr>
          <w:trHeight w:val="20"/>
        </w:trPr>
        <w:tc>
          <w:tcPr>
            <w:tcW w:w="4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419"/>
          </w:cols>
          <w:pgMar w:left="1040" w:top="1440" w:right="144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5"/>
          <w:szCs w:val="15"/>
          <w:color w:val="002D69"/>
        </w:rPr>
        <w:drawing>
          <wp:anchor simplePos="0" relativeHeight="251657728" behindDoc="1" locked="0" layoutInCell="0" allowOverlap="1">
            <wp:simplePos x="0" y="0"/>
            <wp:positionH relativeFrom="page">
              <wp:posOffset>3105785</wp:posOffset>
            </wp:positionH>
            <wp:positionV relativeFrom="page">
              <wp:posOffset>88900</wp:posOffset>
            </wp:positionV>
            <wp:extent cx="1337310" cy="4457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337310" cy="445770"/>
                    </a:xfrm>
                    <a:prstGeom prst="rect">
                      <a:avLst/>
                    </a:prstGeom>
                    <a:noFill/>
                  </pic:spPr>
                </pic:pic>
              </a:graphicData>
            </a:graphic>
          </wp:anchor>
        </w:drawing>
        <w:t>410 N. Michigan Ave. Chicago, Illinois 60611, U.S.A</w:t>
      </w:r>
    </w:p>
    <w:p>
      <w:pPr>
        <w:spacing w:after="0" w:line="24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b w:val="1"/>
          <w:bCs w:val="1"/>
          <w:color w:val="002D69"/>
        </w:rPr>
        <w:t>News Announcement</w:t>
      </w:r>
    </w:p>
    <w:p>
      <w:pPr>
        <w:spacing w:after="0" w:line="3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Exhibit 99.2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Oil-Dri Marks 22 Consecutive Years of Dividend Growth with a 16% Increase</w:t>
      </w:r>
    </w:p>
    <w:p>
      <w:pPr>
        <w:spacing w:after="0" w:line="23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CHICAGO—(June 4, 2025)—The Board of Directors of Oil-Dri Corporation of America (NYSE: ODC) today declared a two and a half-cent increase in the Company’s quarterly cash dividend per share of Common Stock, marking the 22</w:t>
      </w:r>
      <w:r>
        <w:rPr>
          <w:rFonts w:ascii="Times New Roman" w:cs="Times New Roman" w:eastAsia="Times New Roman" w:hAnsi="Times New Roman"/>
          <w:sz w:val="11"/>
          <w:szCs w:val="11"/>
          <w:color w:val="auto"/>
        </w:rPr>
        <w:t>nd</w:t>
      </w:r>
      <w:r>
        <w:rPr>
          <w:rFonts w:ascii="Times New Roman" w:cs="Times New Roman" w:eastAsia="Times New Roman" w:hAnsi="Times New Roman"/>
          <w:sz w:val="22"/>
          <w:szCs w:val="22"/>
          <w:color w:val="auto"/>
        </w:rPr>
        <w:t xml:space="preserve"> consecutive year of dividend growth. The approved dividends will be $0.18 per share of the Company’s Common Stock and $0.135 per share of the Company’s Class B Stock, an approximate 16% increase for both classes of stock.</w:t>
      </w:r>
    </w:p>
    <w:p>
      <w:pPr>
        <w:spacing w:after="0" w:line="207"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Oil-Dri has paid cash dividends continuously each year since 1974, demonstrating the Company’s sustained fiscal strength and disciplined capital management over time.</w:t>
      </w:r>
    </w:p>
    <w:p>
      <w:pPr>
        <w:spacing w:after="0" w:line="185" w:lineRule="exact"/>
        <w:rPr>
          <w:sz w:val="20"/>
          <w:szCs w:val="20"/>
          <w:color w:val="auto"/>
        </w:rPr>
      </w:pPr>
    </w:p>
    <w:p>
      <w:pPr>
        <w:ind w:right="240"/>
        <w:spacing w:after="0" w:line="236" w:lineRule="auto"/>
        <w:rPr>
          <w:sz w:val="20"/>
          <w:szCs w:val="20"/>
          <w:color w:val="auto"/>
        </w:rPr>
      </w:pPr>
      <w:r>
        <w:rPr>
          <w:rFonts w:ascii="Times New Roman" w:cs="Times New Roman" w:eastAsia="Times New Roman" w:hAnsi="Times New Roman"/>
          <w:sz w:val="22"/>
          <w:szCs w:val="22"/>
          <w:color w:val="auto"/>
        </w:rPr>
        <w:t>“This significant increase in our dividend reflects both our strong financial position and confidence in the Company’s future.” said Daniel S. Jaffee, President and Chief Executive Officer of Oil-Dri. “Coming on the heels of our stock split, this action also underscores our ongoing commitment to delivering meaningful long-term value to our stockholders. As we move forward, we remain focused on balancing steady growth with prudent capital allocation.”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cash dividends will be payable on August 22, 2025 to stockholders of record at the close of business on August 8, 2025.</w:t>
      </w:r>
    </w:p>
    <w:p>
      <w:pPr>
        <w:spacing w:after="0" w:line="233"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2"/>
          <w:szCs w:val="22"/>
          <w:color w:val="auto"/>
        </w:rPr>
        <w:t>The Company’s press release outlining its performance for the third quarter of fiscal year 2025 will be issued after the close of the U.S. stock market on Thursday, June 5, 2025. Oil-Dri will host an earnings discussion via a live webcast on Friday, June 6, 2025 at 10:00 a.m. Central Time. Participation details will be posted on the Company’s website’s Events page approximately one week prior to the call.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Oil-Dri Corporation of America</w:t>
      </w:r>
    </w:p>
    <w:p>
      <w:pPr>
        <w:spacing w:after="0" w:line="18"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color w:val="auto"/>
        </w:rPr>
        <w:t xml:space="preserve">Oil-Dri Corporation of America (“Oil-Dri”) is a leading manufacturer and supplier of specialty sorbent products for the pet care, animal health and nutrition, fluids purification, agricultural ingredients, sports field, industrial and automotive markets. Oil-Dri is vertically integrated which enables the Company to efficiently oversee every step of the process from research and development to supply chain to marketing and sales. With over 80 years of experience, the Company continues to fulfill its mission to </w:t>
      </w:r>
      <w:r>
        <w:rPr>
          <w:rFonts w:ascii="Times New Roman" w:cs="Times New Roman" w:eastAsia="Times New Roman" w:hAnsi="Times New Roman"/>
          <w:sz w:val="22"/>
          <w:szCs w:val="22"/>
          <w:i w:val="1"/>
          <w:iCs w:val="1"/>
          <w:color w:val="auto"/>
        </w:rPr>
        <w:t>Create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Value from Sorbent Minerals</w:t>
      </w:r>
      <w:r>
        <w:rPr>
          <w:rFonts w:ascii="Times New Roman" w:cs="Times New Roman" w:eastAsia="Times New Roman" w:hAnsi="Times New Roman"/>
          <w:sz w:val="22"/>
          <w:szCs w:val="22"/>
          <w:color w:val="auto"/>
        </w:rPr>
        <w:t>. To learn more about the Company, please visit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0000FF"/>
        </w:rPr>
        <w:t>oildri.com</w:t>
      </w:r>
      <w:r>
        <w:rPr>
          <w:rFonts w:ascii="Times New Roman" w:cs="Times New Roman" w:eastAsia="Times New Roman" w:hAnsi="Times New Roman"/>
          <w:sz w:val="22"/>
          <w:szCs w:val="22"/>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32" w:lineRule="exact"/>
        <w:rPr>
          <w:sz w:val="20"/>
          <w:szCs w:val="20"/>
          <w:color w:val="auto"/>
        </w:rPr>
      </w:pPr>
    </w:p>
    <w:p>
      <w:pPr>
        <w:ind w:right="840"/>
        <w:spacing w:after="0" w:line="248" w:lineRule="auto"/>
        <w:rPr>
          <w:sz w:val="20"/>
          <w:szCs w:val="20"/>
          <w:color w:val="auto"/>
        </w:rPr>
      </w:pPr>
      <w:r>
        <w:rPr>
          <w:rFonts w:ascii="Times New Roman" w:cs="Times New Roman" w:eastAsia="Times New Roman" w:hAnsi="Times New Roman"/>
          <w:sz w:val="22"/>
          <w:szCs w:val="22"/>
          <w:color w:val="auto"/>
        </w:rPr>
        <w:t>Certain statements in this press release may constitute forward-looking statements within the meaning of the safe harbor provisions of the U.S. Private Securities Litigation Reform</w:t>
      </w:r>
    </w:p>
    <w:p>
      <w:pPr>
        <w:sectPr>
          <w:pgSz w:w="11900" w:h="16838" w:orient="portrait"/>
          <w:cols w:equalWidth="0" w:num="1">
            <w:col w:w="11240"/>
          </w:cols>
          <w:pgMar w:left="320" w:top="919" w:right="3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397510</wp:posOffset>
            </wp:positionV>
            <wp:extent cx="1337310" cy="4457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337310" cy="44577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1186180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2"/>
          <w:szCs w:val="22"/>
          <w:color w:val="auto"/>
        </w:rPr>
        <w:t>Act of 1995.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These forward-looking statements are based on management’s current expectations, estimates, forecasts, assumptions and projections about future events, our future performance, the future of our business, our plans and strategies, projections, anticipated trends, the economy and other future developments and their potential effects on us.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Forward-looking statements can be identified by words such as “expect,” “outlook,” “forecast,” “would,” “could,” “should,” “project,” “intend,” “plan,” “continue,” “believe,” “seek,” “estimate,” “anticipate,” “may,” “assume,” “potential,” “strive,” and similar references to future periods.</w:t>
      </w:r>
    </w:p>
    <w:p>
      <w:pPr>
        <w:spacing w:after="0" w:line="21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Such statements are subject to certain risks, uncertainties and assumptions that could cause actual results to differ materially from those anticipated, intended, expected, believed, estimated, projected, planned or otherwise expressed in any forward-looking statements, including, but not limited to, those described in our most recent Annual Report on Form 10-K and from time to time in our other filings with the Securities and Exchange Commission. Investors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Leslie A. Garber</w:t>
      </w:r>
    </w:p>
    <w:p>
      <w:pPr>
        <w:spacing w:after="0" w:line="230" w:lineRule="auto"/>
        <w:rPr>
          <w:sz w:val="20"/>
          <w:szCs w:val="20"/>
          <w:color w:val="auto"/>
        </w:rPr>
      </w:pPr>
      <w:r>
        <w:rPr>
          <w:rFonts w:ascii="Times New Roman" w:cs="Times New Roman" w:eastAsia="Times New Roman" w:hAnsi="Times New Roman"/>
          <w:sz w:val="22"/>
          <w:szCs w:val="22"/>
          <w:color w:val="auto"/>
        </w:rPr>
        <w:t>Director of Investor Relations</w:t>
      </w:r>
    </w:p>
    <w:p>
      <w:pPr>
        <w:spacing w:after="0" w:line="231" w:lineRule="auto"/>
        <w:rPr>
          <w:sz w:val="20"/>
          <w:szCs w:val="20"/>
          <w:color w:val="auto"/>
        </w:rPr>
      </w:pPr>
      <w:r>
        <w:rPr>
          <w:rFonts w:ascii="Times New Roman" w:cs="Times New Roman" w:eastAsia="Times New Roman" w:hAnsi="Times New Roman"/>
          <w:sz w:val="22"/>
          <w:szCs w:val="22"/>
          <w:color w:val="auto"/>
        </w:rPr>
        <w:t>Oil-Dri Corporation of America</w:t>
      </w:r>
    </w:p>
    <w:p>
      <w:pPr>
        <w:spacing w:after="0"/>
        <w:rPr>
          <w:sz w:val="20"/>
          <w:szCs w:val="20"/>
          <w:color w:val="auto"/>
        </w:rPr>
      </w:pPr>
      <w:r>
        <w:rPr>
          <w:rFonts w:ascii="Times New Roman" w:cs="Times New Roman" w:eastAsia="Times New Roman" w:hAnsi="Times New Roman"/>
          <w:sz w:val="22"/>
          <w:szCs w:val="22"/>
          <w:color w:val="0000FF"/>
        </w:rPr>
        <w:t>InvestorRelations@oildri.com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(312) 321-1515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2025-06-05T15:36:42Z</dcterms:created>
  <dcterms:modified xsi:type="dcterms:W3CDTF">2025-06-05T15:36:42Z</dcterms:modified>
</cp:coreProperties>
</file>