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ANNUAL REPORT PURSUANT TO SECTION 13 OR 15(d)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 the fiscal year ended July 31, 2006</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22"/>
          <w:szCs w:val="22"/>
          <w:b w:val="1"/>
          <w:bCs w:val="1"/>
          <w:color w:val="auto"/>
        </w:rPr>
        <w:t>TRANSITION REPORT PURSUANT TO SECTION 13 OR 15 (d)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79" w:lineRule="exact"/>
        <w:rPr>
          <w:sz w:val="24"/>
          <w:szCs w:val="24"/>
          <w:color w:val="auto"/>
        </w:rPr>
      </w:pPr>
    </w:p>
    <w:p>
      <w:pPr>
        <w:ind w:left="3120"/>
        <w:spacing w:after="0"/>
        <w:rPr>
          <w:sz w:val="20"/>
          <w:szCs w:val="20"/>
          <w:color w:val="auto"/>
        </w:rPr>
      </w:pPr>
      <w:r>
        <w:rPr>
          <w:rFonts w:ascii="Arial" w:cs="Arial" w:eastAsia="Arial" w:hAnsi="Arial"/>
          <w:sz w:val="24"/>
          <w:szCs w:val="24"/>
          <w:b w:val="1"/>
          <w:bCs w:val="1"/>
          <w:color w:val="auto"/>
        </w:rPr>
        <w:t>For the Transition Period from _____to _____</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24"/>
          <w:szCs w:val="24"/>
          <w:b w:val="1"/>
          <w:bCs w:val="1"/>
          <w:color w:val="auto"/>
        </w:rPr>
        <w:t>___________________________</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Commission File Number 0-8675</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214" w:right="239" w:bottom="0" w:gutter="0" w:footer="0" w:header="0"/>
        </w:sectPr>
      </w:pPr>
    </w:p>
    <w:p>
      <w:pPr>
        <w:spacing w:after="0" w:line="204"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47" w:lineRule="exact"/>
        <w:rPr>
          <w:sz w:val="24"/>
          <w:szCs w:val="24"/>
          <w:color w:val="auto"/>
        </w:rPr>
      </w:pPr>
    </w:p>
    <w:p>
      <w:pPr>
        <w:sectPr>
          <w:pgSz w:w="11900" w:h="16838" w:orient="portrait"/>
          <w:cols w:equalWidth="0" w:num="2">
            <w:col w:w="7380" w:space="720"/>
            <w:col w:w="3320"/>
          </w:cols>
          <w:pgMar w:left="240" w:top="214" w:right="239" w:bottom="0" w:gutter="0" w:footer="0" w:header="0"/>
          <w:type w:val="continuous"/>
        </w:sectPr>
      </w:pPr>
    </w:p>
    <w:p>
      <w:pPr>
        <w:ind w:left="2020"/>
        <w:spacing w:after="0"/>
        <w:rPr>
          <w:sz w:val="20"/>
          <w:szCs w:val="20"/>
          <w:color w:val="auto"/>
        </w:rPr>
      </w:pPr>
      <w:r>
        <w:rPr>
          <w:rFonts w:ascii="Arial" w:cs="Arial" w:eastAsia="Arial" w:hAnsi="Arial"/>
          <w:sz w:val="12"/>
          <w:szCs w:val="12"/>
          <w:color w:val="auto"/>
        </w:rPr>
        <w:t>(State or other jurisdiction of</w:t>
      </w:r>
    </w:p>
    <w:p>
      <w:pPr>
        <w:ind w:left="2000"/>
        <w:spacing w:after="0"/>
        <w:rPr>
          <w:sz w:val="20"/>
          <w:szCs w:val="20"/>
          <w:color w:val="auto"/>
        </w:rPr>
      </w:pPr>
      <w:r>
        <w:rPr>
          <w:rFonts w:ascii="Arial" w:cs="Arial" w:eastAsia="Arial" w:hAnsi="Arial"/>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336" w:lineRule="exact"/>
        <w:rPr>
          <w:sz w:val="24"/>
          <w:szCs w:val="24"/>
          <w:color w:val="auto"/>
        </w:rPr>
      </w:pPr>
    </w:p>
    <w:p>
      <w:pPr>
        <w:sectPr>
          <w:pgSz w:w="11900" w:h="16838" w:orient="portrait"/>
          <w:cols w:equalWidth="0" w:num="2">
            <w:col w:w="6820" w:space="720"/>
            <w:col w:w="3880"/>
          </w:cols>
          <w:pgMar w:left="240" w:top="214" w:right="239" w:bottom="0" w:gutter="0" w:footer="0" w:header="0"/>
          <w:type w:val="continuous"/>
        </w:sect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7"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5040" w:type="dxa"/>
            <w:vAlign w:val="bottom"/>
            <w:gridSpan w:val="2"/>
          </w:tcPr>
          <w:p>
            <w:pPr>
              <w:jc w:val="center"/>
              <w:ind w:right="3480"/>
              <w:spacing w:after="0"/>
              <w:rPr>
                <w:sz w:val="20"/>
                <w:szCs w:val="20"/>
                <w:color w:val="auto"/>
              </w:rPr>
            </w:pPr>
            <w:r>
              <w:rPr>
                <w:rFonts w:ascii="Arial" w:cs="Arial" w:eastAsia="Arial" w:hAnsi="Arial"/>
                <w:sz w:val="18"/>
                <w:szCs w:val="18"/>
                <w:b w:val="1"/>
                <w:bCs w:val="1"/>
                <w:color w:val="auto"/>
                <w:w w:val="97"/>
              </w:rPr>
              <w:t>Title of Each Class</w:t>
            </w:r>
          </w:p>
        </w:tc>
        <w:tc>
          <w:tcPr>
            <w:tcW w:w="2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Name of Each Exchange on Which</w:t>
            </w:r>
          </w:p>
        </w:tc>
      </w:tr>
      <w:tr>
        <w:trPr>
          <w:trHeight w:val="183"/>
        </w:trPr>
        <w:tc>
          <w:tcPr>
            <w:tcW w:w="86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34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6"/>
              </w:rPr>
              <w:t>Registered</w:t>
            </w:r>
          </w:p>
        </w:tc>
        <w:tc>
          <w:tcPr>
            <w:tcW w:w="1000" w:type="dxa"/>
            <w:vAlign w:val="bottom"/>
            <w:tcBorders>
              <w:top w:val="single" w:sz="8" w:color="auto"/>
            </w:tcBorders>
          </w:tcPr>
          <w:p>
            <w:pPr>
              <w:spacing w:after="0"/>
              <w:rPr>
                <w:sz w:val="15"/>
                <w:szCs w:val="15"/>
                <w:color w:val="auto"/>
              </w:rPr>
            </w:pPr>
          </w:p>
        </w:tc>
      </w:tr>
      <w:tr>
        <w:trPr>
          <w:trHeight w:val="221"/>
        </w:trPr>
        <w:tc>
          <w:tcPr>
            <w:tcW w:w="5900" w:type="dxa"/>
            <w:vAlign w:val="bottom"/>
            <w:gridSpan w:val="3"/>
          </w:tcPr>
          <w:p>
            <w:pPr>
              <w:jc w:val="center"/>
              <w:ind w:right="2620"/>
              <w:spacing w:after="0"/>
              <w:rPr>
                <w:sz w:val="20"/>
                <w:szCs w:val="20"/>
                <w:color w:val="auto"/>
              </w:rPr>
            </w:pPr>
            <w:r>
              <w:rPr>
                <w:rFonts w:ascii="Arial" w:cs="Arial" w:eastAsia="Arial" w:hAnsi="Arial"/>
                <w:sz w:val="18"/>
                <w:szCs w:val="18"/>
                <w:color w:val="auto"/>
                <w:w w:val="96"/>
              </w:rPr>
              <w:t>Common Stock, par value $0.10 per share</w:t>
            </w:r>
          </w:p>
        </w:tc>
        <w:tc>
          <w:tcPr>
            <w:tcW w:w="294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New York Stock Exchange</w:t>
            </w:r>
          </w:p>
        </w:tc>
      </w:tr>
    </w:tbl>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 seasoned issuer, as defined in Rule 405 of the Securities Act:</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if the registrant is not required to file reports pursuant to Section 13 or Section 15(d) of the Exchange Act: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69"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222" w:lineRule="exact"/>
        <w:rPr>
          <w:sz w:val="24"/>
          <w:szCs w:val="24"/>
          <w:color w:val="auto"/>
        </w:rPr>
      </w:pPr>
    </w:p>
    <w:p>
      <w:pPr>
        <w:jc w:val="both"/>
        <w:ind w:right="20"/>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 filer. See definition of “accelerated filer and large accelerated filer”in Rule 12b-2 of the Exchange Act:</w:t>
      </w:r>
    </w:p>
    <w:p>
      <w:pPr>
        <w:spacing w:after="0" w:line="197" w:lineRule="exact"/>
        <w:rPr>
          <w:sz w:val="24"/>
          <w:szCs w:val="24"/>
          <w:color w:val="auto"/>
        </w:rPr>
      </w:pPr>
    </w:p>
    <w:p>
      <w:pPr>
        <w:ind w:left="960"/>
        <w:spacing w:after="0"/>
        <w:tabs>
          <w:tab w:leader="none" w:pos="3100" w:val="left"/>
          <w:tab w:leader="none" w:pos="4460" w:val="left"/>
          <w:tab w:leader="none" w:pos="6360" w:val="left"/>
          <w:tab w:leader="none" w:pos="8180" w:val="left"/>
          <w:tab w:leader="none" w:pos="104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x</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37" w:lineRule="exact"/>
        <w:rPr>
          <w:sz w:val="24"/>
          <w:szCs w:val="24"/>
          <w:color w:val="auto"/>
        </w:rPr>
      </w:pPr>
    </w:p>
    <w:p>
      <w:pPr>
        <w:jc w:val="both"/>
        <w:spacing w:after="0" w:line="239" w:lineRule="auto"/>
        <w:rPr>
          <w:sz w:val="20"/>
          <w:szCs w:val="20"/>
          <w:color w:val="auto"/>
        </w:rPr>
      </w:pPr>
      <w:r>
        <w:rPr>
          <w:rFonts w:ascii="Arial" w:cs="Arial" w:eastAsia="Arial" w:hAnsi="Arial"/>
          <w:sz w:val="18"/>
          <w:szCs w:val="18"/>
          <w:color w:val="auto"/>
        </w:rPr>
        <w:t>The aggregate market value of Oil-Dri’s Common Stock owned by non-affiliates as of January 31, 2006 for accelerated filer purposes was $68,915,000.</w:t>
      </w:r>
    </w:p>
    <w:p>
      <w:pPr>
        <w:sectPr>
          <w:pgSz w:w="11900" w:h="16838" w:orient="portrait"/>
          <w:cols w:equalWidth="0" w:num="1">
            <w:col w:w="11420"/>
          </w:cols>
          <w:pgMar w:left="240" w:top="214" w:right="239" w:bottom="0" w:gutter="0" w:footer="0" w:header="0"/>
          <w:type w:val="continuous"/>
        </w:sectPr>
      </w:pPr>
    </w:p>
    <w:bookmarkStart w:id="1" w:name="page2"/>
    <w:bookmarkEnd w:id="1"/>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September 29, 2006 was $72,272,000.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29, 2006:</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 4,853,658 shares</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Class B Stock – 1,909,797 shares</w:t>
      </w:r>
    </w:p>
    <w:p>
      <w:pPr>
        <w:ind w:left="580"/>
        <w:spacing w:after="0"/>
        <w:rPr>
          <w:sz w:val="20"/>
          <w:szCs w:val="20"/>
          <w:color w:val="auto"/>
        </w:rPr>
      </w:pPr>
      <w:r>
        <w:rPr>
          <w:rFonts w:ascii="Arial" w:cs="Arial" w:eastAsia="Arial" w:hAnsi="Arial"/>
          <w:sz w:val="18"/>
          <w:szCs w:val="18"/>
          <w:color w:val="auto"/>
        </w:rPr>
        <w:t>Class A Common Stock – 0 shares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Oil-Dri’s Proxy Statement for its 2006 Annual Meeting of Stockholders (“Proxy</w:t>
      </w:r>
    </w:p>
    <w:p>
      <w:pPr>
        <w:spacing w:after="0" w:line="234" w:lineRule="auto"/>
        <w:rPr>
          <w:sz w:val="20"/>
          <w:szCs w:val="20"/>
          <w:color w:val="auto"/>
        </w:rPr>
      </w:pPr>
      <w:r>
        <w:rPr>
          <w:rFonts w:ascii="Arial" w:cs="Arial" w:eastAsia="Arial" w:hAnsi="Arial"/>
          <w:sz w:val="18"/>
          <w:szCs w:val="18"/>
          <w:color w:val="auto"/>
        </w:rPr>
        <w:t>Statement”), which will be filed with the Securities and Exchange Commission not later than November 29, 2006 (120 days after the end of Oil-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Dri’s fiscal year ended July 31, 2006), is incorporated into Part III of this Annual Report on Form 10-K, as indicated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460" w:type="dxa"/>
            <w:vAlign w:val="bottom"/>
          </w:tcPr>
          <w:p>
            <w:pPr>
              <w:jc w:val="center"/>
              <w:ind w:right="4852"/>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480" w:type="dxa"/>
            <w:vAlign w:val="bottom"/>
            <w:gridSpan w:val="2"/>
          </w:tcPr>
          <w:p>
            <w:pPr>
              <w:jc w:val="center"/>
              <w:ind w:right="4960"/>
              <w:spacing w:after="0"/>
              <w:rPr>
                <w:sz w:val="20"/>
                <w:szCs w:val="20"/>
                <w:color w:val="auto"/>
              </w:rPr>
            </w:pPr>
            <w:r>
              <w:rPr>
                <w:rFonts w:ascii="Arial" w:cs="Arial" w:eastAsia="Arial" w:hAnsi="Arial"/>
                <w:sz w:val="18"/>
                <w:szCs w:val="18"/>
                <w:b w:val="1"/>
                <w:bCs w:val="1"/>
                <w:color w:val="auto"/>
                <w:w w:val="96"/>
              </w:rPr>
              <w:t>CONTENTS</w:t>
            </w:r>
          </w:p>
        </w:tc>
        <w:tc>
          <w:tcPr>
            <w:tcW w:w="0" w:type="dxa"/>
            <w:vAlign w:val="bottom"/>
          </w:tcPr>
          <w:p>
            <w:pPr>
              <w:spacing w:after="0"/>
              <w:rPr>
                <w:sz w:val="1"/>
                <w:szCs w:val="1"/>
                <w:color w:val="auto"/>
              </w:rPr>
            </w:pPr>
          </w:p>
        </w:tc>
      </w:tr>
      <w:tr>
        <w:trPr>
          <w:trHeight w:val="206"/>
        </w:trPr>
        <w:tc>
          <w:tcPr>
            <w:tcW w:w="700" w:type="dxa"/>
            <w:vAlign w:val="bottom"/>
            <w:gridSpan w:val="2"/>
          </w:tcPr>
          <w:p>
            <w:pPr>
              <w:spacing w:after="0" w:line="200" w:lineRule="exact"/>
              <w:rPr>
                <w:sz w:val="20"/>
                <w:szCs w:val="20"/>
                <w:color w:val="auto"/>
              </w:rPr>
            </w:pPr>
            <w:r>
              <w:rPr>
                <w:rFonts w:ascii="Arial" w:cs="Arial" w:eastAsia="Arial" w:hAnsi="Arial"/>
                <w:sz w:val="18"/>
                <w:szCs w:val="18"/>
                <w:color w:val="auto"/>
              </w:rPr>
              <w:t>Item</w:t>
            </w:r>
          </w:p>
        </w:tc>
        <w:tc>
          <w:tcPr>
            <w:tcW w:w="4260" w:type="dxa"/>
            <w:vAlign w:val="bottom"/>
          </w:tcPr>
          <w:p>
            <w:pPr>
              <w:spacing w:after="0"/>
              <w:rPr>
                <w:sz w:val="17"/>
                <w:szCs w:val="17"/>
                <w:color w:val="auto"/>
              </w:rPr>
            </w:pPr>
          </w:p>
        </w:tc>
        <w:tc>
          <w:tcPr>
            <w:tcW w:w="6480" w:type="dxa"/>
            <w:vAlign w:val="bottom"/>
            <w:gridSpan w:val="2"/>
          </w:tcPr>
          <w:p>
            <w:pPr>
              <w:ind w:left="6000"/>
              <w:spacing w:after="0" w:line="200"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60" w:type="dxa"/>
            <w:vAlign w:val="bottom"/>
            <w:tcBorders>
              <w:top w:val="single" w:sz="8" w:color="auto"/>
            </w:tcBorders>
          </w:tcPr>
          <w:p>
            <w:pPr>
              <w:spacing w:after="0"/>
              <w:rPr>
                <w:sz w:val="24"/>
                <w:szCs w:val="24"/>
                <w:color w:val="auto"/>
              </w:rPr>
            </w:pPr>
          </w:p>
        </w:tc>
        <w:tc>
          <w:tcPr>
            <w:tcW w:w="6460" w:type="dxa"/>
            <w:vAlign w:val="bottom"/>
            <w:tcBorders>
              <w:top w:val="single" w:sz="8" w:color="auto"/>
            </w:tcBorders>
          </w:tcPr>
          <w:p>
            <w:pPr>
              <w:jc w:val="center"/>
              <w:ind w:right="4852"/>
              <w:spacing w:after="0"/>
              <w:rPr>
                <w:sz w:val="20"/>
                <w:szCs w:val="20"/>
                <w:color w:val="auto"/>
              </w:rPr>
            </w:pPr>
            <w:r>
              <w:rPr>
                <w:rFonts w:ascii="Arial" w:cs="Arial" w:eastAsia="Arial" w:hAnsi="Arial"/>
                <w:sz w:val="18"/>
                <w:szCs w:val="18"/>
                <w:b w:val="1"/>
                <w:bCs w:val="1"/>
                <w:color w:val="auto"/>
                <w:w w:val="94"/>
              </w:rPr>
              <w:t>PART 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1.</w:t>
            </w:r>
          </w:p>
        </w:tc>
        <w:tc>
          <w:tcPr>
            <w:tcW w:w="4260" w:type="dxa"/>
            <w:vAlign w:val="bottom"/>
            <w:shd w:val="clear" w:color="auto" w:fill="C0C0C0"/>
          </w:tcPr>
          <w:p>
            <w:pPr>
              <w:ind w:left="340"/>
              <w:spacing w:after="0"/>
              <w:rPr>
                <w:sz w:val="20"/>
                <w:szCs w:val="20"/>
                <w:color w:val="auto"/>
              </w:rPr>
            </w:pPr>
            <w:r>
              <w:rPr>
                <w:rFonts w:ascii="Arial" w:cs="Arial" w:eastAsia="Arial" w:hAnsi="Arial"/>
                <w:sz w:val="18"/>
                <w:szCs w:val="18"/>
                <w:color w:val="auto"/>
              </w:rPr>
              <w:t>Business</w:t>
            </w:r>
          </w:p>
        </w:tc>
        <w:tc>
          <w:tcPr>
            <w:tcW w:w="6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 – 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1A.</w:t>
            </w:r>
          </w:p>
        </w:tc>
        <w:tc>
          <w:tcPr>
            <w:tcW w:w="4260" w:type="dxa"/>
            <w:vAlign w:val="bottom"/>
          </w:tcPr>
          <w:p>
            <w:pPr>
              <w:ind w:left="340"/>
              <w:spacing w:after="0"/>
              <w:rPr>
                <w:sz w:val="20"/>
                <w:szCs w:val="20"/>
                <w:color w:val="auto"/>
              </w:rPr>
            </w:pPr>
            <w:r>
              <w:rPr>
                <w:rFonts w:ascii="Arial" w:cs="Arial" w:eastAsia="Arial" w:hAnsi="Arial"/>
                <w:sz w:val="18"/>
                <w:szCs w:val="18"/>
                <w:color w:val="auto"/>
              </w:rPr>
              <w:t>Risk Factors</w:t>
            </w:r>
          </w:p>
        </w:tc>
        <w:tc>
          <w:tcPr>
            <w:tcW w:w="6460" w:type="dxa"/>
            <w:vAlign w:val="bottom"/>
          </w:tcPr>
          <w:p>
            <w:pPr>
              <w:jc w:val="right"/>
              <w:spacing w:after="0"/>
              <w:rPr>
                <w:sz w:val="20"/>
                <w:szCs w:val="20"/>
                <w:color w:val="auto"/>
              </w:rPr>
            </w:pPr>
            <w:r>
              <w:rPr>
                <w:rFonts w:ascii="Arial" w:cs="Arial" w:eastAsia="Arial" w:hAnsi="Arial"/>
                <w:sz w:val="18"/>
                <w:szCs w:val="18"/>
                <w:color w:val="auto"/>
              </w:rPr>
              <w:t>11 – 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1B.</w:t>
            </w:r>
          </w:p>
        </w:tc>
        <w:tc>
          <w:tcPr>
            <w:tcW w:w="4260" w:type="dxa"/>
            <w:vAlign w:val="bottom"/>
            <w:shd w:val="clear" w:color="auto" w:fill="C0C0C0"/>
          </w:tcPr>
          <w:p>
            <w:pPr>
              <w:ind w:left="340"/>
              <w:spacing w:after="0"/>
              <w:rPr>
                <w:sz w:val="20"/>
                <w:szCs w:val="20"/>
                <w:color w:val="auto"/>
              </w:rPr>
            </w:pPr>
            <w:r>
              <w:rPr>
                <w:rFonts w:ascii="Arial" w:cs="Arial" w:eastAsia="Arial" w:hAnsi="Arial"/>
                <w:sz w:val="18"/>
                <w:szCs w:val="18"/>
                <w:color w:val="auto"/>
              </w:rPr>
              <w:t>Unresolved Staff Comments</w:t>
            </w:r>
          </w:p>
        </w:tc>
        <w:tc>
          <w:tcPr>
            <w:tcW w:w="6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w:t>
            </w:r>
          </w:p>
        </w:tc>
        <w:tc>
          <w:tcPr>
            <w:tcW w:w="426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6460" w:type="dxa"/>
            <w:vAlign w:val="bottom"/>
          </w:tcPr>
          <w:p>
            <w:pPr>
              <w:jc w:val="right"/>
              <w:spacing w:after="0"/>
              <w:rPr>
                <w:sz w:val="20"/>
                <w:szCs w:val="20"/>
                <w:color w:val="auto"/>
              </w:rPr>
            </w:pPr>
            <w:r>
              <w:rPr>
                <w:rFonts w:ascii="Arial" w:cs="Arial" w:eastAsia="Arial" w:hAnsi="Arial"/>
                <w:sz w:val="18"/>
                <w:szCs w:val="18"/>
                <w:color w:val="auto"/>
              </w:rPr>
              <w:t>17 - 18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3.</w:t>
            </w:r>
          </w:p>
        </w:tc>
        <w:tc>
          <w:tcPr>
            <w:tcW w:w="4260" w:type="dxa"/>
            <w:vAlign w:val="bottom"/>
            <w:shd w:val="clear" w:color="auto" w:fill="C0C0C0"/>
          </w:tcPr>
          <w:p>
            <w:pPr>
              <w:ind w:left="340"/>
              <w:spacing w:after="0"/>
              <w:rPr>
                <w:sz w:val="20"/>
                <w:szCs w:val="20"/>
                <w:color w:val="auto"/>
              </w:rPr>
            </w:pPr>
            <w:r>
              <w:rPr>
                <w:rFonts w:ascii="Arial" w:cs="Arial" w:eastAsia="Arial" w:hAnsi="Arial"/>
                <w:sz w:val="18"/>
                <w:szCs w:val="18"/>
                <w:color w:val="auto"/>
              </w:rPr>
              <w:t>Legal Proceedings</w:t>
            </w:r>
          </w:p>
        </w:tc>
        <w:tc>
          <w:tcPr>
            <w:tcW w:w="6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4.</w:t>
            </w:r>
          </w:p>
        </w:tc>
        <w:tc>
          <w:tcPr>
            <w:tcW w:w="4260" w:type="dxa"/>
            <w:vAlign w:val="bottom"/>
          </w:tcPr>
          <w:p>
            <w:pPr>
              <w:ind w:left="340"/>
              <w:spacing w:after="0"/>
              <w:rPr>
                <w:sz w:val="20"/>
                <w:szCs w:val="20"/>
                <w:color w:val="auto"/>
              </w:rPr>
            </w:pPr>
            <w:r>
              <w:rPr>
                <w:rFonts w:ascii="Arial" w:cs="Arial" w:eastAsia="Arial" w:hAnsi="Arial"/>
                <w:sz w:val="18"/>
                <w:szCs w:val="18"/>
                <w:color w:val="auto"/>
                <w:w w:val="94"/>
              </w:rPr>
              <w:t>Submission of Matters to a Vote of Security Holders</w:t>
            </w:r>
          </w:p>
        </w:tc>
        <w:tc>
          <w:tcPr>
            <w:tcW w:w="64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260" w:type="dxa"/>
            <w:vAlign w:val="bottom"/>
            <w:shd w:val="clear" w:color="auto" w:fill="C0C0C0"/>
          </w:tcPr>
          <w:p>
            <w:pPr>
              <w:ind w:left="340"/>
              <w:spacing w:after="0"/>
              <w:rPr>
                <w:sz w:val="20"/>
                <w:szCs w:val="20"/>
                <w:color w:val="auto"/>
              </w:rPr>
            </w:pPr>
            <w:r>
              <w:rPr>
                <w:rFonts w:ascii="Arial" w:cs="Arial" w:eastAsia="Arial" w:hAnsi="Arial"/>
                <w:sz w:val="18"/>
                <w:szCs w:val="18"/>
                <w:color w:val="auto"/>
              </w:rPr>
              <w:t>Executive Officers of the Registrant</w:t>
            </w:r>
          </w:p>
        </w:tc>
        <w:tc>
          <w:tcPr>
            <w:tcW w:w="6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-1924685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-1924685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6" w:lineRule="exact"/>
        <w:rPr>
          <w:sz w:val="20"/>
          <w:szCs w:val="20"/>
          <w:color w:val="auto"/>
        </w:rPr>
      </w:pPr>
    </w:p>
    <w:p>
      <w:pPr>
        <w:ind w:left="1040" w:hanging="103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for Registrant's Common Equity, Related Stockholder Matters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vMerge w:val="restart"/>
          </w:tcPr>
          <w:p>
            <w:pPr>
              <w:jc w:val="right"/>
              <w:ind w:right="352"/>
              <w:spacing w:after="0"/>
              <w:rPr>
                <w:sz w:val="20"/>
                <w:szCs w:val="20"/>
                <w:color w:val="auto"/>
              </w:rPr>
            </w:pPr>
            <w:r>
              <w:rPr>
                <w:rFonts w:ascii="Arial" w:cs="Arial" w:eastAsia="Arial" w:hAnsi="Arial"/>
                <w:sz w:val="18"/>
                <w:szCs w:val="18"/>
                <w:color w:val="auto"/>
                <w:w w:val="79"/>
              </w:rPr>
              <w:t>6.</w:t>
            </w:r>
          </w:p>
        </w:tc>
        <w:tc>
          <w:tcPr>
            <w:tcW w:w="460" w:type="dxa"/>
            <w:vAlign w:val="bottom"/>
          </w:tcPr>
          <w:p>
            <w:pPr>
              <w:spacing w:after="0"/>
              <w:rPr>
                <w:sz w:val="19"/>
                <w:szCs w:val="19"/>
                <w:color w:val="auto"/>
              </w:rPr>
            </w:pPr>
          </w:p>
        </w:tc>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and Issuer Purchases of Equity Securities</w:t>
            </w:r>
          </w:p>
        </w:tc>
        <w:tc>
          <w:tcPr>
            <w:tcW w:w="4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20 - 21</w:t>
            </w:r>
          </w:p>
        </w:tc>
        <w:tc>
          <w:tcPr>
            <w:tcW w:w="0" w:type="dxa"/>
            <w:vAlign w:val="bottom"/>
          </w:tcPr>
          <w:p>
            <w:pPr>
              <w:spacing w:after="0"/>
              <w:rPr>
                <w:sz w:val="1"/>
                <w:szCs w:val="1"/>
                <w:color w:val="auto"/>
              </w:rPr>
            </w:pPr>
          </w:p>
        </w:tc>
      </w:tr>
      <w:tr>
        <w:trPr>
          <w:trHeight w:val="222"/>
        </w:trPr>
        <w:tc>
          <w:tcPr>
            <w:tcW w:w="5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4020" w:type="dxa"/>
            <w:vAlign w:val="bottom"/>
          </w:tcPr>
          <w:p>
            <w:pPr>
              <w:jc w:val="right"/>
              <w:spacing w:after="0"/>
              <w:rPr>
                <w:sz w:val="20"/>
                <w:szCs w:val="20"/>
                <w:color w:val="auto"/>
              </w:rPr>
            </w:pPr>
            <w:r>
              <w:rPr>
                <w:rFonts w:ascii="Arial" w:cs="Arial" w:eastAsia="Arial" w:hAnsi="Arial"/>
                <w:sz w:val="18"/>
                <w:szCs w:val="18"/>
                <w:color w:val="auto"/>
              </w:rPr>
              <w:t>22 - 23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Discussion and Analysis of Financial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 w:type="dxa"/>
            <w:vAlign w:val="bottom"/>
            <w:vMerge w:val="restart"/>
          </w:tcPr>
          <w:p>
            <w:pPr>
              <w:spacing w:after="0"/>
              <w:rPr>
                <w:sz w:val="20"/>
                <w:szCs w:val="20"/>
                <w:color w:val="auto"/>
              </w:rPr>
            </w:pPr>
            <w:r>
              <w:rPr>
                <w:rFonts w:ascii="Arial" w:cs="Arial" w:eastAsia="Arial" w:hAnsi="Arial"/>
                <w:sz w:val="18"/>
                <w:szCs w:val="18"/>
                <w:color w:val="auto"/>
              </w:rPr>
              <w:t>7A.</w:t>
            </w:r>
          </w:p>
        </w:tc>
        <w:tc>
          <w:tcPr>
            <w:tcW w:w="380" w:type="dxa"/>
            <w:vAlign w:val="bottom"/>
          </w:tcPr>
          <w:p>
            <w:pPr>
              <w:spacing w:after="0"/>
              <w:rPr>
                <w:sz w:val="19"/>
                <w:szCs w:val="19"/>
                <w:color w:val="auto"/>
              </w:rPr>
            </w:pPr>
          </w:p>
        </w:tc>
        <w:tc>
          <w:tcPr>
            <w:tcW w:w="7020" w:type="dxa"/>
            <w:vAlign w:val="bottom"/>
            <w:shd w:val="clear" w:color="auto" w:fill="C0C0C0"/>
          </w:tcPr>
          <w:p>
            <w:pPr>
              <w:spacing w:after="0"/>
              <w:rPr>
                <w:sz w:val="20"/>
                <w:szCs w:val="20"/>
                <w:color w:val="auto"/>
              </w:rPr>
            </w:pPr>
            <w:r>
              <w:rPr>
                <w:rFonts w:ascii="Arial" w:cs="Arial" w:eastAsia="Arial" w:hAnsi="Arial"/>
                <w:sz w:val="18"/>
                <w:szCs w:val="18"/>
                <w:color w:val="auto"/>
              </w:rPr>
              <w:t>Condition and the Results of Operations</w:t>
            </w:r>
          </w:p>
        </w:tc>
        <w:tc>
          <w:tcPr>
            <w:tcW w:w="3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23 - 35</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3360" w:type="dxa"/>
            <w:vAlign w:val="bottom"/>
          </w:tcPr>
          <w:p>
            <w:pPr>
              <w:jc w:val="right"/>
              <w:spacing w:after="0"/>
              <w:rPr>
                <w:sz w:val="20"/>
                <w:szCs w:val="20"/>
                <w:color w:val="auto"/>
              </w:rPr>
            </w:pPr>
            <w:r>
              <w:rPr>
                <w:rFonts w:ascii="Arial" w:cs="Arial" w:eastAsia="Arial" w:hAnsi="Arial"/>
                <w:sz w:val="18"/>
                <w:szCs w:val="18"/>
                <w:color w:val="auto"/>
              </w:rPr>
              <w:t>35 - 36</w:t>
            </w:r>
          </w:p>
        </w:tc>
        <w:tc>
          <w:tcPr>
            <w:tcW w:w="0" w:type="dxa"/>
            <w:vAlign w:val="bottom"/>
          </w:tcPr>
          <w:p>
            <w:pPr>
              <w:spacing w:after="0"/>
              <w:rPr>
                <w:sz w:val="1"/>
                <w:szCs w:val="1"/>
                <w:color w:val="auto"/>
              </w:rPr>
            </w:pPr>
          </w:p>
        </w:tc>
      </w:tr>
      <w:tr>
        <w:trPr>
          <w:trHeight w:val="216"/>
        </w:trPr>
        <w:tc>
          <w:tcPr>
            <w:tcW w:w="660" w:type="dxa"/>
            <w:vAlign w:val="bottom"/>
            <w:shd w:val="clear" w:color="auto" w:fill="C0C0C0"/>
          </w:tcPr>
          <w:p>
            <w:pPr>
              <w:spacing w:after="0"/>
              <w:rPr>
                <w:sz w:val="20"/>
                <w:szCs w:val="20"/>
                <w:color w:val="auto"/>
              </w:rPr>
            </w:pPr>
            <w:r>
              <w:rPr>
                <w:rFonts w:ascii="Arial" w:cs="Arial" w:eastAsia="Arial" w:hAnsi="Arial"/>
                <w:sz w:val="18"/>
                <w:szCs w:val="18"/>
                <w:color w:val="auto"/>
              </w:rPr>
              <w:t>8.</w:t>
            </w:r>
          </w:p>
        </w:tc>
        <w:tc>
          <w:tcPr>
            <w:tcW w:w="7400" w:type="dxa"/>
            <w:vAlign w:val="bottom"/>
            <w:gridSpan w:val="2"/>
            <w:shd w:val="clear" w:color="auto" w:fill="C0C0C0"/>
          </w:tcPr>
          <w:p>
            <w:pPr>
              <w:ind w:left="380"/>
              <w:spacing w:after="0"/>
              <w:rPr>
                <w:sz w:val="20"/>
                <w:szCs w:val="20"/>
                <w:color w:val="auto"/>
              </w:rPr>
            </w:pPr>
            <w:r>
              <w:rPr>
                <w:rFonts w:ascii="Arial" w:cs="Arial" w:eastAsia="Arial" w:hAnsi="Arial"/>
                <w:sz w:val="18"/>
                <w:szCs w:val="18"/>
                <w:color w:val="auto"/>
              </w:rPr>
              <w:t>Financial Statements and Supplementary Data</w:t>
            </w:r>
          </w:p>
        </w:tc>
        <w:tc>
          <w:tcPr>
            <w:tcW w:w="3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 – 65</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7400" w:type="dxa"/>
            <w:vAlign w:val="bottom"/>
            <w:gridSpan w:val="2"/>
          </w:tcPr>
          <w:p>
            <w:pPr>
              <w:ind w:left="380"/>
              <w:spacing w:after="0"/>
              <w:rPr>
                <w:sz w:val="20"/>
                <w:szCs w:val="20"/>
                <w:color w:val="auto"/>
              </w:rPr>
            </w:pPr>
            <w:r>
              <w:rPr>
                <w:rFonts w:ascii="Arial" w:cs="Arial" w:eastAsia="Arial" w:hAnsi="Arial"/>
                <w:sz w:val="18"/>
                <w:szCs w:val="18"/>
                <w:color w:val="auto"/>
              </w:rPr>
              <w:t>Report of Independent Registered Public Accounting Firm</w:t>
            </w:r>
          </w:p>
        </w:tc>
        <w:tc>
          <w:tcPr>
            <w:tcW w:w="33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Disagreements with Accountants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on Accounting and Financial Disclosure</w:t>
            </w:r>
          </w:p>
        </w:tc>
        <w:tc>
          <w:tcPr>
            <w:tcW w:w="6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440" w:type="dxa"/>
            <w:vAlign w:val="bottom"/>
          </w:tcPr>
          <w:p>
            <w:pPr>
              <w:jc w:val="right"/>
              <w:ind w:right="5292"/>
              <w:spacing w:after="0"/>
              <w:rPr>
                <w:sz w:val="20"/>
                <w:szCs w:val="20"/>
                <w:color w:val="auto"/>
              </w:rPr>
            </w:pPr>
            <w:r>
              <w:rPr>
                <w:rFonts w:ascii="Arial" w:cs="Arial" w:eastAsia="Arial" w:hAnsi="Arial"/>
                <w:sz w:val="18"/>
                <w:szCs w:val="18"/>
                <w:b w:val="1"/>
                <w:bCs w:val="1"/>
                <w:color w:val="auto"/>
              </w:rPr>
              <w:t>PART III</w:t>
            </w: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4320" w:type="dxa"/>
            <w:vAlign w:val="bottom"/>
            <w:gridSpan w:val="2"/>
          </w:tcPr>
          <w:p>
            <w:pPr>
              <w:spacing w:after="0"/>
              <w:rPr>
                <w:sz w:val="20"/>
                <w:szCs w:val="20"/>
                <w:color w:val="auto"/>
              </w:rPr>
            </w:pP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9A.</w:t>
            </w:r>
          </w:p>
        </w:tc>
        <w:tc>
          <w:tcPr>
            <w:tcW w:w="4320" w:type="dxa"/>
            <w:vAlign w:val="bottom"/>
            <w:gridSpan w:val="2"/>
            <w:shd w:val="clear" w:color="auto" w:fill="C0C0C0"/>
          </w:tcPr>
          <w:p>
            <w:pPr>
              <w:ind w:left="380"/>
              <w:spacing w:after="0"/>
              <w:rPr>
                <w:sz w:val="20"/>
                <w:szCs w:val="20"/>
                <w:color w:val="auto"/>
              </w:rPr>
            </w:pPr>
            <w:r>
              <w:rPr>
                <w:rFonts w:ascii="Arial" w:cs="Arial" w:eastAsia="Arial" w:hAnsi="Arial"/>
                <w:sz w:val="18"/>
                <w:szCs w:val="18"/>
                <w:color w:val="auto"/>
              </w:rPr>
              <w:t>Controls and Procedures</w:t>
            </w:r>
          </w:p>
        </w:tc>
        <w:tc>
          <w:tcPr>
            <w:tcW w:w="6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9B.</w:t>
            </w:r>
          </w:p>
        </w:tc>
        <w:tc>
          <w:tcPr>
            <w:tcW w:w="4320" w:type="dxa"/>
            <w:vAlign w:val="bottom"/>
            <w:gridSpan w:val="2"/>
          </w:tcPr>
          <w:p>
            <w:pPr>
              <w:ind w:left="380"/>
              <w:spacing w:after="0"/>
              <w:rPr>
                <w:sz w:val="20"/>
                <w:szCs w:val="20"/>
                <w:color w:val="auto"/>
              </w:rPr>
            </w:pPr>
            <w:r>
              <w:rPr>
                <w:rFonts w:ascii="Arial" w:cs="Arial" w:eastAsia="Arial" w:hAnsi="Arial"/>
                <w:sz w:val="18"/>
                <w:szCs w:val="18"/>
                <w:color w:val="auto"/>
              </w:rPr>
              <w:t>Other Information</w:t>
            </w:r>
          </w:p>
        </w:tc>
        <w:tc>
          <w:tcPr>
            <w:tcW w:w="6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10.</w:t>
            </w:r>
          </w:p>
        </w:tc>
        <w:tc>
          <w:tcPr>
            <w:tcW w:w="4320" w:type="dxa"/>
            <w:vAlign w:val="bottom"/>
            <w:gridSpan w:val="2"/>
            <w:shd w:val="clear" w:color="auto" w:fill="C0C0C0"/>
          </w:tcPr>
          <w:p>
            <w:pPr>
              <w:ind w:left="380"/>
              <w:spacing w:after="0"/>
              <w:rPr>
                <w:sz w:val="20"/>
                <w:szCs w:val="20"/>
                <w:color w:val="auto"/>
              </w:rPr>
            </w:pPr>
            <w:r>
              <w:rPr>
                <w:rFonts w:ascii="Arial" w:cs="Arial" w:eastAsia="Arial" w:hAnsi="Arial"/>
                <w:sz w:val="18"/>
                <w:szCs w:val="18"/>
                <w:color w:val="auto"/>
                <w:w w:val="99"/>
              </w:rPr>
              <w:t>Directors and Executive Officers of the Registrant</w:t>
            </w:r>
          </w:p>
        </w:tc>
        <w:tc>
          <w:tcPr>
            <w:tcW w:w="6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w:t>
            </w:r>
          </w:p>
        </w:tc>
        <w:tc>
          <w:tcPr>
            <w:tcW w:w="4320" w:type="dxa"/>
            <w:vAlign w:val="bottom"/>
            <w:gridSpan w:val="2"/>
          </w:tcPr>
          <w:p>
            <w:pPr>
              <w:ind w:left="380"/>
              <w:spacing w:after="0"/>
              <w:rPr>
                <w:sz w:val="20"/>
                <w:szCs w:val="20"/>
                <w:color w:val="auto"/>
              </w:rPr>
            </w:pPr>
            <w:r>
              <w:rPr>
                <w:rFonts w:ascii="Arial" w:cs="Arial" w:eastAsia="Arial" w:hAnsi="Arial"/>
                <w:sz w:val="18"/>
                <w:szCs w:val="18"/>
                <w:color w:val="auto"/>
              </w:rPr>
              <w:t>Executive Compensation</w:t>
            </w:r>
          </w:p>
        </w:tc>
        <w:tc>
          <w:tcPr>
            <w:tcW w:w="6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Ownership of Certain Beneficial Owners and Management and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w w:val="79"/>
              </w:rPr>
              <w:t>13.</w:t>
            </w:r>
          </w:p>
        </w:tc>
        <w:tc>
          <w:tcPr>
            <w:tcW w:w="400" w:type="dxa"/>
            <w:vAlign w:val="bottom"/>
          </w:tcPr>
          <w:p>
            <w:pPr>
              <w:spacing w:after="0"/>
              <w:rPr>
                <w:sz w:val="19"/>
                <w:szCs w:val="19"/>
                <w:color w:val="auto"/>
              </w:rPr>
            </w:pPr>
          </w:p>
        </w:tc>
        <w:tc>
          <w:tcPr>
            <w:tcW w:w="8180" w:type="dxa"/>
            <w:vAlign w:val="bottom"/>
            <w:shd w:val="clear" w:color="auto" w:fill="C0C0C0"/>
          </w:tcPr>
          <w:p>
            <w:pPr>
              <w:spacing w:after="0"/>
              <w:rPr>
                <w:sz w:val="20"/>
                <w:szCs w:val="20"/>
                <w:color w:val="auto"/>
              </w:rPr>
            </w:pPr>
            <w:r>
              <w:rPr>
                <w:rFonts w:ascii="Arial" w:cs="Arial" w:eastAsia="Arial" w:hAnsi="Arial"/>
                <w:sz w:val="18"/>
                <w:szCs w:val="18"/>
                <w:color w:val="auto"/>
              </w:rPr>
              <w:t>Related Stockholder Matters</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22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w w:val="71"/>
              </w:rPr>
              <w:t>14.</w:t>
            </w:r>
          </w:p>
        </w:tc>
        <w:tc>
          <w:tcPr>
            <w:tcW w:w="8580" w:type="dxa"/>
            <w:vAlign w:val="bottom"/>
            <w:gridSpan w:val="2"/>
            <w:shd w:val="clear" w:color="auto" w:fill="C0C0C0"/>
          </w:tcPr>
          <w:p>
            <w:pPr>
              <w:ind w:left="400"/>
              <w:spacing w:after="0"/>
              <w:rPr>
                <w:sz w:val="20"/>
                <w:szCs w:val="20"/>
                <w:color w:val="auto"/>
              </w:rPr>
            </w:pPr>
            <w:r>
              <w:rPr>
                <w:rFonts w:ascii="Arial" w:cs="Arial" w:eastAsia="Arial" w:hAnsi="Arial"/>
                <w:sz w:val="18"/>
                <w:szCs w:val="18"/>
                <w:color w:val="auto"/>
              </w:rPr>
              <w:t>Principal Accountants Fees and Services</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180" w:type="dxa"/>
            <w:vAlign w:val="bottom"/>
          </w:tcPr>
          <w:p>
            <w:pPr>
              <w:ind w:left="4340"/>
              <w:spacing w:after="0"/>
              <w:rPr>
                <w:sz w:val="20"/>
                <w:szCs w:val="20"/>
                <w:color w:val="auto"/>
              </w:rPr>
            </w:pPr>
            <w:r>
              <w:rPr>
                <w:rFonts w:ascii="Arial" w:cs="Arial" w:eastAsia="Arial" w:hAnsi="Arial"/>
                <w:sz w:val="18"/>
                <w:szCs w:val="18"/>
                <w:b w:val="1"/>
                <w:bCs w:val="1"/>
                <w:color w:val="auto"/>
              </w:rPr>
              <w:t>PART IV</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20" w:type="dxa"/>
            <w:vAlign w:val="bottom"/>
          </w:tcPr>
          <w:p>
            <w:pPr>
              <w:spacing w:after="0"/>
              <w:rPr>
                <w:sz w:val="20"/>
                <w:szCs w:val="20"/>
                <w:color w:val="auto"/>
              </w:rPr>
            </w:pPr>
          </w:p>
        </w:tc>
        <w:tc>
          <w:tcPr>
            <w:tcW w:w="8580" w:type="dxa"/>
            <w:vAlign w:val="bottom"/>
            <w:gridSpan w:val="2"/>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w w:val="71"/>
              </w:rPr>
              <w:t>15.</w:t>
            </w:r>
          </w:p>
        </w:tc>
        <w:tc>
          <w:tcPr>
            <w:tcW w:w="8580" w:type="dxa"/>
            <w:vAlign w:val="bottom"/>
            <w:gridSpan w:val="2"/>
            <w:shd w:val="clear" w:color="auto" w:fill="C0C0C0"/>
          </w:tcPr>
          <w:p>
            <w:pPr>
              <w:ind w:left="400"/>
              <w:spacing w:after="0"/>
              <w:rPr>
                <w:sz w:val="20"/>
                <w:szCs w:val="20"/>
                <w:color w:val="auto"/>
              </w:rPr>
            </w:pPr>
            <w:r>
              <w:rPr>
                <w:rFonts w:ascii="Arial" w:cs="Arial" w:eastAsia="Arial" w:hAnsi="Arial"/>
                <w:sz w:val="18"/>
                <w:szCs w:val="18"/>
                <w:color w:val="auto"/>
              </w:rPr>
              <w:t>Exhibits and Financial Statement Schedules</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 – 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Arial" w:cs="Arial" w:eastAsia="Arial" w:hAnsi="Arial"/>
                <w:sz w:val="18"/>
                <w:szCs w:val="18"/>
                <w:color w:val="auto"/>
              </w:rPr>
              <w:t>Signatures</w:t>
            </w:r>
          </w:p>
        </w:tc>
        <w:tc>
          <w:tcPr>
            <w:tcW w:w="2200" w:type="dxa"/>
            <w:vAlign w:val="bottom"/>
          </w:tcPr>
          <w:p>
            <w:pPr>
              <w:jc w:val="right"/>
              <w:spacing w:after="0"/>
              <w:rPr>
                <w:sz w:val="20"/>
                <w:szCs w:val="20"/>
                <w:color w:val="auto"/>
              </w:rPr>
            </w:pPr>
            <w:r>
              <w:rPr>
                <w:rFonts w:ascii="Arial" w:cs="Arial" w:eastAsia="Arial" w:hAnsi="Arial"/>
                <w:sz w:val="18"/>
                <w:szCs w:val="18"/>
                <w:color w:val="auto"/>
              </w:rPr>
              <w:t>72 – 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8580" w:type="dxa"/>
            <w:vAlign w:val="bottom"/>
            <w:gridSpan w:val="2"/>
            <w:shd w:val="clear" w:color="auto" w:fill="C0C0C0"/>
          </w:tcPr>
          <w:p>
            <w:pPr>
              <w:ind w:left="40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gridSpan w:val="2"/>
          </w:tcPr>
          <w:p>
            <w:pPr>
              <w:ind w:left="400"/>
              <w:spacing w:after="0"/>
              <w:rPr>
                <w:sz w:val="20"/>
                <w:szCs w:val="20"/>
                <w:color w:val="auto"/>
              </w:rPr>
            </w:pPr>
            <w:r>
              <w:rPr>
                <w:rFonts w:ascii="Arial" w:cs="Arial" w:eastAsia="Arial" w:hAnsi="Arial"/>
                <w:sz w:val="18"/>
                <w:szCs w:val="18"/>
                <w:color w:val="auto"/>
              </w:rPr>
              <w:t>Schedule II -- Valuation and Qualifying Accounts</w:t>
            </w:r>
          </w:p>
        </w:tc>
        <w:tc>
          <w:tcPr>
            <w:tcW w:w="22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8580" w:type="dxa"/>
            <w:vAlign w:val="bottom"/>
            <w:gridSpan w:val="2"/>
            <w:shd w:val="clear" w:color="auto" w:fill="C0C0C0"/>
          </w:tcPr>
          <w:p>
            <w:pPr>
              <w:ind w:left="400"/>
              <w:spacing w:after="0"/>
              <w:rPr>
                <w:sz w:val="20"/>
                <w:szCs w:val="20"/>
                <w:color w:val="auto"/>
              </w:rPr>
            </w:pPr>
            <w:r>
              <w:rPr>
                <w:rFonts w:ascii="Arial" w:cs="Arial" w:eastAsia="Arial" w:hAnsi="Arial"/>
                <w:sz w:val="18"/>
                <w:szCs w:val="18"/>
                <w:color w:val="auto"/>
              </w:rPr>
              <w:t>Exhibit Index</w:t>
            </w:r>
          </w:p>
        </w:tc>
        <w:tc>
          <w:tcPr>
            <w:tcW w:w="2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80" w:type="dxa"/>
            <w:vAlign w:val="bottom"/>
            <w:gridSpan w:val="2"/>
          </w:tcPr>
          <w:p>
            <w:pPr>
              <w:ind w:left="5040"/>
              <w:spacing w:after="0"/>
              <w:rPr>
                <w:sz w:val="20"/>
                <w:szCs w:val="20"/>
                <w:color w:val="auto"/>
              </w:rPr>
            </w:pPr>
            <w:r>
              <w:rPr>
                <w:rFonts w:ascii="Arial" w:cs="Arial" w:eastAsia="Arial" w:hAnsi="Arial"/>
                <w:sz w:val="18"/>
                <w:szCs w:val="18"/>
                <w:color w:val="auto"/>
              </w:rPr>
              <w:t>3</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jc w:val="both"/>
        <w:ind w:right="20" w:firstLine="367"/>
        <w:spacing w:after="0" w:line="273"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w:t>
      </w:r>
    </w:p>
    <w:p>
      <w:pPr>
        <w:sectPr>
          <w:pgSz w:w="11900" w:h="16853" w:orient="portrait"/>
          <w:cols w:equalWidth="0" w:num="1">
            <w:col w:w="11440"/>
          </w:cols>
          <w:pgMar w:left="240" w:top="143" w:right="219" w:bottom="0" w:gutter="0" w:footer="0" w:header="0"/>
        </w:sectPr>
      </w:pPr>
    </w:p>
    <w:bookmarkStart w:id="2" w:name="page3"/>
    <w:bookmarkEnd w:id="2"/>
    <w:p>
      <w:pPr>
        <w:jc w:val="both"/>
        <w:spacing w:after="0" w:line="237" w:lineRule="auto"/>
        <w:rPr>
          <w:sz w:val="20"/>
          <w:szCs w:val="20"/>
          <w:color w:val="auto"/>
        </w:rPr>
      </w:pPr>
      <w:r>
        <w:rPr>
          <w:rFonts w:ascii="Arial" w:cs="Arial" w:eastAsia="Arial" w:hAnsi="Arial"/>
          <w:sz w:val="18"/>
          <w:szCs w:val="18"/>
          <w:color w:val="auto"/>
        </w:rPr>
        <w:t>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09" w:lineRule="exact"/>
        <w:rPr>
          <w:sz w:val="20"/>
          <w:szCs w:val="20"/>
          <w:color w:val="auto"/>
        </w:rPr>
      </w:pPr>
    </w:p>
    <w:p>
      <w:pPr>
        <w:jc w:val="both"/>
        <w:ind w:firstLine="299"/>
        <w:spacing w:after="0" w:line="236"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but not limited to, those described in Item 1A (Risk Factors) below and other reports filed with the Securities and Exchange Commission.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34" w:lineRule="exact"/>
        <w:rPr>
          <w:sz w:val="20"/>
          <w:szCs w:val="20"/>
          <w:color w:val="auto"/>
        </w:rPr>
      </w:pPr>
    </w:p>
    <w:p>
      <w:pPr>
        <w:jc w:val="both"/>
        <w:ind w:firstLine="388"/>
        <w:spacing w:after="0" w:line="238" w:lineRule="auto"/>
        <w:rPr>
          <w:sz w:val="20"/>
          <w:szCs w:val="20"/>
          <w:color w:val="auto"/>
        </w:rPr>
      </w:pPr>
      <w:r>
        <w:rPr>
          <w:rFonts w:ascii="Arial" w:cs="Arial" w:eastAsia="Arial" w:hAnsi="Arial"/>
          <w:sz w:val="18"/>
          <w:szCs w:val="18"/>
          <w:color w:val="auto"/>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49" w:lineRule="exact"/>
        <w:rPr>
          <w:sz w:val="20"/>
          <w:szCs w:val="20"/>
          <w:color w:val="auto"/>
        </w:rPr>
      </w:pPr>
    </w:p>
    <w:p>
      <w:pPr>
        <w:jc w:val="both"/>
        <w:ind w:firstLine="493"/>
        <w:spacing w:after="0" w:line="306" w:lineRule="auto"/>
        <w:rPr>
          <w:sz w:val="20"/>
          <w:szCs w:val="20"/>
          <w:color w:val="auto"/>
        </w:rPr>
      </w:pPr>
      <w:r>
        <w:rPr>
          <w:rFonts w:ascii="Arial" w:cs="Arial" w:eastAsia="Arial" w:hAnsi="Arial"/>
          <w:sz w:val="16"/>
          <w:szCs w:val="16"/>
          <w:color w:val="auto"/>
        </w:rPr>
        <w:t>Oil-Dri Corporation of America was incorporated in 1969 in Delaware as the successor to an Illinois corporation incorporated in 1946; the Illinois corporation was the successor to a partnership that commenced business in 1941. Except as otherwise indicated herein or as the context otherwise requires, references herein to “Oil-Dri”, the “Company”, “we”, “us” or “our” are to Oil-Dri Corporation of America and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DEVELOPMENTS</w:t>
      </w:r>
    </w:p>
    <w:p>
      <w:pPr>
        <w:spacing w:after="0" w:line="258"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During fiscal 2006 we continued to experience significant price increases for packaging, transportation, fuel and energy. The price increases were primarily driven by a global increase in demand for oil and by fuel supply interruptions as the result of damage to oil production facilities caused by hurricanes Katrina and Rita. These rising costs had a negative impact on our profit margins throughout the year. Our delivered cost of goods is very sensitive to increases in the costs of natural gas and fuel oil, as well as the costs of packaging materials, steel and diesel fuel. We were able to partially offset these higher costs by implementing energy surcharges and price increases and by focusing on internal cost reduction programs.</w:t>
      </w:r>
    </w:p>
    <w:p>
      <w:pPr>
        <w:spacing w:after="0" w:line="197" w:lineRule="exact"/>
        <w:rPr>
          <w:sz w:val="20"/>
          <w:szCs w:val="20"/>
          <w:color w:val="auto"/>
        </w:rPr>
      </w:pPr>
    </w:p>
    <w:p>
      <w:pPr>
        <w:jc w:val="both"/>
        <w:ind w:firstLine="316"/>
        <w:spacing w:after="0" w:line="253" w:lineRule="auto"/>
        <w:rPr>
          <w:sz w:val="20"/>
          <w:szCs w:val="20"/>
          <w:color w:val="auto"/>
        </w:rPr>
      </w:pPr>
      <w:r>
        <w:rPr>
          <w:rFonts w:ascii="Arial" w:cs="Arial" w:eastAsia="Arial" w:hAnsi="Arial"/>
          <w:sz w:val="18"/>
          <w:szCs w:val="18"/>
          <w:color w:val="auto"/>
        </w:rPr>
        <w:t>We also continued to face an increasingly competitive environment in all of our markets. The retail market has become particularly competitive, partially due to the continued growth of high-volume retail stores. Continued pricing pressure and service demands from these and other customers led to several new initiatives during the fiscal year. We reorganized our management group in a manner that provides a better alignment with how we manage our business and the customers who buy our products. We created the Retail and Wholesale Products Group which is now headed by group President Wade R. Bradley. We also created the Business to Business Products Group which is currently being managed directly by Daniel Jaffee, President and CEO. We also implemented a company-wide focus on operational excellence, including initiatives to increase efficiencies at our manufacturing facilities and to create purchasing programs to reduce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58"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We are a leader in developing, manufacturing and marketing sorbent products. Our sorbent products are principally produced from clay minerals and, to a lesser extent, other sorbent materials. Our sorbent technologies include absorbent and adsorbent products. Absorbents, like sponges, draw liquids up into their many pores. Examples of our absorbent clay products are Cat’s Pride and Jonny Cat premium cat litter and other cat litters. We also produce Oil-Dri Premium and Absorbs-It floor absorbents, Agsorb granular agricultural chemical carriers and ConditionAde animal feed binders. Adsorbent products attract liquids, impurities, metals and surfactants to themselves and form low-level chemical bonds. Examples of our adsorbent products are Oil-Dri synthetic sorbents, which are used for industrial cleanup, and Pure-Flo, Pure-Flo Supreme, Perform and Select bleaching clay products, which act as a filtration media for edible oils, fats and tallows. Also, our Ultra-Clear product serves as a clarification aid for petroleum-based oils and by-products. Both our absorbent and adsorbent products are described in more detail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52"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We produce two types of cat litter products, traditional coarse and scoopable. Coarse litters have absorbent and odor controlling characteristics. Scoopable litters have the additional characteristic of clumping when exposed to moisture, allowing the consumer to selectively dispose of the used portion of the litter.</w:t>
      </w:r>
    </w:p>
    <w:p>
      <w:pPr>
        <w:spacing w:after="0" w:line="166"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Our coarse and scoopable products are sold under our Cat’s Pride and Jonny Cat brand names. We also package and market Cat’s Pride Kat Kit and Jonny Cat cat litter in a disposable tray, as well as Jonny Cat litter pan liners. We manufacture the Fresh Step brand of coarse cat litter for The Clorox Company (“Clorox”) and other private label cat litters. These other private label products are sold through independent food brokers and our sales force to major retail outlets.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We have three long-term supply agreements (only one of which is material) under which we manufacture branded traditional litters for other marketers. Under these co-manufacturing relationships, the marketer controls all aspects of sales, marketing, distribution and the odor control formula and we are responsible for manufacturing. We have an agreement with Clorox under which Clorox has developed Fresh Step premium-priced coarse cat litter products and under which we have an exclusive right to supply Clorox’s requirements for Fresh Step coarse cat litter up to certain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Sorbent Products</w:t>
      </w:r>
    </w:p>
    <w:p>
      <w:pPr>
        <w:sectPr>
          <w:pgSz w:w="11900" w:h="16838" w:orient="portrait"/>
          <w:cols w:equalWidth="0" w:num="1">
            <w:col w:w="11420"/>
          </w:cols>
          <w:pgMar w:left="240" w:top="143" w:right="239" w:bottom="0" w:gutter="0" w:footer="0" w:header="0"/>
        </w:sectPr>
      </w:pPr>
    </w:p>
    <w:bookmarkStart w:id="3" w:name="page4"/>
    <w:bookmarkEnd w:id="3"/>
    <w:p>
      <w:pPr>
        <w:jc w:val="both"/>
        <w:ind w:firstLine="316"/>
        <w:spacing w:after="0" w:line="256" w:lineRule="auto"/>
        <w:rPr>
          <w:sz w:val="20"/>
          <w:szCs w:val="20"/>
          <w:color w:val="auto"/>
        </w:rPr>
      </w:pPr>
      <w:r>
        <w:rPr>
          <w:rFonts w:ascii="Arial" w:cs="Arial" w:eastAsia="Arial" w:hAnsi="Arial"/>
          <w:sz w:val="18"/>
          <w:szCs w:val="18"/>
          <w:color w:val="auto"/>
        </w:rPr>
        <w:t>We manufacture products from both clay and synthetic materials that absorb oil, grease, water and other types of spills. These products are used in industrial, home and automotive environments. Our clay-based sorbent products, such as Oil-Dri floor absorbent, are used for floor maintenance in industrial applications to provide a non-slip and nonflammable surface for workers. These floor absorbents are used in automotive repair facilities and car dealerships to absorb oil and grease. They are also used in home applications in garages and driveways.</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Oil-Dri brand synthetic-based products use polypropylene materials. These products are sold in various forms, such as pads, rolls, socks and spill kits.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products are used to absorb oil, grease, water and most chemical spills.</w:t>
      </w:r>
    </w:p>
    <w:p>
      <w:pPr>
        <w:spacing w:after="0" w:line="246" w:lineRule="exact"/>
        <w:rPr>
          <w:sz w:val="20"/>
          <w:szCs w:val="20"/>
          <w:color w:val="auto"/>
        </w:rPr>
      </w:pPr>
    </w:p>
    <w:p>
      <w:pPr>
        <w:jc w:val="both"/>
        <w:ind w:right="20" w:firstLine="363"/>
        <w:spacing w:after="0" w:line="33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and catalogs.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Clarification Aid Products</w:t>
      </w:r>
    </w:p>
    <w:p>
      <w:pPr>
        <w:spacing w:after="0" w:line="252" w:lineRule="exact"/>
        <w:rPr>
          <w:sz w:val="20"/>
          <w:szCs w:val="20"/>
          <w:color w:val="auto"/>
        </w:rPr>
      </w:pPr>
    </w:p>
    <w:p>
      <w:pPr>
        <w:jc w:val="both"/>
        <w:ind w:firstLine="333"/>
        <w:spacing w:after="0" w:line="268" w:lineRule="auto"/>
        <w:rPr>
          <w:sz w:val="20"/>
          <w:szCs w:val="20"/>
          <w:color w:val="auto"/>
        </w:rPr>
      </w:pPr>
      <w:r>
        <w:rPr>
          <w:rFonts w:ascii="Arial" w:cs="Arial" w:eastAsia="Arial" w:hAnsi="Arial"/>
          <w:sz w:val="18"/>
          <w:szCs w:val="18"/>
          <w:color w:val="auto"/>
        </w:rPr>
        <w:t>These products cover an array of bleaching, purification and filtration applications used by edible oil processors around the world. Our brands include Pure-Flo, Perform and Select bleaching clays and Ultra-Clear clarification aid.</w:t>
      </w:r>
    </w:p>
    <w:p>
      <w:pPr>
        <w:spacing w:after="0" w:line="213"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Bleaching clays are used by edible oil processors to adsorb unwanted moisture and other impurities in the processing of their vegetable oil products. Pure-Flo and Pure-Flo Supreme are used to remove impurities, such as color bodies, in various types of edible oils. Perform bleaching clays and Select adsorbents offer additional performance advantages to oil refiners. Perform products provide increased activity for hard-to-bleach oils. The Select line of products is used earlier in the refining process to adsorb impurities which allows the processor to eliminate a waste water stream.</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Ultra-Clear is a clarification aid used as filtration and purification mediums for jet fuel and other petroleum-based products.</w:t>
      </w:r>
    </w:p>
    <w:p>
      <w:pPr>
        <w:spacing w:after="0" w:line="252" w:lineRule="exact"/>
        <w:rPr>
          <w:sz w:val="20"/>
          <w:szCs w:val="20"/>
          <w:color w:val="auto"/>
        </w:rPr>
      </w:pPr>
    </w:p>
    <w:p>
      <w:pPr>
        <w:jc w:val="both"/>
        <w:ind w:right="20" w:firstLine="346"/>
        <w:spacing w:after="0" w:line="268" w:lineRule="auto"/>
        <w:rPr>
          <w:sz w:val="20"/>
          <w:szCs w:val="20"/>
          <w:color w:val="auto"/>
        </w:rPr>
      </w:pPr>
      <w:r>
        <w:rPr>
          <w:rFonts w:ascii="Arial" w:cs="Arial" w:eastAsia="Arial" w:hAnsi="Arial"/>
          <w:sz w:val="18"/>
          <w:szCs w:val="18"/>
          <w:color w:val="auto"/>
        </w:rPr>
        <w:t>These products are marketed in the United States and in international markets. The products are supported by our team of technical sales employees as well as by agent representatives and the services of our research and development group.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52" w:lineRule="exact"/>
        <w:rPr>
          <w:sz w:val="20"/>
          <w:szCs w:val="20"/>
          <w:color w:val="auto"/>
        </w:rPr>
      </w:pPr>
    </w:p>
    <w:p>
      <w:pPr>
        <w:jc w:val="both"/>
        <w:ind w:firstLine="379"/>
        <w:spacing w:after="0" w:line="306" w:lineRule="auto"/>
        <w:rPr>
          <w:sz w:val="20"/>
          <w:szCs w:val="20"/>
          <w:color w:val="auto"/>
        </w:rPr>
      </w:pPr>
      <w:r>
        <w:rPr>
          <w:rFonts w:ascii="Arial" w:cs="Arial" w:eastAsia="Arial" w:hAnsi="Arial"/>
          <w:sz w:val="16"/>
          <w:szCs w:val="16"/>
          <w:color w:val="auto"/>
        </w:rPr>
        <w:t>We produce a wide range of granular and powdered mineral absorbent products that are used as carriers for crop protection chemicals, agricultural drying agents, bulk processing aids, growing media components and sports field products. Our brands include Agsorb agricultural chemical carriers and drying agents; Flo-Fre, a highly absorbent microgranule flowability aid; Terra-Green growing media supplement; and Pro’s Choice sports field conditioners.</w:t>
      </w:r>
    </w:p>
    <w:p>
      <w:pPr>
        <w:spacing w:after="0" w:line="188"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Agsorb carriers are used as an alternative to agricultural sprays. The clay granules absorb crop protection chemicals, including herbicides, fungicides, insecticides and nematicides. The granules are then delivered directly into the ground resulting in a more precise application than chemical sprays. Agsorb drying agent is blended into fertilizers and pesticides applied by farmers to absorb moisture and reduce caking. Agsorb also acts as an anticaking agent for fertilizers and chemicals used in the lawn and garden market. Flo-Fre microgranules are used by grain processors and other large handlers of bulk products to soak up excess moisture. We employ technical sales people to market agricultural products in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29"/>
        <w:spacing w:after="0" w:line="254" w:lineRule="auto"/>
        <w:rPr>
          <w:sz w:val="20"/>
          <w:szCs w:val="20"/>
          <w:color w:val="auto"/>
        </w:rPr>
      </w:pPr>
      <w:r>
        <w:rPr>
          <w:rFonts w:ascii="Arial" w:cs="Arial" w:eastAsia="Arial" w:hAnsi="Arial"/>
          <w:sz w:val="18"/>
          <w:szCs w:val="18"/>
          <w:color w:val="auto"/>
        </w:rPr>
        <w:t>Pro’s Choice sports field products are used on baseball, football and soccer fields and on golf courses. Pro’s Choice soil conditioners are used in field construction or as top dressing to absorb moisture, suppress dust and improve field performance. These products are used to amend sand-based golf green construction, as well as other areas like tees and fairways, to help retain moisture and nutrients for better grass growth. Pro Mound packing clay is used to construct pitcher's mounds and batter's boxes. Rapid Dry drying agent is used to dry up puddles and slick spots after rain. Sports field products are used at all levels of play, including professional, college, high school and on municipal fields. These products are sold through a network of distributors specializing in sports turf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52" w:lineRule="exact"/>
        <w:rPr>
          <w:sz w:val="20"/>
          <w:szCs w:val="20"/>
          <w:color w:val="auto"/>
        </w:rPr>
      </w:pPr>
    </w:p>
    <w:p>
      <w:pPr>
        <w:jc w:val="both"/>
        <w:ind w:firstLine="379"/>
        <w:spacing w:after="0" w:line="306" w:lineRule="auto"/>
        <w:rPr>
          <w:sz w:val="20"/>
          <w:szCs w:val="20"/>
          <w:color w:val="auto"/>
        </w:rPr>
      </w:pPr>
      <w:r>
        <w:rPr>
          <w:rFonts w:ascii="Arial" w:cs="Arial" w:eastAsia="Arial" w:hAnsi="Arial"/>
          <w:sz w:val="16"/>
          <w:szCs w:val="16"/>
          <w:color w:val="auto"/>
        </w:rPr>
        <w:t>We produce several products that are used in the livestock industry. ConditionAde branded products are used in animal feed to absorb naturally-occurring toxins within the feed and thereby improve animal health. Pel-Unite Plus binders are used in the manufacture of animal feeds to bind ingredients in feed pellets. Poultry Guard litter amendment is used in commercial poultry houses to neutralize harmful ammonia and pathogens.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8"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auto"/>
        </w:rPr>
        <w:t>Historically, we had defined our business segments by product lines; however, we have grown to recognize that due to the various products’ manufacturing interdependencies and marketing synergies, the most appropriate segmentation is generally based upon the type of end-customer for our products. During the first quarter of fiscal 2006, we reorganized our management group to support this new operating structure. The Vice President of the former Consumer Products Group, Wade R. Bradley, was promoted to President of the Retail and Wholesale Products Group. The Business to Business Products Group is currently being managed directly by Daniel Jaffee, President and CEO. The new organization structure permits a business approach focused on meeting the different needs of our two primary customer groups.</w:t>
      </w:r>
    </w:p>
    <w:p>
      <w:pPr>
        <w:spacing w:after="0" w:line="225" w:lineRule="exact"/>
        <w:rPr>
          <w:sz w:val="20"/>
          <w:szCs w:val="20"/>
          <w:color w:val="auto"/>
        </w:rPr>
      </w:pPr>
    </w:p>
    <w:p>
      <w:pPr>
        <w:jc w:val="both"/>
        <w:ind w:firstLine="380"/>
        <w:spacing w:after="0" w:line="294" w:lineRule="auto"/>
        <w:rPr>
          <w:sz w:val="20"/>
          <w:szCs w:val="20"/>
          <w:color w:val="auto"/>
        </w:rPr>
      </w:pPr>
      <w:r>
        <w:rPr>
          <w:rFonts w:ascii="Arial" w:cs="Arial" w:eastAsia="Arial" w:hAnsi="Arial"/>
          <w:sz w:val="16"/>
          <w:szCs w:val="16"/>
          <w:color w:val="auto"/>
        </w:rPr>
        <w:t>The Retail and Wholesale Products Group customers include mass merchandisers, wholesale clubs, drugstore chains, pet retail outlets, dollar stores, retail grocery stores, distributors of industrial cleanup and automotive products and environmental service companies. Business to Business Products Group customers include processors and refiners of edible and petroleum-based oils, animal feed manufacturers, poultry producers, manufacturers of agricultural chemicals and sports turf users. During fiscal 2006, we changed our operating segment financial reporting to reflect this reorganization. Certain financial information on segments is contained in Note 3 of the Notes to the Consolidated Financial Statements and is incorporated herein by reference.</w:t>
      </w:r>
    </w:p>
    <w:p>
      <w:pPr>
        <w:spacing w:after="0" w:line="197" w:lineRule="exact"/>
        <w:rPr>
          <w:sz w:val="20"/>
          <w:szCs w:val="20"/>
          <w:color w:val="auto"/>
        </w:rPr>
      </w:pPr>
    </w:p>
    <w:p>
      <w:pPr>
        <w:jc w:val="both"/>
        <w:ind w:firstLine="316"/>
        <w:spacing w:after="0" w:line="259"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ectPr>
          <w:pgSz w:w="11900" w:h="16838" w:orient="portrait"/>
          <w:cols w:equalWidth="0" w:num="1">
            <w:col w:w="11420"/>
          </w:cols>
          <w:pgMar w:left="240" w:top="158" w:right="239" w:bottom="0" w:gutter="0" w:footer="0" w:header="0"/>
        </w:sectPr>
      </w:pPr>
    </w:p>
    <w:bookmarkStart w:id="4" w:name="page5"/>
    <w:bookmarkEnd w:id="4"/>
    <w:p>
      <w:pPr>
        <w:jc w:val="both"/>
        <w:ind w:firstLine="314"/>
        <w:spacing w:after="0" w:line="306" w:lineRule="auto"/>
        <w:rPr>
          <w:sz w:val="20"/>
          <w:szCs w:val="20"/>
          <w:color w:val="auto"/>
        </w:rPr>
      </w:pPr>
      <w:r>
        <w:rPr>
          <w:rFonts w:ascii="Arial" w:cs="Arial" w:eastAsia="Arial" w:hAnsi="Arial"/>
          <w:sz w:val="16"/>
          <w:szCs w:val="16"/>
          <w:color w:val="auto"/>
        </w:rPr>
        <w:t>Our wholly-owned subsidiary, Favorite Products Company, Ltd., is a manufacturer and marketer of branded and private label cat litter in the Canadian market place. Among its branded products are Saular, a leading cat litter brand in Canada; and Saular Kat-Kit, a disposable cat litter tray and litter combination. Some of the products sold in Canada are blends of clay and synthetic sorbent materials. Our Canadian facility also sells granular industrial floor absorbents.</w:t>
      </w:r>
    </w:p>
    <w:p>
      <w:pPr>
        <w:spacing w:after="0" w:line="188"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Our wholly-owned subsidiary, Oil-Dri (U.K.), Ltd., packages clay granules produced by our United States manufacturing facilities and, for certain applications, blends a synthetic sorbent material which it manufactures in the United Kingdom. These products are marketed primarily in the United Kingdom as oil and grease absorbents and as cat litter. Oil-Dri U.K. also sells synthetic polypropylene sorbent materials, as well as plastic storage containers for oil and grease drums.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Our wholly owned subsidiary, Oil-Dri S.A., is a Swiss company that performs various management, customer service and administrative functions for our domestic operations and for our foreign subsidiaries.</w:t>
      </w:r>
    </w:p>
    <w:p>
      <w:pPr>
        <w:spacing w:after="0" w:line="213" w:lineRule="exact"/>
        <w:rPr>
          <w:sz w:val="20"/>
          <w:szCs w:val="20"/>
          <w:color w:val="auto"/>
        </w:rPr>
      </w:pPr>
    </w:p>
    <w:p>
      <w:pPr>
        <w:jc w:val="both"/>
        <w:ind w:firstLine="333"/>
        <w:spacing w:after="0" w:line="332" w:lineRule="auto"/>
        <w:rPr>
          <w:sz w:val="20"/>
          <w:szCs w:val="20"/>
          <w:color w:val="auto"/>
        </w:rPr>
      </w:pPr>
      <w:r>
        <w:rPr>
          <w:rFonts w:ascii="Arial" w:cs="Arial" w:eastAsia="Arial" w:hAnsi="Arial"/>
          <w:sz w:val="16"/>
          <w:szCs w:val="16"/>
          <w:color w:val="auto"/>
        </w:rPr>
        <w:t>Our foreign operations are subject to the normal risks of doing business overseas, such as currency devaluations and fluctuations, restrictions on the transfer of funds and import/export duties. We were not materially impacted by these foreign currency fluctuations in any of our last three fiscal years.</w:t>
      </w:r>
    </w:p>
    <w:p>
      <w:pPr>
        <w:spacing w:after="0" w:line="166" w:lineRule="exact"/>
        <w:rPr>
          <w:sz w:val="20"/>
          <w:szCs w:val="20"/>
          <w:color w:val="auto"/>
        </w:rPr>
      </w:pPr>
    </w:p>
    <w:p>
      <w:pPr>
        <w:jc w:val="both"/>
        <w:ind w:firstLine="347"/>
        <w:spacing w:after="0" w:line="268" w:lineRule="auto"/>
        <w:rPr>
          <w:sz w:val="20"/>
          <w:szCs w:val="20"/>
          <w:color w:val="auto"/>
        </w:rPr>
      </w:pPr>
      <w:r>
        <w:rPr>
          <w:rFonts w:ascii="Arial" w:cs="Arial" w:eastAsia="Arial" w:hAnsi="Arial"/>
          <w:sz w:val="18"/>
          <w:szCs w:val="18"/>
          <w:color w:val="auto"/>
        </w:rPr>
        <w:t>Certain financial information about our foreign and domestic operations is contained in Note 3 of the Notes to the Consolidated Financial Statements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USTOMERS</w:t>
      </w:r>
    </w:p>
    <w:p>
      <w:pPr>
        <w:spacing w:after="0" w:line="258" w:lineRule="exact"/>
        <w:rPr>
          <w:sz w:val="20"/>
          <w:szCs w:val="20"/>
          <w:color w:val="auto"/>
        </w:rPr>
      </w:pPr>
    </w:p>
    <w:p>
      <w:pPr>
        <w:jc w:val="both"/>
        <w:ind w:firstLine="315"/>
        <w:spacing w:after="0" w:line="294" w:lineRule="auto"/>
        <w:rPr>
          <w:sz w:val="20"/>
          <w:szCs w:val="20"/>
          <w:color w:val="auto"/>
        </w:rPr>
      </w:pPr>
      <w:r>
        <w:rPr>
          <w:rFonts w:ascii="Arial" w:cs="Arial" w:eastAsia="Arial" w:hAnsi="Arial"/>
          <w:sz w:val="16"/>
          <w:szCs w:val="16"/>
          <w:color w:val="auto"/>
        </w:rPr>
        <w:t>Sales to Wal-Mart Stores, Inc. accounted for approximately 19%, 18% and 18% of our total net sales for the fiscal years ended July 31, 2006, 2005 and 2004, respectively. Wal-Mart is a customer in the Retail and Wholesale Products Group segment. Sales to The Clorox Company accounted for approximately 9% of our total net sales for each of the fiscal years ended July 31, 2006, 2005 and 2004. The Clorox Company is a customer in the Business to Business Products Group segment. There are no customers in the Business to Business Products Group with sales equal to or greater than 10% of our total sales. The loss of any other customers would not have a materially adverse effect on our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OMPETITION</w:t>
      </w:r>
    </w:p>
    <w:p>
      <w:pPr>
        <w:spacing w:after="0" w:line="258" w:lineRule="exact"/>
        <w:rPr>
          <w:sz w:val="20"/>
          <w:szCs w:val="20"/>
          <w:color w:val="auto"/>
        </w:rPr>
      </w:pPr>
    </w:p>
    <w:p>
      <w:pPr>
        <w:jc w:val="both"/>
        <w:ind w:firstLine="444"/>
        <w:spacing w:after="0" w:line="332" w:lineRule="auto"/>
        <w:rPr>
          <w:sz w:val="20"/>
          <w:szCs w:val="20"/>
          <w:color w:val="auto"/>
        </w:rPr>
      </w:pPr>
      <w:r>
        <w:rPr>
          <w:rFonts w:ascii="Arial" w:cs="Arial" w:eastAsia="Arial" w:hAnsi="Arial"/>
          <w:sz w:val="16"/>
          <w:szCs w:val="16"/>
          <w:color w:val="auto"/>
        </w:rPr>
        <w:t>Price, service, marketing, technical support, product quality and delivery are the principal methods of competition in our markets and competition has historically been very vigorous. Some of our competitors are large companies whose financial resources are substantially greater than ours.</w:t>
      </w:r>
    </w:p>
    <w:p>
      <w:pPr>
        <w:spacing w:after="0" w:line="166"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In the Retail and Wholesale Products Group we have five principal competitors, including several who are also customers of ours. The cat litter market has expanded at a moderate pace in recent years. The larger portion of the growth has occurred in scoopable products and traditional coarse products have seen a moderate decline. We have expanded our scoopable product offerings to obtain a portion of that growing market. The overwhelming majority of all cat litter is mineral based; however, over the years various alternative litters have been introduced based on alternative strata such as paper, various agricultural waste products and silica gels. To date, these products have assumed only niche positions within the category.</w:t>
      </w:r>
    </w:p>
    <w:p>
      <w:pPr>
        <w:spacing w:after="0" w:line="197" w:lineRule="exact"/>
        <w:rPr>
          <w:sz w:val="20"/>
          <w:szCs w:val="20"/>
          <w:color w:val="auto"/>
        </w:rPr>
      </w:pPr>
    </w:p>
    <w:p>
      <w:pPr>
        <w:jc w:val="both"/>
        <w:ind w:firstLine="332"/>
        <w:spacing w:after="0" w:line="291" w:lineRule="auto"/>
        <w:rPr>
          <w:sz w:val="20"/>
          <w:szCs w:val="20"/>
          <w:color w:val="auto"/>
        </w:rPr>
      </w:pPr>
      <w:r>
        <w:rPr>
          <w:rFonts w:ascii="Arial" w:cs="Arial" w:eastAsia="Arial" w:hAnsi="Arial"/>
          <w:sz w:val="16"/>
          <w:szCs w:val="16"/>
          <w:color w:val="auto"/>
        </w:rPr>
        <w:t>In the Business to Business Products Group we have seven principal competitors. In the bleaching clay and clarification aid portions of this segment, we are seeing increased price and product performance competition as large customers continue to implement global or centralized procurement initiatives to obtain the best possible price and performance standards from us and our competitors. In the agricultural and horticultural carrier portion of this segment, we continue to see competition from other producers of clay-based carriers as well as increasing competition from genetically modified and treated seeds (which reduce or eliminate the need for carriers) and engineered carriers (such as paper- and limestone-based carriers). These new technologies are gaining wider acceptance in the market place and are reducing overall demand for our carrier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ATENTS</w:t>
      </w:r>
    </w:p>
    <w:p>
      <w:pPr>
        <w:spacing w:after="0" w:line="258" w:lineRule="exact"/>
        <w:rPr>
          <w:sz w:val="20"/>
          <w:szCs w:val="20"/>
          <w:color w:val="auto"/>
        </w:rPr>
      </w:pPr>
    </w:p>
    <w:p>
      <w:pPr>
        <w:jc w:val="both"/>
        <w:ind w:firstLine="317"/>
        <w:spacing w:after="0" w:line="259"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beginning in 2008. Patented processes and products are not material to our overall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3"/>
          <w:szCs w:val="13"/>
          <w:b w:val="1"/>
          <w:bCs w:val="1"/>
          <w:color w:val="auto"/>
        </w:rPr>
        <w:t>ACKLOG</w:t>
      </w:r>
      <w:r>
        <w:rPr>
          <w:rFonts w:ascii="Arial" w:cs="Arial" w:eastAsia="Arial" w:hAnsi="Arial"/>
          <w:sz w:val="18"/>
          <w:szCs w:val="18"/>
          <w:b w:val="1"/>
          <w:bCs w:val="1"/>
          <w:color w:val="auto"/>
        </w:rPr>
        <w:t>; S</w:t>
      </w:r>
      <w:r>
        <w:rPr>
          <w:rFonts w:ascii="Arial" w:cs="Arial" w:eastAsia="Arial" w:hAnsi="Arial"/>
          <w:sz w:val="13"/>
          <w:szCs w:val="13"/>
          <w:b w:val="1"/>
          <w:bCs w:val="1"/>
          <w:color w:val="auto"/>
        </w:rPr>
        <w:t>EASONALITY</w:t>
      </w:r>
    </w:p>
    <w:p>
      <w:pPr>
        <w:spacing w:after="0" w:line="258" w:lineRule="exact"/>
        <w:rPr>
          <w:sz w:val="20"/>
          <w:szCs w:val="20"/>
          <w:color w:val="auto"/>
        </w:rPr>
      </w:pPr>
    </w:p>
    <w:p>
      <w:pPr>
        <w:jc w:val="both"/>
        <w:ind w:firstLine="397"/>
        <w:spacing w:after="0" w:line="335" w:lineRule="auto"/>
        <w:rPr>
          <w:sz w:val="20"/>
          <w:szCs w:val="20"/>
          <w:color w:val="auto"/>
        </w:rPr>
      </w:pPr>
      <w:r>
        <w:rPr>
          <w:rFonts w:ascii="Arial" w:cs="Arial" w:eastAsia="Arial" w:hAnsi="Arial"/>
          <w:sz w:val="15"/>
          <w:szCs w:val="15"/>
          <w:color w:val="auto"/>
        </w:rPr>
        <w:t>At July 31, 2006, 2005 and 2004, our backlog of orders was approximately $4,649,000, $3,961,000 and $3,421,000, respectively. All backlog orders are expected to be filled within the next twelve months. We consider our clay sorbent business, taken as a whole, to be only moderately seasonal. However, business activities of certain customers (such as agricultural chemical manufacturers) are subject to such factors as crop acreage planted and product formulation cycles.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NFLATION</w:t>
      </w:r>
    </w:p>
    <w:p>
      <w:pPr>
        <w:spacing w:after="0" w:line="258" w:lineRule="exact"/>
        <w:rPr>
          <w:sz w:val="20"/>
          <w:szCs w:val="20"/>
          <w:color w:val="auto"/>
        </w:rPr>
      </w:pPr>
    </w:p>
    <w:p>
      <w:pPr>
        <w:jc w:val="both"/>
        <w:ind w:right="20" w:firstLine="413"/>
        <w:spacing w:after="0" w:line="268"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and Item 7A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ESERVES</w:t>
      </w:r>
    </w:p>
    <w:p>
      <w:pPr>
        <w:spacing w:after="0" w:line="258" w:lineRule="exact"/>
        <w:rPr>
          <w:sz w:val="20"/>
          <w:szCs w:val="20"/>
          <w:color w:val="auto"/>
        </w:rPr>
      </w:pPr>
    </w:p>
    <w:p>
      <w:pPr>
        <w:jc w:val="both"/>
        <w:ind w:firstLine="316"/>
        <w:spacing w:after="0" w:line="294" w:lineRule="auto"/>
        <w:rPr>
          <w:sz w:val="20"/>
          <w:szCs w:val="20"/>
          <w:color w:val="auto"/>
        </w:rPr>
      </w:pPr>
      <w:r>
        <w:rPr>
          <w:rFonts w:ascii="Arial" w:cs="Arial" w:eastAsia="Arial" w:hAnsi="Arial"/>
          <w:sz w:val="16"/>
          <w:szCs w:val="16"/>
          <w:color w:val="auto"/>
        </w:rPr>
        <w:t>We mine sorbent materials, commonly known as fuller’s earth, on leased or owned land near our manufacturing facilities in Mississippi, Georgia, Illinois and California; we also have reserves in Nevada, Oregon and Tennessee. We estimate that our proven reserves of these sorbent materials aggregate approximately 182,279,000 tons. Based on our rate of consumption during the 2006 fiscal year,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are reflected at cost on our balance sheet.</w:t>
      </w:r>
    </w:p>
    <w:p>
      <w:pPr>
        <w:sectPr>
          <w:pgSz w:w="11900" w:h="16838" w:orient="portrait"/>
          <w:cols w:equalWidth="0" w:num="1">
            <w:col w:w="11420"/>
          </w:cols>
          <w:pgMar w:left="240" w:top="158" w:right="239" w:bottom="0" w:gutter="0" w:footer="0" w:header="0"/>
        </w:sectPr>
      </w:pPr>
    </w:p>
    <w:bookmarkStart w:id="5" w:name="page6"/>
    <w:bookmarkEnd w:id="5"/>
    <w:p>
      <w:pPr>
        <w:jc w:val="both"/>
        <w:ind w:firstLine="332"/>
        <w:spacing w:after="0" w:line="318" w:lineRule="auto"/>
        <w:rPr>
          <w:sz w:val="20"/>
          <w:szCs w:val="20"/>
          <w:color w:val="auto"/>
        </w:rPr>
      </w:pPr>
      <w:r>
        <w:rPr>
          <w:rFonts w:ascii="Arial" w:cs="Arial" w:eastAsia="Arial" w:hAnsi="Arial"/>
          <w:sz w:val="15"/>
          <w:szCs w:val="15"/>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will be subject to compliance with existing and future federal and state statutes and regulations regarding mining and environmental compliance. Also, requirements for environmental compliance may restrict exploration or use of lands that might otherwise be utilized as a source of reserves. During the fiscal year ended July 31, 2006, we utilized these reserves to produce substantially all of the sorbent minerals that we sold.</w:t>
      </w:r>
    </w:p>
    <w:p>
      <w:pPr>
        <w:spacing w:after="0" w:line="181"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a staff of geologists and mineral specialists who estimate and evaluate existing and potential reserves in terms of quality, quantity and availability.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58" w:lineRule="exact"/>
        <w:rPr>
          <w:sz w:val="20"/>
          <w:szCs w:val="20"/>
          <w:color w:val="auto"/>
        </w:rPr>
      </w:pPr>
    </w:p>
    <w:p>
      <w:pPr>
        <w:jc w:val="both"/>
        <w:ind w:firstLine="363"/>
        <w:spacing w:after="0" w:line="253"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raw materials are surface mined on a year-round basis, generally using large earth moving scrapers, bulldozers, excavators or off-road trucks to remove overburden, and then loaded into dump trucks with backhoe or front end loader for movement to the processing facilities. The mining and hauling of our clay is performed by us and by independent contractors. Our current operating mines range in distance from immediately adjacent to approximately 13 miles from the related processing plants. Access to processing facilities from the mining areas is generally by private road, and in some instances public highways are utilized. Each of our processing facilities maintains inventories of unprocessed clay of approximately one week of production requirements. The following schedule summarizes, for each of our manufacturing facilities, the net book value of land and other plant and equipment: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Plant and</w:t>
            </w:r>
          </w:p>
        </w:tc>
      </w:tr>
      <w:tr>
        <w:trPr>
          <w:trHeight w:val="217"/>
        </w:trPr>
        <w:tc>
          <w:tcPr>
            <w:tcW w:w="5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Land</w:t>
            </w:r>
          </w:p>
        </w:tc>
        <w:tc>
          <w:tcPr>
            <w:tcW w:w="10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Equipment</w:t>
            </w:r>
          </w:p>
        </w:tc>
      </w:tr>
      <w:tr>
        <w:trPr>
          <w:trHeight w:val="237"/>
        </w:trPr>
        <w:tc>
          <w:tcPr>
            <w:tcW w:w="5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0"/>
                <w:szCs w:val="20"/>
                <w:color w:val="auto"/>
              </w:rPr>
            </w:pPr>
          </w:p>
        </w:tc>
      </w:tr>
      <w:tr>
        <w:trPr>
          <w:trHeight w:val="203"/>
        </w:trPr>
        <w:tc>
          <w:tcPr>
            <w:tcW w:w="524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Ochlocknee, Georgia</w:t>
            </w:r>
          </w:p>
        </w:tc>
        <w:tc>
          <w:tcPr>
            <w:tcW w:w="3580" w:type="dxa"/>
            <w:vAlign w:val="bottom"/>
            <w:shd w:val="clear" w:color="auto" w:fill="C0C0C0"/>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3,372</w:t>
            </w:r>
          </w:p>
        </w:tc>
        <w:tc>
          <w:tcPr>
            <w:tcW w:w="1080" w:type="dxa"/>
            <w:vAlign w:val="bottom"/>
            <w:shd w:val="clear" w:color="auto" w:fill="C0C0C0"/>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15,378</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Ripley, Mississippi</w:t>
            </w:r>
          </w:p>
        </w:tc>
        <w:tc>
          <w:tcPr>
            <w:tcW w:w="35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1,535</w:t>
            </w:r>
          </w:p>
        </w:tc>
        <w:tc>
          <w:tcPr>
            <w:tcW w:w="10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6,717</w:t>
            </w:r>
          </w:p>
        </w:tc>
      </w:tr>
      <w:tr>
        <w:trPr>
          <w:trHeight w:val="203"/>
        </w:trPr>
        <w:tc>
          <w:tcPr>
            <w:tcW w:w="524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Mounds, Illinois</w:t>
            </w:r>
          </w:p>
        </w:tc>
        <w:tc>
          <w:tcPr>
            <w:tcW w:w="3580" w:type="dxa"/>
            <w:vAlign w:val="bottom"/>
            <w:shd w:val="clear" w:color="auto" w:fill="C0C0C0"/>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1,568</w:t>
            </w:r>
          </w:p>
        </w:tc>
        <w:tc>
          <w:tcPr>
            <w:tcW w:w="1080" w:type="dxa"/>
            <w:vAlign w:val="bottom"/>
            <w:shd w:val="clear" w:color="auto" w:fill="C0C0C0"/>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5,451</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Blue Mountain, Mississippi</w:t>
            </w:r>
          </w:p>
        </w:tc>
        <w:tc>
          <w:tcPr>
            <w:tcW w:w="35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915</w:t>
            </w:r>
          </w:p>
        </w:tc>
        <w:tc>
          <w:tcPr>
            <w:tcW w:w="108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4,733</w:t>
            </w:r>
          </w:p>
        </w:tc>
      </w:tr>
      <w:tr>
        <w:trPr>
          <w:trHeight w:val="203"/>
        </w:trPr>
        <w:tc>
          <w:tcPr>
            <w:tcW w:w="524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Taft, California</w:t>
            </w:r>
          </w:p>
        </w:tc>
        <w:tc>
          <w:tcPr>
            <w:tcW w:w="3580" w:type="dxa"/>
            <w:vAlign w:val="bottom"/>
            <w:shd w:val="clear" w:color="auto" w:fill="C0C0C0"/>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1,283</w:t>
            </w:r>
          </w:p>
        </w:tc>
        <w:tc>
          <w:tcPr>
            <w:tcW w:w="1080" w:type="dxa"/>
            <w:vAlign w:val="bottom"/>
            <w:shd w:val="clear" w:color="auto" w:fill="C0C0C0"/>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3,068</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MPLOYEES</w:t>
      </w:r>
    </w:p>
    <w:p>
      <w:pPr>
        <w:spacing w:after="0" w:line="258"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As of July 31, 2006, we employed 765 persons, 77 of whom were employed by our foreign subsidiaries. Our corporate offices, research and development center and manufacturing facilities are adequately staffed and no material labor shortages are anticipated. Approximately 45 of our employees in the U.S. and approximately 30 of our employees in Canada are represented by labor unions, with whom we have entered into separate collective bargaining agreements. We consider our employee relations to be satisfactory.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OMPLIANCE</w:t>
      </w:r>
    </w:p>
    <w:p>
      <w:pPr>
        <w:spacing w:after="0" w:line="258" w:lineRule="exact"/>
        <w:rPr>
          <w:sz w:val="20"/>
          <w:szCs w:val="20"/>
          <w:color w:val="auto"/>
        </w:rPr>
      </w:pPr>
    </w:p>
    <w:p>
      <w:pPr>
        <w:jc w:val="both"/>
        <w:ind w:firstLine="412"/>
        <w:spacing w:after="0" w:line="290"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statutes and various other federal, state and local statutes, regulations and ordinances which govern the discharge of materials, water and waste into the environment and restrict mining on wetlands or otherwise regulate our operations. In recent years, environmental regulation has grown increasingly stringent, a trend that we expect will continue. We endeavor to be in compliance in all material respects at all times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exhausted mining sites. Historically, reclamation expenses have not had a material effect on our cost of goods sold.</w:t>
      </w:r>
    </w:p>
    <w:p>
      <w:pPr>
        <w:spacing w:after="0" w:line="199" w:lineRule="exact"/>
        <w:rPr>
          <w:sz w:val="20"/>
          <w:szCs w:val="20"/>
          <w:color w:val="auto"/>
        </w:rPr>
      </w:pPr>
    </w:p>
    <w:p>
      <w:pPr>
        <w:jc w:val="both"/>
        <w:ind w:firstLine="347"/>
        <w:spacing w:after="0" w:line="259" w:lineRule="auto"/>
        <w:rPr>
          <w:sz w:val="20"/>
          <w:szCs w:val="20"/>
          <w:color w:val="auto"/>
        </w:rPr>
      </w:pPr>
      <w:r>
        <w:rPr>
          <w:rFonts w:ascii="Arial" w:cs="Arial" w:eastAsia="Arial" w:hAnsi="Arial"/>
          <w:sz w:val="18"/>
          <w:szCs w:val="18"/>
          <w:color w:val="auto"/>
        </w:rPr>
        <w:t>In addition to the environmental requirements relating to mining and manufacturing operations and facilities, there is increasing federal and state regulation with respect to the content, labeling, use, and disposal after use, of various products we sell. We endeavor to be in compliance in all material respects at all times with that regulation and to assist our customers in that compliance.</w:t>
      </w:r>
    </w:p>
    <w:p>
      <w:pPr>
        <w:spacing w:after="0" w:line="221" w:lineRule="exact"/>
        <w:rPr>
          <w:sz w:val="20"/>
          <w:szCs w:val="20"/>
          <w:color w:val="auto"/>
        </w:rPr>
      </w:pPr>
    </w:p>
    <w:p>
      <w:pPr>
        <w:jc w:val="both"/>
        <w:ind w:firstLine="316"/>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 or with requirements regarding the content, labeling, use, and disposal after use, of our products; nor can we assure that from time to time enforcement of such requirements will not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NERGY</w:t>
      </w:r>
    </w:p>
    <w:p>
      <w:pPr>
        <w:spacing w:after="0" w:line="258"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We use coal, natural gas and recycled fuel oil as permitted for energy sources in the processing of our clay products. Consistent with prior years, we have switched from natural gas to other energy sources during certain months due to seasonal unavailability and the higher cost of natural gas relative to other fuels. In fiscal year 2006 however, we experienced significant increases in the prices of our energy sources, including alternatives to natural gas. See Item 7A. “Quantitative and Qualitative Disclosures About Market Risk” with respect to the use of forward contracts.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EVELOPMENT</w:t>
      </w:r>
    </w:p>
    <w:p>
      <w:pPr>
        <w:spacing w:after="0" w:line="258" w:lineRule="exact"/>
        <w:rPr>
          <w:sz w:val="20"/>
          <w:szCs w:val="20"/>
          <w:color w:val="auto"/>
        </w:rPr>
      </w:pPr>
    </w:p>
    <w:p>
      <w:pPr>
        <w:jc w:val="both"/>
        <w:ind w:firstLine="331"/>
        <w:spacing w:after="0" w:line="259" w:lineRule="auto"/>
        <w:rPr>
          <w:sz w:val="20"/>
          <w:szCs w:val="20"/>
          <w:color w:val="auto"/>
        </w:rPr>
      </w:pPr>
      <w:r>
        <w:rPr>
          <w:rFonts w:ascii="Arial" w:cs="Arial" w:eastAsia="Arial" w:hAnsi="Arial"/>
          <w:sz w:val="18"/>
          <w:szCs w:val="18"/>
          <w:color w:val="auto"/>
        </w:rPr>
        <w:t>At our research and development facility, the staff develops new products and applications and improves existing products. The staff and various consultants consist of geologists, mineralogists and chemists. In the past several years, our research efforts have resulted in a number of new sorbent products and processes. The facility produces prototype samples and tests new products for customer trial and evaluation.</w:t>
      </w:r>
    </w:p>
    <w:p>
      <w:pPr>
        <w:sectPr>
          <w:pgSz w:w="11900" w:h="16838" w:orient="portrait"/>
          <w:cols w:equalWidth="0" w:num="1">
            <w:col w:w="11420"/>
          </w:cols>
          <w:pgMar w:left="240" w:top="158" w:right="239" w:bottom="0" w:gutter="0" w:footer="0" w:header="0"/>
        </w:sectPr>
      </w:pPr>
    </w:p>
    <w:bookmarkStart w:id="6" w:name="page7"/>
    <w:bookmarkEnd w:id="6"/>
    <w:p>
      <w:pPr>
        <w:jc w:val="both"/>
        <w:ind w:firstLine="363"/>
        <w:spacing w:after="0" w:line="259" w:lineRule="auto"/>
        <w:rPr>
          <w:sz w:val="20"/>
          <w:szCs w:val="20"/>
          <w:color w:val="auto"/>
        </w:rPr>
      </w:pPr>
      <w:r>
        <w:rPr>
          <w:rFonts w:ascii="Arial" w:cs="Arial" w:eastAsia="Arial" w:hAnsi="Arial"/>
          <w:sz w:val="18"/>
          <w:szCs w:val="18"/>
          <w:color w:val="auto"/>
        </w:rPr>
        <w:t>We spent approximately $1,809,000, $2,429,000 and $2,459,000 during the fiscal years ended July 31, 2006, 2005 and 2004, respectively, for research and development. None of such research and development was customer sponsored, and all research and development costs are expensed in the year in which incurred. See Note 1 of the Notes to the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49" w:lineRule="exact"/>
        <w:rPr>
          <w:sz w:val="20"/>
          <w:szCs w:val="20"/>
          <w:color w:val="auto"/>
        </w:rPr>
      </w:pPr>
    </w:p>
    <w:p>
      <w:pPr>
        <w:jc w:val="both"/>
        <w:ind w:firstLine="314"/>
        <w:spacing w:after="0" w:line="306" w:lineRule="auto"/>
        <w:rPr>
          <w:sz w:val="20"/>
          <w:szCs w:val="20"/>
          <w:color w:val="auto"/>
        </w:rPr>
      </w:pPr>
      <w:r>
        <w:rPr>
          <w:rFonts w:ascii="Arial" w:cs="Arial" w:eastAsia="Arial" w:hAnsi="Arial"/>
          <w:sz w:val="16"/>
          <w:szCs w:val="16"/>
          <w:i w:val="1"/>
          <w:iCs w:val="1"/>
          <w:color w:val="auto"/>
        </w:rPr>
        <w:t>In addition to the other information in this report and our other filings with the SEC, you should carefully consider the risks described below. These risks are not the only ones facing us. Additional risks and uncertainties not presently known to us or that we currently believe to be immaterial may also impair our business operations. If any of the following risks occur, our business, financial condition or operating results could be materially and adversely affected.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52"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6"/>
          <w:szCs w:val="16"/>
          <w:color w:val="auto"/>
        </w:rPr>
        <w:t>A significant portion of our net sales comes from the sale of mature products, such as coarse cat litter, floor absorbent and agricultural chemical carriers, which have had little or no volume growth (or even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launch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52" w:lineRule="exact"/>
        <w:rPr>
          <w:sz w:val="20"/>
          <w:szCs w:val="20"/>
          <w:color w:val="auto"/>
        </w:rPr>
      </w:pPr>
    </w:p>
    <w:p>
      <w:pPr>
        <w:jc w:val="both"/>
        <w:ind w:firstLine="412"/>
        <w:spacing w:after="0" w:line="254"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and technical support, product quality and delivery. Some of our competitors, particularly in the sale of cat litter (the largest product in our Retail and Wholesale segment), are much larger and have substantially greater financial resources. The competition in the future may, in some cases, result in price reductions, reduced margins or loss of market share, any of which could materially and adversely affect our business, operating results and financial condition. If we fail to compete successfully based on these or other factors, our business and future financial results could be materially and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w:t>
      </w:r>
    </w:p>
    <w:p>
      <w:pPr>
        <w:spacing w:after="0" w:line="252" w:lineRule="exact"/>
        <w:rPr>
          <w:sz w:val="20"/>
          <w:szCs w:val="20"/>
          <w:color w:val="auto"/>
        </w:rPr>
      </w:pPr>
    </w:p>
    <w:p>
      <w:pPr>
        <w:jc w:val="both"/>
        <w:ind w:firstLine="349"/>
        <w:spacing w:after="0" w:line="294" w:lineRule="auto"/>
        <w:rPr>
          <w:sz w:val="20"/>
          <w:szCs w:val="20"/>
          <w:color w:val="auto"/>
        </w:rPr>
      </w:pPr>
      <w:r>
        <w:rPr>
          <w:rFonts w:ascii="Arial" w:cs="Arial" w:eastAsia="Arial" w:hAnsi="Arial"/>
          <w:sz w:val="16"/>
          <w:szCs w:val="16"/>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fluctuating demand for our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size and timing of sales of our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mix of products with varying profitability sold in a given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4360"/>
        <w:spacing w:after="0" w:line="281" w:lineRule="auto"/>
        <w:rPr>
          <w:sz w:val="20"/>
          <w:szCs w:val="20"/>
          <w:color w:val="auto"/>
        </w:rPr>
      </w:pPr>
      <w:r>
        <w:rPr>
          <w:rFonts w:ascii="Arial" w:cs="Arial" w:eastAsia="Arial" w:hAnsi="Arial"/>
          <w:sz w:val="18"/>
          <w:szCs w:val="18"/>
          <w:color w:val="auto"/>
        </w:rPr>
        <w:t>changes in our operating costs including raw material, energy, transportation and other costs; our ability to anticipate and adapt to rapidly changing conditions; introduction of new products and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-425450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-271145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-116840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20"/>
        <w:spacing w:after="0" w:line="299" w:lineRule="auto"/>
        <w:rPr>
          <w:sz w:val="20"/>
          <w:szCs w:val="20"/>
          <w:color w:val="auto"/>
        </w:rPr>
      </w:pPr>
      <w:r>
        <w:rPr>
          <w:rFonts w:ascii="Arial" w:cs="Arial" w:eastAsia="Arial" w:hAnsi="Arial"/>
          <w:sz w:val="18"/>
          <w:szCs w:val="18"/>
          <w:color w:val="auto"/>
        </w:rPr>
        <w:t>our ability to successfully implement price increases and surcharges, as well as other changes in our pricing policies or those of our competitors; variations in purchasing patterns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-137160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060"/>
        <w:spacing w:after="0" w:line="281" w:lineRule="auto"/>
        <w:rPr>
          <w:sz w:val="20"/>
          <w:szCs w:val="20"/>
          <w:color w:val="auto"/>
        </w:rPr>
      </w:pPr>
      <w:r>
        <w:rPr>
          <w:rFonts w:ascii="Arial" w:cs="Arial" w:eastAsia="Arial" w:hAnsi="Arial"/>
          <w:sz w:val="18"/>
          <w:szCs w:val="18"/>
          <w:color w:val="auto"/>
        </w:rPr>
        <w:t>the ability of major customers and other debtors to meet their obligations to us as they come due; our ability to successfully manage regulatory, tax and legal matters; the incurrence of restructuring, impairment or other charges;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-425450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-271145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-116840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52"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results of operations. Acquisition transactions involve a number of inherent risks, including:</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8"/>
          <w:szCs w:val="18"/>
          <w:color w:val="auto"/>
        </w:rPr>
        <w:t>uncertainties in assessing the value, strengths, and potential profitability of, and identifying the extent of all weaknesses, risks, contingent and other liabilities (including environmental or mining safety liabilities) of, acquisition candidates; the potential loss of key customers, management and employees of an acquired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-131445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bookmarkStart w:id="7" w:name="page8"/>
    <w:bookmarkEnd w:id="7"/>
    <w:p>
      <w:pPr>
        <w:spacing w:after="0" w:line="127" w:lineRule="exact"/>
        <w:rPr>
          <w:sz w:val="20"/>
          <w:szCs w:val="20"/>
          <w:color w:val="auto"/>
        </w:rPr>
      </w:pPr>
    </w:p>
    <w:p>
      <w:pPr>
        <w:ind w:left="540" w:right="3440"/>
        <w:spacing w:after="0" w:line="281" w:lineRule="auto"/>
        <w:rPr>
          <w:sz w:val="20"/>
          <w:szCs w:val="20"/>
          <w:color w:val="auto"/>
        </w:rPr>
      </w:pPr>
      <w:r>
        <w:rPr>
          <w:rFonts w:ascii="Arial" w:cs="Arial" w:eastAsia="Arial" w:hAnsi="Arial"/>
          <w:sz w:val="18"/>
          <w:szCs w:val="18"/>
          <w:color w:val="auto"/>
        </w:rPr>
        <w:t>the ability to achieve identified operating and financial synergies anticipated to result from an acquisition; problems that could arise from the integration of the acquired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-117475</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99" w:lineRule="auto"/>
        <w:rPr>
          <w:sz w:val="20"/>
          <w:szCs w:val="20"/>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Any one or more of these factors could cause us not to realize the benefits anticipated to result from an acquisition. Moreover, any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52"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A limited number of customers account for a large percentage of our net sales. Our largest customer, Wal-Mart Stores, Inc. and its affiliates accounted for approximately 19%, 18% and 18% of our net sales for the fiscal years ended July 31, 2006, 2005 and 2004, respectively. Sales to The Clorox Company and its affiliates accounted for approximately 9% of our net sales for each of the fiscal years ended July 31, 2006, 2005 and 2004. The loss of or a substantial decrease in the volume of purchases by Wal-Mart, Clorox or any of our other top customers would harm our sales and profitability.</w:t>
      </w:r>
    </w:p>
    <w:p>
      <w:pPr>
        <w:spacing w:after="0" w:line="194" w:lineRule="exact"/>
        <w:rPr>
          <w:sz w:val="20"/>
          <w:szCs w:val="20"/>
          <w:color w:val="auto"/>
        </w:rPr>
      </w:pPr>
    </w:p>
    <w:p>
      <w:pPr>
        <w:jc w:val="both"/>
        <w:ind w:firstLine="348"/>
        <w:spacing w:after="0" w:line="290" w:lineRule="auto"/>
        <w:rPr>
          <w:sz w:val="20"/>
          <w:szCs w:val="20"/>
          <w:color w:val="auto"/>
        </w:rPr>
      </w:pPr>
      <w:r>
        <w:rPr>
          <w:rFonts w:ascii="Arial" w:cs="Arial" w:eastAsia="Arial" w:hAnsi="Arial"/>
          <w:sz w:val="16"/>
          <w:szCs w:val="16"/>
          <w:color w:val="auto"/>
        </w:rPr>
        <w:t>We expect that a significant portion of our net sales will continue to be derived from a small number of customers and that these percentages may increase. As a result, changes in the strategies of our largest customers, including a reduction in the number of brands they carry (or a shift of shelf space to private label products) or increased use of global or centralized procurement initiatives, may harm our sales. In addition, our business is based primarily upon individual sales orders and we typically do not enter into long-term contracts with our customers. While we do have long-term contracts with certain of our customers, including Clorox, such agreements are subject to termination in certain circumstances. Accordingly, any of these customers could reduce their purchasing levels or cease buying products from us on relatively short notice. If we lose a significant customer or if sales of our products to a significant customer materially decrease, it may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Providing price concessions or trade terms that are acceptable to our customers, or the failure to do so, could adversely affect our sales and profitability.</w:t>
      </w:r>
    </w:p>
    <w:p>
      <w:pPr>
        <w:spacing w:after="0" w:line="287" w:lineRule="exact"/>
        <w:rPr>
          <w:sz w:val="20"/>
          <w:szCs w:val="20"/>
          <w:color w:val="auto"/>
        </w:rPr>
      </w:pPr>
    </w:p>
    <w:p>
      <w:pPr>
        <w:jc w:val="both"/>
        <w:ind w:firstLine="316"/>
        <w:spacing w:after="0" w:line="289"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Any reduction in prices to respond to these pressures would harm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pricing concessions, specialized packaging or impose other requirements on product suppliers. These business demands may relate to inventory practices, logistics or other aspects of the customer-supplier relationship. To the extent we provide concessions or better trade terms, our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Increases in energy prices would increase our operating costs, and we may be unable to pass all these increases on to our customers in the form of higher prices.</w:t>
      </w:r>
    </w:p>
    <w:p>
      <w:pPr>
        <w:spacing w:after="0" w:line="213"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If our energy costs increase disproportionately to our net sales, our earnings could be significantly reduced. Because we use energy, including natural gas, fuel oil, coal, electricity, diesel fuel and gasoline, to manufacture and transport our products, our operating costs increase if our energy costs rise. Our energy costs have risen substantially in recent periods. Increases in energy costs increase our operating costs and may reduce our profitability if we are unable to pass all the increases on to our customers. During periods of higher energy costs, we may not be able to recover our operating cost increases through price increases or without reducing demand for our products.</w:t>
      </w:r>
    </w:p>
    <w:p>
      <w:pPr>
        <w:spacing w:after="0" w:line="224" w:lineRule="exact"/>
        <w:rPr>
          <w:sz w:val="20"/>
          <w:szCs w:val="20"/>
          <w:color w:val="auto"/>
        </w:rPr>
      </w:pPr>
    </w:p>
    <w:p>
      <w:pPr>
        <w:jc w:val="both"/>
        <w:ind w:firstLine="332"/>
        <w:spacing w:after="0" w:line="290" w:lineRule="auto"/>
        <w:rPr>
          <w:sz w:val="20"/>
          <w:szCs w:val="20"/>
          <w:color w:val="auto"/>
        </w:rPr>
      </w:pPr>
      <w:r>
        <w:rPr>
          <w:rFonts w:ascii="Arial" w:cs="Arial" w:eastAsia="Arial" w:hAnsi="Arial"/>
          <w:sz w:val="16"/>
          <w:szCs w:val="16"/>
          <w:color w:val="auto"/>
        </w:rPr>
        <w:t>Our most significant energy requirements typically are for natural gas and fuel oil. We are subject to volatility in the price and availability of natural gas and fuel oil, as well as other sources of energy. In the past, we have endeavored to reallocate a portion of our energy needs among these different sources due to seasonal supply limitations and the higher cost of natural gas relative to other fuels; however, our energy costs, including alternatives to natural gas, have risen substantially in recent periods, and there can be no assurance that we will be able to effectively reallocate among different fuels in the future. From time to time, we may use forward purchase contracts or financial instruments to hedge the volatility of a portion of our natural gas and fuel oil costs. The success or failure of any such hedging transactions depends on a number of factors including, but not limited to, our ability to anticipate and manage volatility in energy prices, the general demand for natural gas and fuel oil by the manufacturing sector, seasonality and the weather patterns throughout the United States and the world.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inventory by our customers could adversely affect our sales and increase our inventory risk.</w:t>
      </w:r>
    </w:p>
    <w:p>
      <w:pPr>
        <w:spacing w:after="0" w:line="252" w:lineRule="exact"/>
        <w:rPr>
          <w:sz w:val="20"/>
          <w:szCs w:val="20"/>
          <w:color w:val="auto"/>
        </w:rPr>
      </w:pPr>
    </w:p>
    <w:p>
      <w:pPr>
        <w:jc w:val="both"/>
        <w:ind w:firstLine="398"/>
        <w:spacing w:after="0" w:line="254" w:lineRule="auto"/>
        <w:rPr>
          <w:sz w:val="20"/>
          <w:szCs w:val="20"/>
          <w:color w:val="auto"/>
        </w:rPr>
      </w:pPr>
      <w:r>
        <w:rPr>
          <w:rFonts w:ascii="Arial" w:cs="Arial" w:eastAsia="Arial" w:hAnsi="Arial"/>
          <w:sz w:val="18"/>
          <w:szCs w:val="18"/>
          <w:color w:val="auto"/>
        </w:rPr>
        <w:t>From time to time, customers in both our Retail and Wholesale segment and our Business to Business segment have reduced inventory levels as part of managing their working capital requirements. Any reduction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 Similarly, inventory reductions by our agricultural chemical carrier customers or our contract cat litter manufacturing customers could also adversely affect our results of operations for the financial periods in which the reductions occur.</w:t>
      </w:r>
    </w:p>
    <w:p>
      <w:pPr>
        <w:spacing w:after="0" w:line="225"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The value of our inventory may decline as a result of surplus inventory,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salability of our inventory; however, there is no guaranty that these arrangements will be sufficient to avoid write-offs in excess of our reserves.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Increasing market acceptance of genetically enhanced and treated agricultural products, particularly genetically modified and treated seeds, could continue to adversely affect our business.</w:t>
      </w:r>
    </w:p>
    <w:p>
      <w:pPr>
        <w:spacing w:after="0" w:line="213" w:lineRule="exact"/>
        <w:rPr>
          <w:sz w:val="20"/>
          <w:szCs w:val="20"/>
          <w:color w:val="auto"/>
        </w:rPr>
      </w:pPr>
    </w:p>
    <w:p>
      <w:pPr>
        <w:jc w:val="both"/>
        <w:ind w:firstLine="381"/>
        <w:spacing w:after="0" w:line="332" w:lineRule="auto"/>
        <w:rPr>
          <w:sz w:val="20"/>
          <w:szCs w:val="20"/>
          <w:color w:val="auto"/>
        </w:rPr>
      </w:pPr>
      <w:r>
        <w:rPr>
          <w:rFonts w:ascii="Arial" w:cs="Arial" w:eastAsia="Arial" w:hAnsi="Arial"/>
          <w:sz w:val="16"/>
          <w:szCs w:val="16"/>
          <w:color w:val="auto"/>
        </w:rPr>
        <w:t>In our Business to Business segment, we sell clay granules which are used by agricultural chemical formulators as carriers for crop protection chemicals, including herbicides, fungicides and insecticides. The increased use of genetically modified and treated seeds has reduced the need for certain crop production</w:t>
      </w:r>
    </w:p>
    <w:p>
      <w:pPr>
        <w:sectPr>
          <w:pgSz w:w="11900" w:h="16966" w:orient="portrait"/>
          <w:cols w:equalWidth="0" w:num="1">
            <w:col w:w="11420"/>
          </w:cols>
          <w:pgMar w:left="240" w:top="158" w:right="239" w:bottom="0" w:gutter="0" w:footer="0" w:header="0"/>
        </w:sectPr>
      </w:pPr>
    </w:p>
    <w:bookmarkStart w:id="8" w:name="page9"/>
    <w:bookmarkEnd w:id="8"/>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chemicals (and the carriers for those chemicals) in the past and may continue to do so in the future. Demand for these products could also be adversely affected by increased consumer acceptance of genetically modified products, as well as governmental policies, laws and regulations that affect the development, manufacture and distribution of those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52"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We are subject to a variety of federal, state, local and foreign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protection, reclamation and restoration of mining properties after mining is completed, the discharge of materials into the environment, and the effects that mining has on groundwater quality and availability. We believe we have obtained all material permits and licenses required to conduct our present operations. We will, however, need additional permits and renewals of permits in the future.</w:t>
      </w:r>
    </w:p>
    <w:p>
      <w:pPr>
        <w:spacing w:after="0" w:line="197"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color w:val="auto"/>
        </w:rPr>
        <w:t>The expense, liabilities and requirements associated with environmental, health and safety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deposits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could increase those costs or limit our ability to produce and sell our products.</w:t>
      </w:r>
    </w:p>
    <w:p>
      <w:pPr>
        <w:spacing w:after="0" w:line="213"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many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Particularly in Europe but also in the United States, there is also increasing government regulation of the food chain and products entering or affecting the food chain.</w:t>
      </w:r>
    </w:p>
    <w:p>
      <w:pPr>
        <w:spacing w:after="0" w:line="199"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authorizations in the future.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substantially all of our supply of sorbent minerals.</w:t>
      </w:r>
    </w:p>
    <w:p>
      <w:pPr>
        <w:spacing w:after="0" w:line="252"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Our principal raw materials, the sorbent minerals commonly known as fuller’s earth, are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heavy rains and flooding, equipment failures and other unexpected maintenance problems, variations in the amount of rock and soil overlying deposits,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52" w:lineRule="exact"/>
        <w:rPr>
          <w:sz w:val="20"/>
          <w:szCs w:val="20"/>
          <w:color w:val="auto"/>
        </w:rPr>
      </w:pPr>
    </w:p>
    <w:p>
      <w:pPr>
        <w:jc w:val="both"/>
        <w:ind w:firstLine="316"/>
        <w:spacing w:after="0" w:line="291"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we cannot provide assurances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52" w:lineRule="exact"/>
        <w:rPr>
          <w:sz w:val="20"/>
          <w:szCs w:val="20"/>
          <w:color w:val="auto"/>
        </w:rPr>
      </w:pPr>
    </w:p>
    <w:p>
      <w:pPr>
        <w:jc w:val="both"/>
        <w:ind w:right="20" w:firstLine="330"/>
        <w:spacing w:after="0" w:line="332" w:lineRule="auto"/>
        <w:rPr>
          <w:sz w:val="20"/>
          <w:szCs w:val="20"/>
          <w:color w:val="auto"/>
        </w:rPr>
      </w:pPr>
      <w:r>
        <w:rPr>
          <w:rFonts w:ascii="Arial" w:cs="Arial" w:eastAsia="Arial" w:hAnsi="Arial"/>
          <w:sz w:val="16"/>
          <w:szCs w:val="16"/>
          <w:color w:val="auto"/>
        </w:rPr>
        <w:t>We derived approximately 18% of our net sales from sales outside of the United States in the fiscal year ended July 31, 2006. Our ability to sell our products and conduct our operations outside of the United States is subject to a number of risks. Local economic, political and labor conditions in each country could</w:t>
      </w:r>
    </w:p>
    <w:p>
      <w:pPr>
        <w:sectPr>
          <w:pgSz w:w="11900" w:h="16858" w:orient="portrait"/>
          <w:cols w:equalWidth="0" w:num="1">
            <w:col w:w="11420"/>
          </w:cols>
          <w:pgMar w:left="240" w:top="131" w:right="239" w:bottom="0" w:gutter="0" w:footer="0" w:header="0"/>
        </w:sectPr>
      </w:pPr>
    </w:p>
    <w:bookmarkStart w:id="9" w:name="page10"/>
    <w:bookmarkEnd w:id="9"/>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adversely affect demand for our products or disrupt our operations in these markets, particularly when local political and economic conditions are unstable. In addition, international sales and operations are subject to currency exchange fluctuations, fund transfer restrictions and import/export duties. Any of these matters could result in sudden, and potentially prolonged, changes in demand for our products. Also, we may have difficulty enforcing agreements and collecting accounts receivable through a foreign country’s legal system.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are costly and create adverse publicity.</w:t>
      </w:r>
    </w:p>
    <w:p>
      <w:pPr>
        <w:spacing w:after="0" w:line="252" w:lineRule="exact"/>
        <w:rPr>
          <w:sz w:val="20"/>
          <w:szCs w:val="20"/>
          <w:color w:val="auto"/>
        </w:rPr>
      </w:pPr>
    </w:p>
    <w:p>
      <w:pPr>
        <w:jc w:val="both"/>
        <w:ind w:firstLine="364"/>
        <w:spacing w:after="0" w:line="298" w:lineRule="auto"/>
        <w:rPr>
          <w:sz w:val="20"/>
          <w:szCs w:val="20"/>
          <w:color w:val="auto"/>
        </w:rPr>
      </w:pPr>
      <w:r>
        <w:rPr>
          <w:rFonts w:ascii="Arial" w:cs="Arial" w:eastAsia="Arial" w:hAnsi="Arial"/>
          <w:sz w:val="16"/>
          <w:szCs w:val="16"/>
          <w:color w:val="auto"/>
        </w:rPr>
        <w:t>If any of the products that we sell cause harm to any of our customers or to consumers, we could be exposed to product liability lawsuits. If we are found liable under product liability claims, we could be required to pay substantial monetary damages. Further, even if we successfully defend ourselves against this type of claim, we could be forced to spend a substantial amount of money in litigation expenses, our management could be required to spend valuable time in the defense against these claims and our reputation could suffer, any of which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achieve and maintain effective internal controls could have a material adverse effect on our business, operating results and stock price.</w:t>
      </w:r>
    </w:p>
    <w:p>
      <w:pPr>
        <w:spacing w:after="0" w:line="275" w:lineRule="exact"/>
        <w:rPr>
          <w:sz w:val="20"/>
          <w:szCs w:val="20"/>
          <w:color w:val="auto"/>
        </w:rPr>
      </w:pPr>
    </w:p>
    <w:p>
      <w:pPr>
        <w:jc w:val="both"/>
        <w:ind w:firstLine="332"/>
        <w:spacing w:after="0" w:line="287" w:lineRule="auto"/>
        <w:rPr>
          <w:sz w:val="20"/>
          <w:szCs w:val="20"/>
          <w:color w:val="auto"/>
        </w:rPr>
      </w:pPr>
      <w:r>
        <w:rPr>
          <w:rFonts w:ascii="Arial" w:cs="Arial" w:eastAsia="Arial" w:hAnsi="Arial"/>
          <w:sz w:val="16"/>
          <w:szCs w:val="16"/>
          <w:color w:val="auto"/>
        </w:rPr>
        <w:t>We were not required by Section 404 of the Sarbanes-Oxley Act of 2002 and related SEC rules and regulations to perform an evaluation of the effectiveness of our internal control over financial reporting as of July 31, 2006. We are in the process of documenting and testing our internal control procedures in order to satisfy the upcoming requirements of Section 404 of the Sarbanes-Oxley Act, which requires an annual management assessment of the design and effectiveness of our internal controls over financial reporting and a report by our independent registered public accounting firm addressing this assessment. Depending on our market capitalization on January 31, 2007, we could be required to comply with Section 404 of the Sarbanes-Oxley Act as early as for our fiscal year ended July 31, 2007.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of control in our company.</w:t>
      </w:r>
    </w:p>
    <w:p>
      <w:pPr>
        <w:spacing w:after="0" w:line="213" w:lineRule="exact"/>
        <w:rPr>
          <w:sz w:val="20"/>
          <w:szCs w:val="20"/>
          <w:color w:val="auto"/>
        </w:rPr>
      </w:pPr>
    </w:p>
    <w:p>
      <w:pPr>
        <w:jc w:val="both"/>
        <w:ind w:firstLine="332"/>
        <w:spacing w:after="0" w:line="287" w:lineRule="auto"/>
        <w:rPr>
          <w:sz w:val="20"/>
          <w:szCs w:val="20"/>
          <w:color w:val="auto"/>
        </w:rPr>
      </w:pPr>
      <w:r>
        <w:rPr>
          <w:rFonts w:ascii="Arial" w:cs="Arial" w:eastAsia="Arial" w:hAnsi="Arial"/>
          <w:sz w:val="16"/>
          <w:szCs w:val="16"/>
          <w:color w:val="auto"/>
        </w:rPr>
        <w:t>Under our Certificate of Incorporation, the holders of our Common Stock are entitled to one vote per share and the holders of our Class B Stock are entitled to 10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the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rules and, as a result, qualify for, and intend to rely on, exemptions from certain corporate governance requirements.</w:t>
      </w:r>
    </w:p>
    <w:p>
      <w:pPr>
        <w:spacing w:after="0" w:line="213" w:lineRule="exact"/>
        <w:rPr>
          <w:sz w:val="20"/>
          <w:szCs w:val="20"/>
          <w:color w:val="auto"/>
        </w:rPr>
      </w:pPr>
    </w:p>
    <w:p>
      <w:pPr>
        <w:jc w:val="both"/>
        <w:ind w:firstLine="314"/>
        <w:spacing w:after="0" w:line="268"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that a majority of the board of directors consists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40"/>
        <w:spacing w:after="0" w:line="281" w:lineRule="auto"/>
        <w:rPr>
          <w:sz w:val="20"/>
          <w:szCs w:val="20"/>
          <w:color w:val="auto"/>
        </w:rPr>
      </w:pPr>
      <w:r>
        <w:rPr>
          <w:rFonts w:ascii="Arial" w:cs="Arial" w:eastAsia="Arial" w:hAnsi="Arial"/>
          <w:sz w:val="18"/>
          <w:szCs w:val="18"/>
          <w:color w:val="auto"/>
        </w:rPr>
        <w:t>that we have a nominating and governance committee, and that this committee be composed entirely of independent directors and governed by a written charter addressing the committee’s purpose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80"/>
        <w:spacing w:after="0" w:line="281" w:lineRule="auto"/>
        <w:rPr>
          <w:sz w:val="20"/>
          <w:szCs w:val="20"/>
          <w:color w:val="auto"/>
        </w:rPr>
      </w:pPr>
      <w:r>
        <w:rPr>
          <w:rFonts w:ascii="Arial" w:cs="Arial" w:eastAsia="Arial" w:hAnsi="Arial"/>
          <w:sz w:val="18"/>
          <w:szCs w:val="18"/>
          <w:color w:val="auto"/>
        </w:rPr>
        <w:t>that we have a compensation committee composed entirely of independent directors with a written charter addressing the committee’s purpose and responsibilities;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52" w:lineRule="exact"/>
        <w:rPr>
          <w:sz w:val="20"/>
          <w:szCs w:val="20"/>
          <w:color w:val="auto"/>
        </w:rPr>
      </w:pPr>
    </w:p>
    <w:p>
      <w:pPr>
        <w:ind w:firstLine="349"/>
        <w:spacing w:after="0" w:line="268"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213" w:lineRule="exact"/>
        <w:rPr>
          <w:sz w:val="20"/>
          <w:szCs w:val="20"/>
          <w:color w:val="auto"/>
        </w:rPr>
      </w:pPr>
    </w:p>
    <w:p>
      <w:pPr>
        <w:ind w:left="540" w:right="4640"/>
        <w:spacing w:after="0" w:line="317" w:lineRule="auto"/>
        <w:rPr>
          <w:sz w:val="20"/>
          <w:szCs w:val="20"/>
          <w:color w:val="auto"/>
        </w:rPr>
      </w:pPr>
      <w:r>
        <w:rPr>
          <w:rFonts w:ascii="Arial" w:cs="Arial" w:eastAsia="Arial" w:hAnsi="Arial"/>
          <w:sz w:val="16"/>
          <w:szCs w:val="16"/>
          <w:color w:val="auto"/>
        </w:rPr>
        <w:t>fluctuations in our quarterly operating results or the operating results of our competitors; changes in general conditions in the economy, the financial markets, or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-272415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-118110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500"/>
        <w:spacing w:after="0" w:line="299" w:lineRule="auto"/>
        <w:rPr>
          <w:sz w:val="20"/>
          <w:szCs w:val="20"/>
          <w:color w:val="auto"/>
        </w:rPr>
      </w:pPr>
      <w:r>
        <w:rPr>
          <w:rFonts w:ascii="Arial" w:cs="Arial" w:eastAsia="Arial" w:hAnsi="Arial"/>
          <w:sz w:val="18"/>
          <w:szCs w:val="18"/>
          <w:color w:val="auto"/>
        </w:rPr>
        <w:t>announcements of significant acquisitions, strategic alliances or joint ventures by us, our customers or our competitors; introduction of new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-137160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65" w:orient="portrait"/>
          <w:cols w:equalWidth="0" w:num="1">
            <w:col w:w="11420"/>
          </w:cols>
          <w:pgMar w:left="240" w:top="131" w:right="239" w:bottom="0" w:gutter="0" w:footer="0" w:header="0"/>
        </w:sectPr>
      </w:pPr>
    </w:p>
    <w:bookmarkStart w:id="10" w:name="page11"/>
    <w:bookmarkEnd w:id="10"/>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increases in the price of energy sources and other raw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developments affecting us, our industry, customers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52"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0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9"/>
        </w:trPr>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80" w:type="dxa"/>
            <w:vAlign w:val="bottom"/>
            <w:gridSpan w:val="4"/>
          </w:tcPr>
          <w:p>
            <w:pPr>
              <w:jc w:val="right"/>
              <w:ind w:right="934"/>
              <w:spacing w:after="0"/>
              <w:rPr>
                <w:sz w:val="20"/>
                <w:szCs w:val="20"/>
                <w:color w:val="auto"/>
              </w:rPr>
            </w:pPr>
            <w:r>
              <w:rPr>
                <w:rFonts w:ascii="Arial" w:cs="Arial" w:eastAsia="Arial" w:hAnsi="Arial"/>
                <w:sz w:val="18"/>
                <w:szCs w:val="18"/>
                <w:b w:val="1"/>
                <w:bCs w:val="1"/>
                <w:color w:val="auto"/>
              </w:rPr>
              <w:t>Real Property Holdings and Mineral Reserves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6"/>
        </w:trPr>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Land</w:t>
            </w:r>
          </w:p>
        </w:tc>
        <w:tc>
          <w:tcPr>
            <w:tcW w:w="1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Estimated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Estimated</w:t>
            </w:r>
          </w:p>
        </w:tc>
        <w:tc>
          <w:tcPr>
            <w:tcW w:w="1420" w:type="dxa"/>
            <w:vAlign w:val="bottom"/>
          </w:tcPr>
          <w:p>
            <w:pPr>
              <w:spacing w:after="0"/>
              <w:rPr>
                <w:sz w:val="24"/>
                <w:szCs w:val="24"/>
                <w:color w:val="auto"/>
              </w:rPr>
            </w:pPr>
          </w:p>
        </w:tc>
      </w:tr>
      <w:tr>
        <w:trPr>
          <w:trHeight w:val="243"/>
        </w:trPr>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center"/>
              <w:ind w:right="274"/>
              <w:spacing w:after="0"/>
              <w:rPr>
                <w:sz w:val="20"/>
                <w:szCs w:val="20"/>
                <w:color w:val="auto"/>
              </w:rPr>
            </w:pPr>
            <w:r>
              <w:rPr>
                <w:rFonts w:ascii="Arial" w:cs="Arial" w:eastAsia="Arial" w:hAnsi="Arial"/>
                <w:sz w:val="18"/>
                <w:szCs w:val="18"/>
                <w:b w:val="1"/>
                <w:bCs w:val="1"/>
                <w:color w:val="auto"/>
                <w:w w:val="97"/>
              </w:rPr>
              <w:t>Land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Land</w:t>
            </w:r>
          </w:p>
        </w:tc>
        <w:tc>
          <w:tcPr>
            <w:tcW w:w="1500" w:type="dxa"/>
            <w:vAlign w:val="bottom"/>
          </w:tcPr>
          <w:p>
            <w:pPr>
              <w:jc w:val="center"/>
              <w:ind w:right="14"/>
              <w:spacing w:after="0"/>
              <w:rPr>
                <w:sz w:val="20"/>
                <w:szCs w:val="20"/>
                <w:color w:val="auto"/>
              </w:rPr>
            </w:pPr>
            <w:r>
              <w:rPr>
                <w:rFonts w:ascii="Arial" w:cs="Arial" w:eastAsia="Arial" w:hAnsi="Arial"/>
                <w:sz w:val="18"/>
                <w:szCs w:val="18"/>
                <w:b w:val="1"/>
                <w:bCs w:val="1"/>
                <w:color w:val="auto"/>
                <w:w w:val="96"/>
              </w:rPr>
              <w:t>Unpatented</w:t>
            </w:r>
          </w:p>
        </w:tc>
        <w:tc>
          <w:tcPr>
            <w:tcW w:w="11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proven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probable</w:t>
            </w:r>
          </w:p>
        </w:tc>
        <w:tc>
          <w:tcPr>
            <w:tcW w:w="142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center"/>
              <w:ind w:right="274"/>
              <w:spacing w:after="0"/>
              <w:rPr>
                <w:sz w:val="20"/>
                <w:szCs w:val="20"/>
                <w:color w:val="auto"/>
              </w:rPr>
            </w:pPr>
            <w:r>
              <w:rPr>
                <w:rFonts w:ascii="Arial" w:cs="Arial" w:eastAsia="Arial" w:hAnsi="Arial"/>
                <w:sz w:val="18"/>
                <w:szCs w:val="18"/>
                <w:b w:val="1"/>
                <w:bCs w:val="1"/>
                <w:color w:val="auto"/>
                <w:w w:val="96"/>
              </w:rPr>
              <w:t>Owned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Leased</w:t>
            </w:r>
          </w:p>
        </w:tc>
        <w:tc>
          <w:tcPr>
            <w:tcW w:w="1500" w:type="dxa"/>
            <w:vAlign w:val="bottom"/>
          </w:tcPr>
          <w:p>
            <w:pPr>
              <w:jc w:val="center"/>
              <w:ind w:right="14"/>
              <w:spacing w:after="0"/>
              <w:rPr>
                <w:sz w:val="20"/>
                <w:szCs w:val="20"/>
                <w:color w:val="auto"/>
              </w:rPr>
            </w:pPr>
            <w:r>
              <w:rPr>
                <w:rFonts w:ascii="Arial" w:cs="Arial" w:eastAsia="Arial" w:hAnsi="Arial"/>
                <w:sz w:val="18"/>
                <w:szCs w:val="18"/>
                <w:b w:val="1"/>
                <w:bCs w:val="1"/>
                <w:color w:val="auto"/>
                <w:w w:val="99"/>
              </w:rPr>
              <w:t>claims</w:t>
            </w:r>
          </w:p>
        </w:tc>
        <w:tc>
          <w:tcPr>
            <w:tcW w:w="1160" w:type="dxa"/>
            <w:vAlign w:val="bottom"/>
          </w:tcPr>
          <w:p>
            <w:pPr>
              <w:jc w:val="right"/>
              <w:ind w:right="354"/>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9"/>
              </w:rPr>
              <w:t>reserves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reserves</w:t>
            </w:r>
          </w:p>
        </w:tc>
        <w:tc>
          <w:tcPr>
            <w:tcW w:w="1420" w:type="dxa"/>
            <w:vAlign w:val="bottom"/>
          </w:tcPr>
          <w:p>
            <w:pPr>
              <w:jc w:val="right"/>
              <w:ind w:right="454"/>
              <w:spacing w:after="0"/>
              <w:rPr>
                <w:sz w:val="20"/>
                <w:szCs w:val="20"/>
                <w:color w:val="auto"/>
              </w:rPr>
            </w:pPr>
            <w:r>
              <w:rPr>
                <w:rFonts w:ascii="Arial" w:cs="Arial" w:eastAsia="Arial" w:hAnsi="Arial"/>
                <w:sz w:val="18"/>
                <w:szCs w:val="18"/>
                <w:b w:val="1"/>
                <w:bCs w:val="1"/>
                <w:color w:val="auto"/>
              </w:rPr>
              <w:t>Total</w:t>
            </w:r>
          </w:p>
        </w:tc>
      </w:tr>
      <w:tr>
        <w:trPr>
          <w:trHeight w:val="232"/>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(acres)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(acres)</w:t>
            </w:r>
          </w:p>
        </w:tc>
        <w:tc>
          <w:tcPr>
            <w:tcW w:w="150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(acres)</w:t>
            </w:r>
          </w:p>
        </w:tc>
        <w:tc>
          <w:tcPr>
            <w:tcW w:w="1160" w:type="dxa"/>
            <w:vAlign w:val="bottom"/>
          </w:tcPr>
          <w:p>
            <w:pPr>
              <w:jc w:val="right"/>
              <w:ind w:right="314"/>
              <w:spacing w:after="0"/>
              <w:rPr>
                <w:sz w:val="20"/>
                <w:szCs w:val="20"/>
                <w:color w:val="auto"/>
              </w:rPr>
            </w:pPr>
            <w:r>
              <w:rPr>
                <w:rFonts w:ascii="Arial" w:cs="Arial" w:eastAsia="Arial" w:hAnsi="Arial"/>
                <w:sz w:val="14"/>
                <w:szCs w:val="14"/>
                <w:b w:val="1"/>
                <w:bCs w:val="1"/>
                <w:color w:val="auto"/>
              </w:rPr>
              <w:t>(acres)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(000s of tons)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(000s of tons)</w:t>
            </w:r>
          </w:p>
        </w:tc>
        <w:tc>
          <w:tcPr>
            <w:tcW w:w="1420" w:type="dxa"/>
            <w:vAlign w:val="bottom"/>
          </w:tcPr>
          <w:p>
            <w:pPr>
              <w:jc w:val="right"/>
              <w:ind w:right="194"/>
              <w:spacing w:after="0"/>
              <w:rPr>
                <w:sz w:val="20"/>
                <w:szCs w:val="20"/>
                <w:color w:val="auto"/>
              </w:rPr>
            </w:pPr>
            <w:r>
              <w:rPr>
                <w:rFonts w:ascii="Arial" w:cs="Arial" w:eastAsia="Arial" w:hAnsi="Arial"/>
                <w:sz w:val="14"/>
                <w:szCs w:val="14"/>
                <w:b w:val="1"/>
                <w:bCs w:val="1"/>
                <w:color w:val="auto"/>
              </w:rPr>
              <w:t>(000s of tons)</w:t>
            </w:r>
          </w:p>
        </w:tc>
      </w:tr>
      <w:tr>
        <w:trPr>
          <w:trHeight w:val="243"/>
        </w:trPr>
        <w:tc>
          <w:tcPr>
            <w:tcW w:w="20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California</w:t>
            </w:r>
          </w:p>
        </w:tc>
        <w:tc>
          <w:tcPr>
            <w:tcW w:w="1140" w:type="dxa"/>
            <w:vAlign w:val="bottom"/>
            <w:shd w:val="clear" w:color="auto" w:fill="C0C0C0"/>
          </w:tcPr>
          <w:p>
            <w:pPr>
              <w:jc w:val="right"/>
              <w:ind w:right="214"/>
              <w:spacing w:after="0"/>
              <w:rPr>
                <w:sz w:val="20"/>
                <w:szCs w:val="20"/>
                <w:color w:val="auto"/>
              </w:rPr>
            </w:pPr>
            <w:r>
              <w:rPr>
                <w:rFonts w:ascii="Arial" w:cs="Arial" w:eastAsia="Arial" w:hAnsi="Arial"/>
                <w:sz w:val="18"/>
                <w:szCs w:val="18"/>
                <w:color w:val="auto"/>
              </w:rPr>
              <w:t>795</w:t>
            </w:r>
          </w:p>
        </w:tc>
        <w:tc>
          <w:tcPr>
            <w:tcW w:w="1300" w:type="dxa"/>
            <w:vAlign w:val="bottom"/>
            <w:shd w:val="clear" w:color="auto" w:fill="C0C0C0"/>
          </w:tcPr>
          <w:p>
            <w:pPr>
              <w:jc w:val="right"/>
              <w:ind w:right="134"/>
              <w:spacing w:after="0"/>
              <w:rPr>
                <w:sz w:val="20"/>
                <w:szCs w:val="20"/>
                <w:color w:val="auto"/>
              </w:rPr>
            </w:pPr>
            <w:r>
              <w:rPr>
                <w:rFonts w:ascii="Arial" w:cs="Arial" w:eastAsia="Arial" w:hAnsi="Arial"/>
                <w:sz w:val="18"/>
                <w:szCs w:val="18"/>
                <w:color w:val="auto"/>
              </w:rPr>
              <w:t>--</w:t>
            </w:r>
          </w:p>
        </w:tc>
        <w:tc>
          <w:tcPr>
            <w:tcW w:w="1500" w:type="dxa"/>
            <w:vAlign w:val="bottom"/>
            <w:shd w:val="clear" w:color="auto" w:fill="C0C0C0"/>
          </w:tcPr>
          <w:p>
            <w:pPr>
              <w:jc w:val="right"/>
              <w:ind w:right="394"/>
              <w:spacing w:after="0"/>
              <w:rPr>
                <w:sz w:val="20"/>
                <w:szCs w:val="20"/>
                <w:color w:val="auto"/>
              </w:rPr>
            </w:pPr>
            <w:r>
              <w:rPr>
                <w:rFonts w:ascii="Arial" w:cs="Arial" w:eastAsia="Arial" w:hAnsi="Arial"/>
                <w:sz w:val="18"/>
                <w:szCs w:val="18"/>
                <w:color w:val="auto"/>
              </w:rPr>
              <w:t>1,030</w:t>
            </w:r>
          </w:p>
        </w:tc>
        <w:tc>
          <w:tcPr>
            <w:tcW w:w="1160" w:type="dxa"/>
            <w:vAlign w:val="bottom"/>
            <w:shd w:val="clear" w:color="auto" w:fill="C0C0C0"/>
          </w:tcPr>
          <w:p>
            <w:pPr>
              <w:jc w:val="right"/>
              <w:ind w:right="154"/>
              <w:spacing w:after="0"/>
              <w:rPr>
                <w:sz w:val="20"/>
                <w:szCs w:val="20"/>
                <w:color w:val="auto"/>
              </w:rPr>
            </w:pPr>
            <w:r>
              <w:rPr>
                <w:rFonts w:ascii="Arial" w:cs="Arial" w:eastAsia="Arial" w:hAnsi="Arial"/>
                <w:sz w:val="18"/>
                <w:szCs w:val="18"/>
                <w:color w:val="auto"/>
              </w:rPr>
              <w:t>1,825</w:t>
            </w:r>
          </w:p>
        </w:tc>
        <w:tc>
          <w:tcPr>
            <w:tcW w:w="142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5,589</w:t>
            </w:r>
          </w:p>
        </w:tc>
        <w:tc>
          <w:tcPr>
            <w:tcW w:w="1480" w:type="dxa"/>
            <w:vAlign w:val="bottom"/>
            <w:shd w:val="clear" w:color="auto" w:fill="C0C0C0"/>
          </w:tcPr>
          <w:p>
            <w:pPr>
              <w:jc w:val="right"/>
              <w:ind w:right="174"/>
              <w:spacing w:after="0"/>
              <w:rPr>
                <w:sz w:val="20"/>
                <w:szCs w:val="20"/>
                <w:color w:val="auto"/>
              </w:rPr>
            </w:pPr>
            <w:r>
              <w:rPr>
                <w:rFonts w:ascii="Arial" w:cs="Arial" w:eastAsia="Arial" w:hAnsi="Arial"/>
                <w:sz w:val="18"/>
                <w:szCs w:val="18"/>
                <w:color w:val="auto"/>
              </w:rPr>
              <w:t>11,226</w:t>
            </w:r>
          </w:p>
        </w:tc>
        <w:tc>
          <w:tcPr>
            <w:tcW w:w="142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16,815</w:t>
            </w:r>
          </w:p>
        </w:tc>
      </w:tr>
      <w:tr>
        <w:trPr>
          <w:trHeight w:val="203"/>
        </w:trPr>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Georgia</w:t>
            </w:r>
          </w:p>
        </w:tc>
        <w:tc>
          <w:tcPr>
            <w:tcW w:w="11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2,163</w:t>
            </w:r>
          </w:p>
        </w:tc>
        <w:tc>
          <w:tcPr>
            <w:tcW w:w="13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2,005</w:t>
            </w:r>
          </w:p>
        </w:tc>
        <w:tc>
          <w:tcPr>
            <w:tcW w:w="150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4,168</w:t>
            </w:r>
          </w:p>
        </w:tc>
        <w:tc>
          <w:tcPr>
            <w:tcW w:w="14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31,618</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14,875</w:t>
            </w:r>
          </w:p>
        </w:tc>
        <w:tc>
          <w:tcPr>
            <w:tcW w:w="14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46,493</w:t>
            </w:r>
          </w:p>
        </w:tc>
      </w:tr>
      <w:tr>
        <w:trPr>
          <w:trHeight w:val="243"/>
        </w:trPr>
        <w:tc>
          <w:tcPr>
            <w:tcW w:w="20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Illinois</w:t>
            </w:r>
          </w:p>
        </w:tc>
        <w:tc>
          <w:tcPr>
            <w:tcW w:w="1140" w:type="dxa"/>
            <w:vAlign w:val="bottom"/>
            <w:shd w:val="clear" w:color="auto" w:fill="C0C0C0"/>
          </w:tcPr>
          <w:p>
            <w:pPr>
              <w:jc w:val="right"/>
              <w:ind w:right="214"/>
              <w:spacing w:after="0"/>
              <w:rPr>
                <w:sz w:val="20"/>
                <w:szCs w:val="20"/>
                <w:color w:val="auto"/>
              </w:rPr>
            </w:pPr>
            <w:r>
              <w:rPr>
                <w:rFonts w:ascii="Arial" w:cs="Arial" w:eastAsia="Arial" w:hAnsi="Arial"/>
                <w:sz w:val="18"/>
                <w:szCs w:val="18"/>
                <w:color w:val="auto"/>
              </w:rPr>
              <w:t>82</w:t>
            </w:r>
          </w:p>
        </w:tc>
        <w:tc>
          <w:tcPr>
            <w:tcW w:w="1300" w:type="dxa"/>
            <w:vAlign w:val="bottom"/>
            <w:shd w:val="clear" w:color="auto" w:fill="C0C0C0"/>
          </w:tcPr>
          <w:p>
            <w:pPr>
              <w:jc w:val="right"/>
              <w:ind w:right="134"/>
              <w:spacing w:after="0"/>
              <w:rPr>
                <w:sz w:val="20"/>
                <w:szCs w:val="20"/>
                <w:color w:val="auto"/>
              </w:rPr>
            </w:pPr>
            <w:r>
              <w:rPr>
                <w:rFonts w:ascii="Arial" w:cs="Arial" w:eastAsia="Arial" w:hAnsi="Arial"/>
                <w:sz w:val="18"/>
                <w:szCs w:val="18"/>
                <w:color w:val="auto"/>
              </w:rPr>
              <w:t>598</w:t>
            </w:r>
          </w:p>
        </w:tc>
        <w:tc>
          <w:tcPr>
            <w:tcW w:w="1500" w:type="dxa"/>
            <w:vAlign w:val="bottom"/>
            <w:shd w:val="clear" w:color="auto" w:fill="C0C0C0"/>
          </w:tcPr>
          <w:p>
            <w:pPr>
              <w:jc w:val="right"/>
              <w:ind w:right="39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54"/>
              <w:spacing w:after="0"/>
              <w:rPr>
                <w:sz w:val="20"/>
                <w:szCs w:val="20"/>
                <w:color w:val="auto"/>
              </w:rPr>
            </w:pPr>
            <w:r>
              <w:rPr>
                <w:rFonts w:ascii="Arial" w:cs="Arial" w:eastAsia="Arial" w:hAnsi="Arial"/>
                <w:sz w:val="18"/>
                <w:szCs w:val="18"/>
                <w:color w:val="auto"/>
              </w:rPr>
              <w:t>680</w:t>
            </w:r>
          </w:p>
        </w:tc>
        <w:tc>
          <w:tcPr>
            <w:tcW w:w="142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7,694</w:t>
            </w:r>
          </w:p>
        </w:tc>
        <w:tc>
          <w:tcPr>
            <w:tcW w:w="1480" w:type="dxa"/>
            <w:vAlign w:val="bottom"/>
            <w:shd w:val="clear" w:color="auto" w:fill="C0C0C0"/>
          </w:tcPr>
          <w:p>
            <w:pPr>
              <w:jc w:val="right"/>
              <w:ind w:right="174"/>
              <w:spacing w:after="0"/>
              <w:rPr>
                <w:sz w:val="20"/>
                <w:szCs w:val="20"/>
                <w:color w:val="auto"/>
              </w:rPr>
            </w:pPr>
            <w:r>
              <w:rPr>
                <w:rFonts w:ascii="Arial" w:cs="Arial" w:eastAsia="Arial" w:hAnsi="Arial"/>
                <w:sz w:val="18"/>
                <w:szCs w:val="18"/>
                <w:color w:val="auto"/>
              </w:rPr>
              <w:t>5,132</w:t>
            </w:r>
          </w:p>
        </w:tc>
        <w:tc>
          <w:tcPr>
            <w:tcW w:w="142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12,826</w:t>
            </w:r>
          </w:p>
        </w:tc>
      </w:tr>
      <w:tr>
        <w:trPr>
          <w:trHeight w:val="203"/>
        </w:trPr>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Mississippi</w:t>
            </w:r>
          </w:p>
        </w:tc>
        <w:tc>
          <w:tcPr>
            <w:tcW w:w="11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2,182</w:t>
            </w:r>
          </w:p>
        </w:tc>
        <w:tc>
          <w:tcPr>
            <w:tcW w:w="13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978</w:t>
            </w:r>
          </w:p>
        </w:tc>
        <w:tc>
          <w:tcPr>
            <w:tcW w:w="150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3,160</w:t>
            </w:r>
          </w:p>
        </w:tc>
        <w:tc>
          <w:tcPr>
            <w:tcW w:w="14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111,062</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114,867</w:t>
            </w:r>
          </w:p>
        </w:tc>
        <w:tc>
          <w:tcPr>
            <w:tcW w:w="14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225,929</w:t>
            </w:r>
          </w:p>
        </w:tc>
      </w:tr>
      <w:tr>
        <w:trPr>
          <w:trHeight w:val="203"/>
        </w:trPr>
        <w:tc>
          <w:tcPr>
            <w:tcW w:w="2000" w:type="dxa"/>
            <w:vAlign w:val="bottom"/>
            <w:gridSpan w:val="2"/>
            <w:shd w:val="clear" w:color="auto" w:fill="C0C0C0"/>
          </w:tcPr>
          <w:p>
            <w:pPr>
              <w:spacing w:after="0" w:line="202" w:lineRule="exact"/>
              <w:rPr>
                <w:sz w:val="20"/>
                <w:szCs w:val="20"/>
                <w:color w:val="auto"/>
              </w:rPr>
            </w:pPr>
            <w:r>
              <w:rPr>
                <w:rFonts w:ascii="Arial" w:cs="Arial" w:eastAsia="Arial" w:hAnsi="Arial"/>
                <w:sz w:val="18"/>
                <w:szCs w:val="18"/>
                <w:color w:val="auto"/>
              </w:rPr>
              <w:t>Nevada</w:t>
            </w:r>
          </w:p>
        </w:tc>
        <w:tc>
          <w:tcPr>
            <w:tcW w:w="1140" w:type="dxa"/>
            <w:vAlign w:val="bottom"/>
            <w:shd w:val="clear" w:color="auto" w:fill="C0C0C0"/>
          </w:tcPr>
          <w:p>
            <w:pPr>
              <w:jc w:val="right"/>
              <w:ind w:right="214"/>
              <w:spacing w:after="0" w:line="202" w:lineRule="exact"/>
              <w:rPr>
                <w:sz w:val="20"/>
                <w:szCs w:val="20"/>
                <w:color w:val="auto"/>
              </w:rPr>
            </w:pPr>
            <w:r>
              <w:rPr>
                <w:rFonts w:ascii="Arial" w:cs="Arial" w:eastAsia="Arial" w:hAnsi="Arial"/>
                <w:sz w:val="18"/>
                <w:szCs w:val="18"/>
                <w:color w:val="auto"/>
              </w:rPr>
              <w:t>535</w:t>
            </w:r>
          </w:p>
        </w:tc>
        <w:tc>
          <w:tcPr>
            <w:tcW w:w="1300" w:type="dxa"/>
            <w:vAlign w:val="bottom"/>
            <w:shd w:val="clear" w:color="auto" w:fill="C0C0C0"/>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0C0C0"/>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54"/>
              <w:spacing w:after="0" w:line="202" w:lineRule="exact"/>
              <w:rPr>
                <w:sz w:val="20"/>
                <w:szCs w:val="20"/>
                <w:color w:val="auto"/>
              </w:rPr>
            </w:pPr>
            <w:r>
              <w:rPr>
                <w:rFonts w:ascii="Arial" w:cs="Arial" w:eastAsia="Arial" w:hAnsi="Arial"/>
                <w:sz w:val="18"/>
                <w:szCs w:val="18"/>
                <w:color w:val="auto"/>
              </w:rPr>
              <w:t>535</w:t>
            </w:r>
          </w:p>
        </w:tc>
        <w:tc>
          <w:tcPr>
            <w:tcW w:w="1420" w:type="dxa"/>
            <w:vAlign w:val="bottom"/>
            <w:shd w:val="clear" w:color="auto" w:fill="C0C0C0"/>
          </w:tcPr>
          <w:p>
            <w:pPr>
              <w:jc w:val="right"/>
              <w:ind w:right="194"/>
              <w:spacing w:after="0" w:line="202" w:lineRule="exact"/>
              <w:rPr>
                <w:sz w:val="20"/>
                <w:szCs w:val="20"/>
                <w:color w:val="auto"/>
              </w:rPr>
            </w:pPr>
            <w:r>
              <w:rPr>
                <w:rFonts w:ascii="Arial" w:cs="Arial" w:eastAsia="Arial" w:hAnsi="Arial"/>
                <w:sz w:val="18"/>
                <w:szCs w:val="18"/>
                <w:color w:val="auto"/>
              </w:rPr>
              <w:t>23,316</w:t>
            </w:r>
          </w:p>
        </w:tc>
        <w:tc>
          <w:tcPr>
            <w:tcW w:w="1480" w:type="dxa"/>
            <w:vAlign w:val="bottom"/>
            <w:shd w:val="clear" w:color="auto" w:fill="C0C0C0"/>
          </w:tcPr>
          <w:p>
            <w:pPr>
              <w:jc w:val="right"/>
              <w:ind w:right="174"/>
              <w:spacing w:after="0" w:line="202" w:lineRule="exact"/>
              <w:rPr>
                <w:sz w:val="20"/>
                <w:szCs w:val="20"/>
                <w:color w:val="auto"/>
              </w:rPr>
            </w:pPr>
            <w:r>
              <w:rPr>
                <w:rFonts w:ascii="Arial" w:cs="Arial" w:eastAsia="Arial" w:hAnsi="Arial"/>
                <w:sz w:val="18"/>
                <w:szCs w:val="18"/>
                <w:color w:val="auto"/>
              </w:rPr>
              <w:t>2,976</w:t>
            </w:r>
          </w:p>
        </w:tc>
        <w:tc>
          <w:tcPr>
            <w:tcW w:w="1420" w:type="dxa"/>
            <w:vAlign w:val="bottom"/>
            <w:shd w:val="clear" w:color="auto" w:fill="C0C0C0"/>
          </w:tcPr>
          <w:p>
            <w:pPr>
              <w:jc w:val="right"/>
              <w:ind w:right="194"/>
              <w:spacing w:after="0" w:line="202" w:lineRule="exact"/>
              <w:rPr>
                <w:sz w:val="20"/>
                <w:szCs w:val="20"/>
                <w:color w:val="auto"/>
              </w:rPr>
            </w:pPr>
            <w:r>
              <w:rPr>
                <w:rFonts w:ascii="Arial" w:cs="Arial" w:eastAsia="Arial" w:hAnsi="Arial"/>
                <w:sz w:val="18"/>
                <w:szCs w:val="18"/>
                <w:color w:val="auto"/>
              </w:rPr>
              <w:t>26,292</w:t>
            </w:r>
          </w:p>
        </w:tc>
      </w:tr>
      <w:tr>
        <w:trPr>
          <w:trHeight w:val="203"/>
        </w:trPr>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Oregon</w:t>
            </w:r>
          </w:p>
        </w:tc>
        <w:tc>
          <w:tcPr>
            <w:tcW w:w="11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360</w:t>
            </w:r>
          </w:p>
        </w:tc>
        <w:tc>
          <w:tcPr>
            <w:tcW w:w="13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360</w:t>
            </w:r>
          </w:p>
        </w:tc>
        <w:tc>
          <w:tcPr>
            <w:tcW w:w="14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45</w:t>
            </w:r>
          </w:p>
        </w:tc>
        <w:tc>
          <w:tcPr>
            <w:tcW w:w="14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45</w:t>
            </w:r>
          </w:p>
        </w:tc>
      </w:tr>
      <w:tr>
        <w:trPr>
          <w:trHeight w:val="243"/>
        </w:trPr>
        <w:tc>
          <w:tcPr>
            <w:tcW w:w="20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Tennessee</w:t>
            </w:r>
          </w:p>
        </w:tc>
        <w:tc>
          <w:tcPr>
            <w:tcW w:w="1140" w:type="dxa"/>
            <w:vAlign w:val="bottom"/>
            <w:shd w:val="clear" w:color="auto" w:fill="C0C0C0"/>
          </w:tcPr>
          <w:p>
            <w:pPr>
              <w:jc w:val="right"/>
              <w:ind w:right="214"/>
              <w:spacing w:after="0"/>
              <w:rPr>
                <w:sz w:val="20"/>
                <w:szCs w:val="20"/>
                <w:color w:val="auto"/>
              </w:rPr>
            </w:pPr>
            <w:r>
              <w:rPr>
                <w:rFonts w:ascii="Arial" w:cs="Arial" w:eastAsia="Arial" w:hAnsi="Arial"/>
                <w:sz w:val="18"/>
                <w:szCs w:val="18"/>
                <w:color w:val="auto"/>
              </w:rPr>
              <w:t>178</w:t>
            </w:r>
          </w:p>
        </w:tc>
        <w:tc>
          <w:tcPr>
            <w:tcW w:w="1300" w:type="dxa"/>
            <w:vAlign w:val="bottom"/>
            <w:shd w:val="clear" w:color="auto" w:fill="C0C0C0"/>
          </w:tcPr>
          <w:p>
            <w:pPr>
              <w:jc w:val="right"/>
              <w:ind w:right="134"/>
              <w:spacing w:after="0"/>
              <w:rPr>
                <w:sz w:val="20"/>
                <w:szCs w:val="20"/>
                <w:color w:val="auto"/>
              </w:rPr>
            </w:pPr>
            <w:r>
              <w:rPr>
                <w:rFonts w:ascii="Arial" w:cs="Arial" w:eastAsia="Arial" w:hAnsi="Arial"/>
                <w:sz w:val="18"/>
                <w:szCs w:val="18"/>
                <w:color w:val="auto"/>
              </w:rPr>
              <w:t>--</w:t>
            </w:r>
          </w:p>
        </w:tc>
        <w:tc>
          <w:tcPr>
            <w:tcW w:w="1500" w:type="dxa"/>
            <w:vAlign w:val="bottom"/>
            <w:shd w:val="clear" w:color="auto" w:fill="C0C0C0"/>
          </w:tcPr>
          <w:p>
            <w:pPr>
              <w:jc w:val="right"/>
              <w:ind w:right="39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54"/>
              <w:spacing w:after="0"/>
              <w:rPr>
                <w:sz w:val="20"/>
                <w:szCs w:val="20"/>
                <w:color w:val="auto"/>
              </w:rPr>
            </w:pPr>
            <w:r>
              <w:rPr>
                <w:rFonts w:ascii="Arial" w:cs="Arial" w:eastAsia="Arial" w:hAnsi="Arial"/>
                <w:sz w:val="18"/>
                <w:szCs w:val="18"/>
                <w:color w:val="auto"/>
              </w:rPr>
              <w:t>178</w:t>
            </w:r>
          </w:p>
        </w:tc>
        <w:tc>
          <w:tcPr>
            <w:tcW w:w="142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3,000</w:t>
            </w:r>
          </w:p>
        </w:tc>
        <w:tc>
          <w:tcPr>
            <w:tcW w:w="1480" w:type="dxa"/>
            <w:vAlign w:val="bottom"/>
            <w:shd w:val="clear" w:color="auto" w:fill="C0C0C0"/>
          </w:tcPr>
          <w:p>
            <w:pPr>
              <w:jc w:val="right"/>
              <w:ind w:right="174"/>
              <w:spacing w:after="0"/>
              <w:rPr>
                <w:sz w:val="20"/>
                <w:szCs w:val="20"/>
                <w:color w:val="auto"/>
              </w:rPr>
            </w:pPr>
            <w:r>
              <w:rPr>
                <w:rFonts w:ascii="Arial" w:cs="Arial" w:eastAsia="Arial" w:hAnsi="Arial"/>
                <w:sz w:val="18"/>
                <w:szCs w:val="18"/>
                <w:color w:val="auto"/>
              </w:rPr>
              <w:t>3,000</w:t>
            </w:r>
          </w:p>
        </w:tc>
        <w:tc>
          <w:tcPr>
            <w:tcW w:w="1420" w:type="dxa"/>
            <w:vAlign w:val="bottom"/>
            <w:shd w:val="clear" w:color="auto" w:fill="C0C0C0"/>
          </w:tcPr>
          <w:p>
            <w:pPr>
              <w:jc w:val="right"/>
              <w:ind w:right="194"/>
              <w:spacing w:after="0"/>
              <w:rPr>
                <w:sz w:val="20"/>
                <w:szCs w:val="20"/>
                <w:color w:val="auto"/>
              </w:rPr>
            </w:pPr>
            <w:r>
              <w:rPr>
                <w:rFonts w:ascii="Arial" w:cs="Arial" w:eastAsia="Arial" w:hAnsi="Arial"/>
                <w:sz w:val="18"/>
                <w:szCs w:val="18"/>
                <w:color w:val="auto"/>
              </w:rPr>
              <w:t>6,000</w:t>
            </w:r>
          </w:p>
        </w:tc>
      </w:tr>
      <w:tr>
        <w:trPr>
          <w:trHeight w:val="257"/>
        </w:trPr>
        <w:tc>
          <w:tcPr>
            <w:tcW w:w="1740" w:type="dxa"/>
            <w:vAlign w:val="bottom"/>
            <w:tcBorders>
              <w:top w:val="single" w:sz="8" w:color="C0C0C0"/>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rPr>
              <w:t>6,295</w:t>
            </w:r>
          </w:p>
        </w:tc>
        <w:tc>
          <w:tcPr>
            <w:tcW w:w="13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3,581</w:t>
            </w:r>
          </w:p>
        </w:tc>
        <w:tc>
          <w:tcPr>
            <w:tcW w:w="15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color w:val="auto"/>
              </w:rPr>
              <w:t>1,030</w:t>
            </w:r>
          </w:p>
        </w:tc>
        <w:tc>
          <w:tcPr>
            <w:tcW w:w="11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10,906</w:t>
            </w:r>
          </w:p>
        </w:tc>
        <w:tc>
          <w:tcPr>
            <w:tcW w:w="14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rPr>
              <w:t>182,279</w:t>
            </w:r>
          </w:p>
        </w:tc>
        <w:tc>
          <w:tcPr>
            <w:tcW w:w="14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rPr>
              <w:t>152,121</w:t>
            </w:r>
          </w:p>
        </w:tc>
        <w:tc>
          <w:tcPr>
            <w:tcW w:w="14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rPr>
              <w:t>334,400</w:t>
            </w:r>
          </w:p>
        </w:tc>
      </w:tr>
    </w:tbl>
    <w:p>
      <w:pPr>
        <w:spacing w:after="0" w:line="200" w:lineRule="exact"/>
        <w:rPr>
          <w:sz w:val="20"/>
          <w:szCs w:val="20"/>
          <w:color w:val="auto"/>
        </w:rPr>
      </w:pPr>
    </w:p>
    <w:p>
      <w:pPr>
        <w:spacing w:after="0" w:line="278" w:lineRule="exact"/>
        <w:rPr>
          <w:sz w:val="20"/>
          <w:szCs w:val="20"/>
          <w:color w:val="auto"/>
        </w:rPr>
      </w:pPr>
    </w:p>
    <w:p>
      <w:pPr>
        <w:jc w:val="both"/>
        <w:ind w:firstLine="331"/>
        <w:spacing w:after="0" w:line="306" w:lineRule="auto"/>
        <w:rPr>
          <w:sz w:val="20"/>
          <w:szCs w:val="20"/>
          <w:color w:val="auto"/>
        </w:rPr>
      </w:pPr>
      <w:r>
        <w:rPr>
          <w:rFonts w:ascii="Arial" w:cs="Arial" w:eastAsia="Arial" w:hAnsi="Arial"/>
          <w:sz w:val="16"/>
          <w:szCs w:val="16"/>
          <w:color w:val="auto"/>
        </w:rPr>
        <w:t>We have no mortgages on the real property we own. The Mississippi, Georgia, Tennessee, Nevada, California and Illinois properties are primarily mineral in nature. Parcels of such land are also sites of manufacturing facilities operated by us. The Illinois land also includes the site of our research and development facility. We own approximately one acre of land in Laval, Quebec, Canada, which is the site of the processing and packaging facility for our Canadian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6"/>
        <w:spacing w:after="0" w:line="253" w:lineRule="auto"/>
        <w:rPr>
          <w:sz w:val="20"/>
          <w:szCs w:val="20"/>
          <w:color w:val="auto"/>
        </w:rPr>
      </w:pPr>
      <w:r>
        <w:rPr>
          <w:rFonts w:ascii="Arial" w:cs="Arial" w:eastAsia="Arial" w:hAnsi="Arial"/>
          <w:sz w:val="18"/>
          <w:szCs w:val="18"/>
          <w:color w:val="auto"/>
        </w:rPr>
        <w:t>Our mining operations are conducted on leased or owned land. The Georgia, Illinois, and Mississippi mining leases generally require that we pay a minimum monthly rental to continue the lease term. The rental payments are generally applied against a stated royalty related to the number of unprocessed, or in some cases processed, tons of mineral extracted from the leased property. Many of our mining leases have no stated expiration dates. Some of our Georgia leases, however, do have expiration dates ranging from 2007 to 2053; and at September 30, 2006 we were negotiating renewal of three leases that arguably expired earlier in fiscal 2006.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above, Business—Reserves, for further information on our reserves.</w:t>
      </w:r>
    </w:p>
    <w:p>
      <w:pPr>
        <w:spacing w:after="0" w:line="226" w:lineRule="exact"/>
        <w:rPr>
          <w:sz w:val="20"/>
          <w:szCs w:val="20"/>
          <w:color w:val="auto"/>
        </w:rPr>
      </w:pPr>
    </w:p>
    <w:p>
      <w:pPr>
        <w:jc w:val="both"/>
        <w:ind w:firstLine="444"/>
        <w:spacing w:after="0" w:line="288" w:lineRule="auto"/>
        <w:rPr>
          <w:sz w:val="20"/>
          <w:szCs w:val="20"/>
          <w:color w:val="auto"/>
        </w:rPr>
      </w:pPr>
      <w:r>
        <w:rPr>
          <w:rFonts w:ascii="Arial" w:cs="Arial" w:eastAsia="Arial" w:hAnsi="Arial"/>
          <w:sz w:val="16"/>
          <w:szCs w:val="16"/>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uneconomic. We cannot predict the form that any such amendments might take or whether or when such amendments might be adopted. In addition, the construction and operation of processing facilities on these sites would require the approval of federal, state and local regulatory authorities.</w:t>
      </w:r>
    </w:p>
    <w:p>
      <w:pPr>
        <w:spacing w:after="0" w:line="16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Facilities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Location</w:t>
            </w:r>
          </w:p>
        </w:tc>
        <w:tc>
          <w:tcPr>
            <w:tcW w:w="1760" w:type="dxa"/>
            <w:vAlign w:val="bottom"/>
            <w:tcBorders>
              <w:top w:val="single" w:sz="8" w:color="auto"/>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Owned/Leased</w:t>
            </w:r>
          </w:p>
        </w:tc>
        <w:tc>
          <w:tcPr>
            <w:tcW w:w="5420" w:type="dxa"/>
            <w:vAlign w:val="bottom"/>
            <w:tcBorders>
              <w:top w:val="single" w:sz="8" w:color="auto"/>
              <w:bottom w:val="single" w:sz="8" w:color="auto"/>
            </w:tcBorders>
          </w:tcPr>
          <w:p>
            <w:pPr>
              <w:ind w:left="320"/>
              <w:spacing w:after="0" w:line="196" w:lineRule="exact"/>
              <w:rPr>
                <w:sz w:val="20"/>
                <w:szCs w:val="20"/>
                <w:color w:val="auto"/>
              </w:rPr>
            </w:pPr>
            <w:r>
              <w:rPr>
                <w:rFonts w:ascii="Arial" w:cs="Arial" w:eastAsia="Arial" w:hAnsi="Arial"/>
                <w:sz w:val="18"/>
                <w:szCs w:val="18"/>
                <w:b w:val="1"/>
                <w:bCs w:val="1"/>
                <w:color w:val="auto"/>
              </w:rPr>
              <w:t>Function</w:t>
            </w:r>
          </w:p>
        </w:tc>
      </w:tr>
      <w:tr>
        <w:trPr>
          <w:trHeight w:val="196"/>
        </w:trPr>
        <w:tc>
          <w:tcPr>
            <w:tcW w:w="2280" w:type="dxa"/>
            <w:vAlign w:val="bottom"/>
            <w:shd w:val="clear" w:color="auto" w:fill="C0C0C0"/>
          </w:tcPr>
          <w:p>
            <w:pPr>
              <w:spacing w:after="0" w:line="196" w:lineRule="exact"/>
              <w:rPr>
                <w:sz w:val="20"/>
                <w:szCs w:val="20"/>
                <w:color w:val="auto"/>
              </w:rPr>
            </w:pPr>
            <w:r>
              <w:rPr>
                <w:rFonts w:ascii="Arial" w:cs="Arial" w:eastAsia="Arial" w:hAnsi="Arial"/>
                <w:sz w:val="18"/>
                <w:szCs w:val="18"/>
                <w:color w:val="auto"/>
              </w:rPr>
              <w:t>Alpharetta, Georgia</w:t>
            </w:r>
          </w:p>
        </w:tc>
        <w:tc>
          <w:tcPr>
            <w:tcW w:w="1760" w:type="dxa"/>
            <w:vAlign w:val="bottom"/>
            <w:shd w:val="clear" w:color="auto" w:fill="C0C0C0"/>
          </w:tcPr>
          <w:p>
            <w:pPr>
              <w:ind w:left="180"/>
              <w:spacing w:after="0" w:line="196" w:lineRule="exact"/>
              <w:rPr>
                <w:sz w:val="20"/>
                <w:szCs w:val="20"/>
                <w:color w:val="auto"/>
              </w:rPr>
            </w:pPr>
            <w:r>
              <w:rPr>
                <w:rFonts w:ascii="Arial" w:cs="Arial" w:eastAsia="Arial" w:hAnsi="Arial"/>
                <w:sz w:val="18"/>
                <w:szCs w:val="18"/>
                <w:color w:val="auto"/>
              </w:rPr>
              <w:t>Leased</w:t>
            </w:r>
          </w:p>
        </w:tc>
        <w:tc>
          <w:tcPr>
            <w:tcW w:w="5420" w:type="dxa"/>
            <w:vAlign w:val="bottom"/>
            <w:shd w:val="clear" w:color="auto" w:fill="C0C0C0"/>
          </w:tcPr>
          <w:p>
            <w:pPr>
              <w:ind w:left="320"/>
              <w:spacing w:after="0" w:line="196" w:lineRule="exact"/>
              <w:rPr>
                <w:sz w:val="20"/>
                <w:szCs w:val="20"/>
                <w:color w:val="auto"/>
              </w:rPr>
            </w:pPr>
            <w:r>
              <w:rPr>
                <w:rFonts w:ascii="Arial" w:cs="Arial" w:eastAsia="Arial" w:hAnsi="Arial"/>
                <w:sz w:val="18"/>
                <w:szCs w:val="18"/>
                <w:color w:val="auto"/>
              </w:rPr>
              <w:t>Non-clay processing and warehousing</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Blue Mountain, Mississippi</w:t>
            </w:r>
          </w:p>
        </w:tc>
        <w:tc>
          <w:tcPr>
            <w:tcW w:w="1760" w:type="dxa"/>
            <w:vAlign w:val="bottom"/>
          </w:tcPr>
          <w:p>
            <w:pPr>
              <w:ind w:left="180"/>
              <w:spacing w:after="0" w:line="202" w:lineRule="exact"/>
              <w:rPr>
                <w:sz w:val="20"/>
                <w:szCs w:val="20"/>
                <w:color w:val="auto"/>
              </w:rPr>
            </w:pPr>
            <w:r>
              <w:rPr>
                <w:rFonts w:ascii="Arial" w:cs="Arial" w:eastAsia="Arial" w:hAnsi="Arial"/>
                <w:sz w:val="18"/>
                <w:szCs w:val="18"/>
                <w:color w:val="auto"/>
              </w:rPr>
              <w:t>Both</w:t>
            </w: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Clay mining, manufacturing and packaging</w:t>
            </w:r>
          </w:p>
        </w:tc>
      </w:tr>
      <w:tr>
        <w:trPr>
          <w:trHeight w:val="203"/>
        </w:trPr>
        <w:tc>
          <w:tcPr>
            <w:tcW w:w="22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Chicago, Illinois</w:t>
            </w:r>
          </w:p>
        </w:tc>
        <w:tc>
          <w:tcPr>
            <w:tcW w:w="176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Leased</w:t>
            </w:r>
          </w:p>
        </w:tc>
        <w:tc>
          <w:tcPr>
            <w:tcW w:w="5420" w:type="dxa"/>
            <w:vAlign w:val="bottom"/>
            <w:shd w:val="clear" w:color="auto" w:fill="C0C0C0"/>
          </w:tcPr>
          <w:p>
            <w:pPr>
              <w:ind w:left="320"/>
              <w:spacing w:after="0" w:line="202" w:lineRule="exact"/>
              <w:rPr>
                <w:sz w:val="20"/>
                <w:szCs w:val="20"/>
                <w:color w:val="auto"/>
              </w:rPr>
            </w:pPr>
            <w:r>
              <w:rPr>
                <w:rFonts w:ascii="Arial" w:cs="Arial" w:eastAsia="Arial" w:hAnsi="Arial"/>
                <w:sz w:val="18"/>
                <w:szCs w:val="18"/>
                <w:color w:val="auto"/>
              </w:rPr>
              <w:t>Principal executive office</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Mounds, Illinois</w:t>
            </w:r>
          </w:p>
        </w:tc>
        <w:tc>
          <w:tcPr>
            <w:tcW w:w="1760" w:type="dxa"/>
            <w:vAlign w:val="bottom"/>
          </w:tcPr>
          <w:p>
            <w:pPr>
              <w:ind w:left="180"/>
              <w:spacing w:after="0" w:line="202" w:lineRule="exact"/>
              <w:rPr>
                <w:sz w:val="20"/>
                <w:szCs w:val="20"/>
                <w:color w:val="auto"/>
              </w:rPr>
            </w:pPr>
            <w:r>
              <w:rPr>
                <w:rFonts w:ascii="Arial" w:cs="Arial" w:eastAsia="Arial" w:hAnsi="Arial"/>
                <w:sz w:val="18"/>
                <w:szCs w:val="18"/>
                <w:color w:val="auto"/>
              </w:rPr>
              <w:t>Owned</w:t>
            </w: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Clay mining, manufacturing and packaging</w:t>
            </w:r>
          </w:p>
        </w:tc>
      </w:tr>
      <w:tr>
        <w:trPr>
          <w:trHeight w:val="203"/>
        </w:trPr>
        <w:tc>
          <w:tcPr>
            <w:tcW w:w="22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Coppet, Switzerland</w:t>
            </w:r>
          </w:p>
        </w:tc>
        <w:tc>
          <w:tcPr>
            <w:tcW w:w="176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Leased</w:t>
            </w:r>
          </w:p>
        </w:tc>
        <w:tc>
          <w:tcPr>
            <w:tcW w:w="5420" w:type="dxa"/>
            <w:vAlign w:val="bottom"/>
            <w:shd w:val="clear" w:color="auto" w:fill="C0C0C0"/>
          </w:tcPr>
          <w:p>
            <w:pPr>
              <w:ind w:left="320"/>
              <w:spacing w:after="0" w:line="202" w:lineRule="exact"/>
              <w:rPr>
                <w:sz w:val="20"/>
                <w:szCs w:val="20"/>
                <w:color w:val="auto"/>
              </w:rPr>
            </w:pPr>
            <w:r>
              <w:rPr>
                <w:rFonts w:ascii="Arial" w:cs="Arial" w:eastAsia="Arial" w:hAnsi="Arial"/>
                <w:sz w:val="18"/>
                <w:szCs w:val="18"/>
                <w:color w:val="auto"/>
              </w:rPr>
              <w:t>Customer service office</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Laval, Quebec, Canada</w:t>
            </w:r>
          </w:p>
        </w:tc>
        <w:tc>
          <w:tcPr>
            <w:tcW w:w="1760" w:type="dxa"/>
            <w:vAlign w:val="bottom"/>
          </w:tcPr>
          <w:p>
            <w:pPr>
              <w:ind w:left="180"/>
              <w:spacing w:after="0" w:line="202" w:lineRule="exact"/>
              <w:rPr>
                <w:sz w:val="20"/>
                <w:szCs w:val="20"/>
                <w:color w:val="auto"/>
              </w:rPr>
            </w:pPr>
            <w:r>
              <w:rPr>
                <w:rFonts w:ascii="Arial" w:cs="Arial" w:eastAsia="Arial" w:hAnsi="Arial"/>
                <w:sz w:val="18"/>
                <w:szCs w:val="18"/>
                <w:color w:val="auto"/>
              </w:rPr>
              <w:t>Owned</w:t>
            </w: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Non-clay production and packaging</w:t>
            </w:r>
          </w:p>
        </w:tc>
      </w:tr>
      <w:tr>
        <w:trPr>
          <w:trHeight w:val="203"/>
        </w:trPr>
        <w:tc>
          <w:tcPr>
            <w:tcW w:w="22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Ochlocknee, Georgia</w:t>
            </w:r>
          </w:p>
        </w:tc>
        <w:tc>
          <w:tcPr>
            <w:tcW w:w="176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Owned</w:t>
            </w:r>
          </w:p>
        </w:tc>
        <w:tc>
          <w:tcPr>
            <w:tcW w:w="5420" w:type="dxa"/>
            <w:vAlign w:val="bottom"/>
            <w:shd w:val="clear" w:color="auto" w:fill="C0C0C0"/>
          </w:tcPr>
          <w:p>
            <w:pPr>
              <w:ind w:left="320"/>
              <w:spacing w:after="0" w:line="202" w:lineRule="exact"/>
              <w:rPr>
                <w:sz w:val="20"/>
                <w:szCs w:val="20"/>
                <w:color w:val="auto"/>
              </w:rPr>
            </w:pPr>
            <w:r>
              <w:rPr>
                <w:rFonts w:ascii="Arial" w:cs="Arial" w:eastAsia="Arial" w:hAnsi="Arial"/>
                <w:sz w:val="18"/>
                <w:szCs w:val="18"/>
                <w:color w:val="auto"/>
              </w:rPr>
              <w:t>Clay mining, manufacturing and packaging</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Ripley, Mississippi</w:t>
            </w:r>
          </w:p>
        </w:tc>
        <w:tc>
          <w:tcPr>
            <w:tcW w:w="1760" w:type="dxa"/>
            <w:vAlign w:val="bottom"/>
          </w:tcPr>
          <w:p>
            <w:pPr>
              <w:ind w:left="180"/>
              <w:spacing w:after="0" w:line="202" w:lineRule="exact"/>
              <w:rPr>
                <w:sz w:val="20"/>
                <w:szCs w:val="20"/>
                <w:color w:val="auto"/>
              </w:rPr>
            </w:pPr>
            <w:r>
              <w:rPr>
                <w:rFonts w:ascii="Arial" w:cs="Arial" w:eastAsia="Arial" w:hAnsi="Arial"/>
                <w:sz w:val="18"/>
                <w:szCs w:val="18"/>
                <w:color w:val="auto"/>
              </w:rPr>
              <w:t>Owned</w:t>
            </w:r>
          </w:p>
        </w:tc>
        <w:tc>
          <w:tcPr>
            <w:tcW w:w="5420" w:type="dxa"/>
            <w:vAlign w:val="bottom"/>
          </w:tcPr>
          <w:p>
            <w:pPr>
              <w:ind w:left="320"/>
              <w:spacing w:after="0" w:line="202" w:lineRule="exact"/>
              <w:rPr>
                <w:sz w:val="20"/>
                <w:szCs w:val="20"/>
                <w:color w:val="auto"/>
              </w:rPr>
            </w:pPr>
            <w:r>
              <w:rPr>
                <w:rFonts w:ascii="Arial" w:cs="Arial" w:eastAsia="Arial" w:hAnsi="Arial"/>
                <w:sz w:val="18"/>
                <w:szCs w:val="18"/>
                <w:color w:val="auto"/>
              </w:rPr>
              <w:t>Clay mining, manufacturing and packaging</w:t>
            </w:r>
          </w:p>
        </w:tc>
      </w:tr>
      <w:tr>
        <w:trPr>
          <w:trHeight w:val="203"/>
        </w:trPr>
        <w:tc>
          <w:tcPr>
            <w:tcW w:w="22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Taft, California</w:t>
            </w:r>
          </w:p>
        </w:tc>
        <w:tc>
          <w:tcPr>
            <w:tcW w:w="176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Owned</w:t>
            </w:r>
          </w:p>
        </w:tc>
        <w:tc>
          <w:tcPr>
            <w:tcW w:w="5420" w:type="dxa"/>
            <w:vAlign w:val="bottom"/>
            <w:shd w:val="clear" w:color="auto" w:fill="C0C0C0"/>
          </w:tcPr>
          <w:p>
            <w:pPr>
              <w:ind w:left="320"/>
              <w:spacing w:after="0" w:line="202" w:lineRule="exact"/>
              <w:rPr>
                <w:sz w:val="20"/>
                <w:szCs w:val="20"/>
                <w:color w:val="auto"/>
              </w:rPr>
            </w:pPr>
            <w:r>
              <w:rPr>
                <w:rFonts w:ascii="Arial" w:cs="Arial" w:eastAsia="Arial" w:hAnsi="Arial"/>
                <w:sz w:val="18"/>
                <w:szCs w:val="18"/>
                <w:color w:val="auto"/>
              </w:rPr>
              <w:t>Clay mining, manufacturing and packaging</w:t>
            </w:r>
          </w:p>
        </w:tc>
      </w:tr>
    </w:tbl>
    <w:p>
      <w:pPr>
        <w:sectPr>
          <w:pgSz w:w="11900" w:h="16870" w:orient="portrait"/>
          <w:cols w:equalWidth="0" w:num="1">
            <w:col w:w="11420"/>
          </w:cols>
          <w:pgMar w:left="240" w:top="15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Arial" w:cs="Arial" w:eastAsia="Arial" w:hAnsi="Arial"/>
                <w:sz w:val="18"/>
                <w:szCs w:val="18"/>
                <w:color w:val="auto"/>
              </w:rPr>
              <w:t>Vernon Hills, Illinois</w:t>
            </w:r>
          </w:p>
        </w:tc>
        <w:tc>
          <w:tcPr>
            <w:tcW w:w="1440" w:type="dxa"/>
            <w:vAlign w:val="bottom"/>
          </w:tcPr>
          <w:p>
            <w:pPr>
              <w:ind w:left="220"/>
              <w:spacing w:after="0"/>
              <w:rPr>
                <w:sz w:val="20"/>
                <w:szCs w:val="20"/>
                <w:color w:val="auto"/>
              </w:rPr>
            </w:pPr>
            <w:r>
              <w:rPr>
                <w:rFonts w:ascii="Arial" w:cs="Arial" w:eastAsia="Arial" w:hAnsi="Arial"/>
                <w:sz w:val="18"/>
                <w:szCs w:val="18"/>
                <w:color w:val="auto"/>
              </w:rPr>
              <w:t>Owned</w:t>
            </w:r>
          </w:p>
        </w:tc>
        <w:tc>
          <w:tcPr>
            <w:tcW w:w="5780" w:type="dxa"/>
            <w:vAlign w:val="bottom"/>
          </w:tcPr>
          <w:p>
            <w:pPr>
              <w:ind w:left="680"/>
              <w:spacing w:after="0"/>
              <w:rPr>
                <w:sz w:val="20"/>
                <w:szCs w:val="20"/>
                <w:color w:val="auto"/>
              </w:rPr>
            </w:pPr>
            <w:r>
              <w:rPr>
                <w:rFonts w:ascii="Arial" w:cs="Arial" w:eastAsia="Arial" w:hAnsi="Arial"/>
                <w:sz w:val="18"/>
                <w:szCs w:val="18"/>
                <w:color w:val="auto"/>
              </w:rPr>
              <w:t>Research and development</w:t>
            </w:r>
          </w:p>
        </w:tc>
      </w:tr>
      <w:tr>
        <w:trPr>
          <w:trHeight w:val="203"/>
        </w:trPr>
        <w:tc>
          <w:tcPr>
            <w:tcW w:w="224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Wisbech, United Kingdom</w:t>
            </w:r>
          </w:p>
        </w:tc>
        <w:tc>
          <w:tcPr>
            <w:tcW w:w="1440" w:type="dxa"/>
            <w:vAlign w:val="bottom"/>
            <w:shd w:val="clear" w:color="auto" w:fill="C0C0C0"/>
          </w:tcPr>
          <w:p>
            <w:pPr>
              <w:ind w:left="220"/>
              <w:spacing w:after="0" w:line="202" w:lineRule="exact"/>
              <w:rPr>
                <w:sz w:val="20"/>
                <w:szCs w:val="20"/>
                <w:color w:val="auto"/>
              </w:rPr>
            </w:pPr>
            <w:r>
              <w:rPr>
                <w:rFonts w:ascii="Arial" w:cs="Arial" w:eastAsia="Arial" w:hAnsi="Arial"/>
                <w:sz w:val="18"/>
                <w:szCs w:val="18"/>
                <w:color w:val="auto"/>
              </w:rPr>
              <w:t>Both</w:t>
            </w:r>
          </w:p>
        </w:tc>
        <w:tc>
          <w:tcPr>
            <w:tcW w:w="5780" w:type="dxa"/>
            <w:vAlign w:val="bottom"/>
            <w:shd w:val="clear" w:color="auto" w:fill="C0C0C0"/>
          </w:tcPr>
          <w:p>
            <w:pPr>
              <w:ind w:left="680"/>
              <w:spacing w:after="0" w:line="202" w:lineRule="exact"/>
              <w:rPr>
                <w:sz w:val="20"/>
                <w:szCs w:val="20"/>
                <w:color w:val="auto"/>
              </w:rPr>
            </w:pPr>
            <w:r>
              <w:rPr>
                <w:rFonts w:ascii="Arial" w:cs="Arial" w:eastAsia="Arial" w:hAnsi="Arial"/>
                <w:sz w:val="18"/>
                <w:szCs w:val="18"/>
                <w:color w:val="auto"/>
              </w:rPr>
              <w:t>Non-clay production and packaging</w:t>
            </w:r>
          </w:p>
        </w:tc>
      </w:tr>
    </w:tbl>
    <w:p>
      <w:pPr>
        <w:spacing w:after="0" w:line="200" w:lineRule="exact"/>
        <w:rPr>
          <w:sz w:val="20"/>
          <w:szCs w:val="20"/>
          <w:color w:val="auto"/>
        </w:rPr>
      </w:pPr>
    </w:p>
    <w:p>
      <w:pPr>
        <w:spacing w:after="0" w:line="278" w:lineRule="exact"/>
        <w:rPr>
          <w:sz w:val="20"/>
          <w:szCs w:val="20"/>
          <w:color w:val="auto"/>
        </w:rPr>
      </w:pPr>
    </w:p>
    <w:p>
      <w:pPr>
        <w:jc w:val="both"/>
        <w:ind w:firstLine="316"/>
        <w:spacing w:after="0" w:line="294" w:lineRule="auto"/>
        <w:rPr>
          <w:sz w:val="20"/>
          <w:szCs w:val="20"/>
          <w:color w:val="auto"/>
        </w:rPr>
      </w:pPr>
      <w:r>
        <w:rPr>
          <w:rFonts w:ascii="Arial" w:cs="Arial" w:eastAsia="Arial" w:hAnsi="Arial"/>
          <w:sz w:val="16"/>
          <w:szCs w:val="16"/>
          <w:color w:val="auto"/>
        </w:rPr>
        <w:t>The lease for the Alpharetta, Georgia facility expires in 2008. A portion of the Blue Mountain, Mississippi facility is leased from the Town of Blue Mountain in connection with industrial revenue bond financing we obtained in 1988. See Note 4 of the Notes to the Consolidated Financial Statements. Upon expiration of the relevant leases in 2008 and full payment of the bonds, we have the right to purchase the leased property for $100. The lease for the Chicago, Illinois corporate office space expires in 2018. The lease for the Wisbech, United Kingdom facility expires in 2031. The lease for the Coppet, Switzerland office is on a year-to-year basis. We consider that our properties are generally in good condition, are well maintained and are suitable and adequate to carry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4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management believes that none of the pending proceedings will have a material adverse effect on our business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SUBMISSION OF MATTERS TO A VOTE OF SECURITY HOLDERS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gives certain information with respect to our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Name</w:t>
            </w:r>
            <w:r>
              <w:rPr>
                <w:rFonts w:ascii="Arial" w:cs="Arial" w:eastAsia="Arial" w:hAnsi="Arial"/>
                <w:sz w:val="22"/>
                <w:szCs w:val="22"/>
                <w:b w:val="1"/>
                <w:bCs w:val="1"/>
                <w:color w:val="auto"/>
                <w:w w:val="86"/>
                <w:vertAlign w:val="superscript"/>
              </w:rPr>
              <w:t>1</w:t>
            </w:r>
          </w:p>
        </w:tc>
        <w:tc>
          <w:tcPr>
            <w:tcW w:w="29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6620" w:type="dxa"/>
            <w:vAlign w:val="bottom"/>
            <w:gridSpan w:val="2"/>
          </w:tcPr>
          <w:p>
            <w:pPr>
              <w:jc w:val="center"/>
              <w:ind w:right="5380"/>
              <w:spacing w:after="0"/>
              <w:rPr>
                <w:sz w:val="20"/>
                <w:szCs w:val="20"/>
                <w:color w:val="auto"/>
              </w:rPr>
            </w:pPr>
            <w:r>
              <w:rPr>
                <w:rFonts w:ascii="Arial" w:cs="Arial" w:eastAsia="Arial" w:hAnsi="Arial"/>
                <w:sz w:val="14"/>
                <w:szCs w:val="14"/>
                <w:b w:val="1"/>
                <w:bCs w:val="1"/>
                <w:color w:val="auto"/>
                <w:w w:val="88"/>
              </w:rPr>
              <w:t>Principal Occupation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 w:type="dxa"/>
            <w:vAlign w:val="bottom"/>
            <w:tcBorders>
              <w:bottom w:val="single" w:sz="8" w:color="auto"/>
            </w:tcBorders>
            <w:gridSpan w:val="2"/>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For Last Five Years</w:t>
            </w:r>
          </w:p>
        </w:tc>
        <w:tc>
          <w:tcPr>
            <w:tcW w:w="538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0"/>
                <w:szCs w:val="20"/>
                <w:color w:val="auto"/>
              </w:rPr>
            </w:pPr>
            <w:r>
              <w:rPr>
                <w:rFonts w:ascii="Arial" w:cs="Arial" w:eastAsia="Arial" w:hAnsi="Arial"/>
                <w:sz w:val="18"/>
                <w:szCs w:val="18"/>
                <w:color w:val="auto"/>
                <w:w w:val="74"/>
              </w:rPr>
              <w:t>Daniel</w:t>
            </w:r>
          </w:p>
        </w:tc>
        <w:tc>
          <w:tcPr>
            <w:tcW w:w="2920" w:type="dxa"/>
            <w:vAlign w:val="bottom"/>
            <w:shd w:val="clear" w:color="auto" w:fill="C0C0C0"/>
          </w:tcPr>
          <w:p>
            <w:pPr>
              <w:ind w:left="100"/>
              <w:spacing w:after="0" w:line="250" w:lineRule="exact"/>
              <w:rPr>
                <w:sz w:val="20"/>
                <w:szCs w:val="20"/>
                <w:color w:val="auto"/>
              </w:rPr>
            </w:pPr>
            <w:r>
              <w:rPr>
                <w:rFonts w:ascii="Arial" w:cs="Arial" w:eastAsia="Arial" w:hAnsi="Arial"/>
                <w:sz w:val="17"/>
                <w:szCs w:val="17"/>
                <w:color w:val="auto"/>
              </w:rPr>
              <w:t>S. Jaffee</w:t>
            </w:r>
            <w:r>
              <w:rPr>
                <w:rFonts w:ascii="Arial" w:cs="Arial" w:eastAsia="Arial" w:hAnsi="Arial"/>
                <w:sz w:val="28"/>
                <w:szCs w:val="28"/>
                <w:color w:val="auto"/>
                <w:vertAlign w:val="superscript"/>
              </w:rPr>
              <w:t>1</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President and Chief Executive Officer of Oil-Dri</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since August 1997.</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gridSpan w:val="2"/>
          </w:tcPr>
          <w:p>
            <w:pPr>
              <w:spacing w:after="0"/>
              <w:rPr>
                <w:sz w:val="21"/>
                <w:szCs w:val="21"/>
                <w:color w:val="auto"/>
              </w:rPr>
            </w:pPr>
          </w:p>
        </w:tc>
        <w:tc>
          <w:tcPr>
            <w:tcW w:w="780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Brian K. Bancroft</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Vice President and Chief Procurement Officer of Oil-Dri</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920" w:type="dxa"/>
            <w:vAlign w:val="bottom"/>
            <w:shd w:val="clear" w:color="auto" w:fill="C0C0C0"/>
          </w:tcPr>
          <w:p>
            <w:pPr>
              <w:spacing w:after="0"/>
              <w:rPr>
                <w:sz w:val="20"/>
                <w:szCs w:val="20"/>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since February 2005; Director Supply Management, Sara</w:t>
            </w:r>
          </w:p>
        </w:tc>
        <w:tc>
          <w:tcPr>
            <w:tcW w:w="2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Lee Corporation from November 2000 to February 2005.</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rPr>
                <w:sz w:val="21"/>
                <w:szCs w:val="21"/>
                <w:color w:val="auto"/>
              </w:rPr>
            </w:pPr>
          </w:p>
        </w:tc>
        <w:tc>
          <w:tcPr>
            <w:tcW w:w="780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Wade R. Bradley</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President Retail and Wholesale Group of Oil-Dri</w:t>
            </w:r>
          </w:p>
        </w:tc>
        <w:tc>
          <w:tcPr>
            <w:tcW w:w="2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since November 2005; Vice President of Consumer Products</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Group of Oil-Dri from June 2000 to November 2005.</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gridSpan w:val="2"/>
          </w:tcPr>
          <w:p>
            <w:pPr>
              <w:spacing w:after="0"/>
              <w:rPr>
                <w:sz w:val="21"/>
                <w:szCs w:val="21"/>
                <w:color w:val="auto"/>
              </w:rPr>
            </w:pPr>
          </w:p>
        </w:tc>
        <w:tc>
          <w:tcPr>
            <w:tcW w:w="780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Charles P. Brissman</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Vice President, General Counsel and Secretary</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920" w:type="dxa"/>
            <w:vAlign w:val="bottom"/>
            <w:shd w:val="clear" w:color="auto" w:fill="C0C0C0"/>
          </w:tcPr>
          <w:p>
            <w:pPr>
              <w:spacing w:after="0"/>
              <w:rPr>
                <w:sz w:val="20"/>
                <w:szCs w:val="20"/>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of Oil-Dri since October 2002; Chief Counsel, Corporate</w:t>
            </w:r>
          </w:p>
        </w:tc>
        <w:tc>
          <w:tcPr>
            <w:tcW w:w="2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Development and Asset Distribution, and Chief Litigation</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Counsel, Heller Financial, Inc. from April 1998 to October 2002.</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gridSpan w:val="2"/>
          </w:tcPr>
          <w:p>
            <w:pPr>
              <w:spacing w:after="0"/>
              <w:rPr>
                <w:sz w:val="21"/>
                <w:szCs w:val="21"/>
                <w:color w:val="auto"/>
              </w:rPr>
            </w:pPr>
          </w:p>
        </w:tc>
        <w:tc>
          <w:tcPr>
            <w:tcW w:w="780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gridSpan w:val="2"/>
            <w:shd w:val="clear" w:color="auto" w:fill="C0C0C0"/>
          </w:tcPr>
          <w:p>
            <w:pPr>
              <w:spacing w:after="0" w:line="256" w:lineRule="exact"/>
              <w:rPr>
                <w:sz w:val="20"/>
                <w:szCs w:val="20"/>
                <w:color w:val="auto"/>
              </w:rPr>
            </w:pPr>
            <w:r>
              <w:rPr>
                <w:rFonts w:ascii="Arial" w:cs="Arial" w:eastAsia="Arial" w:hAnsi="Arial"/>
                <w:sz w:val="18"/>
                <w:szCs w:val="18"/>
                <w:color w:val="auto"/>
              </w:rPr>
              <w:t>Thomas F. Cofsky</w:t>
            </w:r>
            <w:r>
              <w:rPr>
                <w:rFonts w:ascii="Arial" w:cs="Arial" w:eastAsia="Arial" w:hAnsi="Arial"/>
                <w:sz w:val="29"/>
                <w:szCs w:val="29"/>
                <w:color w:val="auto"/>
                <w:vertAlign w:val="superscript"/>
              </w:rPr>
              <w:t>2</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Vice President of Manufacturing and Logistics of</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Oil-Dri since June 1999.</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gridSpan w:val="2"/>
          </w:tcPr>
          <w:p>
            <w:pPr>
              <w:spacing w:after="0"/>
              <w:rPr>
                <w:sz w:val="21"/>
                <w:szCs w:val="21"/>
                <w:color w:val="auto"/>
              </w:rPr>
            </w:pPr>
          </w:p>
        </w:tc>
        <w:tc>
          <w:tcPr>
            <w:tcW w:w="780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Jeffrey M. Libert</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Vice President of Finance of Oil-Dri since October 2004</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920" w:type="dxa"/>
            <w:vAlign w:val="bottom"/>
            <w:shd w:val="clear" w:color="auto" w:fill="C0C0C0"/>
          </w:tcPr>
          <w:p>
            <w:pPr>
              <w:spacing w:after="0"/>
              <w:rPr>
                <w:sz w:val="20"/>
                <w:szCs w:val="20"/>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and Treasurer since May 2005; Vice President and Chief</w:t>
            </w:r>
          </w:p>
        </w:tc>
        <w:tc>
          <w:tcPr>
            <w:tcW w:w="2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Financial Officer from April 2000 to October 2004.</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gridSpan w:val="2"/>
          </w:tcPr>
          <w:p>
            <w:pPr>
              <w:spacing w:after="0"/>
              <w:rPr>
                <w:sz w:val="21"/>
                <w:szCs w:val="21"/>
                <w:color w:val="auto"/>
              </w:rPr>
            </w:pPr>
          </w:p>
        </w:tc>
        <w:tc>
          <w:tcPr>
            <w:tcW w:w="780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Andrew N. Peterson</w:t>
            </w: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Vice President and Chief Financial Officer of Oil-Dri</w:t>
            </w:r>
          </w:p>
        </w:tc>
        <w:tc>
          <w:tcPr>
            <w:tcW w:w="280" w:type="dxa"/>
            <w:vAlign w:val="bottom"/>
            <w:shd w:val="clear" w:color="auto" w:fill="C0C0C0"/>
          </w:tcPr>
          <w:p>
            <w:pPr>
              <w:ind w:lef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78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since October 2004; Vice President and Chief</w:t>
            </w:r>
          </w:p>
        </w:tc>
        <w:tc>
          <w:tcPr>
            <w:tcW w:w="2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909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Financial Officer of Barjan Products, LLC, from February</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2003 to March 2004; Chief Financial Officer and Chief</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Operating Officer of Cognitive Concepts, Inc., from March</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2000 to March 2002.</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term of each executive officer expires at the 2006 annual meeting of stockholders and when his successor is elected and qualified.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5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Of the persons in this table, only Daniel S. Jaffee is a director.</w:t>
      </w:r>
    </w:p>
    <w:p>
      <w:pPr>
        <w:ind w:left="340" w:hanging="332"/>
        <w:spacing w:after="0" w:line="180"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Thomas F. Cofsky is Daniel S. Jaffee’s brother-in-law.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5" w:right="239" w:bottom="33"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ectPr>
          <w:pgSz w:w="11900" w:h="16838" w:orient="portrait"/>
          <w:cols w:equalWidth="0" w:num="1">
            <w:col w:w="11420"/>
          </w:cols>
          <w:pgMar w:left="240" w:top="135" w:right="239" w:bottom="33" w:gutter="0" w:footer="0" w:header="0"/>
          <w:type w:val="continuous"/>
        </w:sectPr>
      </w:pPr>
    </w:p>
    <w:bookmarkStart w:id="12" w:name="page13"/>
    <w:bookmarkEnd w:id="12"/>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203"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Our Common Stock is traded on the New York Stock Exchange under the symbol ODC. There is no established trading market for the Class B Stock. The number of holders of record of Common Stock and Class B stock on September 29, 2006 were 747 and 33, respectively, as reported by our transfer agent. There are no shares of Class A Common Stock currently outstanding. In the last three years, we have not sold any securities which were not registered under the Securities Act.</w:t>
      </w:r>
    </w:p>
    <w:p>
      <w:pPr>
        <w:spacing w:after="0" w:line="224" w:lineRule="exact"/>
        <w:rPr>
          <w:sz w:val="20"/>
          <w:szCs w:val="20"/>
          <w:color w:val="auto"/>
        </w:rPr>
      </w:pPr>
    </w:p>
    <w:p>
      <w:pPr>
        <w:jc w:val="both"/>
        <w:ind w:firstLine="363"/>
        <w:spacing w:after="0" w:line="306" w:lineRule="auto"/>
        <w:rPr>
          <w:sz w:val="20"/>
          <w:szCs w:val="20"/>
          <w:color w:val="auto"/>
        </w:rPr>
      </w:pPr>
      <w:r>
        <w:rPr>
          <w:rFonts w:ascii="Arial" w:cs="Arial" w:eastAsia="Arial" w:hAnsi="Arial"/>
          <w:sz w:val="16"/>
          <w:szCs w:val="16"/>
          <w:color w:val="auto"/>
        </w:rPr>
        <w:t>On June 6, 2006, our Board of Directors announced a five-for-four stock split, to be effected by a stock dividend of one-quarter share for each outstanding share of Common Stock and Class B Stock. The stock dividend was paid on September 8, 2006 to stockholders of record at the close of business on August 4, 2006. All shares outstanding, earnings per share numbers and balance sheet values have been restated to reflect the impact of the stock dividend.</w:t>
      </w:r>
    </w:p>
    <w:p>
      <w:pPr>
        <w:spacing w:after="0" w:line="188" w:lineRule="exact"/>
        <w:rPr>
          <w:sz w:val="20"/>
          <w:szCs w:val="20"/>
          <w:color w:val="auto"/>
        </w:rPr>
      </w:pPr>
    </w:p>
    <w:p>
      <w:pPr>
        <w:jc w:val="both"/>
        <w:ind w:firstLine="330"/>
        <w:spacing w:after="0" w:line="259" w:lineRule="auto"/>
        <w:rPr>
          <w:sz w:val="20"/>
          <w:szCs w:val="20"/>
          <w:color w:val="auto"/>
        </w:rPr>
      </w:pPr>
      <w:r>
        <w:rPr>
          <w:rFonts w:ascii="Arial" w:cs="Arial" w:eastAsia="Arial" w:hAnsi="Arial"/>
          <w:sz w:val="18"/>
          <w:szCs w:val="18"/>
          <w:color w:val="auto"/>
        </w:rPr>
        <w:t>The following table sets forth, for the periods indicated, the high and low sales price for the Common Stock on the New York Stock Exchange and dividends per share paid on the Common Stock and Class B Common Stock. The prices and dividend amounts have been restated to reflect the stock dividend described above.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6"/>
              </w:rPr>
              <w:t>Cash</w:t>
            </w:r>
          </w:p>
        </w:tc>
        <w:tc>
          <w:tcPr>
            <w:tcW w:w="1080" w:type="dxa"/>
            <w:vAlign w:val="bottom"/>
          </w:tcPr>
          <w:p>
            <w:pPr>
              <w:spacing w:after="0"/>
              <w:rPr>
                <w:sz w:val="19"/>
                <w:szCs w:val="19"/>
                <w:color w:val="auto"/>
              </w:rPr>
            </w:pPr>
          </w:p>
        </w:tc>
      </w:tr>
      <w:tr>
        <w:trPr>
          <w:trHeight w:val="243"/>
        </w:trPr>
        <w:tc>
          <w:tcPr>
            <w:tcW w:w="5380" w:type="dxa"/>
            <w:vAlign w:val="bottom"/>
          </w:tcPr>
          <w:p>
            <w:pPr>
              <w:spacing w:after="0"/>
              <w:rPr>
                <w:sz w:val="21"/>
                <w:szCs w:val="21"/>
                <w:color w:val="auto"/>
              </w:rPr>
            </w:pPr>
          </w:p>
        </w:tc>
        <w:tc>
          <w:tcPr>
            <w:tcW w:w="1940" w:type="dxa"/>
            <w:vAlign w:val="bottom"/>
            <w:gridSpan w:val="3"/>
          </w:tcPr>
          <w:p>
            <w:pPr>
              <w:ind w:left="700"/>
              <w:spacing w:after="0"/>
              <w:rPr>
                <w:sz w:val="20"/>
                <w:szCs w:val="20"/>
                <w:color w:val="auto"/>
              </w:rPr>
            </w:pPr>
            <w:r>
              <w:rPr>
                <w:rFonts w:ascii="Arial" w:cs="Arial" w:eastAsia="Arial" w:hAnsi="Arial"/>
                <w:sz w:val="18"/>
                <w:szCs w:val="18"/>
                <w:b w:val="1"/>
                <w:bCs w:val="1"/>
                <w:color w:val="auto"/>
                <w:w w:val="92"/>
              </w:rPr>
              <w:t>Common Stock</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center"/>
              <w:ind w:left="732"/>
              <w:spacing w:after="0"/>
              <w:rPr>
                <w:sz w:val="20"/>
                <w:szCs w:val="20"/>
                <w:color w:val="auto"/>
              </w:rPr>
            </w:pPr>
            <w:r>
              <w:rPr>
                <w:rFonts w:ascii="Arial" w:cs="Arial" w:eastAsia="Arial" w:hAnsi="Arial"/>
                <w:sz w:val="18"/>
                <w:szCs w:val="18"/>
                <w:b w:val="1"/>
                <w:bCs w:val="1"/>
                <w:color w:val="auto"/>
                <w:w w:val="88"/>
              </w:rPr>
              <w:t>Dividends</w:t>
            </w:r>
          </w:p>
        </w:tc>
        <w:tc>
          <w:tcPr>
            <w:tcW w:w="1080" w:type="dxa"/>
            <w:vAlign w:val="bottom"/>
          </w:tcPr>
          <w:p>
            <w:pPr>
              <w:spacing w:after="0"/>
              <w:rPr>
                <w:sz w:val="21"/>
                <w:szCs w:val="21"/>
                <w:color w:val="auto"/>
              </w:rPr>
            </w:pPr>
          </w:p>
        </w:tc>
      </w:tr>
      <w:tr>
        <w:trPr>
          <w:trHeight w:val="244"/>
        </w:trPr>
        <w:tc>
          <w:tcPr>
            <w:tcW w:w="5380" w:type="dxa"/>
            <w:vAlign w:val="bottom"/>
          </w:tcPr>
          <w:p>
            <w:pPr>
              <w:spacing w:after="0"/>
              <w:rPr>
                <w:sz w:val="21"/>
                <w:szCs w:val="21"/>
                <w:color w:val="auto"/>
              </w:rPr>
            </w:pPr>
          </w:p>
        </w:tc>
        <w:tc>
          <w:tcPr>
            <w:tcW w:w="19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9"/>
              </w:rPr>
              <w:t>Price Range</w:t>
            </w:r>
          </w:p>
        </w:tc>
        <w:tc>
          <w:tcPr>
            <w:tcW w:w="9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8"/>
                <w:szCs w:val="18"/>
                <w:b w:val="1"/>
                <w:bCs w:val="1"/>
                <w:color w:val="auto"/>
                <w:w w:val="90"/>
              </w:rPr>
              <w:t>Per Share</w:t>
            </w:r>
          </w:p>
        </w:tc>
        <w:tc>
          <w:tcPr>
            <w:tcW w:w="1080" w:type="dxa"/>
            <w:vAlign w:val="bottom"/>
            <w:tcBorders>
              <w:bottom w:val="single" w:sz="8" w:color="auto"/>
            </w:tcBorders>
          </w:tcPr>
          <w:p>
            <w:pPr>
              <w:spacing w:after="0"/>
              <w:rPr>
                <w:sz w:val="21"/>
                <w:szCs w:val="21"/>
                <w:color w:val="auto"/>
              </w:rPr>
            </w:pPr>
          </w:p>
        </w:tc>
      </w:tr>
      <w:tr>
        <w:trPr>
          <w:trHeight w:val="236"/>
        </w:trPr>
        <w:tc>
          <w:tcPr>
            <w:tcW w:w="5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4"/>
              </w:rPr>
              <w:t>Class B</w:t>
            </w:r>
          </w:p>
        </w:tc>
      </w:tr>
      <w:tr>
        <w:trPr>
          <w:trHeight w:val="243"/>
        </w:trPr>
        <w:tc>
          <w:tcPr>
            <w:tcW w:w="5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Common</w:t>
            </w:r>
          </w:p>
        </w:tc>
        <w:tc>
          <w:tcPr>
            <w:tcW w:w="10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Common</w:t>
            </w:r>
          </w:p>
        </w:tc>
      </w:tr>
      <w:tr>
        <w:trPr>
          <w:trHeight w:val="230"/>
        </w:trPr>
        <w:tc>
          <w:tcPr>
            <w:tcW w:w="5380" w:type="dxa"/>
            <w:vAlign w:val="bottom"/>
          </w:tcPr>
          <w:p>
            <w:pPr>
              <w:spacing w:after="0"/>
              <w:rPr>
                <w:sz w:val="19"/>
                <w:szCs w:val="19"/>
                <w:color w:val="auto"/>
              </w:rPr>
            </w:pPr>
          </w:p>
        </w:tc>
        <w:tc>
          <w:tcPr>
            <w:tcW w:w="1940" w:type="dxa"/>
            <w:vAlign w:val="bottom"/>
            <w:gridSpan w:val="3"/>
          </w:tcPr>
          <w:p>
            <w:pPr>
              <w:ind w:left="460"/>
              <w:spacing w:after="0"/>
              <w:rPr>
                <w:sz w:val="20"/>
                <w:szCs w:val="20"/>
                <w:color w:val="auto"/>
              </w:rPr>
            </w:pPr>
            <w:r>
              <w:rPr>
                <w:rFonts w:ascii="Arial" w:cs="Arial" w:eastAsia="Arial" w:hAnsi="Arial"/>
                <w:sz w:val="18"/>
                <w:szCs w:val="18"/>
                <w:b w:val="1"/>
                <w:bCs w:val="1"/>
                <w:color w:val="auto"/>
              </w:rPr>
              <w:t>Low</w:t>
            </w: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19"/>
                <w:szCs w:val="19"/>
                <w:color w:val="auto"/>
              </w:rPr>
            </w:pPr>
          </w:p>
        </w:tc>
        <w:tc>
          <w:tcPr>
            <w:tcW w:w="17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5"/>
              </w:rPr>
              <w:t>Stock</w:t>
            </w:r>
          </w:p>
        </w:tc>
        <w:tc>
          <w:tcPr>
            <w:tcW w:w="1080" w:type="dxa"/>
            <w:vAlign w:val="bottom"/>
          </w:tcPr>
          <w:p>
            <w:pPr>
              <w:jc w:val="center"/>
              <w:ind w:right="132"/>
              <w:spacing w:after="0"/>
              <w:rPr>
                <w:sz w:val="20"/>
                <w:szCs w:val="20"/>
                <w:color w:val="auto"/>
              </w:rPr>
            </w:pPr>
            <w:r>
              <w:rPr>
                <w:rFonts w:ascii="Arial" w:cs="Arial" w:eastAsia="Arial" w:hAnsi="Arial"/>
                <w:sz w:val="18"/>
                <w:szCs w:val="18"/>
                <w:b w:val="1"/>
                <w:bCs w:val="1"/>
                <w:color w:val="auto"/>
                <w:w w:val="85"/>
              </w:rPr>
              <w:t>Stock</w:t>
            </w:r>
          </w:p>
        </w:tc>
      </w:tr>
      <w:tr>
        <w:trPr>
          <w:trHeight w:val="238"/>
        </w:trPr>
        <w:tc>
          <w:tcPr>
            <w:tcW w:w="5380" w:type="dxa"/>
            <w:vAlign w:val="bottom"/>
          </w:tcPr>
          <w:p>
            <w:pPr>
              <w:spacing w:after="0"/>
              <w:rPr>
                <w:sz w:val="20"/>
                <w:szCs w:val="20"/>
                <w:color w:val="auto"/>
              </w:rPr>
            </w:pPr>
            <w:r>
              <w:rPr>
                <w:rFonts w:ascii="Arial" w:cs="Arial" w:eastAsia="Arial" w:hAnsi="Arial"/>
                <w:sz w:val="18"/>
                <w:szCs w:val="18"/>
                <w:b w:val="1"/>
                <w:bCs w:val="1"/>
                <w:color w:val="auto"/>
              </w:rPr>
              <w:t>Fiscal 2005:</w:t>
            </w:r>
          </w:p>
        </w:tc>
        <w:tc>
          <w:tcPr>
            <w:tcW w:w="12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44"/>
        </w:trPr>
        <w:tc>
          <w:tcPr>
            <w:tcW w:w="53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First Quarter</w:t>
            </w:r>
          </w:p>
        </w:tc>
        <w:tc>
          <w:tcPr>
            <w:tcW w:w="128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$10.09</w:t>
            </w: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w w:val="98"/>
              </w:rPr>
              <w:t>$13.20</w:t>
            </w:r>
          </w:p>
        </w:tc>
        <w:tc>
          <w:tcPr>
            <w:tcW w:w="158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$ 0.08</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$ 0.06</w:t>
            </w:r>
          </w:p>
        </w:tc>
      </w:tr>
      <w:tr>
        <w:trPr>
          <w:trHeight w:val="242"/>
        </w:trPr>
        <w:tc>
          <w:tcPr>
            <w:tcW w:w="53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12.16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14.87</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0.06</w:t>
            </w:r>
          </w:p>
        </w:tc>
      </w:tr>
      <w:tr>
        <w:trPr>
          <w:trHeight w:val="244"/>
        </w:trPr>
        <w:tc>
          <w:tcPr>
            <w:tcW w:w="53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Third Quarter</w:t>
            </w:r>
          </w:p>
        </w:tc>
        <w:tc>
          <w:tcPr>
            <w:tcW w:w="128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13.92</w:t>
            </w: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rPr>
              <w:t>15.29</w:t>
            </w:r>
          </w:p>
        </w:tc>
        <w:tc>
          <w:tcPr>
            <w:tcW w:w="158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0.06</w:t>
            </w:r>
          </w:p>
        </w:tc>
      </w:tr>
      <w:tr>
        <w:trPr>
          <w:trHeight w:val="242"/>
        </w:trPr>
        <w:tc>
          <w:tcPr>
            <w:tcW w:w="53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13.12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14.55</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0.06</w:t>
            </w:r>
          </w:p>
        </w:tc>
      </w:tr>
      <w:tr>
        <w:trPr>
          <w:trHeight w:val="244"/>
        </w:trPr>
        <w:tc>
          <w:tcPr>
            <w:tcW w:w="5380" w:type="dxa"/>
            <w:vAlign w:val="bottom"/>
            <w:shd w:val="clear" w:color="auto" w:fill="C0C0C0"/>
          </w:tcPr>
          <w:p>
            <w:pPr>
              <w:ind w:left="7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58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0.26</w:t>
            </w:r>
          </w:p>
        </w:tc>
      </w:tr>
      <w:tr>
        <w:trPr>
          <w:trHeight w:val="242"/>
        </w:trPr>
        <w:tc>
          <w:tcPr>
            <w:tcW w:w="5380" w:type="dxa"/>
            <w:vAlign w:val="bottom"/>
          </w:tcPr>
          <w:p>
            <w:pPr>
              <w:spacing w:after="0"/>
              <w:rPr>
                <w:sz w:val="20"/>
                <w:szCs w:val="20"/>
                <w:color w:val="auto"/>
              </w:rPr>
            </w:pPr>
            <w:r>
              <w:rPr>
                <w:rFonts w:ascii="Arial" w:cs="Arial" w:eastAsia="Arial" w:hAnsi="Arial"/>
                <w:sz w:val="18"/>
                <w:szCs w:val="18"/>
                <w:b w:val="1"/>
                <w:bCs w:val="1"/>
                <w:color w:val="auto"/>
              </w:rPr>
              <w:t>Fiscal 2006:</w:t>
            </w: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53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First Quarter</w:t>
            </w:r>
          </w:p>
        </w:tc>
        <w:tc>
          <w:tcPr>
            <w:tcW w:w="128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$13.52</w:t>
            </w: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w w:val="98"/>
              </w:rPr>
              <w:t>$14.64</w:t>
            </w:r>
          </w:p>
        </w:tc>
        <w:tc>
          <w:tcPr>
            <w:tcW w:w="158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$ 0.10</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$ 0.07</w:t>
            </w:r>
          </w:p>
        </w:tc>
      </w:tr>
      <w:tr>
        <w:trPr>
          <w:trHeight w:val="242"/>
        </w:trPr>
        <w:tc>
          <w:tcPr>
            <w:tcW w:w="53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13.76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14.48</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0.07</w:t>
            </w:r>
          </w:p>
        </w:tc>
      </w:tr>
      <w:tr>
        <w:trPr>
          <w:trHeight w:val="244"/>
        </w:trPr>
        <w:tc>
          <w:tcPr>
            <w:tcW w:w="53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Third Quarter</w:t>
            </w:r>
          </w:p>
        </w:tc>
        <w:tc>
          <w:tcPr>
            <w:tcW w:w="128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292"/>
              <w:spacing w:after="0"/>
              <w:rPr>
                <w:sz w:val="20"/>
                <w:szCs w:val="20"/>
                <w:color w:val="auto"/>
              </w:rPr>
            </w:pPr>
            <w:r>
              <w:rPr>
                <w:rFonts w:ascii="Arial" w:cs="Arial" w:eastAsia="Arial" w:hAnsi="Arial"/>
                <w:sz w:val="18"/>
                <w:szCs w:val="18"/>
                <w:color w:val="auto"/>
              </w:rPr>
              <w:t>18.04</w:t>
            </w:r>
          </w:p>
        </w:tc>
        <w:tc>
          <w:tcPr>
            <w:tcW w:w="158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0.07</w:t>
            </w:r>
          </w:p>
        </w:tc>
      </w:tr>
      <w:tr>
        <w:trPr>
          <w:trHeight w:val="242"/>
        </w:trPr>
        <w:tc>
          <w:tcPr>
            <w:tcW w:w="53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14.32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17.76</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0.07</w:t>
            </w:r>
          </w:p>
        </w:tc>
      </w:tr>
      <w:tr>
        <w:trPr>
          <w:trHeight w:val="244"/>
        </w:trPr>
        <w:tc>
          <w:tcPr>
            <w:tcW w:w="5380" w:type="dxa"/>
            <w:vAlign w:val="bottom"/>
            <w:shd w:val="clear" w:color="auto" w:fill="C0C0C0"/>
          </w:tcPr>
          <w:p>
            <w:pPr>
              <w:ind w:left="7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580" w:type="dxa"/>
            <w:vAlign w:val="bottom"/>
            <w:gridSpan w:val="2"/>
            <w:shd w:val="clear" w:color="auto" w:fill="C0C0C0"/>
          </w:tcPr>
          <w:p>
            <w:pPr>
              <w:jc w:val="right"/>
              <w:ind w:right="292"/>
              <w:spacing w:after="0"/>
              <w:rPr>
                <w:sz w:val="20"/>
                <w:szCs w:val="20"/>
                <w:color w:val="auto"/>
              </w:rPr>
            </w:pPr>
            <w:r>
              <w:rPr>
                <w:rFonts w:ascii="Arial" w:cs="Arial" w:eastAsia="Arial" w:hAnsi="Arial"/>
                <w:sz w:val="18"/>
                <w:szCs w:val="18"/>
                <w:color w:val="auto"/>
              </w:rPr>
              <w:t>0.40</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0.28</w:t>
            </w:r>
          </w:p>
        </w:tc>
      </w:tr>
    </w:tbl>
    <w:p>
      <w:pPr>
        <w:spacing w:after="0" w:line="200" w:lineRule="exact"/>
        <w:rPr>
          <w:sz w:val="20"/>
          <w:szCs w:val="20"/>
          <w:color w:val="auto"/>
        </w:rPr>
      </w:pPr>
    </w:p>
    <w:p>
      <w:pPr>
        <w:spacing w:after="0" w:line="278" w:lineRule="exact"/>
        <w:rPr>
          <w:sz w:val="20"/>
          <w:szCs w:val="20"/>
          <w:color w:val="auto"/>
        </w:rPr>
      </w:pPr>
    </w:p>
    <w:p>
      <w:pPr>
        <w:jc w:val="both"/>
        <w:ind w:firstLine="347"/>
        <w:spacing w:after="0" w:line="298" w:lineRule="auto"/>
        <w:rPr>
          <w:sz w:val="20"/>
          <w:szCs w:val="20"/>
          <w:color w:val="auto"/>
        </w:rPr>
      </w:pPr>
      <w:r>
        <w:rPr>
          <w:rFonts w:ascii="Arial" w:cs="Arial" w:eastAsia="Arial" w:hAnsi="Arial"/>
          <w:sz w:val="16"/>
          <w:szCs w:val="16"/>
          <w:color w:val="auto"/>
        </w:rPr>
        <w:t>Our Board of Directors determines the timing and amount of its dividends each year. In the first quarter of fiscal 2006, our Board of Directors increased the regular quarterly cash dividend to $0.12 per share on the outstanding Common Stock and $0.09 per share of outstanding Class B Common Stock. In connection with the declaration of the stock dividend described above, the Board also elected to maintain the per share dividend rate at $0.12 per share of outstanding Common Stock, effectively increasing the aggregate dividend cash payout by approximately 25%.</w:t>
      </w:r>
    </w:p>
    <w:p>
      <w:pPr>
        <w:spacing w:after="0" w:line="194" w:lineRule="exact"/>
        <w:rPr>
          <w:sz w:val="20"/>
          <w:szCs w:val="20"/>
          <w:color w:val="auto"/>
        </w:rPr>
      </w:pPr>
    </w:p>
    <w:p>
      <w:pPr>
        <w:jc w:val="both"/>
        <w:ind w:firstLine="316"/>
        <w:spacing w:after="0" w:line="290" w:lineRule="auto"/>
        <w:rPr>
          <w:sz w:val="20"/>
          <w:szCs w:val="20"/>
          <w:color w:val="auto"/>
        </w:rPr>
      </w:pPr>
      <w:r>
        <w:rPr>
          <w:rFonts w:ascii="Arial" w:cs="Arial" w:eastAsia="Arial" w:hAnsi="Arial"/>
          <w:sz w:val="16"/>
          <w:szCs w:val="16"/>
          <w:color w:val="auto"/>
        </w:rPr>
        <w:t>The declaration and payment of future dividends, if any, will depend, among other things, upon our future earnings, capital requirements, financial condition, legal requirements, contractual restrictions and other factors that our board of directors deems relevant. Our 1998 Note Agreement with Teachers Insurance and Annuity Association and Prudential Financial (which acquired the retirement services business of Cigna Corporation in April 2004), our Credit Agreement with Harris N.A. dated January 27, 2006 and our 2005 Note Agreement with The Prudential Insurance Company of America and Prudential Retirement Insurance and Annuity Company require that certain minimum net worth and tangible net worth levels are to be maintained. To the extent that these balances are not attained, our ability to pay dividends may be impaired. See Note 4 of the Notes to the Consolidated Financial Statements. Our Board of Directors may change its dividend practice at any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9"/>
          <w:szCs w:val="29"/>
          <w:b w:val="1"/>
          <w:bCs w:val="1"/>
          <w:color w:val="auto"/>
          <w:vertAlign w:val="superscript"/>
        </w:rPr>
        <w:t>1</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741"/>
        </w:trPr>
        <w:tc>
          <w:tcPr>
            <w:tcW w:w="3820" w:type="dxa"/>
            <w:vAlign w:val="bottom"/>
            <w:tcBorders>
              <w:top w:val="single" w:sz="8" w:color="auto"/>
              <w:left w:val="single" w:sz="8" w:color="auto"/>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2540" w:type="dxa"/>
            <w:vAlign w:val="bottom"/>
            <w:tcBorders>
              <w:top w:val="single" w:sz="8" w:color="auto"/>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Total Number of</w:t>
            </w:r>
          </w:p>
        </w:tc>
        <w:tc>
          <w:tcPr>
            <w:tcW w:w="2420" w:type="dxa"/>
            <w:vAlign w:val="bottom"/>
            <w:tcBorders>
              <w:top w:val="single" w:sz="8" w:color="auto"/>
              <w:right w:val="single" w:sz="8" w:color="auto"/>
            </w:tcBorders>
          </w:tcPr>
          <w:p>
            <w:pPr>
              <w:spacing w:after="0"/>
              <w:rPr>
                <w:sz w:val="24"/>
                <w:szCs w:val="24"/>
                <w:color w:val="auto"/>
              </w:rPr>
            </w:pP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242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Maximum Number of</w:t>
            </w:r>
          </w:p>
        </w:tc>
      </w:tr>
      <w:tr>
        <w:trPr>
          <w:trHeight w:val="243"/>
        </w:trPr>
        <w:tc>
          <w:tcPr>
            <w:tcW w:w="3820" w:type="dxa"/>
            <w:vAlign w:val="bottom"/>
            <w:tcBorders>
              <w:left w:val="single" w:sz="8" w:color="auto"/>
              <w:right w:val="single" w:sz="8" w:color="auto"/>
            </w:tcBorders>
          </w:tcPr>
          <w:p>
            <w:pPr>
              <w:spacing w:after="0"/>
              <w:rPr>
                <w:sz w:val="21"/>
                <w:szCs w:val="21"/>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Part of Publicly</w:t>
            </w:r>
          </w:p>
        </w:tc>
        <w:tc>
          <w:tcPr>
            <w:tcW w:w="242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Shares that may yet</w:t>
            </w:r>
          </w:p>
        </w:tc>
      </w:tr>
      <w:tr>
        <w:trPr>
          <w:trHeight w:val="234"/>
        </w:trPr>
        <w:tc>
          <w:tcPr>
            <w:tcW w:w="3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For the Three Months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254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6"/>
              </w:rPr>
              <w:t>Announced Plans or</w:t>
            </w:r>
          </w:p>
        </w:tc>
        <w:tc>
          <w:tcPr>
            <w:tcW w:w="242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be Purchased Under</w:t>
            </w:r>
          </w:p>
        </w:tc>
      </w:tr>
      <w:tr>
        <w:trPr>
          <w:trHeight w:val="268"/>
        </w:trPr>
        <w:tc>
          <w:tcPr>
            <w:tcW w:w="3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Ended July 31, 2006</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Purchased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420" w:type="dxa"/>
            <w:vAlign w:val="bottom"/>
            <w:tcBorders>
              <w:bottom w:val="single" w:sz="8" w:color="auto"/>
              <w:right w:val="single" w:sz="8" w:color="auto"/>
            </w:tcBorders>
          </w:tcPr>
          <w:p>
            <w:pPr>
              <w:ind w:left="460"/>
              <w:spacing w:after="0" w:line="267" w:lineRule="exact"/>
              <w:rPr>
                <w:sz w:val="20"/>
                <w:szCs w:val="20"/>
                <w:color w:val="auto"/>
              </w:rPr>
            </w:pPr>
            <w:r>
              <w:rPr>
                <w:rFonts w:ascii="Arial" w:cs="Arial" w:eastAsia="Arial" w:hAnsi="Arial"/>
                <w:sz w:val="18"/>
                <w:szCs w:val="18"/>
                <w:b w:val="1"/>
                <w:bCs w:val="1"/>
                <w:color w:val="auto"/>
              </w:rPr>
              <w:t>Plans or Programs</w:t>
            </w:r>
            <w:r>
              <w:rPr>
                <w:rFonts w:ascii="Arial" w:cs="Arial" w:eastAsia="Arial" w:hAnsi="Arial"/>
                <w:sz w:val="29"/>
                <w:szCs w:val="29"/>
                <w:b w:val="1"/>
                <w:bCs w:val="1"/>
                <w:color w:val="auto"/>
                <w:vertAlign w:val="superscript"/>
              </w:rPr>
              <w:t>2</w:t>
            </w:r>
          </w:p>
        </w:tc>
      </w:tr>
      <w:tr>
        <w:trPr>
          <w:trHeight w:val="478"/>
        </w:trPr>
        <w:tc>
          <w:tcPr>
            <w:tcW w:w="3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May 1, 2006 to</w:t>
            </w:r>
          </w:p>
        </w:tc>
        <w:tc>
          <w:tcPr>
            <w:tcW w:w="13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243"/>
        </w:trPr>
        <w:tc>
          <w:tcPr>
            <w:tcW w:w="3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May 31, 2006</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16,300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2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16,300</w:t>
            </w:r>
          </w:p>
        </w:tc>
        <w:tc>
          <w:tcPr>
            <w:tcW w:w="2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464,804</w:t>
            </w:r>
          </w:p>
        </w:tc>
      </w:tr>
      <w:tr>
        <w:trPr>
          <w:trHeight w:val="245"/>
        </w:trPr>
        <w:tc>
          <w:tcPr>
            <w:tcW w:w="382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478"/>
        </w:trPr>
        <w:tc>
          <w:tcPr>
            <w:tcW w:w="3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June 1, 2006 to</w:t>
            </w:r>
          </w:p>
        </w:tc>
        <w:tc>
          <w:tcPr>
            <w:tcW w:w="13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243"/>
        </w:trPr>
        <w:tc>
          <w:tcPr>
            <w:tcW w:w="38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June 30, 2006</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86,900</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5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86,900</w:t>
            </w:r>
          </w:p>
        </w:tc>
        <w:tc>
          <w:tcPr>
            <w:tcW w:w="2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377,904</w:t>
            </w:r>
          </w:p>
        </w:tc>
      </w:tr>
      <w:tr>
        <w:trPr>
          <w:trHeight w:val="245"/>
        </w:trPr>
        <w:tc>
          <w:tcPr>
            <w:tcW w:w="382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r>
      <w:tr>
        <w:trPr>
          <w:trHeight w:val="320"/>
        </w:trPr>
        <w:tc>
          <w:tcPr>
            <w:tcW w:w="3820" w:type="dxa"/>
            <w:vAlign w:val="bottom"/>
            <w:tcBorders>
              <w:left w:val="single" w:sz="8" w:color="auto"/>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bl>
    <w:p>
      <w:pPr>
        <w:sectPr>
          <w:pgSz w:w="11900" w:h="16900" w:orient="portrait"/>
          <w:cols w:equalWidth="0" w:num="1">
            <w:col w:w="11420"/>
          </w:cols>
          <w:pgMar w:left="240" w:top="121" w:right="239" w:bottom="0" w:gutter="0" w:footer="0" w:header="0"/>
        </w:sectPr>
      </w:pPr>
    </w:p>
    <w:bookmarkStart w:id="13" w:name="page14"/>
    <w:bookmarkEnd w:id="1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July 1, 2006 to</w:t>
            </w:r>
          </w:p>
        </w:tc>
        <w:tc>
          <w:tcPr>
            <w:tcW w:w="2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July 31, 2006</w:t>
            </w:r>
          </w:p>
        </w:tc>
        <w:tc>
          <w:tcPr>
            <w:tcW w:w="2640" w:type="dxa"/>
            <w:vAlign w:val="bottom"/>
          </w:tcPr>
          <w:p>
            <w:pPr>
              <w:jc w:val="right"/>
              <w:ind w:right="312"/>
              <w:spacing w:after="0"/>
              <w:rPr>
                <w:sz w:val="20"/>
                <w:szCs w:val="20"/>
                <w:color w:val="auto"/>
              </w:rPr>
            </w:pPr>
            <w:r>
              <w:rPr>
                <w:rFonts w:ascii="Arial" w:cs="Arial" w:eastAsia="Arial" w:hAnsi="Arial"/>
                <w:sz w:val="18"/>
                <w:szCs w:val="18"/>
                <w:color w:val="auto"/>
              </w:rPr>
              <w:t>62,095</w:t>
            </w:r>
          </w:p>
        </w:tc>
        <w:tc>
          <w:tcPr>
            <w:tcW w:w="1900" w:type="dxa"/>
            <w:vAlign w:val="bottom"/>
          </w:tcPr>
          <w:p>
            <w:pPr>
              <w:jc w:val="right"/>
              <w:ind w:right="952"/>
              <w:spacing w:after="0"/>
              <w:rPr>
                <w:sz w:val="20"/>
                <w:szCs w:val="20"/>
                <w:color w:val="auto"/>
              </w:rPr>
            </w:pPr>
            <w:r>
              <w:rPr>
                <w:rFonts w:ascii="Arial" w:cs="Arial" w:eastAsia="Arial" w:hAnsi="Arial"/>
                <w:sz w:val="18"/>
                <w:szCs w:val="18"/>
                <w:color w:val="auto"/>
              </w:rPr>
              <w:t>$19.90</w:t>
            </w:r>
          </w:p>
        </w:tc>
        <w:tc>
          <w:tcPr>
            <w:tcW w:w="2440" w:type="dxa"/>
            <w:vAlign w:val="bottom"/>
          </w:tcPr>
          <w:p>
            <w:pPr>
              <w:jc w:val="right"/>
              <w:ind w:right="852"/>
              <w:spacing w:after="0"/>
              <w:rPr>
                <w:sz w:val="20"/>
                <w:szCs w:val="20"/>
                <w:color w:val="auto"/>
              </w:rPr>
            </w:pPr>
            <w:r>
              <w:rPr>
                <w:rFonts w:ascii="Arial" w:cs="Arial" w:eastAsia="Arial" w:hAnsi="Arial"/>
                <w:sz w:val="18"/>
                <w:szCs w:val="18"/>
                <w:color w:val="auto"/>
              </w:rPr>
              <w:t>62,095</w:t>
            </w:r>
          </w:p>
        </w:tc>
        <w:tc>
          <w:tcPr>
            <w:tcW w:w="1480" w:type="dxa"/>
            <w:vAlign w:val="bottom"/>
          </w:tcPr>
          <w:p>
            <w:pPr>
              <w:jc w:val="right"/>
              <w:spacing w:after="0"/>
              <w:rPr>
                <w:sz w:val="20"/>
                <w:szCs w:val="20"/>
                <w:color w:val="auto"/>
              </w:rPr>
            </w:pPr>
            <w:r>
              <w:rPr>
                <w:rFonts w:ascii="Arial" w:cs="Arial" w:eastAsia="Arial" w:hAnsi="Arial"/>
                <w:sz w:val="18"/>
                <w:szCs w:val="18"/>
                <w:color w:val="auto"/>
              </w:rPr>
              <w:t>315,809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8"/>
        <w:spacing w:after="0" w:line="210" w:lineRule="auto"/>
        <w:tabs>
          <w:tab w:leader="none" w:pos="128"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6 of the Notes to Consolidated Financial Statements.</w:t>
      </w:r>
    </w:p>
    <w:p>
      <w:pPr>
        <w:spacing w:after="0" w:line="251" w:lineRule="exact"/>
        <w:rPr>
          <w:sz w:val="20"/>
          <w:szCs w:val="20"/>
          <w:color w:val="auto"/>
        </w:rPr>
      </w:pPr>
    </w:p>
    <w:p>
      <w:pPr>
        <w:jc w:val="both"/>
        <w:ind w:firstLine="8"/>
        <w:spacing w:after="0" w:line="236" w:lineRule="auto"/>
        <w:tabs>
          <w:tab w:leader="none" w:pos="126"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On October 10, 2005, our Board of Directors authorized the repurchase of up to 500,000 shares of Common Stock, with repurchases to be made from time to time in the discretion of our management and in accordance with applicable laws, rules and regulations. This authorization does not have a stated expiration date. The share numbers in this column indicate the number of shares of Common Stock that may yet be repurchased under this authorization. The share numbers are not affected by the five-for-four stock split that occurred on September 8, 2006. We do not have any current authorization from our Board of Directors to repurchase shares of Class B Stock, and no shares of Class A Common Stock are currently outstanding.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6 – SELECTED FINANCIAL DATA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3"/>
          <w:szCs w:val="13"/>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3"/>
          <w:szCs w:val="13"/>
          <w:b w:val="1"/>
          <w:bCs w:val="1"/>
          <w:color w:val="auto"/>
        </w:rPr>
        <w:t>IN THOUSANDS EXCEPT FOR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MOUNTS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2006</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2005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2004</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2003</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2002</w:t>
            </w:r>
          </w:p>
        </w:tc>
      </w:tr>
      <w:tr>
        <w:trPr>
          <w:trHeight w:val="243"/>
        </w:trPr>
        <w:tc>
          <w:tcPr>
            <w:tcW w:w="5360" w:type="dxa"/>
            <w:vAlign w:val="bottom"/>
            <w:shd w:val="clear" w:color="auto" w:fill="C0C0C0"/>
          </w:tcPr>
          <w:p>
            <w:pPr>
              <w:ind w:left="60"/>
              <w:spacing w:after="0"/>
              <w:rPr>
                <w:sz w:val="20"/>
                <w:szCs w:val="20"/>
                <w:color w:val="auto"/>
              </w:rPr>
            </w:pPr>
            <w:r>
              <w:rPr>
                <w:rFonts w:ascii="Arial" w:cs="Arial" w:eastAsia="Arial" w:hAnsi="Arial"/>
                <w:sz w:val="18"/>
                <w:szCs w:val="18"/>
                <w:color w:val="auto"/>
              </w:rPr>
              <w:t>Summary of Operations</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42"/>
        </w:trPr>
        <w:tc>
          <w:tcPr>
            <w:tcW w:w="5360" w:type="dxa"/>
            <w:vAlign w:val="bottom"/>
          </w:tcPr>
          <w:p>
            <w:pPr>
              <w:ind w:left="6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205,210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187,868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185,511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173,041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162,345</w:t>
            </w:r>
          </w:p>
        </w:tc>
      </w:tr>
      <w:tr>
        <w:trPr>
          <w:trHeight w:val="244"/>
        </w:trPr>
        <w:tc>
          <w:tcPr>
            <w:tcW w:w="5360" w:type="dxa"/>
            <w:vAlign w:val="bottom"/>
            <w:tcBorders>
              <w:bottom w:val="single" w:sz="8" w:color="C0C0C0"/>
            </w:tcBorders>
            <w:shd w:val="clear" w:color="auto" w:fill="C0C0C0"/>
          </w:tcPr>
          <w:p>
            <w:pPr>
              <w:ind w:left="60"/>
              <w:spacing w:after="0"/>
              <w:rPr>
                <w:sz w:val="20"/>
                <w:szCs w:val="20"/>
                <w:color w:val="auto"/>
              </w:rPr>
            </w:pPr>
            <w:r>
              <w:rPr>
                <w:rFonts w:ascii="Arial" w:cs="Arial" w:eastAsia="Arial" w:hAnsi="Arial"/>
                <w:sz w:val="18"/>
                <w:szCs w:val="18"/>
                <w:color w:val="auto"/>
              </w:rPr>
              <w:t>Cost of Sales (1)</w:t>
            </w:r>
          </w:p>
        </w:tc>
        <w:tc>
          <w:tcPr>
            <w:tcW w:w="2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167,136</w:t>
            </w:r>
          </w:p>
        </w:tc>
        <w:tc>
          <w:tcPr>
            <w:tcW w:w="2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147,513</w:t>
            </w:r>
          </w:p>
        </w:tc>
        <w:tc>
          <w:tcPr>
            <w:tcW w:w="2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142,263</w:t>
            </w:r>
          </w:p>
        </w:tc>
        <w:tc>
          <w:tcPr>
            <w:tcW w:w="22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137,413</w:t>
            </w:r>
          </w:p>
        </w:tc>
        <w:tc>
          <w:tcPr>
            <w:tcW w:w="22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131,265</w:t>
            </w:r>
          </w:p>
        </w:tc>
      </w:tr>
      <w:tr>
        <w:trPr>
          <w:trHeight w:val="236"/>
        </w:trPr>
        <w:tc>
          <w:tcPr>
            <w:tcW w:w="536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38,074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40,355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43,248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35,628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31,080</w:t>
            </w:r>
          </w:p>
        </w:tc>
      </w:tr>
      <w:tr>
        <w:trPr>
          <w:trHeight w:val="244"/>
        </w:trPr>
        <w:tc>
          <w:tcPr>
            <w:tcW w:w="5360" w:type="dxa"/>
            <w:vAlign w:val="bottom"/>
            <w:shd w:val="clear" w:color="auto" w:fill="C0C0C0"/>
          </w:tcPr>
          <w:p>
            <w:pPr>
              <w:ind w:left="60"/>
              <w:spacing w:after="0"/>
              <w:rPr>
                <w:sz w:val="20"/>
                <w:szCs w:val="20"/>
                <w:color w:val="auto"/>
              </w:rPr>
            </w:pPr>
            <w:r>
              <w:rPr>
                <w:rFonts w:ascii="Arial" w:cs="Arial" w:eastAsia="Arial" w:hAnsi="Arial"/>
                <w:sz w:val="18"/>
                <w:szCs w:val="18"/>
                <w:color w:val="auto"/>
              </w:rPr>
              <w:t>Other Contractual Income &amp; Charges</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60"/>
              <w:spacing w:after="0"/>
              <w:rPr>
                <w:sz w:val="20"/>
                <w:szCs w:val="20"/>
                <w:color w:val="auto"/>
              </w:rPr>
            </w:pPr>
            <w:r>
              <w:rPr>
                <w:rFonts w:ascii="Arial" w:cs="Arial" w:eastAsia="Arial" w:hAnsi="Arial"/>
                <w:sz w:val="18"/>
                <w:szCs w:val="18"/>
                <w:color w:val="auto"/>
              </w:rPr>
              <w:t>Loss on Impaired Long-Lived Assets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(3,213)</w:t>
            </w:r>
          </w:p>
        </w:tc>
      </w:tr>
      <w:tr>
        <w:trPr>
          <w:trHeight w:val="216"/>
        </w:trPr>
        <w:tc>
          <w:tcPr>
            <w:tcW w:w="5360" w:type="dxa"/>
            <w:vAlign w:val="bottom"/>
            <w:shd w:val="clear" w:color="auto" w:fill="C0C0C0"/>
          </w:tcPr>
          <w:p>
            <w:pPr>
              <w:ind w:left="60"/>
              <w:spacing w:after="0"/>
              <w:rPr>
                <w:sz w:val="20"/>
                <w:szCs w:val="20"/>
                <w:color w:val="auto"/>
              </w:rPr>
            </w:pPr>
            <w:r>
              <w:rPr>
                <w:rFonts w:ascii="Arial" w:cs="Arial" w:eastAsia="Arial" w:hAnsi="Arial"/>
                <w:sz w:val="18"/>
                <w:szCs w:val="18"/>
                <w:color w:val="auto"/>
              </w:rPr>
              <w:t>Gain on the Sale of Long-Lived Assets</w:t>
            </w:r>
          </w:p>
        </w:tc>
        <w:tc>
          <w:tcPr>
            <w:tcW w:w="260" w:type="dxa"/>
            <w:vAlign w:val="bottom"/>
            <w:shd w:val="clear" w:color="auto" w:fill="C0C0C0"/>
          </w:tcPr>
          <w:p>
            <w:pPr>
              <w:spacing w:after="0"/>
              <w:rPr>
                <w:sz w:val="18"/>
                <w:szCs w:val="18"/>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415</w:t>
            </w:r>
          </w:p>
        </w:tc>
        <w:tc>
          <w:tcPr>
            <w:tcW w:w="2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 (2)</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(29,735)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(30,470)</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(32,975)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(27,878)</w:t>
            </w:r>
          </w:p>
        </w:tc>
      </w:tr>
      <w:tr>
        <w:trPr>
          <w:trHeight w:val="237"/>
        </w:trPr>
        <w:tc>
          <w:tcPr>
            <w:tcW w:w="5360" w:type="dxa"/>
            <w:vAlign w:val="bottom"/>
            <w:tcBorders>
              <w:bottom w:val="single" w:sz="8" w:color="C0C0C0"/>
            </w:tcBorders>
            <w:shd w:val="clear" w:color="auto" w:fill="C0C0C0"/>
          </w:tcPr>
          <w:p>
            <w:pPr>
              <w:ind w:left="6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8,754</w:t>
            </w:r>
          </w:p>
        </w:tc>
        <w:tc>
          <w:tcPr>
            <w:tcW w:w="22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9,885</w:t>
            </w:r>
          </w:p>
        </w:tc>
        <w:tc>
          <w:tcPr>
            <w:tcW w:w="22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8,559</w:t>
            </w:r>
          </w:p>
        </w:tc>
        <w:tc>
          <w:tcPr>
            <w:tcW w:w="22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6,617</w:t>
            </w:r>
          </w:p>
        </w:tc>
        <w:tc>
          <w:tcPr>
            <w:tcW w:w="22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5360" w:type="dxa"/>
            <w:vAlign w:val="bottom"/>
          </w:tcPr>
          <w:p>
            <w:pPr>
              <w:ind w:left="6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4"/>
        </w:trPr>
        <w:tc>
          <w:tcPr>
            <w:tcW w:w="53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1,106</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295</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(2,255)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Foreign Exchange Gains (Losses)</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Gain on the Sale of Mineral Rights</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44"/>
        </w:trPr>
        <w:tc>
          <w:tcPr>
            <w:tcW w:w="536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Other, Net (3)</w:t>
            </w:r>
          </w:p>
        </w:tc>
        <w:tc>
          <w:tcPr>
            <w:tcW w:w="2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386</w:t>
            </w:r>
          </w:p>
        </w:tc>
        <w:tc>
          <w:tcPr>
            <w:tcW w:w="2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5360" w:type="dxa"/>
            <w:vAlign w:val="bottom"/>
          </w:tcPr>
          <w:p>
            <w:pPr>
              <w:ind w:left="5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10"/>
        </w:trPr>
        <w:tc>
          <w:tcPr>
            <w:tcW w:w="5360" w:type="dxa"/>
            <w:vAlign w:val="bottom"/>
            <w:shd w:val="clear" w:color="auto" w:fill="C0C0C0"/>
          </w:tcPr>
          <w:p>
            <w:pPr>
              <w:ind w:left="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0C0C0"/>
          </w:tcPr>
          <w:p>
            <w:pPr>
              <w:spacing w:after="0"/>
              <w:rPr>
                <w:sz w:val="18"/>
                <w:szCs w:val="18"/>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7,896</w:t>
            </w:r>
          </w:p>
        </w:tc>
        <w:tc>
          <w:tcPr>
            <w:tcW w:w="2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8,932</w:t>
            </w:r>
          </w:p>
        </w:tc>
        <w:tc>
          <w:tcPr>
            <w:tcW w:w="2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6,931</w:t>
            </w:r>
          </w:p>
        </w:tc>
        <w:tc>
          <w:tcPr>
            <w:tcW w:w="2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4,342</w:t>
            </w:r>
          </w:p>
        </w:tc>
        <w:tc>
          <w:tcPr>
            <w:tcW w:w="2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(1,559)</w:t>
            </w:r>
          </w:p>
        </w:tc>
      </w:tr>
      <w:tr>
        <w:trPr>
          <w:trHeight w:val="243"/>
        </w:trPr>
        <w:tc>
          <w:tcPr>
            <w:tcW w:w="5360" w:type="dxa"/>
            <w:vAlign w:val="bottom"/>
          </w:tcPr>
          <w:p>
            <w:pPr>
              <w:ind w:left="60"/>
              <w:spacing w:after="0"/>
              <w:rPr>
                <w:sz w:val="20"/>
                <w:szCs w:val="20"/>
                <w:color w:val="auto"/>
              </w:rPr>
            </w:pPr>
            <w:r>
              <w:rPr>
                <w:rFonts w:ascii="Arial" w:cs="Arial" w:eastAsia="Arial" w:hAnsi="Arial"/>
                <w:sz w:val="18"/>
                <w:szCs w:val="18"/>
                <w:color w:val="auto"/>
              </w:rPr>
              <w:t>Income Taxes (Benefit)</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5360" w:type="dxa"/>
            <w:vAlign w:val="bottom"/>
            <w:tcBorders>
              <w:bottom w:val="single" w:sz="8" w:color="C0C0C0"/>
            </w:tcBorders>
            <w:shd w:val="clear" w:color="auto" w:fill="C0C0C0"/>
          </w:tcPr>
          <w:p>
            <w:pPr>
              <w:ind w:left="6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5,259</w:t>
            </w:r>
          </w:p>
        </w:tc>
        <w:tc>
          <w:tcPr>
            <w:tcW w:w="22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6,540</w:t>
            </w:r>
          </w:p>
        </w:tc>
        <w:tc>
          <w:tcPr>
            <w:tcW w:w="22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5,033</w:t>
            </w:r>
          </w:p>
        </w:tc>
        <w:tc>
          <w:tcPr>
            <w:tcW w:w="22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(1,094)</w:t>
            </w:r>
          </w:p>
        </w:tc>
      </w:tr>
      <w:tr>
        <w:trPr>
          <w:trHeight w:val="242"/>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Diluted (4)</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7,219</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7,455</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7,452</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7,135</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7,018</w:t>
            </w:r>
          </w:p>
        </w:tc>
      </w:tr>
      <w:tr>
        <w:trPr>
          <w:trHeight w:val="242"/>
        </w:trPr>
        <w:tc>
          <w:tcPr>
            <w:tcW w:w="5360" w:type="dxa"/>
            <w:vAlign w:val="bottom"/>
          </w:tcPr>
          <w:p>
            <w:pPr>
              <w:ind w:left="60"/>
              <w:spacing w:after="0"/>
              <w:rPr>
                <w:sz w:val="20"/>
                <w:szCs w:val="20"/>
                <w:color w:val="auto"/>
              </w:rPr>
            </w:pPr>
            <w:r>
              <w:rPr>
                <w:rFonts w:ascii="Arial" w:cs="Arial" w:eastAsia="Arial" w:hAnsi="Arial"/>
                <w:sz w:val="18"/>
                <w:szCs w:val="18"/>
                <w:b w:val="1"/>
                <w:bCs w:val="1"/>
                <w:color w:val="auto"/>
              </w:rPr>
              <w:t>Net Income (Loss) per Share</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Diluted (4)</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0.73</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0.88</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0.43</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(0.16)</w:t>
            </w:r>
          </w:p>
        </w:tc>
      </w:tr>
      <w:tr>
        <w:trPr>
          <w:trHeight w:val="242"/>
        </w:trPr>
        <w:tc>
          <w:tcPr>
            <w:tcW w:w="5360" w:type="dxa"/>
            <w:vAlign w:val="bottom"/>
          </w:tcPr>
          <w:p>
            <w:pPr>
              <w:ind w:left="60"/>
              <w:spacing w:after="0"/>
              <w:rPr>
                <w:sz w:val="20"/>
                <w:szCs w:val="20"/>
                <w:color w:val="auto"/>
              </w:rPr>
            </w:pPr>
            <w:r>
              <w:rPr>
                <w:rFonts w:ascii="Arial" w:cs="Arial" w:eastAsia="Arial" w:hAnsi="Arial"/>
                <w:sz w:val="18"/>
                <w:szCs w:val="18"/>
                <w:b w:val="1"/>
                <w:bCs w:val="1"/>
                <w:color w:val="auto"/>
              </w:rPr>
              <w:t>Important Highlights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139,547</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123,571</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128,875</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126,823</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125,035</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31,160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31,400</w:t>
            </w: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48,589</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40,562</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40,945</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35,396</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37,652</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Working Capital Ratio</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Book Value per Share</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10.73</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10.76</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10.55</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9.91</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9.84</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10,827</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7,311</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6,067</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4,882</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4,096</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7,212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8,785</w:t>
            </w: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 (Loss) as a Percent of Sales</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(0.7%)</w:t>
            </w:r>
          </w:p>
        </w:tc>
      </w:tr>
      <w:tr>
        <w:trPr>
          <w:trHeight w:val="242"/>
        </w:trPr>
        <w:tc>
          <w:tcPr>
            <w:tcW w:w="5360" w:type="dxa"/>
            <w:vAlign w:val="bottom"/>
          </w:tcPr>
          <w:p>
            <w:pPr>
              <w:ind w:left="280"/>
              <w:spacing w:after="0"/>
              <w:rPr>
                <w:sz w:val="20"/>
                <w:szCs w:val="20"/>
                <w:color w:val="auto"/>
              </w:rPr>
            </w:pPr>
            <w:r>
              <w:rPr>
                <w:rFonts w:ascii="Arial" w:cs="Arial" w:eastAsia="Arial" w:hAnsi="Arial"/>
                <w:sz w:val="18"/>
                <w:szCs w:val="18"/>
                <w:color w:val="auto"/>
              </w:rPr>
              <w:t>Return on Average Stockholders’ Equity</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Gross Profit as a Percent of Net Sales</w:t>
            </w:r>
          </w:p>
        </w:tc>
        <w:tc>
          <w:tcPr>
            <w:tcW w:w="2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18.6%</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19.1%</w:t>
            </w:r>
          </w:p>
        </w:tc>
      </w:tr>
      <w:tr>
        <w:trPr>
          <w:trHeight w:val="241"/>
        </w:trPr>
        <w:tc>
          <w:tcPr>
            <w:tcW w:w="5360" w:type="dxa"/>
            <w:vAlign w:val="bottom"/>
          </w:tcPr>
          <w:p>
            <w:pPr>
              <w:ind w:left="280"/>
              <w:spacing w:after="0"/>
              <w:rPr>
                <w:sz w:val="20"/>
                <w:szCs w:val="20"/>
                <w:color w:val="auto"/>
              </w:rPr>
            </w:pPr>
            <w:r>
              <w:rPr>
                <w:rFonts w:ascii="Arial" w:cs="Arial" w:eastAsia="Arial" w:hAnsi="Arial"/>
                <w:sz w:val="18"/>
                <w:szCs w:val="18"/>
                <w:color w:val="auto"/>
              </w:rPr>
              <w:t>Operating Expenses as a Percent of Net Sales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8"/>
        <w:spacing w:after="0" w:line="259"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fiscal 2002 and 2003, a change in the estimate of uncovered mineable clay resulted in a change in accounting estimate for prepaid overburden removal expense. The impact of this estimate revision for fiscal 2002 and 2003 was an additional charge to cost of sales of approximately $1,092,000 and $630,000, respectively.</w:t>
      </w:r>
    </w:p>
    <w:p>
      <w:pPr>
        <w:sectPr>
          <w:pgSz w:w="11900" w:h="16838" w:orient="portrait"/>
          <w:cols w:equalWidth="0" w:num="1">
            <w:col w:w="11420"/>
          </w:cols>
          <w:pgMar w:left="240" w:top="131" w:right="239" w:bottom="0" w:gutter="0" w:footer="0" w:header="0"/>
        </w:sectPr>
      </w:pPr>
    </w:p>
    <w:bookmarkStart w:id="14" w:name="page15"/>
    <w:bookmarkEnd w:id="14"/>
    <w:p>
      <w:pPr>
        <w:ind w:left="260" w:hanging="252"/>
        <w:spacing w:after="0"/>
        <w:tabs>
          <w:tab w:leader="none" w:pos="2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fiscal 2004, selling, general and administrative expenses included $700,000 of defense costs associated with the settlement of patent infringement litigation.</w:t>
      </w:r>
    </w:p>
    <w:p>
      <w:pPr>
        <w:spacing w:after="0" w:line="259" w:lineRule="exact"/>
        <w:rPr>
          <w:rFonts w:ascii="Arial" w:cs="Arial" w:eastAsia="Arial" w:hAnsi="Arial"/>
          <w:sz w:val="15"/>
          <w:szCs w:val="15"/>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fiscal 2002, Other, Net Income (Expense) includes a pre-tax $168,000 gain on real estate sale.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fiscal 2003, Other, Net Income (Expense) includes a pre-tax $310,000 gain on real estate sales, a pre-tax $89,000 write-off associated with the closure of the Christmas Valley, Oregon production facility, a pre-tax $385,000 asset write-off and a pre-tax $350,000 goodwill write-off related to our investment in Kamterter.</w:t>
      </w:r>
    </w:p>
    <w:p>
      <w:pPr>
        <w:spacing w:after="0" w:line="139" w:lineRule="exact"/>
        <w:rPr>
          <w:sz w:val="20"/>
          <w:szCs w:val="20"/>
          <w:color w:val="auto"/>
        </w:rPr>
      </w:pPr>
    </w:p>
    <w:p>
      <w:pPr>
        <w:jc w:val="both"/>
        <w:ind w:firstLine="8"/>
        <w:spacing w:after="0" w:line="306" w:lineRule="auto"/>
        <w:tabs>
          <w:tab w:leader="none" w:pos="2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shares outstanding and income (loss) per share for all years presented have been restated to reflect a five-for-four stock split, effected by a stock dividend of one-quarter share for each outstanding share of Common Stock and Class B Stock. The Board announced the stock dividend on June 6, 2006. The stock dividend was paid on September 8, 2006 to shareholders of record at the close of business on August 4, 2006.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49"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9" w:lineRule="exact"/>
        <w:rPr>
          <w:sz w:val="20"/>
          <w:szCs w:val="20"/>
          <w:color w:val="auto"/>
        </w:rPr>
      </w:pPr>
    </w:p>
    <w:p>
      <w:pPr>
        <w:jc w:val="both"/>
        <w:ind w:firstLine="332"/>
        <w:spacing w:after="0" w:line="290" w:lineRule="auto"/>
        <w:rPr>
          <w:sz w:val="20"/>
          <w:szCs w:val="20"/>
          <w:color w:val="auto"/>
        </w:rPr>
      </w:pPr>
      <w:r>
        <w:rPr>
          <w:rFonts w:ascii="Arial" w:cs="Arial" w:eastAsia="Arial" w:hAnsi="Arial"/>
          <w:sz w:val="16"/>
          <w:szCs w:val="16"/>
          <w:color w:val="auto"/>
        </w:rPr>
        <w:t>We develop, manufacture and market sorbent products principally produced from clay minerals and, to a lesser extent, other sorbent materials. Our principal products include cat litter, industrial and automotive floor absorbents, fluid purification and filtration bleaching clays, agricultural chemical carriers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In the first quarter of fiscal 2006 we reorganized our management group in order to best support our customers’ needs. As a result of this reorganization, we have two reportable segments, the Retail and Wholesale Products Group and the Business to Business Products Group. Each operating segment is discussed individually below. Additional detailed descriptions of the operating segments are included in Item 1. Business.</w:t>
      </w:r>
    </w:p>
    <w:p>
      <w:pPr>
        <w:spacing w:after="0" w:line="199" w:lineRule="exact"/>
        <w:rPr>
          <w:sz w:val="20"/>
          <w:szCs w:val="20"/>
          <w:color w:val="auto"/>
        </w:rPr>
      </w:pPr>
    </w:p>
    <w:p>
      <w:pPr>
        <w:jc w:val="both"/>
        <w:ind w:right="20" w:firstLine="333"/>
        <w:spacing w:after="0" w:line="256" w:lineRule="auto"/>
        <w:rPr>
          <w:sz w:val="20"/>
          <w:szCs w:val="20"/>
          <w:color w:val="auto"/>
        </w:rPr>
      </w:pPr>
      <w:r>
        <w:rPr>
          <w:rFonts w:ascii="Arial" w:cs="Arial" w:eastAsia="Arial" w:hAnsi="Arial"/>
          <w:sz w:val="18"/>
          <w:szCs w:val="18"/>
          <w:color w:val="auto"/>
        </w:rPr>
        <w:t>During fiscal 2006, we continued to experience significant price increases for packaging, transportation, fuel and energy. The price increases were primarily driven by a global increase in demand for oil and by fuel supply interruptions as the result of damage to oil production facilities caused by hurricanes Katrina and Rita. These higher costs negatively impacted our margins. Our delivered cost of goods is very sensitive to increases in the costs of natural gas and fuel oil, as well as the costs of packaging materials, steel and diesel fuel.</w:t>
      </w:r>
    </w:p>
    <w:p>
      <w:pPr>
        <w:spacing w:after="0" w:line="224" w:lineRule="exact"/>
        <w:rPr>
          <w:sz w:val="20"/>
          <w:szCs w:val="20"/>
          <w:color w:val="auto"/>
        </w:rPr>
      </w:pPr>
    </w:p>
    <w:p>
      <w:pPr>
        <w:jc w:val="both"/>
        <w:ind w:firstLine="316"/>
        <w:spacing w:after="0" w:line="259" w:lineRule="auto"/>
        <w:rPr>
          <w:sz w:val="20"/>
          <w:szCs w:val="20"/>
          <w:color w:val="auto"/>
        </w:rPr>
      </w:pPr>
      <w:r>
        <w:rPr>
          <w:rFonts w:ascii="Arial" w:cs="Arial" w:eastAsia="Arial" w:hAnsi="Arial"/>
          <w:sz w:val="18"/>
          <w:szCs w:val="18"/>
          <w:color w:val="auto"/>
        </w:rPr>
        <w:t>We also continued to face an increasingly competitive environment in all of our markets. The retail market has become particularly competitive, partially due to the continued growth of high-volume retail stores. Global contracting for our fluid purification and filtration products has also increased price pressure. In addition, new technologies are challenging the traditional application of some of our agricultural products.</w:t>
      </w:r>
    </w:p>
    <w:p>
      <w:pPr>
        <w:spacing w:after="0" w:line="221" w:lineRule="exact"/>
        <w:rPr>
          <w:sz w:val="20"/>
          <w:szCs w:val="20"/>
          <w:color w:val="auto"/>
        </w:rPr>
      </w:pPr>
    </w:p>
    <w:p>
      <w:pPr>
        <w:jc w:val="both"/>
        <w:ind w:firstLine="332"/>
        <w:spacing w:after="0" w:line="298" w:lineRule="auto"/>
        <w:rPr>
          <w:sz w:val="20"/>
          <w:szCs w:val="20"/>
          <w:color w:val="auto"/>
        </w:rPr>
      </w:pPr>
      <w:r>
        <w:rPr>
          <w:rFonts w:ascii="Arial" w:cs="Arial" w:eastAsia="Arial" w:hAnsi="Arial"/>
          <w:sz w:val="16"/>
          <w:szCs w:val="16"/>
          <w:color w:val="auto"/>
        </w:rPr>
        <w:t>During the year we implemented energy surcharges and price increases to partially address the higher costs incurred in producing our products. Competitive pricing pressure limits the capacity of this strategy, so we have also focused on internal cost reduction programs. A company-wide directive for operational excellence included initiatives to increase efficiencies at our manufacturing facilities and to implement procurement programs to reduce costs. Although our net income in fiscal 2006 has declined from fiscal 2005, we believe the strategies we implemented prevented a substantial decline in fiscal 2006 net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On June 6, 2006, the Board announced a five-for-four stock split, to be effected by a stock dividend of one-quarter share for each outstanding share of Common Stock and Class B Stock. The stock dividend was paid on September 8, 2006 to stockholders of record at the close of business on August 4, 2006. The Board also elected to maintain the per share dividend rate at $0.12 per share of outstanding Common Stock, effectively increasing the dividend payout by approximately 25%. All shares outstanding, earnings per share numbers and balance sheet values have been restated to reflect the stock dividend.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2006 C</w:t>
      </w:r>
      <w:r>
        <w:rPr>
          <w:rFonts w:ascii="Arial" w:cs="Arial" w:eastAsia="Arial" w:hAnsi="Arial"/>
          <w:sz w:val="13"/>
          <w:szCs w:val="13"/>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2005</w:t>
      </w:r>
    </w:p>
    <w:p>
      <w:pPr>
        <w:spacing w:after="0" w:line="24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Consolidated net sales for the year ended July 31, 2006 were $205,210,000, an increase of 9.2% from net sales of $187,868,000 in fiscal 2005. Net income for the year was $5,259,000, a decrease of 19.6% from net income of $6,540,000 in fiscal 2005. Diluted income per share was $.73 in fiscal 2006, versus $.88 in fiscal 2005.</w:t>
      </w:r>
    </w:p>
    <w:p>
      <w:pPr>
        <w:spacing w:after="0" w:line="221" w:lineRule="exact"/>
        <w:rPr>
          <w:sz w:val="20"/>
          <w:szCs w:val="20"/>
          <w:color w:val="auto"/>
        </w:rPr>
      </w:pPr>
    </w:p>
    <w:p>
      <w:pPr>
        <w:jc w:val="both"/>
        <w:ind w:firstLine="314"/>
        <w:spacing w:after="0" w:line="290" w:lineRule="auto"/>
        <w:rPr>
          <w:sz w:val="20"/>
          <w:szCs w:val="20"/>
          <w:color w:val="auto"/>
        </w:rPr>
      </w:pPr>
      <w:r>
        <w:rPr>
          <w:rFonts w:ascii="Arial" w:cs="Arial" w:eastAsia="Arial" w:hAnsi="Arial"/>
          <w:sz w:val="16"/>
          <w:szCs w:val="16"/>
          <w:color w:val="auto"/>
        </w:rPr>
        <w:t>Fiscal 2006 net income was positively impacted by a 12.0% increase in sales for the Business to Business Products Group and a 7.8% increase in sales for the Retail and Wholesale Products Group. These sales improvements were driven by growth in both tons sold and price increases. Overall, we reported a 2.5% total tons sold increase in fiscal 2006 compared to fiscal 2005. Also, positively impacting net income for the year was a $415,000 gain on the sale of long-lived assets. See Note 2 of the Notes to the Consolidated Financial Statements for a discussion of this gain. Negatively impacting the results for fiscal 2006 were substantial material, packaging, freight and manufacturing cost increases, as described in the Overview section above. The impact of the cost increases were experienced by both our domestic and foreign operations. The cost increases were greater than the sales increases described above and particularly impacted the Retail and Wholesale Products Group.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ind w:firstLine="379"/>
        <w:spacing w:after="0" w:line="289" w:lineRule="auto"/>
        <w:rPr>
          <w:sz w:val="20"/>
          <w:szCs w:val="20"/>
          <w:color w:val="auto"/>
        </w:rPr>
      </w:pPr>
      <w:r>
        <w:rPr>
          <w:rFonts w:ascii="Arial" w:cs="Arial" w:eastAsia="Arial" w:hAnsi="Arial"/>
          <w:sz w:val="16"/>
          <w:szCs w:val="16"/>
          <w:color w:val="auto"/>
        </w:rPr>
        <w:t>Net sales of the Business to Business Products Group for fiscal 2006 were $70,349,000, an increase of $7,551,000 from net sales of $62,798,000 in fiscal 2005. Strong sales growth was seen in agricultural carriers, co-manufactured and fluids purification products. Agricultural carrier sales increased 18.4% due to higher prices and 10.1% higher volumes. In fiscal 2005, agricultural carrier volumes were particularly low due to customers using inventory carried over from the prior year and due to increasing acceptance of genetically modified and treated seed in the market. In fiscal 2006, sales volume rebounded as customer inventory levels returned to normal, however genetically modified seed continued to erode the market for agricultural carriers. The increase in agricultural carrier production also increased the availability of the Group’s Flo-Fre product line, which in turn caused a further increase in sales. Co-manufactured products sales increased 11.3% due to price increases. Fluids purification products reported a 14.8% sales increase due to price increases and 9.6% higher volumes. Bleaching earth and filtration products benefited from sales efforts to increase their presence in the marketplace by increasing sales staff. Price competition remains intense</w:t>
      </w:r>
    </w:p>
    <w:p>
      <w:pPr>
        <w:sectPr>
          <w:pgSz w:w="11900" w:h="16838" w:orient="portrait"/>
          <w:cols w:equalWidth="0" w:num="1">
            <w:col w:w="11420"/>
          </w:cols>
          <w:pgMar w:left="240" w:top="131" w:right="239" w:bottom="0" w:gutter="0" w:footer="0" w:header="0"/>
        </w:sectPr>
      </w:pPr>
    </w:p>
    <w:bookmarkStart w:id="15" w:name="page16"/>
    <w:bookmarkEnd w:id="15"/>
    <w:p>
      <w:pPr>
        <w:jc w:val="both"/>
        <w:spacing w:after="0" w:line="298" w:lineRule="auto"/>
        <w:rPr>
          <w:sz w:val="20"/>
          <w:szCs w:val="20"/>
          <w:color w:val="auto"/>
        </w:rPr>
      </w:pPr>
      <w:r>
        <w:rPr>
          <w:rFonts w:ascii="Arial" w:cs="Arial" w:eastAsia="Arial" w:hAnsi="Arial"/>
          <w:sz w:val="16"/>
          <w:szCs w:val="16"/>
          <w:color w:val="auto"/>
        </w:rPr>
        <w:t>for these products due to international edible oil processors contracting globally to leverage buying power. Sports products sales were consistent with fiscal 2005. Animal health and nutrition products sales were down 6.6% due to lower volume. The warm winter weather and a declining chicken market due to avian bird flu concerns resulted in 15.3% lower sales of Poultry Guard. Conditionade sales were down 3.3% as competition intensified; however, we believe our mycotoxin expertise and increased focus on mycotoxin issues worldwide will drive increased sales of Conditionade in the future.</w:t>
      </w:r>
    </w:p>
    <w:p>
      <w:pPr>
        <w:spacing w:after="0" w:line="19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Business to Business Products Group’s operating income increased 6.3% to $14,181,000 in fiscal 2006 from $13,340,000 in fiscal 2005. The increased sales in agricultural carriers, bleaching earth and filtration and co-manufactured products described above contributed significantly to the increase in income. Partially offsetting the increased sales were increased manufacturing and freight costs. Material costs increased 15.0%, packaging costs increased 8.3% and freight costs increased 4.8% . Higher selling and administrative expense increases accounted for about a 1.2% reduction in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Net sales of the Retail and Wholesale Products Group for fiscal 2006 were $134,861,000, an increase of 7.8% from net sales of $125,070,000 reported in fiscal 2005. The growth was driven by sales of both branded and private label cat litters and industrial floor absorbent products. Sales of branded cat litter increased 5.6% . Our branded scoopable litter products drove the sales growth with a 15.5% increase due to price increases and 12.0% higher volume. The higher volumes were driven by increases in existing base business, new distribution and new product offerings. Private label cat litter sales were up 9.4% in fiscal 2006 due to price increases and a 6.5% volume increase. Our Canadian operation’s total sales increased 7.7% in fiscal 2006, which was driven by private label cat litter products due to expanded distribution and price increases. Net sales of floor absorbents also increased 8.1% due to price increases.</w:t>
      </w:r>
    </w:p>
    <w:p>
      <w:pPr>
        <w:spacing w:after="0" w:line="201"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The Retail and Wholesale Products Group’s operating income decreased 26.5% to $8,486,000 in fiscal 2006 from $11,547,000 in fiscal 2005. Driving the segment’s income decline was a 14.3% increase in packaging costs, a 9.9% increase in material costs and a 7.4% increase in freight costs. Transportation and manufacturing fuel costs and resin prices have increased as the cost of oil has increased. Bag stock costs have increased with the price of paper. Selling price increases offset some of the increased freight, packaging and materials costs.</w:t>
      </w:r>
    </w:p>
    <w:p>
      <w:pPr>
        <w:spacing w:after="0" w:line="224"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Consolidated gross profit as a percentage of net sales for fiscal 2006 decreased to 18.6% from 21.5% in fiscal 2005. Freight, materials, fuel and packaging cost increases drove the decline in gross profit. Non-fuel manufacturing costs rose 5.0% per manufactured ton, which had a negative impact on gross profit. Also, as fuel costs increased, so did the cost of other utilities, services (contract mining and hauling) and repair parts used to maintain facilities. The cost of fuel used in the manufacturing processes increased 54.6% per manufactured ton on a full year basis, despite our forward purchase program. Overall volume and price increases were insufficient to compensate for the change in the key cost factors. General price increases and volume growth in agricultural carriers, bleaching earth and filtration and co-manufactured products positively impacted the results.</w:t>
      </w:r>
    </w:p>
    <w:p>
      <w:pPr>
        <w:spacing w:after="0" w:line="201" w:lineRule="exact"/>
        <w:rPr>
          <w:sz w:val="20"/>
          <w:szCs w:val="20"/>
          <w:color w:val="auto"/>
        </w:rPr>
      </w:pPr>
    </w:p>
    <w:p>
      <w:pPr>
        <w:jc w:val="both"/>
        <w:ind w:firstLine="316"/>
        <w:spacing w:after="0" w:line="290" w:lineRule="auto"/>
        <w:rPr>
          <w:sz w:val="20"/>
          <w:szCs w:val="20"/>
          <w:color w:val="auto"/>
        </w:rPr>
      </w:pPr>
      <w:r>
        <w:rPr>
          <w:rFonts w:ascii="Arial" w:cs="Arial" w:eastAsia="Arial" w:hAnsi="Arial"/>
          <w:sz w:val="16"/>
          <w:szCs w:val="16"/>
          <w:color w:val="auto"/>
        </w:rPr>
        <w:t>Operating expenses as a percentage of net sales for fiscal 2006 decreased to 14.3% from the 16.2% reported in fiscal 2005. Operating expenses in fiscal 2006 include stock-based compensation expense of $298,000 due to the implementation of FAS 123-R Share-Based Payments, as described in Note 7 in the Notes to the Consolidated Financial Statements, and a $415,000 gain on sale of long-lived assets. Operating expenses in fiscal 2005 were adversely impacted by approximately $660,000 of costs associated with our Sarbanes-Oxley Section 404 readiness effort. Excluding these items, operating expenses as a percentage of net sales in fiscal 2006 would remain at 14.3% and fiscal 2005 would have been 15.9% . The decrease in fiscal 2006 operating expense was driven by a reduction in bonus expense and a reduction in research and development costs. The reduction in research and development costs was due to a department reorganization that resulted in reduced headcount and a refocus of research efforts.</w:t>
      </w:r>
    </w:p>
    <w:p>
      <w:pPr>
        <w:spacing w:after="0" w:line="199" w:lineRule="exact"/>
        <w:rPr>
          <w:sz w:val="20"/>
          <w:szCs w:val="20"/>
          <w:color w:val="auto"/>
        </w:rPr>
      </w:pPr>
    </w:p>
    <w:p>
      <w:pPr>
        <w:jc w:val="both"/>
        <w:ind w:firstLine="411"/>
        <w:spacing w:after="0" w:line="332" w:lineRule="auto"/>
        <w:rPr>
          <w:sz w:val="20"/>
          <w:szCs w:val="20"/>
          <w:color w:val="auto"/>
        </w:rPr>
      </w:pPr>
      <w:r>
        <w:rPr>
          <w:rFonts w:ascii="Arial" w:cs="Arial" w:eastAsia="Arial" w:hAnsi="Arial"/>
          <w:sz w:val="16"/>
          <w:szCs w:val="16"/>
          <w:color w:val="auto"/>
        </w:rPr>
        <w:t>Interest expense for fiscal 2006 increased $497,000 from fiscal 2005 due to the new debt issuance described in Note 4 in the Notes to the Consolidated Financial Statements. Interest income increased $642,000 from fiscal 2005 due to increased interest rates in the market and increased investment balances.</w:t>
      </w:r>
    </w:p>
    <w:p>
      <w:pPr>
        <w:spacing w:after="0" w:line="166"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auto"/>
        </w:rPr>
        <w:t>The effective tax rate was 33.4% of pre-tax income in fiscal 2006 versus 26.8% in fiscal 2005. The tax expense for fiscal 2006 included a $525,000 tax impact for the repatriation of previously accumulated untaxed foreign earnings and profits as discussed in Note 5 in the Notes to the Consolidated Financial Statements. Excluding this additional tax expense, the effective tax rate would have been 26.8%, which was consistent with the rate for fiscal 2005.</w:t>
      </w:r>
    </w:p>
    <w:p>
      <w:pPr>
        <w:spacing w:after="0" w:line="188"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Total assets increased $15,976,000 or 12.9% during fiscal 2006. Current assets increased $12,606,000 or 20.0% from the fiscal 2005 year-end balances. All categories of current assets increased, with the largest increases in investments in securities, inventories, accounts receivable, and cash and cash equivalents. The changes in accounts receivables and cash and investments are described in Liquidity and Capital Resources. Inventories increased due to the higher cost of materials and increased tons in ending inventory.</w:t>
      </w:r>
    </w:p>
    <w:p>
      <w:pPr>
        <w:spacing w:after="0" w:line="224"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Property, plant and equipment, net of accumulated depreciation, increased $3,395,000 or 7.1% from the year-end balance in fiscal 2005. All categories of property, plant and equipment increased, with the largest increase in machinery and equipment.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Total liabilities increased $16,594,000, or 33.4%, during fiscal 2006. Current liabilities increased $4,579,000 or 20.3% during fiscal 2006, primarily due to increases in accounts payable, other accrued expenses and current notes payable. The increases in accounts payable and other accrued expenses are primarily related to the increase in energy and packaging costs as well as increased sales. Accrued interest also increased due to the new debt. The increase in current notes payable is related to the scheduled payment of debt. Non-current liabilities increased $12,015,000, or 44.2% . The primary reason for this increase was that notes payable increased due to the $15,000,000 new debt issuance, described in Note 4 of the Notes of the Consolidated Financial Statements, offset by payments on debt made during the year. The accruals for pension and other post-retirement benefits were also higher at the end of fiscal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2005 C</w:t>
      </w:r>
      <w:r>
        <w:rPr>
          <w:rFonts w:ascii="Arial" w:cs="Arial" w:eastAsia="Arial" w:hAnsi="Arial"/>
          <w:sz w:val="13"/>
          <w:szCs w:val="13"/>
          <w:b w:val="1"/>
          <w:bCs w:val="1"/>
          <w:color w:val="auto"/>
        </w:rPr>
        <w:t>OMPARED TO</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ISCAL</w:t>
      </w:r>
      <w:r>
        <w:rPr>
          <w:rFonts w:ascii="Arial" w:cs="Arial" w:eastAsia="Arial" w:hAnsi="Arial"/>
          <w:sz w:val="18"/>
          <w:szCs w:val="18"/>
          <w:b w:val="1"/>
          <w:bCs w:val="1"/>
          <w:color w:val="auto"/>
        </w:rPr>
        <w:t xml:space="preserve"> 2004</w:t>
      </w:r>
    </w:p>
    <w:p>
      <w:pPr>
        <w:spacing w:after="0" w:line="25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Consolidated net sales for the year ended July 31, 2005 were $187,868,000, an increase of 1.3% from net sales of $185,851,000 in fiscal 2004. Net income for the year was $6,540,000, an increase of 29.9% compared to the net income reported in fiscal 2004 of $5,033,000. Diluted income per share was $0.88 in fiscal 2005, versus $0.68 in fiscal 2004.</w:t>
      </w:r>
    </w:p>
    <w:p>
      <w:pPr>
        <w:sectPr>
          <w:pgSz w:w="11900" w:h="16838" w:orient="portrait"/>
          <w:cols w:equalWidth="0" w:num="1">
            <w:col w:w="11420"/>
          </w:cols>
          <w:pgMar w:left="240" w:top="131" w:right="239" w:bottom="211" w:gutter="0" w:footer="0" w:header="0"/>
        </w:sectPr>
      </w:pPr>
    </w:p>
    <w:bookmarkStart w:id="16" w:name="page17"/>
    <w:bookmarkEnd w:id="16"/>
    <w:p>
      <w:pPr>
        <w:jc w:val="both"/>
        <w:ind w:firstLine="349"/>
        <w:spacing w:after="0" w:line="290" w:lineRule="auto"/>
        <w:rPr>
          <w:sz w:val="20"/>
          <w:szCs w:val="20"/>
          <w:color w:val="auto"/>
        </w:rPr>
      </w:pPr>
      <w:r>
        <w:rPr>
          <w:rFonts w:ascii="Arial" w:cs="Arial" w:eastAsia="Arial" w:hAnsi="Arial"/>
          <w:sz w:val="16"/>
          <w:szCs w:val="16"/>
          <w:color w:val="auto"/>
        </w:rPr>
        <w:t>Fiscal 2005 net income was positively impacted by sales growth in both the Retail and Wholesale Products and Business to Business Products Groups, but negatively impacted by decreased operating income in both groups. Both the Business to Business Products Group and the Retail and Wholesale Products Group experienced declines in sales volume during fiscal 2005. Overall, a 4.1% decrease in total tons sold was reported in fiscal 2005. General price increases helped offset some of the overall volume decline; however, cost increases in packaging, fuel, freight and manufacturing negatively impacted fiscal 2005’s results. These cost increases were generally driven directly or indirectly by the higher cost of energy experienced by the world economy. Both our domestic and foreign operations were impacted by the cost increases. Positively effecting fiscal 2005 net income was a reduction in total bonus expense and a reduction in advertising and marketing expenses in the Retail and Wholesale Products Group.</w:t>
      </w:r>
    </w:p>
    <w:p>
      <w:pPr>
        <w:spacing w:after="0" w:line="199" w:lineRule="exact"/>
        <w:rPr>
          <w:sz w:val="20"/>
          <w:szCs w:val="20"/>
          <w:color w:val="auto"/>
        </w:rPr>
      </w:pPr>
    </w:p>
    <w:p>
      <w:pPr>
        <w:jc w:val="both"/>
        <w:ind w:firstLine="413"/>
        <w:spacing w:after="0" w:line="306" w:lineRule="auto"/>
        <w:rPr>
          <w:sz w:val="20"/>
          <w:szCs w:val="20"/>
          <w:color w:val="auto"/>
        </w:rPr>
      </w:pPr>
      <w:r>
        <w:rPr>
          <w:rFonts w:ascii="Arial" w:cs="Arial" w:eastAsia="Arial" w:hAnsi="Arial"/>
          <w:sz w:val="16"/>
          <w:szCs w:val="16"/>
          <w:color w:val="auto"/>
        </w:rPr>
        <w:t>Fiscal 2004 income was negatively impacted by a $464,000 pre-tax loss on impaired assets, a $1,250,000 pre-tax charge to settle a patent infringement lawsuit and $700,000 of pre-tax defense costs associated with the Company’s settlement of the patent infringement litigation. See Note 2 of the Notes to the Consolidated Financial Statements for a discussion of the loss on impaired long-lived assets and the settlement of the patent infringement lawsuit.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ind w:firstLine="315"/>
        <w:spacing w:after="0" w:line="254" w:lineRule="auto"/>
        <w:rPr>
          <w:sz w:val="20"/>
          <w:szCs w:val="20"/>
          <w:color w:val="auto"/>
        </w:rPr>
      </w:pPr>
      <w:r>
        <w:rPr>
          <w:rFonts w:ascii="Arial" w:cs="Arial" w:eastAsia="Arial" w:hAnsi="Arial"/>
          <w:sz w:val="18"/>
          <w:szCs w:val="18"/>
          <w:color w:val="auto"/>
        </w:rPr>
        <w:t>Net sales of the Business to Business Products Group for fiscal 2005 were $62,798,000, an increase of $758,000 from net sales of $62,040,000 in fiscal 2004. Strong sales growth was seen in co-manufactured, fluids purification and animal health and nutrition products. Co-manufactured product sales were up 4.8% due to a new customer. Bleaching earth product sales were up approximately 13.3% for the year. The growth was experienced both domestically and in the international market place. Bleaching earth products experienced solid volume growth, but pricing was relatively flat. Price competition increased as international edible oil processors contracted globally to leverage their buying power. Animal health and nutrition product sales were up 20.6% primarily from foreign sales of Conditionade.</w:t>
      </w:r>
    </w:p>
    <w:p>
      <w:pPr>
        <w:spacing w:after="0" w:line="225" w:lineRule="exact"/>
        <w:rPr>
          <w:sz w:val="20"/>
          <w:szCs w:val="20"/>
          <w:color w:val="auto"/>
        </w:rPr>
      </w:pPr>
    </w:p>
    <w:p>
      <w:pPr>
        <w:jc w:val="both"/>
        <w:ind w:firstLine="413"/>
        <w:spacing w:after="0" w:line="291" w:lineRule="auto"/>
        <w:rPr>
          <w:sz w:val="20"/>
          <w:szCs w:val="20"/>
          <w:color w:val="auto"/>
        </w:rPr>
      </w:pPr>
      <w:r>
        <w:rPr>
          <w:rFonts w:ascii="Arial" w:cs="Arial" w:eastAsia="Arial" w:hAnsi="Arial"/>
          <w:sz w:val="16"/>
          <w:szCs w:val="16"/>
          <w:color w:val="auto"/>
        </w:rPr>
        <w:t>Our agricultural carrier sales experienced a 20.5% decline during fiscal 2005. The net sales decrease resulted from reduced orders from the three major agricultural chemical formulators, primarily those formulating chemicals to combat corn rootworm. These formulators delayed their production start-ups in the first quarter of fiscal 2005 due to inventory carryover from last season and they continued to order less product due to the increasing acceptance of genetically modified and treated seed in the market. The significant decrease in agricultural carrier production also reduced the availability of the Group’s Flo-Fre product line, which in turn caused a further reduction of sales. Flo-Fre product sales were down approximately 14.6% compared to fiscal 2004. Partially offsetting some of the sales decline was growth in the Group’s sports field business. The sports field product sales were up approximately 9.6% for the year.</w:t>
      </w:r>
    </w:p>
    <w:p>
      <w:pPr>
        <w:spacing w:after="0" w:line="201" w:lineRule="exact"/>
        <w:rPr>
          <w:sz w:val="20"/>
          <w:szCs w:val="20"/>
          <w:color w:val="auto"/>
        </w:rPr>
      </w:pPr>
    </w:p>
    <w:p>
      <w:pPr>
        <w:jc w:val="both"/>
        <w:ind w:firstLine="332"/>
        <w:spacing w:after="0" w:line="298" w:lineRule="auto"/>
        <w:rPr>
          <w:sz w:val="20"/>
          <w:szCs w:val="20"/>
          <w:color w:val="auto"/>
        </w:rPr>
      </w:pPr>
      <w:r>
        <w:rPr>
          <w:rFonts w:ascii="Arial" w:cs="Arial" w:eastAsia="Arial" w:hAnsi="Arial"/>
          <w:sz w:val="16"/>
          <w:szCs w:val="16"/>
          <w:color w:val="auto"/>
        </w:rPr>
        <w:t>The Business to Business Products Group’s operating income decreased 7.1% to $13,340,000 in fiscal 2005 from $14,366,000 in fiscal 2004. The decline in agricultural carrier and Flo-Fre sales described above contributed significantly to the decrease in income. The Group also experienced increased manufacturing and freight costs, which could not be fully recovered by price increases. Freight costs increased 16.9%, packaging costs increased 12.9% and material costs increased 7.7% . Higher selling and administrative expense increases accounted for about a 1.7% reduction in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Net sales of the Retail and Wholesale Products Group for fiscal 2005 were $125,070,000, an increase of 1.3% from net sales of $123,471,000 reported in fiscal 2004. Sales growth was seen in our Canadian operations and in our industrial floor absorbent products. Our core cat litter business was consistent with fiscal 2004. Our Canadian operation’s total sales increased 9.3% in fiscal 2005, which was driven by private label cat litter products. Industrial floor absorbent sales increased 2.2% for the year. Most of the sales increase was driven by improved sales of generic floor absorbent products. Branded cat litter sales were up 3.3% due to the introduction of new products, but private label sales were down 4.3% due to competitive market pressure.</w:t>
      </w:r>
    </w:p>
    <w:p>
      <w:pPr>
        <w:spacing w:after="0" w:line="197"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color w:val="auto"/>
        </w:rPr>
        <w:t>The Retail and Wholesale Products Group’s operating income decreased 2.7% to $11,547,000 in fiscal 2005 from $11,864,000 in fiscal 2004. Driving the segment’s income decline was a 9.2% increase in packaging costs, 4.9% increase in freight costs and a 2.9% increase in material costs. Transportation and manufacturing fuel costs and resin prices increased as the cost of oil increased. Bag stock costs also increased as the price of paper increased. Price increases and reductions of selling and advertising expenses offset some of the increased freight, packaging and materials costs.</w:t>
      </w:r>
    </w:p>
    <w:p>
      <w:pPr>
        <w:spacing w:after="0" w:line="194"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Consolidated gross profit as a percentage of net sales for fiscal 2005 decreased to 21.5% from 23.3% in fiscal 2004. Freight, materials, fuel and packaging cost increases, along with the significant sales decline in agricultural carriers, drove the decline in fiscal 2005’s gross profit. Non-fuel manufacturing costs rose 6.3% per manufactured ton, which had a negative impact on gross profit. Part of the non-fuel manufacturing cost increase was caused by decreased fixed cost coverage associated with the reduced demand for the agricultural products. Also, as fuel costs increased, so did the cost of other utilities, services (contract mining and hauling) and repair parts used to maintain facilities. The cost of fuel used in the manufacturing processes increased 8.1% per manufactured ton on a full year basis, despite our forward purchase program. General price increases and volume growth in bleaching earth products positively impacted the results.</w:t>
      </w:r>
    </w:p>
    <w:p>
      <w:pPr>
        <w:spacing w:after="0" w:line="201" w:lineRule="exact"/>
        <w:rPr>
          <w:sz w:val="20"/>
          <w:szCs w:val="20"/>
          <w:color w:val="auto"/>
        </w:rPr>
      </w:pPr>
    </w:p>
    <w:p>
      <w:pPr>
        <w:jc w:val="both"/>
        <w:ind w:firstLine="331"/>
        <w:spacing w:after="0" w:line="294" w:lineRule="auto"/>
        <w:rPr>
          <w:sz w:val="20"/>
          <w:szCs w:val="20"/>
          <w:color w:val="auto"/>
        </w:rPr>
      </w:pPr>
      <w:r>
        <w:rPr>
          <w:rFonts w:ascii="Arial" w:cs="Arial" w:eastAsia="Arial" w:hAnsi="Arial"/>
          <w:sz w:val="16"/>
          <w:szCs w:val="16"/>
          <w:color w:val="auto"/>
        </w:rPr>
        <w:t>Operating expenses as a percentage of net sales for fiscal 2005 decreased to 16.2% from the 18.7% reported in fiscal 2004. Fiscal 2005’s operating expenses were adversely impacted by approximately $660,000 of costs associated with our Sarbanes-Oxley Section 404 readiness effort. Fiscal 2004’s operating expenses were adversely impacted by the patent infringement litigation and a loss on impaired assets. Excluding, these items operating expenses in fiscal 2005 would have been 15.9% and fiscal 2004 would have been 17.8% . The decrease in fiscal 2005 operating expense was driven by reduced selling and advertising expenses in the Retail and Wholesale Products Group, a reduction in bonus expense and a reduction in corporate telecommunications expense.</w:t>
      </w:r>
    </w:p>
    <w:p>
      <w:pPr>
        <w:spacing w:after="0" w:line="19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8"/>
          <w:szCs w:val="18"/>
          <w:color w:val="auto"/>
        </w:rPr>
        <w:t>Interest expense for fiscal 2005 decreased 15.4% from fiscal 2004 due to the reduction in outstanding debt of $4,080,000. Interest income increased $242,000 from fiscal 2004 due to the change in our investment portfolio and increased interest rates in the market.</w:t>
      </w:r>
    </w:p>
    <w:p>
      <w:pPr>
        <w:spacing w:after="0" w:line="213"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effective tax rate was 26.8% of pre-tax income in fiscal 2005 versus 27.4% in fiscal 2004. Fiscal 2004 tax expense was negatively impacted by a $210,000 tax expense recorded on certain unremitted earnings of our Switzerland subsidiary. This charge was taken to reflect the estimated potential impact of repatriating certain cash balances held by that subsidiary.</w:t>
      </w:r>
    </w:p>
    <w:p>
      <w:pPr>
        <w:spacing w:after="0" w:line="221" w:lineRule="exact"/>
        <w:rPr>
          <w:sz w:val="20"/>
          <w:szCs w:val="20"/>
          <w:color w:val="auto"/>
        </w:rPr>
      </w:pPr>
    </w:p>
    <w:p>
      <w:pPr>
        <w:jc w:val="both"/>
        <w:ind w:firstLine="316"/>
        <w:spacing w:after="0" w:line="256" w:lineRule="auto"/>
        <w:rPr>
          <w:sz w:val="20"/>
          <w:szCs w:val="20"/>
          <w:color w:val="auto"/>
        </w:rPr>
      </w:pPr>
      <w:r>
        <w:rPr>
          <w:rFonts w:ascii="Arial" w:cs="Arial" w:eastAsia="Arial" w:hAnsi="Arial"/>
          <w:sz w:val="18"/>
          <w:szCs w:val="18"/>
          <w:color w:val="auto"/>
        </w:rPr>
        <w:t>Total assets decreased $5,304,000 or 4.1% during fiscal 2005. Current assets decreased $4,885,000 or 7.2% from the fiscal 2004 year-end balances, primarily due to decreases in cash and cash equivalents, investments in securities, accounts receivable, deferred taxes and prepaid overburden removal expense. Offsetting part of this decrease was an increase in other prepaid expenses and a small increase in inventory. The decrease in cash and investments was due to the substantial increase in purchases of treasury stock.</w:t>
      </w:r>
    </w:p>
    <w:p>
      <w:pPr>
        <w:sectPr>
          <w:pgSz w:w="11900" w:h="16838" w:orient="portrait"/>
          <w:cols w:equalWidth="0" w:num="1">
            <w:col w:w="11420"/>
          </w:cols>
          <w:pgMar w:left="240" w:top="158" w:right="239" w:bottom="0" w:gutter="0" w:footer="0" w:header="0"/>
        </w:sectPr>
      </w:pPr>
    </w:p>
    <w:bookmarkStart w:id="17" w:name="page18"/>
    <w:bookmarkEnd w:id="17"/>
    <w:p>
      <w:pPr>
        <w:jc w:val="both"/>
        <w:ind w:firstLine="365"/>
        <w:spacing w:after="0" w:line="268" w:lineRule="auto"/>
        <w:rPr>
          <w:sz w:val="20"/>
          <w:szCs w:val="20"/>
          <w:color w:val="auto"/>
        </w:rPr>
      </w:pPr>
      <w:r>
        <w:rPr>
          <w:rFonts w:ascii="Arial" w:cs="Arial" w:eastAsia="Arial" w:hAnsi="Arial"/>
          <w:sz w:val="18"/>
          <w:szCs w:val="18"/>
          <w:color w:val="auto"/>
        </w:rPr>
        <w:t>Property, plant and equipment, net of accumulated depreciation increased $96,000, or 0.2%, from the year-end balance in fiscal 2004. Capital expenditures were mostly offset by normal depreciation expense.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Total liabilities decreased $6,900,000, or 12.2%, during fiscal 2005. Current liabilities decreased $4,502,000 or 16.7% during fiscal 2005, primarily due to decreases in current notes payable, salaries, wages and commissions payable, accrued trade promotions, and other accrued expenses. The drop in long-term notes payable and current notes payable related to the overall payment of $4,080,000 of debt. The reduction in accrued salaries was related to the reduced discretionary bonus payments in fiscal 2005. In fiscal 2004, other accrued expenses were increased by the settlement of the patent infringement litigation, described in Note 2 of the Notes of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PERATIONS</w:t>
      </w:r>
    </w:p>
    <w:p>
      <w:pPr>
        <w:spacing w:after="0" w:line="258" w:lineRule="exact"/>
        <w:rPr>
          <w:sz w:val="20"/>
          <w:szCs w:val="20"/>
          <w:color w:val="auto"/>
        </w:rPr>
      </w:pPr>
    </w:p>
    <w:p>
      <w:pPr>
        <w:jc w:val="both"/>
        <w:ind w:firstLine="348"/>
        <w:spacing w:after="0" w:line="286" w:lineRule="auto"/>
        <w:rPr>
          <w:sz w:val="20"/>
          <w:szCs w:val="20"/>
          <w:color w:val="auto"/>
        </w:rPr>
      </w:pPr>
      <w:r>
        <w:rPr>
          <w:rFonts w:ascii="Arial" w:cs="Arial" w:eastAsia="Arial" w:hAnsi="Arial"/>
          <w:sz w:val="16"/>
          <w:szCs w:val="16"/>
          <w:color w:val="auto"/>
        </w:rPr>
        <w:t>Net sales by our foreign subsidiaries during fiscal 2006 were $16,387,000 or 8.0% of total company sales. This represents an increase of 13.4% from fiscal 2005, in which foreign subsidiary sales were $14,455,000 or 7.7% of total company sales. This increase in sales was seen in both the Canadian and United Kingdom entities. The Canadian entity’s sales increase was driven by private label cat litter products. Expanded distribution and price increases contributed to part of this increase. Offsetting some of this increase in Canada was a decline in industrial products sales due to weaker industrial economic conditions in the market. The increase in the United Kingdom subsidiary’s sales was partially driven by new customers for that location. For fiscal 2006, the foreign subsidiaries reported income of $267,000, a reduction of $78,000 from the $345,000 income reported in fiscal 2005. The reduction to income for the year was driven by increased material, freight and packaging costs in the Canadian operation. Both the Canadian and United Kingdom operations faced material sourcing issues which contributed to part of the material cost increases. Escalating energy costs accounted for much of the rest of the increase. Identifiable assets of the foreign subsidiaries as of July 31, 2006 were $9,404,000 compared to $11,579,000 as of July 31, 2005. Most of the decrease in identifiable assets was in cash and cash equivalents. Certain investments were liquidated to facilitate the repatriation of previously untaxed foreign earnings and profits. See Note 5 of the Notes to the Consolidated Financial Statements.</w:t>
      </w:r>
    </w:p>
    <w:p>
      <w:pPr>
        <w:spacing w:after="0" w:line="208"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Net sales by our foreign subsidiaries during fiscal 2005 were $14,455,000 or 7.7% of total company sales. This represents an increase of 7.9% from fiscal 2004, in which foreign subsidiary sales were $13,397,000 or 7.2% of total company sales. This increase in sales was seen largely in our Canadian operation with private label cat litter sales improving from fiscal 2004. For fiscal 2005, the foreign subsidiaries reported income of $345,000, a reduction of $270,000 from the $615,000 income reported in fiscal 2004. The reduction to income for the year was driven by increased material, freight and packaging costs in the Canadian operation. Identifiable assets of the foreign subsidiaries as of July 31, 2005 were $11,579,000 compared to $11,271,000 as of July 31, 2004. Most of the increase in identifiable assets was in accounts receivable and property, plant and equipment.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3"/>
          <w:szCs w:val="13"/>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ESOURCES</w:t>
      </w:r>
    </w:p>
    <w:p>
      <w:pPr>
        <w:spacing w:after="0" w:line="258"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Our principal capital requirements include funding working capital needs, the purchasing and upgrading of real estate, equipment and facilities, and investing in infrastructure and potential acquisitions. We principally have used cash generated from operations and, to the extent needed, issuance of debt securities and borrowings under our credit facilities to fund these requirements. Cash, cash equivalents and short-term investments totaled $25,855,000, $19,435,000 and $23,069,000 at July 31, 2006, 2005 and 2004, respectively. As of July 31, 2006, we had $15,000,000 available under our revolving credit facility with Harris N.A.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elements of our Consolidated Statements of Cash Flows (in thousands):</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Fiscal Year Ended</w:t>
            </w:r>
          </w:p>
        </w:tc>
        <w:tc>
          <w:tcPr>
            <w:tcW w:w="800" w:type="dxa"/>
            <w:vAlign w:val="bottom"/>
            <w:tcBorders>
              <w:bottom w:val="single" w:sz="8" w:color="auto"/>
            </w:tcBorders>
          </w:tcPr>
          <w:p>
            <w:pPr>
              <w:spacing w:after="0"/>
              <w:rPr>
                <w:sz w:val="19"/>
                <w:szCs w:val="19"/>
                <w:color w:val="auto"/>
              </w:rPr>
            </w:pPr>
          </w:p>
        </w:tc>
      </w:tr>
      <w:tr>
        <w:trPr>
          <w:trHeight w:val="236"/>
        </w:trPr>
        <w:tc>
          <w:tcPr>
            <w:tcW w:w="7620" w:type="dxa"/>
            <w:vAlign w:val="bottom"/>
          </w:tcPr>
          <w:p>
            <w:pPr>
              <w:spacing w:after="0"/>
              <w:rPr>
                <w:sz w:val="20"/>
                <w:szCs w:val="20"/>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July 31,</w:t>
            </w: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July 31,</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93"/>
              </w:rPr>
              <w:t>July 31,</w:t>
            </w:r>
          </w:p>
        </w:tc>
      </w:tr>
      <w:tr>
        <w:trPr>
          <w:trHeight w:val="231"/>
        </w:trPr>
        <w:tc>
          <w:tcPr>
            <w:tcW w:w="7620" w:type="dxa"/>
            <w:vAlign w:val="bottom"/>
          </w:tcPr>
          <w:p>
            <w:pPr>
              <w:spacing w:after="0"/>
              <w:rPr>
                <w:sz w:val="20"/>
                <w:szCs w:val="20"/>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2006</w:t>
            </w: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2005</w:t>
            </w: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2004</w:t>
            </w:r>
          </w:p>
        </w:tc>
      </w:tr>
      <w:tr>
        <w:trPr>
          <w:trHeight w:val="236"/>
        </w:trPr>
        <w:tc>
          <w:tcPr>
            <w:tcW w:w="7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$ 10,635</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$ 12,985</w:t>
            </w:r>
          </w:p>
        </w:tc>
        <w:tc>
          <w:tcPr>
            <w:tcW w:w="800" w:type="dxa"/>
            <w:vAlign w:val="bottom"/>
          </w:tcPr>
          <w:p>
            <w:pPr>
              <w:jc w:val="right"/>
              <w:spacing w:after="0"/>
              <w:rPr>
                <w:sz w:val="20"/>
                <w:szCs w:val="20"/>
                <w:color w:val="auto"/>
              </w:rPr>
            </w:pPr>
            <w:r>
              <w:rPr>
                <w:rFonts w:ascii="Arial" w:cs="Arial" w:eastAsia="Arial" w:hAnsi="Arial"/>
                <w:sz w:val="18"/>
                <w:szCs w:val="18"/>
                <w:color w:val="auto"/>
              </w:rPr>
              <w:t>$ 18,577</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(14,979)</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(3,575)</w:t>
            </w:r>
          </w:p>
        </w:tc>
        <w:tc>
          <w:tcPr>
            <w:tcW w:w="800" w:type="dxa"/>
            <w:vAlign w:val="bottom"/>
          </w:tcPr>
          <w:p>
            <w:pPr>
              <w:jc w:val="right"/>
              <w:spacing w:after="0"/>
              <w:rPr>
                <w:sz w:val="20"/>
                <w:szCs w:val="20"/>
                <w:color w:val="auto"/>
              </w:rPr>
            </w:pPr>
            <w:r>
              <w:rPr>
                <w:rFonts w:ascii="Arial" w:cs="Arial" w:eastAsia="Arial" w:hAnsi="Arial"/>
                <w:sz w:val="18"/>
                <w:szCs w:val="18"/>
                <w:color w:val="auto"/>
              </w:rPr>
              <w:t>(10,428)</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5,560</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(9,638)</w:t>
            </w:r>
          </w:p>
        </w:tc>
        <w:tc>
          <w:tcPr>
            <w:tcW w:w="800" w:type="dxa"/>
            <w:vAlign w:val="bottom"/>
          </w:tcPr>
          <w:p>
            <w:pPr>
              <w:jc w:val="right"/>
              <w:spacing w:after="0"/>
              <w:rPr>
                <w:sz w:val="20"/>
                <w:szCs w:val="20"/>
                <w:color w:val="auto"/>
              </w:rPr>
            </w:pPr>
            <w:r>
              <w:rPr>
                <w:rFonts w:ascii="Arial" w:cs="Arial" w:eastAsia="Arial" w:hAnsi="Arial"/>
                <w:sz w:val="18"/>
                <w:szCs w:val="18"/>
                <w:color w:val="auto"/>
              </w:rPr>
              <w:t>(6,262)</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(403)</w:t>
            </w:r>
          </w:p>
        </w:tc>
        <w:tc>
          <w:tcPr>
            <w:tcW w:w="800" w:type="dxa"/>
            <w:vAlign w:val="bottom"/>
          </w:tcPr>
          <w:p>
            <w:pPr>
              <w:jc w:val="right"/>
              <w:spacing w:after="0"/>
              <w:rPr>
                <w:sz w:val="20"/>
                <w:szCs w:val="20"/>
                <w:color w:val="auto"/>
              </w:rPr>
            </w:pPr>
            <w:r>
              <w:rPr>
                <w:rFonts w:ascii="Arial" w:cs="Arial" w:eastAsia="Arial" w:hAnsi="Arial"/>
                <w:sz w:val="18"/>
                <w:szCs w:val="18"/>
                <w:color w:val="auto"/>
              </w:rPr>
              <w:t>1,595</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ind w:firstLine="346"/>
        <w:spacing w:after="0" w:line="298" w:lineRule="auto"/>
        <w:rPr>
          <w:sz w:val="20"/>
          <w:szCs w:val="20"/>
          <w:color w:val="auto"/>
        </w:rPr>
      </w:pPr>
      <w:r>
        <w:rPr>
          <w:rFonts w:ascii="Arial" w:cs="Arial" w:eastAsia="Arial" w:hAnsi="Arial"/>
          <w:sz w:val="16"/>
          <w:szCs w:val="16"/>
          <w:color w:val="auto"/>
        </w:rPr>
        <w:t>Net cash provided by operations decreased by $2,350,000 to $10,635,000 in fiscal 2006. The decrease was due primarily to a decrease in net income during fiscal 2006, a decrease in depreciation and amortization and other non-cash charges, and an increase in working capital. Net cash provided by operations decreased by $5,592,000 to $12,985,000 in fiscal 2005. The decrease was due primarily to a decrease in depreciation and other non-cash charges and a decrease in current liabilities. For fiscal years 2006 and 2005, the primary components of working capital that impacted operating cash flows were as follows:</w:t>
      </w:r>
    </w:p>
    <w:p>
      <w:pPr>
        <w:spacing w:after="0" w:line="194" w:lineRule="exact"/>
        <w:rPr>
          <w:sz w:val="20"/>
          <w:szCs w:val="20"/>
          <w:color w:val="auto"/>
        </w:rPr>
      </w:pPr>
    </w:p>
    <w:p>
      <w:pPr>
        <w:jc w:val="both"/>
        <w:ind w:firstLine="362"/>
        <w:spacing w:after="0" w:line="306" w:lineRule="auto"/>
        <w:rPr>
          <w:sz w:val="20"/>
          <w:szCs w:val="20"/>
          <w:color w:val="auto"/>
        </w:rPr>
      </w:pPr>
      <w:r>
        <w:rPr>
          <w:rFonts w:ascii="Arial" w:cs="Arial" w:eastAsia="Arial" w:hAnsi="Arial"/>
          <w:sz w:val="16"/>
          <w:szCs w:val="16"/>
          <w:color w:val="auto"/>
        </w:rPr>
        <w:t>Accounts receivable, less allowance for doubtful accounts, increased by $2,631,000 compared to fiscal year end 2005. The increase was due to sales in the fourth quarter of fiscal 2006 of $51,694,000 versus sales for the fourth quarter of fiscal 2005 of $46,017,000. Accounts receivable in 2005 decreased $531,000 as compared to 2004 due to bad debt recovery and a focused effort to improve accounts receivable processes.</w:t>
      </w:r>
    </w:p>
    <w:p>
      <w:pPr>
        <w:spacing w:after="0" w:line="188" w:lineRule="exact"/>
        <w:rPr>
          <w:sz w:val="20"/>
          <w:szCs w:val="20"/>
          <w:color w:val="auto"/>
        </w:rPr>
      </w:pPr>
    </w:p>
    <w:p>
      <w:pPr>
        <w:ind w:firstLine="364"/>
        <w:spacing w:after="0" w:line="268" w:lineRule="auto"/>
        <w:rPr>
          <w:sz w:val="20"/>
          <w:szCs w:val="20"/>
          <w:color w:val="auto"/>
        </w:rPr>
      </w:pPr>
      <w:r>
        <w:rPr>
          <w:rFonts w:ascii="Arial" w:cs="Arial" w:eastAsia="Arial" w:hAnsi="Arial"/>
          <w:sz w:val="18"/>
          <w:szCs w:val="18"/>
          <w:color w:val="auto"/>
        </w:rPr>
        <w:t>Inventories increased in 2006 compared to fiscal 2005 by $3,011,000 due to higher cost of materials and increased tons in ending inventory. Inventories in 2005 increased only $287,000 as compared to fiscal 2004.</w:t>
      </w:r>
    </w:p>
    <w:p>
      <w:pPr>
        <w:spacing w:after="0" w:line="213" w:lineRule="exact"/>
        <w:rPr>
          <w:sz w:val="20"/>
          <w:szCs w:val="20"/>
          <w:color w:val="auto"/>
        </w:rPr>
      </w:pPr>
    </w:p>
    <w:p>
      <w:pPr>
        <w:jc w:val="both"/>
        <w:ind w:right="20" w:firstLine="365"/>
        <w:spacing w:after="0" w:line="332" w:lineRule="auto"/>
        <w:rPr>
          <w:sz w:val="20"/>
          <w:szCs w:val="20"/>
          <w:color w:val="auto"/>
        </w:rPr>
      </w:pPr>
      <w:r>
        <w:rPr>
          <w:rFonts w:ascii="Arial" w:cs="Arial" w:eastAsia="Arial" w:hAnsi="Arial"/>
          <w:sz w:val="16"/>
          <w:szCs w:val="16"/>
          <w:color w:val="auto"/>
        </w:rPr>
        <w:t>Prepaid overburden removal expense in fiscal 2006 increased $316,000 compared to fiscal 2005. During fiscal 2005, prepaid overburden removal expense decreased $1,037,000. Year to year fluctuations are the result of different amounts of non-usable material that need to be removed from the various sites.</w:t>
      </w:r>
    </w:p>
    <w:p>
      <w:pPr>
        <w:sectPr>
          <w:pgSz w:w="11900" w:h="16838" w:orient="portrait"/>
          <w:cols w:equalWidth="0" w:num="1">
            <w:col w:w="11420"/>
          </w:cols>
          <w:pgMar w:left="240" w:top="158" w:right="239" w:bottom="0" w:gutter="0" w:footer="0" w:header="0"/>
        </w:sectPr>
      </w:pPr>
    </w:p>
    <w:bookmarkStart w:id="18" w:name="page19"/>
    <w:bookmarkEnd w:id="18"/>
    <w:p>
      <w:pPr>
        <w:jc w:val="both"/>
        <w:ind w:firstLine="396"/>
        <w:spacing w:after="0" w:line="259" w:lineRule="auto"/>
        <w:rPr>
          <w:sz w:val="20"/>
          <w:szCs w:val="20"/>
          <w:color w:val="auto"/>
        </w:rPr>
      </w:pPr>
      <w:r>
        <w:rPr>
          <w:rFonts w:ascii="Arial" w:cs="Arial" w:eastAsia="Arial" w:hAnsi="Arial"/>
          <w:sz w:val="18"/>
          <w:szCs w:val="18"/>
          <w:color w:val="auto"/>
        </w:rPr>
        <w:t>Accounts payable and other accrued expenses increased $3,775,000 in fiscal 2006 compared to fiscal 2005 due to increased energy and packaging costs. During fiscal 2005, accounts payable and accrued expenses decreased $3,101,000 due to a $1,250,000 accrual for a patent infringement lawsuit settlement at July 31, 2004 and lower accruals for trade promotions, advertising and bonus at July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Cash used in investing activities increased $11,404,000 compared to fiscal 2005 to $14,979,000 during fiscal 2006. In fiscal 2006, cash used for capital expenditures was $10,827,000, a $3,516,000 increase compared to fiscal 2005. During fiscal 2006 cash available from new long-term debt financing was used to purchase debt and investment securities of $5,158,000 (net of dispositions), compared to net dispositions of debt and investment securities of $3,699,000 in fiscal 2005. Cash proceeds from the sale of property, plant and equipment were $1,006,000 in fiscal 2006 versus $37,000 in fiscal 2005.</w:t>
      </w:r>
    </w:p>
    <w:p>
      <w:pPr>
        <w:spacing w:after="0" w:line="194" w:lineRule="exact"/>
        <w:rPr>
          <w:sz w:val="20"/>
          <w:szCs w:val="20"/>
          <w:color w:val="auto"/>
        </w:rPr>
      </w:pPr>
    </w:p>
    <w:p>
      <w:pPr>
        <w:jc w:val="both"/>
        <w:ind w:firstLine="330"/>
        <w:spacing w:after="0" w:line="291" w:lineRule="auto"/>
        <w:rPr>
          <w:sz w:val="20"/>
          <w:szCs w:val="20"/>
          <w:color w:val="auto"/>
        </w:rPr>
      </w:pPr>
      <w:r>
        <w:rPr>
          <w:rFonts w:ascii="Arial" w:cs="Arial" w:eastAsia="Arial" w:hAnsi="Arial"/>
          <w:sz w:val="16"/>
          <w:szCs w:val="16"/>
          <w:color w:val="auto"/>
        </w:rPr>
        <w:t>Cash used in investing activities decreased $6,853,000 compared to fiscal 2004 to $3,575,000 during fiscal 2005. In fiscal 2004, more cash was available for investing due to $2,241,000 received from the termination of two split-dollar life insurance plans and reduced capital spending as compared to fiscal 2003. In fiscal 2003, $6,000,000 cash was spent to purchase assets related to the Jonny Cat brand of cat litter. During fiscal 2004 cash was used to purchase debt and investment securities of $4,997,000 (net of dispositions). In fiscal 2005, many of these investments matured and the cash was used for the purchase of treasury stock. During fiscal 2005, cash was provided by dispositions of debt and investment securities of $3,699,000 (net of purchases). Conversely, cash used for capital expenditures in fiscal 2005 increased $1,244,000 compared to fiscal 2004.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52"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Cash was provided by financing activities during fiscal 2006 of $5,560,000 compared to cash used by financing activities during fiscal 2005 of $9,638,000. During fiscal 2006 cash was provided primarily from proceeds from issuance of long-term debt of $15,000,000. Principal payments on long-term debt were also $1,000,000 less in fiscal 2006 versus 2005 and net purchases of treasury stock were $585,000 lower in fiscal 2006 versus 2005. In contrast, proceeds from issuance of common stock, primarily related to stock option exercises, were $1,687,000 lower in fiscal 2006 versus 2005.</w:t>
      </w:r>
    </w:p>
    <w:p>
      <w:pPr>
        <w:spacing w:after="0" w:line="19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Cash used by financing activities increased $3,376,000 compared to fiscal 2004 to $9,638,000 during fiscal 2005. During fiscal 2005 net purchases of treasury stock were $5,941,000 higher compared to fiscal 2004. In contrast, proceeds from issuance of common stock, primarily related to stock option exercises, were $2,810,000 higher in fiscal 2005 versus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cash and investment balances held by our foreign subsidiaries at July 31, 2006, 2005 and 2004 were $477,000, $3,427,000 and $3,633,000,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Certain investments held by our foreign subsidiaries were liquidated in fiscal 2006 to facilitate the repatriation of previously untaxed foreign earnings and profits.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5 of the Notes to the Consolidated Financial Statements.</w:t>
      </w:r>
    </w:p>
    <w:p>
      <w:pPr>
        <w:spacing w:after="0" w:line="246"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We received cash grants of approximately $590,000 in fiscal 2006 and $1,200,000 in fiscal 2005 from the State of Illinois. The money from these grants was used to enhance processing capabilities at our Mounds, Illinois production facility. These funds were accounted for on a “net” grant accounting basis; therefore they were not shown as a cash in-flow or a capital expenditure outflow. As of July 31, 2006 and 2005, the grant funds received in the respective fiscal years were completely utilized.</w:t>
      </w:r>
    </w:p>
    <w:p>
      <w:pPr>
        <w:spacing w:after="0" w:line="224"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As part of the normal course of business, we guarantee certain debts and trade payables of our wholly owned subsidiaries. These arrangements are made at the request of the subsidiaries’ creditors, as separate financial statements are not distributed for the wholly owned subsidiaries. As of July 31, 2006, the value of these guarantees was $500,000 of short-term liabilities, $359,000 of lease liabilities and $2,500,000 of long-term debt.</w:t>
      </w:r>
    </w:p>
    <w:p>
      <w:pPr>
        <w:spacing w:after="0" w:line="188"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tables in the following subsection summarize our contractual obligations and commercial commitments at July 31, 2006 for the timeframes indicated.</w:t>
      </w:r>
    </w:p>
    <w:p>
      <w:pPr>
        <w:spacing w:after="0" w:line="21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We entered into an unsecured revolving credit agreement with Harris N.A on January 27, 2006, pursuant to which we may borrow up to $15,000,000 from time to time. Our payment obligations under this credit agreement are guaranteed by certain of our subsidiaries. The credit agreement contains restrictive covenants that, among other things and under various conditions (including a limitation on capital expenditures), limit our ability to incur additional indebtedness or to acquire or dispose of assets. The agreement also requires us to maintain a minimum fixed coverage ratio and a minimum consolidated net worth. As of July 31, 2006, we had $15,000,000 available under this credit facility and were in compliance with our covenants.</w:t>
      </w:r>
    </w:p>
    <w:p>
      <w:pPr>
        <w:spacing w:after="0" w:line="19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COMMERCIAL COMMITMENTS</w:t>
      </w:r>
    </w:p>
    <w:p>
      <w:pPr>
        <w:spacing w:after="0" w:line="222" w:lineRule="exact"/>
        <w:rPr>
          <w:sz w:val="20"/>
          <w:szCs w:val="20"/>
          <w:color w:val="auto"/>
        </w:rPr>
      </w:pPr>
    </w:p>
    <w:p>
      <w:pPr>
        <w:jc w:val="both"/>
        <w:ind w:firstLine="291"/>
        <w:spacing w:after="0" w:line="268" w:lineRule="auto"/>
        <w:rPr>
          <w:sz w:val="20"/>
          <w:szCs w:val="20"/>
          <w:color w:val="auto"/>
        </w:rPr>
      </w:pPr>
      <w:r>
        <w:rPr>
          <w:rFonts w:ascii="Arial" w:cs="Arial" w:eastAsia="Arial" w:hAnsi="Arial"/>
          <w:sz w:val="18"/>
          <w:szCs w:val="18"/>
          <w:color w:val="auto"/>
        </w:rPr>
        <w:t>The following table summarizes our significant contractual obligations at July 31, 2006, and the effect such obligations are expected to have on liquidity and cash flows in future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r>
      <w:tr>
        <w:trPr>
          <w:trHeight w:val="236"/>
        </w:trPr>
        <w:tc>
          <w:tcPr>
            <w:tcW w:w="3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Less Than 1</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060" w:type="dxa"/>
            <w:vAlign w:val="bottom"/>
          </w:tcPr>
          <w:p>
            <w:pPr>
              <w:spacing w:after="0"/>
              <w:rPr>
                <w:sz w:val="21"/>
                <w:szCs w:val="21"/>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Year</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 – 3 Years</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4 – 5 Years</w:t>
            </w:r>
          </w:p>
        </w:tc>
        <w:tc>
          <w:tcPr>
            <w:tcW w:w="1120" w:type="dxa"/>
            <w:vAlign w:val="bottom"/>
          </w:tcPr>
          <w:p>
            <w:pPr>
              <w:jc w:val="center"/>
              <w:ind w:left="32"/>
              <w:spacing w:after="0"/>
              <w:rPr>
                <w:sz w:val="20"/>
                <w:szCs w:val="20"/>
                <w:color w:val="auto"/>
              </w:rPr>
            </w:pPr>
            <w:r>
              <w:rPr>
                <w:rFonts w:ascii="Arial" w:cs="Arial" w:eastAsia="Arial" w:hAnsi="Arial"/>
                <w:sz w:val="18"/>
                <w:szCs w:val="18"/>
                <w:b w:val="1"/>
                <w:bCs w:val="1"/>
                <w:color w:val="auto"/>
                <w:w w:val="90"/>
              </w:rPr>
              <w:t>After 5 Years</w:t>
            </w:r>
          </w:p>
        </w:tc>
      </w:tr>
      <w:tr>
        <w:trPr>
          <w:trHeight w:val="244"/>
        </w:trPr>
        <w:tc>
          <w:tcPr>
            <w:tcW w:w="3880" w:type="dxa"/>
            <w:vAlign w:val="bottom"/>
            <w:shd w:val="clear" w:color="auto" w:fill="C0C0C0"/>
          </w:tcPr>
          <w:p>
            <w:pPr>
              <w:spacing w:after="0"/>
              <w:rPr>
                <w:sz w:val="20"/>
                <w:szCs w:val="20"/>
                <w:color w:val="auto"/>
              </w:rPr>
            </w:pPr>
            <w:r>
              <w:rPr>
                <w:rFonts w:ascii="Arial" w:cs="Arial" w:eastAsia="Arial" w:hAnsi="Arial"/>
                <w:sz w:val="18"/>
                <w:szCs w:val="18"/>
                <w:color w:val="auto"/>
              </w:rPr>
              <w:t>Long-Term Debt</w:t>
            </w:r>
          </w:p>
        </w:tc>
        <w:tc>
          <w:tcPr>
            <w:tcW w:w="304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$35,240,000</w:t>
            </w:r>
          </w:p>
        </w:tc>
        <w:tc>
          <w:tcPr>
            <w:tcW w:w="11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color w:val="C0C0C0"/>
                <w:w w:val="97"/>
              </w:rPr>
              <w:t>1</w:t>
            </w:r>
            <w:r>
              <w:rPr>
                <w:rFonts w:ascii="Arial" w:cs="Arial" w:eastAsia="Arial" w:hAnsi="Arial"/>
                <w:sz w:val="18"/>
                <w:szCs w:val="18"/>
                <w:color w:val="auto"/>
                <w:w w:val="97"/>
              </w:rPr>
              <w:t>4,080,000</w:t>
            </w:r>
          </w:p>
        </w:tc>
        <w:tc>
          <w:tcPr>
            <w:tcW w:w="10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C0C0C0"/>
                <w:w w:val="93"/>
              </w:rPr>
              <w:t>1</w:t>
            </w:r>
            <w:r>
              <w:rPr>
                <w:rFonts w:ascii="Arial" w:cs="Arial" w:eastAsia="Arial" w:hAnsi="Arial"/>
                <w:sz w:val="18"/>
                <w:szCs w:val="18"/>
                <w:color w:val="auto"/>
                <w:w w:val="93"/>
              </w:rPr>
              <w:t>9,660,000</w:t>
            </w: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C0C0C0"/>
                <w:w w:val="95"/>
              </w:rPr>
              <w:t>1</w:t>
            </w:r>
            <w:r>
              <w:rPr>
                <w:rFonts w:ascii="Arial" w:cs="Arial" w:eastAsia="Arial" w:hAnsi="Arial"/>
                <w:sz w:val="18"/>
                <w:szCs w:val="18"/>
                <w:color w:val="auto"/>
                <w:w w:val="95"/>
              </w:rPr>
              <w:t>6,700,000</w:t>
            </w: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$14,800,000</w:t>
            </w:r>
          </w:p>
        </w:tc>
      </w:tr>
    </w:tbl>
    <w:p>
      <w:pPr>
        <w:sectPr>
          <w:pgSz w:w="11900" w:h="16838" w:orient="portrait"/>
          <w:cols w:equalWidth="0" w:num="1">
            <w:col w:w="11420"/>
          </w:cols>
          <w:pgMar w:left="240" w:top="158"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2660" w:type="dxa"/>
            <w:vAlign w:val="bottom"/>
            <w:gridSpan w:val="2"/>
          </w:tcPr>
          <w:p>
            <w:pPr>
              <w:jc w:val="right"/>
              <w:ind w:right="12"/>
              <w:spacing w:after="0"/>
              <w:rPr>
                <w:sz w:val="20"/>
                <w:szCs w:val="20"/>
                <w:color w:val="auto"/>
              </w:rPr>
            </w:pPr>
            <w:r>
              <w:rPr>
                <w:rFonts w:ascii="Arial" w:cs="Arial" w:eastAsia="Arial" w:hAnsi="Arial"/>
                <w:sz w:val="18"/>
                <w:szCs w:val="18"/>
                <w:color w:val="auto"/>
              </w:rPr>
              <w:t>9,959,000</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2,147,000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3,380,000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2,384,000</w:t>
            </w:r>
          </w:p>
        </w:tc>
        <w:tc>
          <w:tcPr>
            <w:tcW w:w="1100" w:type="dxa"/>
            <w:vAlign w:val="bottom"/>
          </w:tcPr>
          <w:p>
            <w:pPr>
              <w:jc w:val="right"/>
              <w:spacing w:after="0"/>
              <w:rPr>
                <w:sz w:val="20"/>
                <w:szCs w:val="20"/>
                <w:color w:val="auto"/>
              </w:rPr>
            </w:pPr>
            <w:r>
              <w:rPr>
                <w:rFonts w:ascii="Arial" w:cs="Arial" w:eastAsia="Arial" w:hAnsi="Arial"/>
                <w:sz w:val="18"/>
                <w:szCs w:val="18"/>
                <w:color w:val="auto"/>
              </w:rPr>
              <w:t>2,048,000</w:t>
            </w:r>
          </w:p>
        </w:tc>
      </w:tr>
      <w:tr>
        <w:trPr>
          <w:trHeight w:val="244"/>
        </w:trPr>
        <w:tc>
          <w:tcPr>
            <w:tcW w:w="4260" w:type="dxa"/>
            <w:vAlign w:val="bottom"/>
            <w:shd w:val="clear" w:color="auto" w:fill="C0C0C0"/>
          </w:tcPr>
          <w:p>
            <w:pPr>
              <w:spacing w:after="0"/>
              <w:rPr>
                <w:sz w:val="20"/>
                <w:szCs w:val="20"/>
                <w:color w:val="auto"/>
              </w:rPr>
            </w:pPr>
            <w:r>
              <w:rPr>
                <w:rFonts w:ascii="Arial" w:cs="Arial" w:eastAsia="Arial" w:hAnsi="Arial"/>
                <w:sz w:val="18"/>
                <w:szCs w:val="18"/>
                <w:color w:val="auto"/>
              </w:rPr>
              <w:t>Operating Leases</w:t>
            </w:r>
          </w:p>
        </w:tc>
        <w:tc>
          <w:tcPr>
            <w:tcW w:w="26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11,878,000</w:t>
            </w:r>
          </w:p>
        </w:tc>
        <w:tc>
          <w:tcPr>
            <w:tcW w:w="11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2,760,000</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2,373,000</w:t>
            </w:r>
          </w:p>
        </w:tc>
        <w:tc>
          <w:tcPr>
            <w:tcW w:w="11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1,770,000</w:t>
            </w: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4,975,000</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680" w:type="dxa"/>
            <w:vAlign w:val="bottom"/>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7,595,000</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7,595,000</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60" w:type="dxa"/>
            <w:vAlign w:val="bottom"/>
            <w:shd w:val="clear" w:color="auto" w:fill="C0C0C0"/>
          </w:tcPr>
          <w:p>
            <w:pPr>
              <w:spacing w:after="0"/>
              <w:rPr>
                <w:sz w:val="20"/>
                <w:szCs w:val="20"/>
                <w:color w:val="auto"/>
              </w:rPr>
            </w:pPr>
            <w:r>
              <w:rPr>
                <w:rFonts w:ascii="Arial" w:cs="Arial" w:eastAsia="Arial" w:hAnsi="Arial"/>
                <w:sz w:val="18"/>
                <w:szCs w:val="18"/>
                <w:color w:val="auto"/>
              </w:rPr>
              <w:t>Total Contractual Cash Obligations</w:t>
            </w:r>
          </w:p>
        </w:tc>
        <w:tc>
          <w:tcPr>
            <w:tcW w:w="26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$64,672,000</w:t>
            </w:r>
          </w:p>
        </w:tc>
        <w:tc>
          <w:tcPr>
            <w:tcW w:w="11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7"/>
              </w:rPr>
              <w:t>$ 16,582,000</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5"/>
              </w:rPr>
              <w:t>$15,413,000</w:t>
            </w:r>
          </w:p>
        </w:tc>
        <w:tc>
          <w:tcPr>
            <w:tcW w:w="11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7"/>
              </w:rPr>
              <w:t>$10,854,000</w:t>
            </w: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$21,823,000</w:t>
            </w:r>
          </w:p>
        </w:tc>
      </w:tr>
      <w:tr>
        <w:trPr>
          <w:trHeight w:val="41"/>
        </w:trPr>
        <w:tc>
          <w:tcPr>
            <w:tcW w:w="4260" w:type="dxa"/>
            <w:vAlign w:val="bottom"/>
            <w:shd w:val="clear" w:color="auto" w:fill="C0C0C0"/>
          </w:tcPr>
          <w:p>
            <w:pPr>
              <w:spacing w:after="0"/>
              <w:rPr>
                <w:sz w:val="3"/>
                <w:szCs w:val="3"/>
                <w:color w:val="auto"/>
              </w:rPr>
            </w:pPr>
          </w:p>
        </w:tc>
        <w:tc>
          <w:tcPr>
            <w:tcW w:w="1680" w:type="dxa"/>
            <w:vAlign w:val="bottom"/>
            <w:shd w:val="clear" w:color="auto" w:fill="C0C0C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25"/>
        <w:spacing w:after="0" w:line="332" w:lineRule="auto"/>
        <w:rPr>
          <w:sz w:val="20"/>
          <w:szCs w:val="20"/>
          <w:color w:val="auto"/>
        </w:rPr>
      </w:pPr>
      <w:r>
        <w:rPr>
          <w:rFonts w:ascii="Arial" w:cs="Arial" w:eastAsia="Arial" w:hAnsi="Arial"/>
          <w:sz w:val="16"/>
          <w:szCs w:val="16"/>
          <w:color w:val="auto"/>
        </w:rPr>
        <w:t>We are not required to make a contribution to our defined benefit pension plan in fiscal 2007. We have not presented this obligation for future years in the table above because the funding requirement can vary from year to year based on changes in the fair value of plan assets and actuarial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8"/>
                <w:szCs w:val="18"/>
                <w:b w:val="1"/>
                <w:bCs w:val="1"/>
                <w:color w:val="auto"/>
                <w:w w:val="90"/>
              </w:rPr>
              <w:t>Amount of Commitment Expiration Per Period</w:t>
            </w:r>
          </w:p>
        </w:tc>
        <w:tc>
          <w:tcPr>
            <w:tcW w:w="580" w:type="dxa"/>
            <w:vAlign w:val="bottom"/>
            <w:tcBorders>
              <w:bottom w:val="single" w:sz="8" w:color="auto"/>
            </w:tcBorders>
          </w:tcPr>
          <w:p>
            <w:pPr>
              <w:spacing w:after="0"/>
              <w:rPr>
                <w:sz w:val="19"/>
                <w:szCs w:val="19"/>
                <w:color w:val="auto"/>
              </w:rPr>
            </w:pPr>
          </w:p>
        </w:tc>
      </w:tr>
      <w:tr>
        <w:trPr>
          <w:trHeight w:val="236"/>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58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Other Commercial</w:t>
            </w:r>
          </w:p>
        </w:tc>
        <w:tc>
          <w:tcPr>
            <w:tcW w:w="2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Amounts</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Less Than 1</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4"/>
        </w:trPr>
        <w:tc>
          <w:tcPr>
            <w:tcW w:w="58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Commitments</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Committed</w:t>
            </w:r>
          </w:p>
        </w:tc>
        <w:tc>
          <w:tcPr>
            <w:tcW w:w="460" w:type="dxa"/>
            <w:vAlign w:val="bottom"/>
          </w:tcPr>
          <w:p>
            <w:pPr>
              <w:spacing w:after="0"/>
              <w:rPr>
                <w:sz w:val="21"/>
                <w:szCs w:val="21"/>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Year</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9"/>
              </w:rPr>
              <w:t>1 – 3 Years</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3"/>
              </w:rPr>
              <w:t>4 – 5 Years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After 5 Years</w:t>
            </w:r>
          </w:p>
        </w:tc>
      </w:tr>
      <w:tr>
        <w:trPr>
          <w:trHeight w:val="244"/>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Standby Letters of Credit</w:t>
            </w:r>
          </w:p>
        </w:tc>
        <w:tc>
          <w:tcPr>
            <w:tcW w:w="200" w:type="dxa"/>
            <w:vAlign w:val="bottom"/>
            <w:shd w:val="clear" w:color="auto" w:fill="C0C0C0"/>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500,000</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500,000</w:t>
            </w: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10,964,000</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10,964,000</w:t>
            </w:r>
          </w:p>
        </w:tc>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r>
        <w:trPr>
          <w:trHeight w:val="257"/>
        </w:trPr>
        <w:tc>
          <w:tcPr>
            <w:tcW w:w="5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Commercial Commitments</w:t>
            </w:r>
          </w:p>
        </w:tc>
        <w:tc>
          <w:tcPr>
            <w:tcW w:w="20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11,964,000</w:t>
            </w: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86"/>
              </w:rPr>
              <w:t>11,964,000</w:t>
            </w:r>
          </w:p>
        </w:tc>
        <w:tc>
          <w:tcPr>
            <w:tcW w:w="4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1" w:lineRule="exact"/>
        <w:rPr>
          <w:sz w:val="20"/>
          <w:szCs w:val="20"/>
          <w:color w:val="auto"/>
        </w:rPr>
      </w:pPr>
    </w:p>
    <w:p>
      <w:pPr>
        <w:jc w:val="both"/>
        <w:ind w:firstLine="325"/>
        <w:spacing w:after="0" w:line="332" w:lineRule="auto"/>
        <w:rPr>
          <w:sz w:val="20"/>
          <w:szCs w:val="20"/>
          <w:color w:val="auto"/>
        </w:rPr>
      </w:pPr>
      <w:r>
        <w:rPr>
          <w:rFonts w:ascii="Arial" w:cs="Arial" w:eastAsia="Arial" w:hAnsi="Arial"/>
          <w:sz w:val="16"/>
          <w:szCs w:val="16"/>
          <w:color w:val="auto"/>
        </w:rPr>
        <w:t>The expected timing of payments of the obligations above is estimated based on current information. Timing of payments and actual amounts paid may be different, depending on the time of receipt of goods or services, or changes to agreed-upon amounts for some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RRANGEMENTS</w:t>
      </w:r>
    </w:p>
    <w:p>
      <w:pPr>
        <w:spacing w:after="0" w:line="231"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We do not have any unconsolidated special purpose entities. As of July 31, 2006,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CCOUNTING POLICIES AND ESTIMATES</w:t>
      </w:r>
    </w:p>
    <w:p>
      <w:pPr>
        <w:spacing w:after="0" w:line="231" w:lineRule="exact"/>
        <w:rPr>
          <w:sz w:val="20"/>
          <w:szCs w:val="20"/>
          <w:color w:val="auto"/>
        </w:rPr>
      </w:pPr>
    </w:p>
    <w:p>
      <w:pPr>
        <w:jc w:val="both"/>
        <w:ind w:firstLine="310"/>
        <w:spacing w:after="0" w:line="289"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Annually we review our financial reporting and disclosure practices and accounting policies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promotional programs, allowance for doubtful accounts, prepaid overburden, pension accounting and income taxes. Actual results could differ from these estimates.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b w:val="1"/>
          <w:bCs w:val="1"/>
          <w:color w:val="auto"/>
        </w:rPr>
        <w:t xml:space="preserve">Stock Split Effected by a Stock Dividend. </w:t>
      </w:r>
      <w:r>
        <w:rPr>
          <w:rFonts w:ascii="Arial" w:cs="Arial" w:eastAsia="Arial" w:hAnsi="Arial"/>
          <w:sz w:val="16"/>
          <w:szCs w:val="16"/>
          <w:color w:val="auto"/>
        </w:rPr>
        <w:t>If a stock split is effected after the close of the fiscal year, but before the release of the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require per share data to be based on the new shares outstanding including the effect of the stock split transaction. In addition, if the par value of the underlying stock is not reduced for a stock dividend, a credit to the common stock account and a charge to paid-in-capital are necessary to adjust the aggregate par value. Our Board announced the stock dividend on June 6, 2006. The stock dividend was paid on September 8, 2006 to shareholders of record at the close of business on August 4, 2006. Accordingly, shares outstanding, income (loss) per share and balance sheet values for all years presented have been restated to reflect the five-for-four stock split effected by a stock dividend of one-quarter share for each outstanding share of Common Stock and Class B Stock and the adjustment to aggregate par value has been made.</w:t>
      </w:r>
    </w:p>
    <w:p>
      <w:pPr>
        <w:spacing w:after="0" w:line="167"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Under the terms of our sales agreements with customers, we recognize revenue when title is transferred. Upon shipment an invoice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that sets the fixed and determinable price. Sales returns and allowances have historically not been material.</w:t>
      </w:r>
    </w:p>
    <w:p>
      <w:pPr>
        <w:spacing w:after="0" w:line="174" w:lineRule="exact"/>
        <w:rPr>
          <w:sz w:val="20"/>
          <w:szCs w:val="20"/>
          <w:color w:val="auto"/>
        </w:rPr>
      </w:pPr>
    </w:p>
    <w:p>
      <w:pPr>
        <w:jc w:val="both"/>
        <w:ind w:firstLine="299"/>
        <w:spacing w:after="0" w:line="258" w:lineRule="auto"/>
        <w:rPr>
          <w:sz w:val="20"/>
          <w:szCs w:val="20"/>
          <w:color w:val="auto"/>
        </w:rPr>
      </w:pPr>
      <w:r>
        <w:rPr>
          <w:rFonts w:ascii="Arial" w:cs="Arial" w:eastAsia="Arial" w:hAnsi="Arial"/>
          <w:sz w:val="18"/>
          <w:szCs w:val="18"/>
          <w:b w:val="1"/>
          <w:bCs w:val="1"/>
          <w:color w:val="auto"/>
        </w:rPr>
        <w:t xml:space="preserve">Trade Promotions and Advertising. </w:t>
      </w:r>
      <w:r>
        <w:rPr>
          <w:rFonts w:ascii="Arial" w:cs="Arial" w:eastAsia="Arial" w:hAnsi="Arial"/>
          <w:sz w:val="18"/>
          <w:szCs w:val="18"/>
          <w:color w:val="auto"/>
        </w:rPr>
        <w:t>We routinely commit to one-time or on-going trade promotion programs in our Retail and Wholesale Products Group.</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Advertising costs are part of selling, general and administrative expenses.</w:t>
      </w:r>
    </w:p>
    <w:p>
      <w:pPr>
        <w:spacing w:after="0" w:line="196"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We have accrued liabilities at the end of each period for the estimated expenses incurred, but unpaid for trade spending and advertising programs. The determination of the trade spending liabilities requires us to use judgment for estimates which include our historical experience with trade spending patterns and that of the industry, current trends and forecasted data. While management believes our promotional reserves are reasonable and that appropriate judgments have been made, estimated amounts could differ from future obligations. We recorded reserves of $3,522,000 and $3,362,000 for these trade promotions and advertising liabilities at July 31, 2006 and 2005, respectively.</w:t>
      </w:r>
    </w:p>
    <w:p>
      <w:pPr>
        <w:spacing w:after="0" w:line="191" w:lineRule="exact"/>
        <w:rPr>
          <w:sz w:val="20"/>
          <w:szCs w:val="20"/>
          <w:color w:val="auto"/>
        </w:rPr>
      </w:pPr>
    </w:p>
    <w:p>
      <w:pPr>
        <w:jc w:val="both"/>
        <w:ind w:firstLine="290"/>
        <w:spacing w:after="0" w:line="275"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includes all manufacturing costs, inbound and outbound freight, inspection costs, purchasing costs associated with materials and</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used in the production processes and warehouse and distribution costs.</w:t>
      </w:r>
    </w:p>
    <w:p>
      <w:pPr>
        <w:spacing w:after="0" w:line="174" w:lineRule="exact"/>
        <w:rPr>
          <w:sz w:val="20"/>
          <w:szCs w:val="20"/>
          <w:color w:val="auto"/>
        </w:rPr>
      </w:pPr>
    </w:p>
    <w:p>
      <w:pPr>
        <w:jc w:val="both"/>
        <w:ind w:firstLine="315"/>
        <w:spacing w:after="0" w:line="310"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include salaries, wages and benefits associated with the staff</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the manufacturing and distribution functions, all marketing related costs, any miscellaneous trade spending expenses not required to be included in net sales, research and development costs and all other non-manufacturing and non-distribution expenses.</w:t>
      </w:r>
    </w:p>
    <w:p>
      <w:pPr>
        <w:sectPr>
          <w:pgSz w:w="11900" w:h="16838" w:orient="portrait"/>
          <w:cols w:equalWidth="0" w:num="1">
            <w:col w:w="11420"/>
          </w:cols>
          <w:pgMar w:left="240" w:top="158" w:right="239" w:bottom="0" w:gutter="0" w:footer="0" w:header="0"/>
        </w:sectPr>
      </w:pPr>
    </w:p>
    <w:bookmarkStart w:id="20" w:name="page21"/>
    <w:bookmarkEnd w:id="20"/>
    <w:p>
      <w:pPr>
        <w:spacing w:after="0" w:line="76" w:lineRule="exact"/>
        <w:rPr>
          <w:sz w:val="20"/>
          <w:szCs w:val="20"/>
          <w:color w:val="auto"/>
        </w:rPr>
      </w:pPr>
    </w:p>
    <w:p>
      <w:pPr>
        <w:jc w:val="both"/>
        <w:ind w:firstLine="317"/>
        <w:spacing w:after="0" w:line="256" w:lineRule="auto"/>
        <w:rPr>
          <w:sz w:val="20"/>
          <w:szCs w:val="20"/>
          <w:color w:val="auto"/>
        </w:rPr>
      </w:pPr>
      <w:r>
        <w:rPr>
          <w:rFonts w:ascii="Arial" w:cs="Arial" w:eastAsia="Arial" w:hAnsi="Arial"/>
          <w:sz w:val="18"/>
          <w:szCs w:val="18"/>
          <w:b w:val="1"/>
          <w:bCs w:val="1"/>
          <w:color w:val="auto"/>
        </w:rPr>
        <w:t xml:space="preserve">Cash Equivalents and Investments in Securities. </w:t>
      </w:r>
      <w:r>
        <w:rPr>
          <w:rFonts w:ascii="Arial" w:cs="Arial" w:eastAsia="Arial" w:hAnsi="Arial"/>
          <w:sz w:val="18"/>
          <w:szCs w:val="18"/>
          <w:color w:val="auto"/>
        </w:rPr>
        <w:t>Cash equivalents are highly liquid investments with maturities of three months or less when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treasury securities are carried at cost, plus accrued interest, which approximates market. We occasionally purchase as investments certain debt securities of highly rated United States corporations. These securities are reported as current or long-term depending on the maturity of the instrument. We classify these investments as held-to-maturity and measure them on an amortized cost basis because we have both the intention and the ability to hold these investments to maturity.</w:t>
      </w:r>
    </w:p>
    <w:p>
      <w:pPr>
        <w:spacing w:after="0" w:line="193" w:lineRule="exact"/>
        <w:rPr>
          <w:sz w:val="20"/>
          <w:szCs w:val="20"/>
          <w:color w:val="auto"/>
        </w:rPr>
      </w:pPr>
    </w:p>
    <w:p>
      <w:pPr>
        <w:jc w:val="both"/>
        <w:ind w:firstLine="274"/>
        <w:spacing w:after="0" w:line="256"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Trade receivables are recognized when the risk of loss and title pass to the customer consistent with the Revenue Recognition policy. We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an allowance for doubtful accounts based on our historical experience and a periodic review of our accounts receivable, including a review of the overall aging of accounts and analysis of specific accounts. While management believes our allowance for doubtful accounts is reasonable, the unanticipated default by a customer with material trade receivable could occur. We recorded an allowance for doubtful accounts of $567,000 and $609,000 at July 31, 2006 and 2005, respectively.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firstLine="317"/>
        <w:spacing w:after="0" w:line="296"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valued at the lower of cost (first-in, first-out) or market. Inventory costs include the cost of raw materials, packaging supplies,</w:t>
      </w:r>
      <w:r>
        <w:rPr>
          <w:rFonts w:ascii="Arial" w:cs="Arial" w:eastAsia="Arial" w:hAnsi="Arial"/>
          <w:sz w:val="16"/>
          <w:szCs w:val="16"/>
          <w:b w:val="1"/>
          <w:bCs w:val="1"/>
          <w:color w:val="auto"/>
        </w:rPr>
        <w:t xml:space="preserve"> </w:t>
      </w:r>
      <w:r>
        <w:rPr>
          <w:rFonts w:ascii="Arial" w:cs="Arial" w:eastAsia="Arial" w:hAnsi="Arial"/>
          <w:sz w:val="16"/>
          <w:szCs w:val="16"/>
          <w:color w:val="auto"/>
        </w:rPr>
        <w:t>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allowance not only considers specific items, but also takes into consideration the overall value of the inventory as of the balance sheet date. The inventory obsolescence reserve values at July 31, 2006 and 2005 were $307,000 and $301,000, respectively.</w:t>
      </w:r>
    </w:p>
    <w:p>
      <w:pPr>
        <w:spacing w:after="0" w:line="162"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6"/>
          <w:szCs w:val="16"/>
          <w:b w:val="1"/>
          <w:bCs w:val="1"/>
          <w:color w:val="auto"/>
        </w:rPr>
        <w:t xml:space="preserve">Prepaid Overburden Removal and Mining Costs. </w:t>
      </w:r>
      <w:r>
        <w:rPr>
          <w:rFonts w:ascii="Arial" w:cs="Arial" w:eastAsia="Arial" w:hAnsi="Arial"/>
          <w:sz w:val="16"/>
          <w:szCs w:val="16"/>
          <w:color w:val="auto"/>
        </w:rPr>
        <w:t>We mine sorbent materials on property that we either own or lease as part of our overall operations. A</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part of our mining cost is incurred during the process of removing the overburden (non-usable material) from the mine site, thus exposing the sorbent material that is then used in a majority of our production processes. The cost of the overburden removal is recorded in a prepaid expense account and, as the usable sorbent material is mined, the prepaid overburden removal expense is amortized over the estimated available material. We had $1,686,000 and $1,370,000 of prepaid expense recorded on our consolidated balance sheet, as of July 31, 2006 and 2005, respectively. We amortized to current expense approximately $2,134,000 of previously recorded prepaid expense in fiscal 2006, $2,637,000 in fiscal 2005 and $2,895,000 in fiscal 2004. See the discussion in Note 1 of the Notes to the Consolidated Financial Statements regarding EITF Issue No. 04-06, “Accounting for Stripping Costs in the Mining Industry”, which will change our reporting of post-production stripping costs beginning in the first quarter of fiscal year 2007.</w:t>
      </w:r>
    </w:p>
    <w:p>
      <w:pPr>
        <w:spacing w:after="0" w:line="172"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To determine the value of prepaid overburden, our mining personnel survey the individual mining areas. The estimation work is conducted utilizing a combination of manual and computerized survey tools. Once the survey data is recorded it is charted on numerous topographical maps of the mining areas. Finally, based on the survey data, maps and professional judgment of the mining engineers’ estimates are developed.</w:t>
      </w:r>
    </w:p>
    <w:p>
      <w:pPr>
        <w:spacing w:after="0" w:line="161"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18"/>
          <w:szCs w:val="18"/>
          <w:color w:val="auto"/>
        </w:rPr>
        <w:t>During the normal course of our overburden removal activities we perform on-going reclamation activities. As overburden is removed from a pit, it is hauled to a previously mined pit and used to refill the older site. This process allows us to continuously reclaim older pits and dispose of overburden simultaneously, therefore minimizing the liability for the reclamation function.</w:t>
      </w:r>
    </w:p>
    <w:p>
      <w:pPr>
        <w:spacing w:after="0" w:line="194" w:lineRule="exact"/>
        <w:rPr>
          <w:sz w:val="20"/>
          <w:szCs w:val="20"/>
          <w:color w:val="auto"/>
        </w:rPr>
      </w:pPr>
    </w:p>
    <w:p>
      <w:pPr>
        <w:jc w:val="both"/>
        <w:ind w:firstLine="317"/>
        <w:spacing w:after="0" w:line="256"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are offset against future royalties due upon extraction of the mineral are also capitalized. All exploration related costs are expensed as incurred.</w:t>
      </w:r>
    </w:p>
    <w:p>
      <w:pPr>
        <w:spacing w:after="0" w:line="191" w:lineRule="exact"/>
        <w:rPr>
          <w:sz w:val="20"/>
          <w:szCs w:val="20"/>
          <w:color w:val="auto"/>
        </w:rPr>
      </w:pPr>
    </w:p>
    <w:p>
      <w:pPr>
        <w:jc w:val="both"/>
        <w:ind w:firstLine="298"/>
        <w:spacing w:after="0" w:line="290" w:lineRule="auto"/>
        <w:rPr>
          <w:sz w:val="20"/>
          <w:szCs w:val="20"/>
          <w:color w:val="auto"/>
        </w:rPr>
      </w:pPr>
      <w:r>
        <w:rPr>
          <w:rFonts w:ascii="Arial" w:cs="Arial" w:eastAsia="Arial" w:hAnsi="Arial"/>
          <w:sz w:val="16"/>
          <w:szCs w:val="16"/>
          <w:b w:val="1"/>
          <w:bCs w:val="1"/>
          <w:color w:val="auto"/>
        </w:rPr>
        <w:t xml:space="preserve">Impairment of goodwill, trademarks and other intangible assets. </w:t>
      </w:r>
      <w:r>
        <w:rPr>
          <w:rFonts w:ascii="Arial" w:cs="Arial" w:eastAsia="Arial" w:hAnsi="Arial"/>
          <w:sz w:val="16"/>
          <w:szCs w:val="16"/>
          <w:color w:val="auto"/>
        </w:rPr>
        <w:t>Carrying values of goodwill, trademarks and other indefinite lived intangible assets are</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periodically for possible impairment in accordance with Statement of Financial Accounting Standards (SFAS) No. 142, “Goodwill and Other Intangible Assets”. Our impairment review is based on a discounted cash flow approach that requires significant judgment with respect to volume, revenue, expense growth rates and the selection of an appropriate discount rate. Impairment occurs when the carrying value exceeds the fair value. Our impairment analysis is performed in the first quarter of the fiscal year and we use judgment in assessing whether assets may have become impaired between annual valuations. Indicators such as unexpected adverse economic factors, unanticipated technological changes, competitive activities and acts by governments and courts may indicate that an asset has become impaired. Our analysis in the first quarter of fiscal 2006 did not indicate any impairment. We continue to monitor events, circumstances or changes in the business that might imply a reduction in value and might lead to impairment.</w:t>
      </w:r>
    </w:p>
    <w:p>
      <w:pPr>
        <w:spacing w:after="0" w:line="166" w:lineRule="exact"/>
        <w:rPr>
          <w:sz w:val="20"/>
          <w:szCs w:val="20"/>
          <w:color w:val="auto"/>
        </w:rPr>
      </w:pPr>
    </w:p>
    <w:p>
      <w:pPr>
        <w:jc w:val="both"/>
        <w:ind w:firstLine="299"/>
        <w:spacing w:after="0" w:line="289" w:lineRule="auto"/>
        <w:rPr>
          <w:sz w:val="20"/>
          <w:szCs w:val="20"/>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color w:val="auto"/>
        </w:rPr>
        <w:t>On August 1, 2005 we adopted Financial Accounting Standards (“FAS”) No. 123-R “Share-Based Payments” (“FAS 123-R”).</w:t>
      </w:r>
      <w:r>
        <w:rPr>
          <w:rFonts w:ascii="Arial" w:cs="Arial" w:eastAsia="Arial" w:hAnsi="Arial"/>
          <w:sz w:val="16"/>
          <w:szCs w:val="16"/>
          <w:b w:val="1"/>
          <w:bCs w:val="1"/>
          <w:color w:val="auto"/>
        </w:rPr>
        <w:t xml:space="preserve"> </w:t>
      </w:r>
      <w:r>
        <w:rPr>
          <w:rFonts w:ascii="Arial" w:cs="Arial" w:eastAsia="Arial" w:hAnsi="Arial"/>
          <w:sz w:val="16"/>
          <w:szCs w:val="16"/>
          <w:color w:val="auto"/>
        </w:rPr>
        <w:t>This statement is a revision of SFAS No. 123, “Accounting for Stock-Based Compensation” and supersedes APB Opinion No. 25, Accounting for Stock Issued to Employees. FAS 123-R establishes fair value as the measurement objective in accounting for share-based payment arrangements and requires all companies to apply a fair-value-based measurement method in accounting for generally all share-based payment transactions with employees. The fair value is estimated on the grant date using the Black-Scholes Option Pricing Method. FAS 123-R requires that the costs resulting from all share-based payment transactions be recognized in the financial statements. The amount of share-based compensation expense recognized in fiscal 2006 was $330,000, net of related tax effect. This includes expense related to stock option grants and amortization of restricted stock. We adopted the pronouncement using a modified prospective application. Under this application, we are required to record compensation expense for all awards granted after the date of adoption and for the unvested portion of previously granted awards that remain outstanding at the date of adoption. Accordingly, prior period amounts have not been restated.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Prior to the adoption of FAS 123-R, we had applied Accounting Principles Board Opinion (“APB”) No. 25, “Accounting for Stock Issued to Employees”, and related other interpretations to account for our stock option plans. Under APB 25, we applied the intrinsic value method. All of the outstanding options issued under the plans had exercise prices equal to the market value on the day of issue. Accordingly, we did not record any compensation expense associated with our issuance of stock options. Had we accounted for stock-based compensation in accordance with SFAS No. 123-R, we would have reported in fiscal years 2005 and 2004 additional employee compensation expense (net of related tax effect) of approximately $325,000 and $301,000, respectively. See Note 7 to the Notes of the Consolidated Financial Statements for further discussion.</w:t>
      </w:r>
    </w:p>
    <w:p>
      <w:pPr>
        <w:spacing w:after="0" w:line="19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b w:val="1"/>
          <w:bCs w:val="1"/>
          <w:color w:val="auto"/>
        </w:rPr>
        <w:t xml:space="preserve">Pension Accounting. </w:t>
      </w:r>
      <w:r>
        <w:rPr>
          <w:rFonts w:ascii="Arial" w:cs="Arial" w:eastAsia="Arial" w:hAnsi="Arial"/>
          <w:sz w:val="16"/>
          <w:szCs w:val="16"/>
          <w:color w:val="auto"/>
        </w:rPr>
        <w:t>Pension benefit obligations and the related effects on results of operations are calculated using actuarial models. Two critical</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discount rate and expected return on assets, are important elements of plan expense and asset/liability measurement. We evaluate these critical assumptions at least annually. Other assumptions involving demographic factors, such as retirement age, mortality and turnover, are evaluated periodically and are updated to reflect actual experience. Actual results in any given year will often differ from actuarial assumptions because of economic and other factors.</w:t>
      </w:r>
    </w:p>
    <w:p>
      <w:pPr>
        <w:sectPr>
          <w:pgSz w:w="11900" w:h="16915" w:orient="portrait"/>
          <w:cols w:equalWidth="0" w:num="1">
            <w:col w:w="11420"/>
          </w:cols>
          <w:pgMar w:left="240" w:top="125" w:right="239" w:bottom="0" w:gutter="0" w:footer="0" w:header="0"/>
        </w:sectPr>
      </w:pPr>
    </w:p>
    <w:bookmarkStart w:id="21" w:name="page22"/>
    <w:bookmarkEnd w:id="21"/>
    <w:p>
      <w:pPr>
        <w:spacing w:after="0" w:line="5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w:t>
      </w:r>
    </w:p>
    <w:p>
      <w:pPr>
        <w:spacing w:after="0" w:line="221"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discount rate is based on a market benchmark rate that is of comparable duration to the plan’s liabilities. Specifically, at July 31, 2006, the discount rate was based on the Citigroup Pension Liability Index and at July 31, 2005 the discount rate was based on Moody’s Aa Corporate Bond Yield adjusted to be based on annual compounding. The rate was rounded to the nearest 25 basis points.</w:t>
      </w:r>
    </w:p>
    <w:p>
      <w:pPr>
        <w:spacing w:after="0" w:line="215" w:lineRule="exact"/>
        <w:rPr>
          <w:sz w:val="20"/>
          <w:szCs w:val="20"/>
          <w:color w:val="auto"/>
        </w:rPr>
      </w:pPr>
    </w:p>
    <w:p>
      <w:pPr>
        <w:jc w:val="both"/>
        <w:ind w:firstLine="27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effective tax rate is based on expected income, statutory tax rates and tax planning opportunities available to us in various jurisdictions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 operate. Significant judgment is required in determining our effective tax rate and in evaluating our tax positions.</w:t>
      </w:r>
    </w:p>
    <w:p>
      <w:pPr>
        <w:spacing w:after="0" w:line="162"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We determine our current and deferred taxes in accordance with SFAS No. 109, “Accounting for Income Taxes”. The tax effect of the reversal of tax differences is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 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effect the realization of deferred tax assets. We recorded valuation allowances for income taxes of $1,831,000 and $1,784,000 at July 31, 2006 and 2005,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TANDARDS</w:t>
      </w:r>
    </w:p>
    <w:p>
      <w:pPr>
        <w:spacing w:after="0" w:line="258"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In September 2006, the FASB issued Statement of Financial Accounting Standards (“SFAS”) No. 158, “Employers’ Accounting for Defined Pension and Other Postretirement Plans”. This Statement requires recognition of the funded status of a single-employer defined benefit postretirement plan as an asset or liability in its statement of financial position. Funded status is determined as the difference between the fair value of plan assets and the benefit obligation. Changes in that funded status should be recognized in other comprehensive income. This recognition provision and the related disclosures are effective as of the end of the fiscal year ending after December 15, 2006. The Statement also requires the measurement of plan assets and benefit obligations as of the date of the fiscal year-end statement of financial position. This measurement provision is effective for fiscal years ending after December 15, 2008. We are currently reviewing this pronouncement, but we believe it could have a material impact on our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In September 2006, the FASB issued Statement of Financial Accounting Standards (“SFAS”) No. 157, “Fair Value Measurement”, effective for fiscal years beginning after November 15, 2007. This Statement defines fair value, establishes a framework for measuring fair value and expands disclosures about fair value measurements. This Statement does not require any new fair value measurements, but simplifies and codifies related guidance within generally accepted accounting principles (GAAP). This Statement applies under other accounting pronouncements that require or permit fair value measurements. We are currently reviewing this pronouncement, but we believe it will not have a material impact on our financial statements.</w:t>
      </w:r>
    </w:p>
    <w:p>
      <w:pPr>
        <w:spacing w:after="0" w:line="197"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In June 2006, the FASB issued Interpretation (“FIN”) No. 48, “Accounting for Uncertainty in Income Taxes”, effective for fiscal years beginning after December 15, 2006. This interpretation clarifies the accounting for uncertainty in income taxes in accordance with FASB Statement No. 109, “Accounting for Income Taxes”. The pronouncement provides a recognition threshold and measurement guidance for the financial statement recognition of a tax position taken or expected to be taken in a tax return. We are currently reviewing this pronouncement, but we believe it will not have a material impact on our financial statements.</w:t>
      </w:r>
    </w:p>
    <w:p>
      <w:pPr>
        <w:spacing w:after="0" w:line="194"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In May 2005, the FASB issued Statement of Financial Accounting Standards (“SFAS”) No. 154, “Accounting Changes and Error Corrections,” effective for the first fiscal period in the fiscal year beginning after December 15, 2005. This statement replaces APB Opinion No. 20, “Accounting Changes” and FASB Statement No. 3, “Reporting Accounting Changes in Interim Financial Statements”. This statement applies to all voluntary changes in accounting principle and requires retrospective application to prior periods’ financial statements of changes in accounting principle, unless it is impracticable. We would only be impacted by this statement if it made a voluntary change in accounting principle after the effective date.</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2005, the Financial Accounting Standards Board ratified the consensus reached in EITF Issue No. 04-06 (“EITF Issue 04-06”), “Accounting for Stripping Costs in the Mining Industry”. The consensus will be effective for the first fiscal period in the fiscal year beginning after December 15, 2005. The consensus on EITF Issue 04-06 calls for post-production stripping costs to be treated as a variable inventory production cost. As a result, such costs are subject to inventory costing procedures in the period they are incurred.</w:t>
      </w:r>
    </w:p>
    <w:p>
      <w:pPr>
        <w:spacing w:after="0" w:line="224"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6"/>
          <w:szCs w:val="16"/>
          <w:color w:val="auto"/>
        </w:rPr>
        <w:t>Once EITF Issue 04-06 becomes effective in the first quarter of fiscal 2007, we will be required to write off the amount of our prepaid overburden removal expense account at August 1, 2006 as a cumulative effect adjustment to our opening balance of retained earnings. Although the write-off adjusts the opening balance of retained earnings, it will also reduce our earnings per share in the first quarter of fiscal 2007. The value of the prepaid overburden removal expense account at July 31, 2006 was $1,686,000. Also, on an ongoing basis we expect not to defer and amortize the vast majority of our overburden removal expenses. Post-production overburden removal costs will be considered variable production expenses and will be included in cost of sales in the period they are incurred; however, in accordance with EITF Issue 04-06, we will continue to defer and amortize the pre-production overburden removal costs associated with opening a new mine. We expect these changes to result in increased earnings volatility on a quarterly, but not an annual,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had two interest rate swap agreements outstanding as of July 31, 2006. We believe that the market risk arising from holdings of our financial instruments is not material.</w:t>
      </w:r>
    </w:p>
    <w:p>
      <w:pPr>
        <w:spacing w:after="0" w:line="221"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We are exposed to currency risk as it relates to certain accounts receivables and our foreign operations. We believe that the currency risk is immaterial to the overall presentation of the financial statements.</w:t>
      </w:r>
    </w:p>
    <w:p>
      <w:pPr>
        <w:spacing w:after="0" w:line="213"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We are exposed to regulatory risk in the fluid purification and agricultural markets, principally as a result of the risk of increasing regulation of the food chain in the United States and Europe. We actively monitor developments in this area, both directly and through trade organizations of which we are a member.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93" w:orient="portrait"/>
          <w:cols w:equalWidth="0" w:num="1">
            <w:col w:w="11420"/>
          </w:cols>
          <w:pgMar w:left="240" w:top="158" w:right="239" w:bottom="0" w:gutter="0" w:footer="0" w:header="0"/>
        </w:sectPr>
      </w:pPr>
    </w:p>
    <w:bookmarkStart w:id="22" w:name="page23"/>
    <w:bookmarkEnd w:id="2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jc w:val="both"/>
        <w:ind w:firstLine="270"/>
        <w:spacing w:after="0" w:line="256" w:lineRule="auto"/>
        <w:rPr>
          <w:sz w:val="20"/>
          <w:szCs w:val="20"/>
          <w:color w:val="auto"/>
        </w:rPr>
      </w:pPr>
      <w:r>
        <w:rPr>
          <w:rFonts w:ascii="Arial" w:cs="Arial" w:eastAsia="Arial" w:hAnsi="Arial"/>
          <w:sz w:val="18"/>
          <w:szCs w:val="18"/>
          <w:color w:val="auto"/>
        </w:rPr>
        <w:t>We are exposed to commodity price risk with respect to fuel. We plan to contract for 41% of our fuel needs for fiscal 2007 using forward purchase contracts to manage the volatility in fuel prices related to this exposure. All contracts are related to the normal course of business and no contracts are entered into for speculative purposes. The weighted average cost of our natural gas contracts has been estimated to be approximately 15.1% higher than the contracts for fiscal 2006.</w:t>
      </w:r>
    </w:p>
    <w:p>
      <w:pPr>
        <w:spacing w:after="0" w:line="224"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The following table provides information about our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2007. The Fair Value was determined using the “Most Recent Settle” price for the “Henry Hub Natural Gas” option contract prices as listed by the New York Mercantile Exchange on October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Commodity Price Sensitivity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Natural Gas Future Contracts</w:t>
      </w:r>
    </w:p>
    <w:p>
      <w:pPr>
        <w:jc w:val="center"/>
        <w:spacing w:after="0"/>
        <w:rPr>
          <w:sz w:val="20"/>
          <w:szCs w:val="20"/>
          <w:color w:val="auto"/>
        </w:rPr>
      </w:pPr>
      <w:r>
        <w:rPr>
          <w:rFonts w:ascii="Arial" w:cs="Arial" w:eastAsia="Arial" w:hAnsi="Arial"/>
          <w:sz w:val="18"/>
          <w:szCs w:val="18"/>
          <w:b w:val="1"/>
          <w:bCs w:val="1"/>
          <w:color w:val="auto"/>
        </w:rPr>
        <w:t>For the Year Ending July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-4445</wp:posOffset>
            </wp:positionV>
            <wp:extent cx="6157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6"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43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Expected 2007 Maturity</w:t>
            </w:r>
          </w:p>
        </w:tc>
        <w:tc>
          <w:tcPr>
            <w:tcW w:w="17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7"/>
              </w:rPr>
              <w:t>Fair Value</w:t>
            </w:r>
          </w:p>
        </w:tc>
      </w:tr>
      <w:tr>
        <w:trPr>
          <w:trHeight w:val="236"/>
        </w:trPr>
        <w:tc>
          <w:tcPr>
            <w:tcW w:w="4340" w:type="dxa"/>
            <w:vAlign w:val="bottom"/>
          </w:tcPr>
          <w:p>
            <w:pPr>
              <w:ind w:left="140"/>
              <w:spacing w:after="0"/>
              <w:rPr>
                <w:sz w:val="20"/>
                <w:szCs w:val="20"/>
                <w:color w:val="auto"/>
              </w:rPr>
            </w:pPr>
            <w:r>
              <w:rPr>
                <w:rFonts w:ascii="Arial" w:cs="Arial" w:eastAsia="Arial" w:hAnsi="Arial"/>
                <w:sz w:val="18"/>
                <w:szCs w:val="18"/>
                <w:color w:val="auto"/>
              </w:rPr>
              <w:t>Natural Gas Future Volumes (MMBtu)</w:t>
            </w:r>
          </w:p>
        </w:tc>
        <w:tc>
          <w:tcPr>
            <w:tcW w:w="3600" w:type="dxa"/>
            <w:vAlign w:val="bottom"/>
          </w:tcPr>
          <w:p>
            <w:pPr>
              <w:jc w:val="right"/>
              <w:ind w:right="1172"/>
              <w:spacing w:after="0"/>
              <w:rPr>
                <w:sz w:val="20"/>
                <w:szCs w:val="20"/>
                <w:color w:val="auto"/>
              </w:rPr>
            </w:pPr>
            <w:r>
              <w:rPr>
                <w:rFonts w:ascii="Arial" w:cs="Arial" w:eastAsia="Arial" w:hAnsi="Arial"/>
                <w:sz w:val="18"/>
                <w:szCs w:val="18"/>
                <w:color w:val="auto"/>
              </w:rPr>
              <w:t>880,000</w:t>
            </w:r>
          </w:p>
        </w:tc>
        <w:tc>
          <w:tcPr>
            <w:tcW w:w="1740" w:type="dxa"/>
            <w:vAlign w:val="bottom"/>
          </w:tcPr>
          <w:p>
            <w:pPr>
              <w:spacing w:after="0"/>
              <w:rPr>
                <w:sz w:val="20"/>
                <w:szCs w:val="20"/>
                <w:color w:val="auto"/>
              </w:rPr>
            </w:pPr>
          </w:p>
        </w:tc>
      </w:tr>
      <w:tr>
        <w:trPr>
          <w:trHeight w:val="486"/>
        </w:trPr>
        <w:tc>
          <w:tcPr>
            <w:tcW w:w="4340" w:type="dxa"/>
            <w:vAlign w:val="bottom"/>
          </w:tcPr>
          <w:p>
            <w:pPr>
              <w:ind w:left="140"/>
              <w:spacing w:after="0"/>
              <w:rPr>
                <w:sz w:val="20"/>
                <w:szCs w:val="20"/>
                <w:color w:val="auto"/>
              </w:rPr>
            </w:pPr>
            <w:r>
              <w:rPr>
                <w:rFonts w:ascii="Arial" w:cs="Arial" w:eastAsia="Arial" w:hAnsi="Arial"/>
                <w:sz w:val="18"/>
                <w:szCs w:val="18"/>
                <w:color w:val="auto"/>
              </w:rPr>
              <w:t>Weighted Average Price (Per MMBtu)</w:t>
            </w:r>
          </w:p>
        </w:tc>
        <w:tc>
          <w:tcPr>
            <w:tcW w:w="3600" w:type="dxa"/>
            <w:vAlign w:val="bottom"/>
          </w:tcPr>
          <w:p>
            <w:pPr>
              <w:jc w:val="right"/>
              <w:ind w:right="1172"/>
              <w:spacing w:after="0"/>
              <w:rPr>
                <w:sz w:val="20"/>
                <w:szCs w:val="20"/>
                <w:color w:val="auto"/>
              </w:rPr>
            </w:pPr>
            <w:r>
              <w:rPr>
                <w:rFonts w:ascii="Arial" w:cs="Arial" w:eastAsia="Arial" w:hAnsi="Arial"/>
                <w:sz w:val="18"/>
                <w:szCs w:val="18"/>
                <w:color w:val="auto"/>
              </w:rPr>
              <w:t>$8.63</w:t>
            </w:r>
          </w:p>
        </w:tc>
        <w:tc>
          <w:tcPr>
            <w:tcW w:w="1740" w:type="dxa"/>
            <w:vAlign w:val="bottom"/>
          </w:tcPr>
          <w:p>
            <w:pPr>
              <w:spacing w:after="0"/>
              <w:rPr>
                <w:sz w:val="24"/>
                <w:szCs w:val="24"/>
                <w:color w:val="auto"/>
              </w:rPr>
            </w:pPr>
          </w:p>
        </w:tc>
      </w:tr>
      <w:tr>
        <w:trPr>
          <w:trHeight w:val="495"/>
        </w:trPr>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Contract Amount ($ U.S., in thousands)</w:t>
            </w:r>
          </w:p>
        </w:tc>
        <w:tc>
          <w:tcPr>
            <w:tcW w:w="3600" w:type="dxa"/>
            <w:vAlign w:val="bottom"/>
            <w:tcBorders>
              <w:bottom w:val="single" w:sz="8" w:color="auto"/>
            </w:tcBorders>
          </w:tcPr>
          <w:p>
            <w:pPr>
              <w:jc w:val="right"/>
              <w:ind w:right="1172"/>
              <w:spacing w:after="0"/>
              <w:rPr>
                <w:sz w:val="20"/>
                <w:szCs w:val="20"/>
                <w:color w:val="auto"/>
              </w:rPr>
            </w:pPr>
            <w:r>
              <w:rPr>
                <w:rFonts w:ascii="Arial" w:cs="Arial" w:eastAsia="Arial" w:hAnsi="Arial"/>
                <w:sz w:val="18"/>
                <w:szCs w:val="18"/>
                <w:color w:val="auto"/>
              </w:rPr>
              <w:t>$7,595.0</w:t>
            </w:r>
          </w:p>
        </w:tc>
        <w:tc>
          <w:tcPr>
            <w:tcW w:w="1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$6,249.8</w:t>
            </w:r>
          </w:p>
        </w:tc>
      </w:tr>
    </w:tbl>
    <w:p>
      <w:pPr>
        <w:spacing w:after="0" w:line="200" w:lineRule="exact"/>
        <w:rPr>
          <w:sz w:val="20"/>
          <w:szCs w:val="20"/>
          <w:color w:val="auto"/>
        </w:rPr>
      </w:pPr>
    </w:p>
    <w:p>
      <w:pPr>
        <w:spacing w:after="0" w:line="278"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5"/>
          <w:szCs w:val="15"/>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fiscal 2007 financial results are difficult to make due to the inherent uncertainty of future fluctuations in option contract prices in the natural gas options market.</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Please also see Item 1A above, “Risk Factors”, for a discussion of these and other risks and uncertainties we face in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9"/>
        </w:trPr>
        <w:tc>
          <w:tcPr>
            <w:tcW w:w="8980" w:type="dxa"/>
            <w:vAlign w:val="bottom"/>
          </w:tcPr>
          <w:p>
            <w:pPr>
              <w:ind w:left="4200"/>
              <w:spacing w:after="0"/>
              <w:rPr>
                <w:sz w:val="20"/>
                <w:szCs w:val="20"/>
                <w:color w:val="auto"/>
              </w:rPr>
            </w:pPr>
            <w:r>
              <w:rPr>
                <w:rFonts w:ascii="Arial" w:cs="Arial" w:eastAsia="Arial" w:hAnsi="Arial"/>
                <w:sz w:val="18"/>
                <w:szCs w:val="18"/>
                <w:b w:val="1"/>
                <w:bCs w:val="1"/>
                <w:color w:val="auto"/>
              </w:rPr>
              <w:t>CONSOLIDATED BALANCE SHEETS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60"/>
        </w:trPr>
        <w:tc>
          <w:tcPr>
            <w:tcW w:w="8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31,</w:t>
            </w:r>
          </w:p>
        </w:tc>
        <w:tc>
          <w:tcPr>
            <w:tcW w:w="840" w:type="dxa"/>
            <w:vAlign w:val="bottom"/>
            <w:tcBorders>
              <w:bottom w:val="single" w:sz="8" w:color="auto"/>
            </w:tcBorders>
          </w:tcPr>
          <w:p>
            <w:pPr>
              <w:spacing w:after="0"/>
              <w:rPr>
                <w:sz w:val="24"/>
                <w:szCs w:val="24"/>
                <w:color w:val="auto"/>
              </w:rPr>
            </w:pPr>
          </w:p>
        </w:tc>
      </w:tr>
      <w:tr>
        <w:trPr>
          <w:trHeight w:val="238"/>
        </w:trPr>
        <w:tc>
          <w:tcPr>
            <w:tcW w:w="8980" w:type="dxa"/>
            <w:vAlign w:val="bottom"/>
          </w:tcPr>
          <w:p>
            <w:pPr>
              <w:ind w:left="41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r>
      <w:tr>
        <w:trPr>
          <w:trHeight w:val="236"/>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w w:val="91"/>
              </w:rPr>
              <w:t>(in thousands of dollars)</w:t>
            </w:r>
          </w:p>
        </w:tc>
      </w:tr>
      <w:tr>
        <w:trPr>
          <w:trHeight w:val="244"/>
        </w:trPr>
        <w:tc>
          <w:tcPr>
            <w:tcW w:w="8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6,607</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5,945</w:t>
            </w: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in treasury securities</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19,248</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13,098</w:t>
            </w: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Investment in debt securities</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392</w:t>
            </w: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receivable, less allowance of $567 and $609 in 2006 and 2005, respectively</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26,115</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23,611</w:t>
            </w: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15,697</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12,686</w:t>
            </w: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Prepaid overburden removal expense</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1,686</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1,370</w:t>
            </w: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1,722</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1,647</w:t>
            </w:r>
          </w:p>
        </w:tc>
      </w:tr>
      <w:tr>
        <w:trPr>
          <w:trHeight w:val="244"/>
        </w:trPr>
        <w:tc>
          <w:tcPr>
            <w:tcW w:w="898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4,627</w:t>
            </w:r>
          </w:p>
        </w:tc>
        <w:tc>
          <w:tcPr>
            <w:tcW w:w="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4,347</w:t>
            </w:r>
          </w:p>
        </w:tc>
      </w:tr>
      <w:tr>
        <w:trPr>
          <w:trHeight w:val="237"/>
        </w:trPr>
        <w:tc>
          <w:tcPr>
            <w:tcW w:w="898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75,702</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63,096</w:t>
            </w:r>
          </w:p>
        </w:tc>
      </w:tr>
      <w:tr>
        <w:trPr>
          <w:trHeight w:val="237"/>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23,727</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22,667</w:t>
            </w: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101,001</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95,335</w:t>
            </w: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11,578</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11,130</w:t>
            </w:r>
          </w:p>
        </w:tc>
      </w:tr>
      <w:tr>
        <w:trPr>
          <w:trHeight w:val="244"/>
        </w:trPr>
        <w:tc>
          <w:tcPr>
            <w:tcW w:w="898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Vehicles</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5,976</w:t>
            </w:r>
          </w:p>
        </w:tc>
        <w:tc>
          <w:tcPr>
            <w:tcW w:w="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5,292</w:t>
            </w:r>
          </w:p>
        </w:tc>
      </w:tr>
      <w:tr>
        <w:trPr>
          <w:trHeight w:val="236"/>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142,282</w:t>
            </w:r>
          </w:p>
        </w:tc>
        <w:tc>
          <w:tcPr>
            <w:tcW w:w="3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134,424</w:t>
            </w:r>
          </w:p>
        </w:tc>
      </w:tr>
      <w:tr>
        <w:trPr>
          <w:trHeight w:val="244"/>
        </w:trPr>
        <w:tc>
          <w:tcPr>
            <w:tcW w:w="898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(107,496)</w:t>
            </w:r>
          </w:p>
        </w:tc>
        <w:tc>
          <w:tcPr>
            <w:tcW w:w="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(101,573)</w:t>
            </w:r>
          </w:p>
        </w:tc>
      </w:tr>
      <w:tr>
        <w:trPr>
          <w:trHeight w:val="236"/>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34,786</w:t>
            </w:r>
          </w:p>
        </w:tc>
        <w:tc>
          <w:tcPr>
            <w:tcW w:w="38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32,851</w:t>
            </w: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Construction in progress</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5,713</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4,769</w:t>
            </w: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10,794</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10,278</w:t>
            </w:r>
          </w:p>
        </w:tc>
      </w:tr>
      <w:tr>
        <w:trPr>
          <w:trHeight w:val="237"/>
        </w:trPr>
        <w:tc>
          <w:tcPr>
            <w:tcW w:w="8980" w:type="dxa"/>
            <w:vAlign w:val="bottom"/>
            <w:tcBorders>
              <w:bottom w:val="single" w:sz="8" w:color="C0C0C0"/>
            </w:tcBorders>
            <w:shd w:val="clear" w:color="auto" w:fill="C0C0C0"/>
          </w:tcPr>
          <w:p>
            <w:pPr>
              <w:ind w:left="54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51,293</w:t>
            </w:r>
          </w:p>
        </w:tc>
        <w:tc>
          <w:tcPr>
            <w:tcW w:w="38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47,898</w:t>
            </w:r>
          </w:p>
        </w:tc>
      </w:tr>
      <w:tr>
        <w:trPr>
          <w:trHeight w:val="237"/>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42"/>
        </w:trPr>
        <w:tc>
          <w:tcPr>
            <w:tcW w:w="89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5,162</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5,162</w:t>
            </w:r>
          </w:p>
        </w:tc>
      </w:tr>
      <w:tr>
        <w:trPr>
          <w:trHeight w:val="244"/>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Trademarks and patents (Net of accumulated amortization of $308 and $305 in 2006 and 2005, respectively)</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780</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778</w:t>
            </w:r>
          </w:p>
        </w:tc>
      </w:tr>
      <w:tr>
        <w:trPr>
          <w:trHeight w:val="242"/>
        </w:trPr>
        <w:tc>
          <w:tcPr>
            <w:tcW w:w="8980" w:type="dxa"/>
            <w:vAlign w:val="bottom"/>
          </w:tcPr>
          <w:p>
            <w:pPr>
              <w:spacing w:after="0"/>
              <w:rPr>
                <w:sz w:val="20"/>
                <w:szCs w:val="20"/>
                <w:color w:val="auto"/>
              </w:rPr>
            </w:pPr>
            <w:r>
              <w:rPr>
                <w:rFonts w:ascii="Arial" w:cs="Arial" w:eastAsia="Arial" w:hAnsi="Arial"/>
                <w:sz w:val="18"/>
                <w:szCs w:val="18"/>
                <w:color w:val="auto"/>
              </w:rPr>
              <w:t>Debt issuance costs (Net of accumulated amortization of $393 and $356 in 2006 and 2005, respectively)</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444</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107</w:t>
            </w:r>
          </w:p>
        </w:tc>
      </w:tr>
      <w:tr>
        <w:trPr>
          <w:trHeight w:val="244"/>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Licensing agreements (Net of accumulated amortization of $2,558 and $2,359 in 2006 and 2005, respectively)</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881</w:t>
            </w:r>
          </w:p>
        </w:tc>
        <w:tc>
          <w:tcPr>
            <w:tcW w:w="3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1,080</w:t>
            </w:r>
          </w:p>
        </w:tc>
      </w:tr>
      <w:tr>
        <w:trPr>
          <w:trHeight w:val="242"/>
        </w:trPr>
        <w:tc>
          <w:tcPr>
            <w:tcW w:w="89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1,151</w:t>
            </w:r>
          </w:p>
        </w:tc>
        <w:tc>
          <w:tcPr>
            <w:tcW w:w="3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1,287</w:t>
            </w:r>
          </w:p>
        </w:tc>
      </w:tr>
      <w:tr>
        <w:trPr>
          <w:trHeight w:val="244"/>
        </w:trPr>
        <w:tc>
          <w:tcPr>
            <w:tcW w:w="89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4,134</w:t>
            </w:r>
          </w:p>
        </w:tc>
        <w:tc>
          <w:tcPr>
            <w:tcW w:w="3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4,163</w:t>
            </w:r>
          </w:p>
        </w:tc>
      </w:tr>
    </w:tbl>
    <w:p>
      <w:pPr>
        <w:sectPr>
          <w:pgSz w:w="11900" w:h="16857" w:orient="portrait"/>
          <w:cols w:equalWidth="0" w:num="1">
            <w:col w:w="11420"/>
          </w:cols>
          <w:pgMar w:left="240" w:top="401" w:right="239" w:bottom="0" w:gutter="0" w:footer="0" w:header="0"/>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80" w:type="dxa"/>
            <w:vAlign w:val="bottom"/>
          </w:tcPr>
          <w:p>
            <w:pPr>
              <w:ind w:left="54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12,552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12,577</w:t>
            </w:r>
          </w:p>
        </w:tc>
        <w:tc>
          <w:tcPr>
            <w:tcW w:w="20" w:type="dxa"/>
            <w:vAlign w:val="bottom"/>
          </w:tcPr>
          <w:p>
            <w:pPr>
              <w:spacing w:after="0"/>
              <w:rPr>
                <w:sz w:val="19"/>
                <w:szCs w:val="19"/>
                <w:color w:val="auto"/>
              </w:rPr>
            </w:pPr>
          </w:p>
        </w:tc>
      </w:tr>
      <w:tr>
        <w:trPr>
          <w:trHeight w:val="258"/>
        </w:trPr>
        <w:tc>
          <w:tcPr>
            <w:tcW w:w="89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139,547</w:t>
            </w:r>
          </w:p>
        </w:tc>
        <w:tc>
          <w:tcPr>
            <w:tcW w:w="500" w:type="dxa"/>
            <w:vAlign w:val="bottom"/>
            <w:tcBorders>
              <w:bottom w:val="single" w:sz="8" w:color="auto"/>
            </w:tcBorders>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123,571</w:t>
            </w:r>
          </w:p>
        </w:tc>
        <w:tc>
          <w:tcPr>
            <w:tcW w:w="20" w:type="dxa"/>
            <w:vAlign w:val="bottom"/>
          </w:tcPr>
          <w:p>
            <w:pPr>
              <w:spacing w:after="0"/>
              <w:rPr>
                <w:sz w:val="22"/>
                <w:szCs w:val="22"/>
                <w:color w:val="auto"/>
              </w:rPr>
            </w:pPr>
          </w:p>
        </w:tc>
      </w:tr>
      <w:tr>
        <w:trPr>
          <w:trHeight w:val="673"/>
        </w:trPr>
        <w:tc>
          <w:tcPr>
            <w:tcW w:w="8980" w:type="dxa"/>
            <w:vAlign w:val="bottom"/>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980" w:type="dxa"/>
            <w:vAlign w:val="bottom"/>
          </w:tcPr>
          <w:p>
            <w:pPr>
              <w:ind w:left="56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8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gridSpan w:val="2"/>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347"/>
        </w:trPr>
        <w:tc>
          <w:tcPr>
            <w:tcW w:w="8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July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8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0"/>
                <w:szCs w:val="20"/>
                <w:color w:val="auto"/>
              </w:rPr>
            </w:pPr>
          </w:p>
        </w:tc>
      </w:tr>
      <w:tr>
        <w:trPr>
          <w:trHeight w:val="236"/>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w w:val="91"/>
              </w:rPr>
              <w:t>(in thousands of dollars)</w:t>
            </w:r>
          </w:p>
        </w:tc>
        <w:tc>
          <w:tcPr>
            <w:tcW w:w="20" w:type="dxa"/>
            <w:vAlign w:val="bottom"/>
          </w:tcPr>
          <w:p>
            <w:pPr>
              <w:spacing w:after="0"/>
              <w:rPr>
                <w:sz w:val="20"/>
                <w:szCs w:val="20"/>
                <w:color w:val="auto"/>
              </w:rPr>
            </w:pPr>
          </w:p>
        </w:tc>
      </w:tr>
      <w:tr>
        <w:trPr>
          <w:trHeight w:val="244"/>
        </w:trPr>
        <w:tc>
          <w:tcPr>
            <w:tcW w:w="8980" w:type="dxa"/>
            <w:vAlign w:val="bottom"/>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8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Current maturities of notes payable</w:t>
            </w:r>
          </w:p>
        </w:tc>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4,080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21"/>
                <w:szCs w:val="21"/>
                <w:color w:val="auto"/>
              </w:rPr>
            </w:pP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7,596</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5,228</w:t>
            </w:r>
          </w:p>
        </w:tc>
        <w:tc>
          <w:tcPr>
            <w:tcW w:w="20" w:type="dxa"/>
            <w:vAlign w:val="bottom"/>
          </w:tcPr>
          <w:p>
            <w:pPr>
              <w:spacing w:after="0"/>
              <w:rPr>
                <w:sz w:val="21"/>
                <w:szCs w:val="21"/>
                <w:color w:val="auto"/>
              </w:rPr>
            </w:pP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754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21"/>
                <w:szCs w:val="21"/>
                <w:color w:val="auto"/>
              </w:rPr>
            </w:pP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8980" w:type="dxa"/>
            <w:vAlign w:val="bottom"/>
          </w:tcPr>
          <w:p>
            <w:pPr>
              <w:ind w:left="540"/>
              <w:spacing w:after="0"/>
              <w:rPr>
                <w:sz w:val="20"/>
                <w:szCs w:val="20"/>
                <w:color w:val="auto"/>
              </w:rPr>
            </w:pPr>
            <w:r>
              <w:rPr>
                <w:rFonts w:ascii="Arial" w:cs="Arial" w:eastAsia="Arial" w:hAnsi="Arial"/>
                <w:sz w:val="18"/>
                <w:szCs w:val="18"/>
                <w:color w:val="auto"/>
              </w:rPr>
              <w:t>Salaries, wages and commissions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3,492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21"/>
                <w:szCs w:val="21"/>
                <w:color w:val="auto"/>
              </w:rPr>
            </w:pPr>
          </w:p>
        </w:tc>
      </w:tr>
      <w:tr>
        <w:trPr>
          <w:trHeight w:val="244"/>
        </w:trPr>
        <w:tc>
          <w:tcPr>
            <w:tcW w:w="89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Trade promotions and advertising</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3,522</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3,362</w:t>
            </w:r>
          </w:p>
        </w:tc>
        <w:tc>
          <w:tcPr>
            <w:tcW w:w="20" w:type="dxa"/>
            <w:vAlign w:val="bottom"/>
          </w:tcPr>
          <w:p>
            <w:pPr>
              <w:spacing w:after="0"/>
              <w:rPr>
                <w:sz w:val="21"/>
                <w:szCs w:val="21"/>
                <w:color w:val="auto"/>
              </w:rPr>
            </w:pPr>
          </w:p>
        </w:tc>
      </w:tr>
      <w:tr>
        <w:trPr>
          <w:trHeight w:val="242"/>
        </w:trPr>
        <w:tc>
          <w:tcPr>
            <w:tcW w:w="8980" w:type="dxa"/>
            <w:vAlign w:val="bottom"/>
          </w:tcPr>
          <w:p>
            <w:pPr>
              <w:ind w:left="540"/>
              <w:spacing w:after="0"/>
              <w:rPr>
                <w:sz w:val="20"/>
                <w:szCs w:val="20"/>
                <w:color w:val="auto"/>
              </w:rPr>
            </w:pPr>
            <w:r>
              <w:rPr>
                <w:rFonts w:ascii="Arial" w:cs="Arial" w:eastAsia="Arial" w:hAnsi="Arial"/>
                <w:sz w:val="18"/>
                <w:szCs w:val="18"/>
                <w:color w:val="auto"/>
              </w:rPr>
              <w:t>Freight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1,377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21"/>
                <w:szCs w:val="21"/>
                <w:color w:val="auto"/>
              </w:rPr>
            </w:pPr>
          </w:p>
        </w:tc>
      </w:tr>
      <w:tr>
        <w:trPr>
          <w:trHeight w:val="244"/>
        </w:trPr>
        <w:tc>
          <w:tcPr>
            <w:tcW w:w="8980" w:type="dxa"/>
            <w:vAlign w:val="bottom"/>
            <w:tcBorders>
              <w:bottom w:val="single" w:sz="8" w:color="C0C0C0"/>
            </w:tcBorders>
            <w:shd w:val="clear" w:color="auto" w:fill="C0C0C0"/>
          </w:tcPr>
          <w:p>
            <w:pPr>
              <w:ind w:left="5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6,292</w:t>
            </w:r>
          </w:p>
        </w:tc>
        <w:tc>
          <w:tcPr>
            <w:tcW w:w="180" w:type="dxa"/>
            <w:vAlign w:val="bottom"/>
            <w:tcBorders>
              <w:bottom w:val="single" w:sz="8" w:color="C0C0C0"/>
            </w:tcBorders>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5,178</w:t>
            </w:r>
          </w:p>
        </w:tc>
        <w:tc>
          <w:tcPr>
            <w:tcW w:w="20" w:type="dxa"/>
            <w:vAlign w:val="bottom"/>
          </w:tcPr>
          <w:p>
            <w:pPr>
              <w:spacing w:after="0"/>
              <w:rPr>
                <w:sz w:val="21"/>
                <w:szCs w:val="21"/>
                <w:color w:val="auto"/>
              </w:rPr>
            </w:pPr>
          </w:p>
        </w:tc>
      </w:tr>
      <w:tr>
        <w:trPr>
          <w:trHeight w:val="237"/>
        </w:trPr>
        <w:tc>
          <w:tcPr>
            <w:tcW w:w="898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27,113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22,534</w:t>
            </w:r>
          </w:p>
        </w:tc>
        <w:tc>
          <w:tcPr>
            <w:tcW w:w="20" w:type="dxa"/>
            <w:vAlign w:val="bottom"/>
          </w:tcPr>
          <w:p>
            <w:pPr>
              <w:spacing w:after="0"/>
              <w:rPr>
                <w:sz w:val="20"/>
                <w:szCs w:val="20"/>
                <w:color w:val="auto"/>
              </w:rPr>
            </w:pPr>
          </w:p>
        </w:tc>
      </w:tr>
      <w:tr>
        <w:trPr>
          <w:trHeight w:val="237"/>
        </w:trPr>
        <w:tc>
          <w:tcPr>
            <w:tcW w:w="8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Noncurrent Liabilities</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898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31,160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20,240</w:t>
            </w:r>
          </w:p>
        </w:tc>
        <w:tc>
          <w:tcPr>
            <w:tcW w:w="20" w:type="dxa"/>
            <w:vAlign w:val="bottom"/>
          </w:tcPr>
          <w:p>
            <w:pPr>
              <w:spacing w:after="0"/>
              <w:rPr>
                <w:sz w:val="21"/>
                <w:szCs w:val="21"/>
                <w:color w:val="auto"/>
              </w:rPr>
            </w:pPr>
          </w:p>
        </w:tc>
      </w:tr>
      <w:tr>
        <w:trPr>
          <w:trHeight w:val="244"/>
        </w:trPr>
        <w:tc>
          <w:tcPr>
            <w:tcW w:w="89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Deferred compensation</w:t>
            </w:r>
          </w:p>
        </w:tc>
        <w:tc>
          <w:tcPr>
            <w:tcW w:w="2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4,093</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21"/>
                <w:szCs w:val="21"/>
                <w:color w:val="auto"/>
              </w:rPr>
            </w:pP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3,945</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21"/>
                <w:szCs w:val="21"/>
                <w:color w:val="auto"/>
              </w:rPr>
            </w:pPr>
          </w:p>
        </w:tc>
      </w:tr>
      <w:tr>
        <w:trPr>
          <w:trHeight w:val="237"/>
        </w:trPr>
        <w:tc>
          <w:tcPr>
            <w:tcW w:w="8980" w:type="dxa"/>
            <w:vAlign w:val="bottom"/>
            <w:tcBorders>
              <w:bottom w:val="single" w:sz="8" w:color="C0C0C0"/>
            </w:tcBorders>
            <w:shd w:val="clear" w:color="auto" w:fill="C0C0C0"/>
          </w:tcPr>
          <w:p>
            <w:pPr>
              <w:ind w:left="820"/>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39,198</w:t>
            </w:r>
          </w:p>
        </w:tc>
        <w:tc>
          <w:tcPr>
            <w:tcW w:w="18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27,183</w:t>
            </w:r>
          </w:p>
        </w:tc>
        <w:tc>
          <w:tcPr>
            <w:tcW w:w="20" w:type="dxa"/>
            <w:vAlign w:val="bottom"/>
          </w:tcPr>
          <w:p>
            <w:pPr>
              <w:spacing w:after="0"/>
              <w:rPr>
                <w:sz w:val="20"/>
                <w:szCs w:val="20"/>
                <w:color w:val="auto"/>
              </w:rPr>
            </w:pPr>
          </w:p>
        </w:tc>
      </w:tr>
      <w:tr>
        <w:trPr>
          <w:trHeight w:val="237"/>
        </w:trPr>
        <w:tc>
          <w:tcPr>
            <w:tcW w:w="898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66,311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49,717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-3382645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-3382645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900" w:orient="portrait"/>
          <w:cols w:equalWidth="0" w:num="1">
            <w:col w:w="11440"/>
          </w:cols>
          <w:pgMar w:left="240" w:top="152" w:right="219" w:bottom="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Common Stock, par value $.10 per share, issued 7,158,158 shares in 2006 and 6,968,613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Class B Stock, par value $.10 per share, issued 2,234,544 shares in 2006 and 2,164,544 in 2005</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Unrealized gain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Restricted unearned stock compensation</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Cumulative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9" w:lineRule="exact"/>
        <w:rPr>
          <w:sz w:val="20"/>
          <w:szCs w:val="20"/>
          <w:color w:val="auto"/>
        </w:rPr>
      </w:pPr>
    </w:p>
    <w:p>
      <w:pPr>
        <w:ind w:left="540" w:right="1200" w:hanging="269"/>
        <w:spacing w:after="0" w:line="297" w:lineRule="auto"/>
        <w:rPr>
          <w:sz w:val="20"/>
          <w:szCs w:val="20"/>
          <w:color w:val="auto"/>
        </w:rPr>
      </w:pPr>
      <w:r>
        <w:rPr>
          <w:rFonts w:ascii="Arial" w:cs="Arial" w:eastAsia="Arial" w:hAnsi="Arial"/>
          <w:sz w:val="18"/>
          <w:szCs w:val="18"/>
          <w:color w:val="auto"/>
        </w:rPr>
        <w:t>Less treasury stock, at cost (2,304,103 Common and 324,741 Class B shares at July 31, 2006 and 1,953,350 Common and 342,241 Class B shares at July 31, 2005)</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980" w:hanging="1295"/>
        <w:spacing w:after="0"/>
        <w:tabs>
          <w:tab w:leader="none" w:pos="1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697</w:t>
      </w:r>
    </w:p>
    <w:p>
      <w:pPr>
        <w:spacing w:after="0" w:line="36" w:lineRule="exact"/>
        <w:rPr>
          <w:sz w:val="20"/>
          <w:szCs w:val="20"/>
          <w:color w:val="auto"/>
        </w:rPr>
      </w:pPr>
    </w:p>
    <w:p>
      <w:pPr>
        <w:ind w:left="1980" w:hanging="1295"/>
        <w:spacing w:after="0"/>
        <w:tabs>
          <w:tab w:leader="none" w:pos="1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216</w:t>
      </w:r>
    </w:p>
    <w:p>
      <w:pPr>
        <w:spacing w:after="0" w:line="36" w:lineRule="exact"/>
        <w:rPr>
          <w:sz w:val="20"/>
          <w:szCs w:val="20"/>
          <w:color w:val="auto"/>
        </w:rPr>
      </w:pPr>
    </w:p>
    <w:p>
      <w:pPr>
        <w:ind w:left="2060" w:hanging="1287"/>
        <w:spacing w:after="0"/>
        <w:tabs>
          <w:tab w:leader="none" w:pos="20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38</w:t>
      </w:r>
    </w:p>
    <w:p>
      <w:pPr>
        <w:spacing w:after="0" w:line="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18,072</w:t>
      </w:r>
      <w:r>
        <w:rPr>
          <w:rFonts w:ascii="Arial" w:cs="Arial" w:eastAsia="Arial" w:hAnsi="Arial"/>
          <w:sz w:val="15"/>
          <w:szCs w:val="15"/>
          <w:color w:val="auto"/>
        </w:rPr>
        <w:t>13,735</w:t>
      </w:r>
    </w:p>
    <w:p>
      <w:pPr>
        <w:spacing w:after="0" w:line="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97,390</w:t>
      </w:r>
      <w:r>
        <w:rPr>
          <w:rFonts w:ascii="Arial" w:cs="Arial" w:eastAsia="Arial" w:hAnsi="Arial"/>
          <w:sz w:val="15"/>
          <w:szCs w:val="15"/>
          <w:color w:val="auto"/>
        </w:rPr>
        <w:t>94,891</w:t>
      </w:r>
    </w:p>
    <w:p>
      <w:pPr>
        <w:spacing w:after="0" w:line="36" w:lineRule="exact"/>
        <w:rPr>
          <w:sz w:val="20"/>
          <w:szCs w:val="20"/>
          <w:color w:val="auto"/>
        </w:rPr>
      </w:pPr>
    </w:p>
    <w:p>
      <w:pPr>
        <w:jc w:val="both"/>
        <w:ind w:left="500"/>
        <w:spacing w:after="0"/>
        <w:tabs>
          <w:tab w:leader="none" w:pos="2000" w:val="left"/>
        </w:tabs>
        <w:rPr>
          <w:sz w:val="20"/>
          <w:szCs w:val="20"/>
          <w:color w:val="auto"/>
        </w:rPr>
      </w:pPr>
      <w:r>
        <w:rPr>
          <w:rFonts w:ascii="Arial" w:cs="Arial" w:eastAsia="Arial" w:hAnsi="Arial"/>
          <w:sz w:val="18"/>
          <w:szCs w:val="18"/>
          <w:b w:val="1"/>
          <w:bCs w:val="1"/>
          <w:color w:val="auto"/>
        </w:rPr>
        <w:t>(1,308)</w:t>
      </w:r>
      <w:r>
        <w:rPr>
          <w:sz w:val="20"/>
          <w:szCs w:val="20"/>
          <w:color w:val="auto"/>
        </w:rPr>
        <w:tab/>
      </w:r>
      <w:r>
        <w:rPr>
          <w:rFonts w:ascii="Arial" w:cs="Arial" w:eastAsia="Arial" w:hAnsi="Arial"/>
          <w:sz w:val="18"/>
          <w:szCs w:val="18"/>
          <w:color w:val="auto"/>
        </w:rPr>
        <w:t>(75)</w:t>
      </w:r>
    </w:p>
    <w:p>
      <w:pPr>
        <w:spacing w:after="0" w:line="42" w:lineRule="exact"/>
        <w:rPr>
          <w:sz w:val="20"/>
          <w:szCs w:val="20"/>
          <w:color w:val="auto"/>
        </w:rPr>
      </w:pPr>
    </w:p>
    <w:p>
      <w:pPr>
        <w:ind w:left="1920" w:hanging="1235"/>
        <w:spacing w:after="0"/>
        <w:tabs>
          <w:tab w:leader="none" w:pos="192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(282)</w:t>
      </w:r>
    </w:p>
    <w:p>
      <w:pPr>
        <w:spacing w:after="0" w:line="66"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115,318</w:t>
      </w:r>
      <w:r>
        <w:rPr>
          <w:rFonts w:ascii="Arial" w:cs="Arial" w:eastAsia="Arial" w:hAnsi="Arial"/>
          <w:sz w:val="15"/>
          <w:szCs w:val="15"/>
          <w:color w:val="auto"/>
        </w:rPr>
        <w:t>109,220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-147320</wp:posOffset>
            </wp:positionV>
            <wp:extent cx="15519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59" w:lineRule="exact"/>
        <w:rPr>
          <w:sz w:val="20"/>
          <w:szCs w:val="20"/>
          <w:color w:val="auto"/>
        </w:rPr>
      </w:pPr>
    </w:p>
    <w:p>
      <w:pPr>
        <w:jc w:val="both"/>
        <w:ind w:left="400"/>
        <w:spacing w:after="0"/>
        <w:tabs>
          <w:tab w:leader="none" w:pos="1680" w:val="left"/>
        </w:tabs>
        <w:rPr>
          <w:sz w:val="20"/>
          <w:szCs w:val="20"/>
          <w:color w:val="auto"/>
        </w:rPr>
      </w:pPr>
      <w:r>
        <w:rPr>
          <w:rFonts w:ascii="Arial" w:cs="Arial" w:eastAsia="Arial" w:hAnsi="Arial"/>
          <w:sz w:val="18"/>
          <w:szCs w:val="18"/>
          <w:b w:val="1"/>
          <w:bCs w:val="1"/>
          <w:color w:val="auto"/>
        </w:rPr>
        <w:t>(42,082)</w:t>
      </w:r>
      <w:r>
        <w:rPr>
          <w:sz w:val="20"/>
          <w:szCs w:val="20"/>
          <w:color w:val="auto"/>
        </w:rPr>
        <w:tab/>
      </w:r>
      <w:r>
        <w:rPr>
          <w:rFonts w:ascii="Arial" w:cs="Arial" w:eastAsia="Arial" w:hAnsi="Arial"/>
          <w:sz w:val="18"/>
          <w:szCs w:val="18"/>
          <w:color w:val="auto"/>
        </w:rPr>
        <w:t>(35,366)</w:t>
      </w:r>
    </w:p>
    <w:p>
      <w:pPr>
        <w:spacing w:after="0" w:line="50"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6"/>
          <w:szCs w:val="16"/>
          <w:b w:val="1"/>
          <w:bCs w:val="1"/>
          <w:color w:val="auto"/>
        </w:rPr>
        <w:t>73,236</w:t>
      </w:r>
      <w:r>
        <w:rPr>
          <w:sz w:val="20"/>
          <w:szCs w:val="20"/>
          <w:color w:val="auto"/>
        </w:rPr>
        <w:tab/>
      </w:r>
      <w:r>
        <w:rPr>
          <w:rFonts w:ascii="Arial" w:cs="Arial" w:eastAsia="Arial" w:hAnsi="Arial"/>
          <w:sz w:val="16"/>
          <w:szCs w:val="16"/>
          <w:color w:val="auto"/>
        </w:rPr>
        <w:t>73,854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29210</wp:posOffset>
            </wp:positionV>
            <wp:extent cx="15519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53" w:lineRule="exact"/>
        <w:rPr>
          <w:sz w:val="20"/>
          <w:szCs w:val="20"/>
          <w:color w:val="auto"/>
        </w:rPr>
      </w:pPr>
    </w:p>
    <w:p>
      <w:pPr>
        <w:spacing w:after="0"/>
        <w:tabs>
          <w:tab w:leader="none" w:pos="360" w:val="left"/>
          <w:tab w:leader="none" w:pos="1280" w:val="left"/>
          <w:tab w:leader="none" w:pos="1660" w:val="left"/>
        </w:tabs>
        <w:rPr>
          <w:sz w:val="20"/>
          <w:szCs w:val="20"/>
          <w:color w:val="auto"/>
        </w:rPr>
      </w:pPr>
      <w:r>
        <w:rPr>
          <w:rFonts w:ascii="Arial" w:cs="Arial" w:eastAsia="Arial" w:hAnsi="Arial"/>
          <w:sz w:val="18"/>
          <w:szCs w:val="18"/>
          <w:b w:val="1"/>
          <w:bCs w:val="1"/>
          <w:color w:val="auto"/>
        </w:rPr>
        <w:t>$</w:t>
        <w:tab/>
        <w:t>139,547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123,571</w:t>
      </w:r>
    </w:p>
    <w:p>
      <w:pPr>
        <w:spacing w:after="0" w:line="1353" w:lineRule="exact"/>
        <w:rPr>
          <w:sz w:val="20"/>
          <w:szCs w:val="20"/>
          <w:color w:val="auto"/>
        </w:rPr>
      </w:pPr>
    </w:p>
    <w:p>
      <w:pPr>
        <w:sectPr>
          <w:pgSz w:w="11900" w:h="16900" w:orient="portrait"/>
          <w:cols w:equalWidth="0" w:num="2">
            <w:col w:w="8320" w:space="720"/>
            <w:col w:w="2400"/>
          </w:cols>
          <w:pgMar w:left="240" w:top="152" w:right="219" w:bottom="0" w:gutter="0" w:footer="0" w:header="0"/>
          <w:type w:val="continuous"/>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4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60"/>
        </w:trPr>
        <w:tc>
          <w:tcPr>
            <w:tcW w:w="3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 Ended July 31,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37"/>
        </w:trPr>
        <w:tc>
          <w:tcPr>
            <w:tcW w:w="3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2004</w:t>
            </w:r>
          </w:p>
        </w:tc>
      </w:tr>
      <w:tr>
        <w:trPr>
          <w:trHeight w:val="237"/>
        </w:trPr>
        <w:tc>
          <w:tcPr>
            <w:tcW w:w="3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7"/>
          </w:tcPr>
          <w:p>
            <w:pPr>
              <w:jc w:val="center"/>
              <w:ind w:right="212"/>
              <w:spacing w:after="0"/>
              <w:rPr>
                <w:sz w:val="20"/>
                <w:szCs w:val="20"/>
                <w:color w:val="auto"/>
              </w:rPr>
            </w:pPr>
            <w:r>
              <w:rPr>
                <w:rFonts w:ascii="Arial" w:cs="Arial" w:eastAsia="Arial" w:hAnsi="Arial"/>
                <w:sz w:val="18"/>
                <w:szCs w:val="18"/>
                <w:b w:val="1"/>
                <w:bCs w:val="1"/>
                <w:color w:val="auto"/>
                <w:w w:val="87"/>
              </w:rPr>
              <w:t>(in thousands, except for per share data)</w:t>
            </w:r>
          </w:p>
        </w:tc>
      </w:tr>
      <w:tr>
        <w:trPr>
          <w:trHeight w:val="244"/>
        </w:trPr>
        <w:tc>
          <w:tcPr>
            <w:tcW w:w="35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43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205,210</w:t>
            </w: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187,868</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185,511</w:t>
            </w:r>
          </w:p>
        </w:tc>
      </w:tr>
      <w:tr>
        <w:trPr>
          <w:trHeight w:val="243"/>
        </w:trPr>
        <w:tc>
          <w:tcPr>
            <w:tcW w:w="35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4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167,136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147,513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142,263</w:t>
            </w:r>
          </w:p>
        </w:tc>
      </w:tr>
      <w:tr>
        <w:trPr>
          <w:trHeight w:val="237"/>
        </w:trPr>
        <w:tc>
          <w:tcPr>
            <w:tcW w:w="35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Gross Profit</w:t>
            </w:r>
          </w:p>
        </w:tc>
        <w:tc>
          <w:tcPr>
            <w:tcW w:w="40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38,074</w:t>
            </w: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40,355</w:t>
            </w: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43,248</w:t>
            </w:r>
          </w:p>
        </w:tc>
      </w:tr>
      <w:tr>
        <w:trPr>
          <w:trHeight w:val="242"/>
        </w:trPr>
        <w:tc>
          <w:tcPr>
            <w:tcW w:w="3560" w:type="dxa"/>
            <w:vAlign w:val="bottom"/>
          </w:tcPr>
          <w:p>
            <w:pPr>
              <w:spacing w:after="0"/>
              <w:rPr>
                <w:sz w:val="20"/>
                <w:szCs w:val="20"/>
                <w:color w:val="auto"/>
              </w:rPr>
            </w:pPr>
            <w:r>
              <w:rPr>
                <w:rFonts w:ascii="Arial" w:cs="Arial" w:eastAsia="Arial" w:hAnsi="Arial"/>
                <w:sz w:val="18"/>
                <w:szCs w:val="18"/>
                <w:b w:val="1"/>
                <w:bCs w:val="1"/>
                <w:color w:val="auto"/>
              </w:rPr>
              <w:t>Other Contractual Charge</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44"/>
        </w:trPr>
        <w:tc>
          <w:tcPr>
            <w:tcW w:w="35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Loss on Impaired Long-Lived Assets</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(464)</w:t>
            </w:r>
          </w:p>
        </w:tc>
      </w:tr>
      <w:tr>
        <w:trPr>
          <w:trHeight w:val="242"/>
        </w:trPr>
        <w:tc>
          <w:tcPr>
            <w:tcW w:w="3560" w:type="dxa"/>
            <w:vAlign w:val="bottom"/>
          </w:tcPr>
          <w:p>
            <w:pPr>
              <w:spacing w:after="0"/>
              <w:rPr>
                <w:sz w:val="20"/>
                <w:szCs w:val="20"/>
                <w:color w:val="auto"/>
              </w:rPr>
            </w:pPr>
            <w:r>
              <w:rPr>
                <w:rFonts w:ascii="Arial" w:cs="Arial" w:eastAsia="Arial" w:hAnsi="Arial"/>
                <w:sz w:val="18"/>
                <w:szCs w:val="18"/>
                <w:b w:val="1"/>
                <w:bCs w:val="1"/>
                <w:color w:val="auto"/>
              </w:rPr>
              <w:t>Gain on Sale of Long-Lived Assets</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415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4"/>
        </w:trPr>
        <w:tc>
          <w:tcPr>
            <w:tcW w:w="35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w w:val="90"/>
              </w:rPr>
              <w:t>Selling, General and Administrative Expenses</w:t>
            </w:r>
          </w:p>
        </w:tc>
        <w:tc>
          <w:tcPr>
            <w:tcW w:w="402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(29,735)</w:t>
            </w:r>
          </w:p>
        </w:tc>
        <w:tc>
          <w:tcPr>
            <w:tcW w:w="22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(30,470)</w:t>
            </w:r>
          </w:p>
        </w:tc>
        <w:tc>
          <w:tcPr>
            <w:tcW w:w="22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(32,975)</w:t>
            </w:r>
          </w:p>
        </w:tc>
      </w:tr>
      <w:tr>
        <w:trPr>
          <w:trHeight w:val="237"/>
        </w:trPr>
        <w:tc>
          <w:tcPr>
            <w:tcW w:w="35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8,754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9,885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8,559</w:t>
            </w:r>
          </w:p>
        </w:tc>
      </w:tr>
      <w:tr>
        <w:trPr>
          <w:trHeight w:val="237"/>
        </w:trPr>
        <w:tc>
          <w:tcPr>
            <w:tcW w:w="35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Other Income (Expense)</w:t>
            </w:r>
          </w:p>
        </w:tc>
        <w:tc>
          <w:tcPr>
            <w:tcW w:w="40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r>
      <w:tr>
        <w:trPr>
          <w:trHeight w:val="242"/>
        </w:trPr>
        <w:tc>
          <w:tcPr>
            <w:tcW w:w="35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1,106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222</w:t>
            </w:r>
          </w:p>
        </w:tc>
      </w:tr>
      <w:tr>
        <w:trPr>
          <w:trHeight w:val="244"/>
        </w:trPr>
        <w:tc>
          <w:tcPr>
            <w:tcW w:w="35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 expense</w:t>
            </w:r>
          </w:p>
        </w:tc>
        <w:tc>
          <w:tcPr>
            <w:tcW w:w="40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(2,255)</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(2,079)</w:t>
            </w:r>
          </w:p>
        </w:tc>
      </w:tr>
      <w:tr>
        <w:trPr>
          <w:trHeight w:val="242"/>
        </w:trPr>
        <w:tc>
          <w:tcPr>
            <w:tcW w:w="3560" w:type="dxa"/>
            <w:vAlign w:val="bottom"/>
          </w:tcPr>
          <w:p>
            <w:pPr>
              <w:ind w:left="280"/>
              <w:spacing w:after="0"/>
              <w:rPr>
                <w:sz w:val="20"/>
                <w:szCs w:val="20"/>
                <w:color w:val="auto"/>
              </w:rPr>
            </w:pPr>
            <w:r>
              <w:rPr>
                <w:rFonts w:ascii="Arial" w:cs="Arial" w:eastAsia="Arial" w:hAnsi="Arial"/>
                <w:sz w:val="18"/>
                <w:szCs w:val="18"/>
                <w:color w:val="auto"/>
              </w:rPr>
              <w:t>Foreign exchange losses</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66"/>
        </w:trPr>
        <w:tc>
          <w:tcPr>
            <w:tcW w:w="3560" w:type="dxa"/>
            <w:vAlign w:val="bottom"/>
            <w:shd w:val="clear" w:color="auto" w:fill="C0C0C0"/>
          </w:tcPr>
          <w:p>
            <w:pPr>
              <w:spacing w:after="0"/>
              <w:rPr>
                <w:sz w:val="14"/>
                <w:szCs w:val="14"/>
                <w:color w:val="auto"/>
              </w:rPr>
            </w:pPr>
          </w:p>
        </w:tc>
        <w:tc>
          <w:tcPr>
            <w:tcW w:w="402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r>
    </w:tbl>
    <w:p>
      <w:pPr>
        <w:sectPr>
          <w:pgSz w:w="11900" w:h="16900" w:orient="portrait"/>
          <w:cols w:equalWidth="0" w:num="1">
            <w:col w:w="11440"/>
          </w:cols>
          <w:pgMar w:left="240" w:top="152" w:right="219" w:bottom="0" w:gutter="0" w:footer="0" w:header="0"/>
          <w:type w:val="continuous"/>
        </w:sectPr>
      </w:pPr>
    </w:p>
    <w:bookmarkStart w:id="24" w:name="page25"/>
    <w:bookmarkEnd w:id="24"/>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386</w:t>
            </w:r>
          </w:p>
        </w:tc>
        <w:tc>
          <w:tcPr>
            <w:tcW w:w="22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255</w:t>
            </w:r>
          </w:p>
        </w:tc>
      </w:tr>
      <w:tr>
        <w:trPr>
          <w:trHeight w:val="237"/>
        </w:trPr>
        <w:tc>
          <w:tcPr>
            <w:tcW w:w="7580" w:type="dxa"/>
            <w:vAlign w:val="bottom"/>
          </w:tcPr>
          <w:p>
            <w:pPr>
              <w:ind w:left="54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r>
      <w:tr>
        <w:trPr>
          <w:trHeight w:val="237"/>
        </w:trPr>
        <w:tc>
          <w:tcPr>
            <w:tcW w:w="75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shd w:val="clear" w:color="auto" w:fill="C0C0C0"/>
          </w:tcPr>
          <w:p>
            <w:pPr>
              <w:spacing w:after="0"/>
              <w:rPr>
                <w:sz w:val="20"/>
                <w:szCs w:val="20"/>
                <w:color w:val="auto"/>
              </w:rPr>
            </w:pP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7,896</w:t>
            </w:r>
          </w:p>
        </w:tc>
        <w:tc>
          <w:tcPr>
            <w:tcW w:w="2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8,932</w:t>
            </w:r>
          </w:p>
        </w:tc>
        <w:tc>
          <w:tcPr>
            <w:tcW w:w="22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6,931</w:t>
            </w:r>
          </w:p>
        </w:tc>
      </w:tr>
      <w:tr>
        <w:trPr>
          <w:trHeight w:val="243"/>
        </w:trPr>
        <w:tc>
          <w:tcPr>
            <w:tcW w:w="758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2,637</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1,898</w:t>
            </w:r>
          </w:p>
        </w:tc>
      </w:tr>
      <w:tr>
        <w:trPr>
          <w:trHeight w:val="257"/>
        </w:trPr>
        <w:tc>
          <w:tcPr>
            <w:tcW w:w="75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5,259</w:t>
            </w:r>
          </w:p>
        </w:tc>
        <w:tc>
          <w:tcPr>
            <w:tcW w:w="6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6,540</w:t>
            </w:r>
          </w:p>
        </w:tc>
        <w:tc>
          <w:tcPr>
            <w:tcW w:w="580" w:type="dxa"/>
            <w:vAlign w:val="bottom"/>
            <w:gridSpan w:val="2"/>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5,033</w:t>
            </w:r>
          </w:p>
        </w:tc>
      </w:tr>
      <w:tr>
        <w:trPr>
          <w:trHeight w:val="243"/>
        </w:trPr>
        <w:tc>
          <w:tcPr>
            <w:tcW w:w="7580" w:type="dxa"/>
            <w:vAlign w:val="bottom"/>
            <w:tcBorders>
              <w:top w:val="single" w:sz="8" w:color="C0C0C0"/>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43"/>
        </w:trPr>
        <w:tc>
          <w:tcPr>
            <w:tcW w:w="75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Income Per Share</w:t>
            </w: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64"/>
        </w:trPr>
        <w:tc>
          <w:tcPr>
            <w:tcW w:w="7580" w:type="dxa"/>
            <w:vAlign w:val="bottom"/>
          </w:tcPr>
          <w:p>
            <w:pPr>
              <w:ind w:left="280"/>
              <w:spacing w:after="0"/>
              <w:rPr>
                <w:sz w:val="20"/>
                <w:szCs w:val="20"/>
                <w:color w:val="auto"/>
              </w:rPr>
            </w:pPr>
            <w:r>
              <w:rPr>
                <w:rFonts w:ascii="Arial" w:cs="Arial" w:eastAsia="Arial" w:hAnsi="Arial"/>
                <w:sz w:val="18"/>
                <w:szCs w:val="18"/>
                <w:color w:val="auto"/>
              </w:rPr>
              <w:t>Basic Common</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0.83</w:t>
            </w:r>
          </w:p>
        </w:tc>
        <w:tc>
          <w:tcPr>
            <w:tcW w:w="220" w:type="dxa"/>
            <w:vAlign w:val="bottom"/>
          </w:tcPr>
          <w:p>
            <w:pPr>
              <w:spacing w:after="0"/>
              <w:rPr>
                <w:sz w:val="22"/>
                <w:szCs w:val="22"/>
                <w:color w:val="auto"/>
              </w:rPr>
            </w:pP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2"/>
                <w:szCs w:val="22"/>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0.79</w:t>
            </w:r>
          </w:p>
        </w:tc>
      </w:tr>
      <w:tr>
        <w:trPr>
          <w:trHeight w:val="264"/>
        </w:trPr>
        <w:tc>
          <w:tcPr>
            <w:tcW w:w="758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Basic Class B Common</w:t>
            </w:r>
          </w:p>
        </w:tc>
        <w:tc>
          <w:tcPr>
            <w:tcW w:w="4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0.61</w:t>
            </w:r>
          </w:p>
        </w:tc>
        <w:tc>
          <w:tcPr>
            <w:tcW w:w="22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0.76</w:t>
            </w:r>
          </w:p>
        </w:tc>
        <w:tc>
          <w:tcPr>
            <w:tcW w:w="22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0.59</w:t>
            </w:r>
          </w:p>
        </w:tc>
      </w:tr>
      <w:tr>
        <w:trPr>
          <w:trHeight w:val="264"/>
        </w:trPr>
        <w:tc>
          <w:tcPr>
            <w:tcW w:w="758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0.73</w:t>
            </w:r>
          </w:p>
        </w:tc>
        <w:tc>
          <w:tcPr>
            <w:tcW w:w="6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0.88</w:t>
            </w:r>
          </w:p>
        </w:tc>
        <w:tc>
          <w:tcPr>
            <w:tcW w:w="5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0.68</w:t>
            </w:r>
          </w:p>
        </w:tc>
      </w:tr>
      <w:tr>
        <w:trPr>
          <w:trHeight w:val="243"/>
        </w:trPr>
        <w:tc>
          <w:tcPr>
            <w:tcW w:w="75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43"/>
        </w:trPr>
        <w:tc>
          <w:tcPr>
            <w:tcW w:w="75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Average Shares Outstanding</w:t>
            </w: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64"/>
        </w:trPr>
        <w:tc>
          <w:tcPr>
            <w:tcW w:w="7580" w:type="dxa"/>
            <w:vAlign w:val="bottom"/>
          </w:tcPr>
          <w:p>
            <w:pPr>
              <w:ind w:left="280"/>
              <w:spacing w:after="0"/>
              <w:rPr>
                <w:sz w:val="20"/>
                <w:szCs w:val="20"/>
                <w:color w:val="auto"/>
              </w:rPr>
            </w:pPr>
            <w:r>
              <w:rPr>
                <w:rFonts w:ascii="Arial" w:cs="Arial" w:eastAsia="Arial" w:hAnsi="Arial"/>
                <w:sz w:val="18"/>
                <w:szCs w:val="18"/>
                <w:color w:val="auto"/>
              </w:rPr>
              <w:t>Basic Common</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5,047</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5,050</w:t>
            </w:r>
          </w:p>
        </w:tc>
      </w:tr>
      <w:tr>
        <w:trPr>
          <w:trHeight w:val="264"/>
        </w:trPr>
        <w:tc>
          <w:tcPr>
            <w:tcW w:w="758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Basic Class B Common</w:t>
            </w:r>
          </w:p>
        </w:tc>
        <w:tc>
          <w:tcPr>
            <w:tcW w:w="400" w:type="dxa"/>
            <w:vAlign w:val="bottom"/>
            <w:tcBorders>
              <w:bottom w:val="single" w:sz="8" w:color="auto"/>
            </w:tcBorders>
            <w:shd w:val="clear" w:color="auto" w:fill="C0C0C0"/>
          </w:tcPr>
          <w:p>
            <w:pPr>
              <w:spacing w:after="0"/>
              <w:rPr>
                <w:sz w:val="22"/>
                <w:szCs w:val="22"/>
                <w:color w:val="auto"/>
              </w:rPr>
            </w:pP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1,822</w:t>
            </w:r>
          </w:p>
        </w:tc>
        <w:tc>
          <w:tcPr>
            <w:tcW w:w="22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auto"/>
            </w:tcBorders>
            <w:shd w:val="clear" w:color="auto" w:fill="C0C0C0"/>
          </w:tcPr>
          <w:p>
            <w:pPr>
              <w:spacing w:after="0"/>
              <w:rPr>
                <w:sz w:val="22"/>
                <w:szCs w:val="22"/>
                <w:color w:val="auto"/>
              </w:rPr>
            </w:pPr>
          </w:p>
        </w:tc>
        <w:tc>
          <w:tcPr>
            <w:tcW w:w="7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1,818</w:t>
            </w:r>
          </w:p>
        </w:tc>
        <w:tc>
          <w:tcPr>
            <w:tcW w:w="22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1,796</w:t>
            </w:r>
          </w:p>
        </w:tc>
      </w:tr>
      <w:tr>
        <w:trPr>
          <w:trHeight w:val="264"/>
        </w:trPr>
        <w:tc>
          <w:tcPr>
            <w:tcW w:w="758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7,219</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7,455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7,452</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5180" w:type="dxa"/>
            <w:vAlign w:val="bottom"/>
            <w:gridSpan w:val="15"/>
          </w:tcPr>
          <w:p>
            <w:pPr>
              <w:jc w:val="right"/>
              <w:ind w:right="672"/>
              <w:spacing w:after="0"/>
              <w:rPr>
                <w:sz w:val="20"/>
                <w:szCs w:val="20"/>
                <w:color w:val="auto"/>
              </w:rPr>
            </w:pPr>
            <w:r>
              <w:rPr>
                <w:rFonts w:ascii="Arial" w:cs="Arial" w:eastAsia="Arial" w:hAnsi="Arial"/>
                <w:sz w:val="14"/>
                <w:szCs w:val="14"/>
                <w:b w:val="1"/>
                <w:bCs w:val="1"/>
                <w:color w:val="auto"/>
              </w:rPr>
              <w:t>CONSOLIDATED STATEMENTS OF STOCKHOLDERS' EQUITY</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4"/>
        </w:trPr>
        <w:tc>
          <w:tcPr>
            <w:tcW w:w="3100" w:type="dxa"/>
            <w:vAlign w:val="bottom"/>
          </w:tcPr>
          <w:p>
            <w:pPr>
              <w:spacing w:after="0"/>
              <w:rPr>
                <w:sz w:val="19"/>
                <w:szCs w:val="19"/>
                <w:color w:val="auto"/>
              </w:rPr>
            </w:pPr>
          </w:p>
        </w:tc>
        <w:tc>
          <w:tcPr>
            <w:tcW w:w="166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w w:val="86"/>
              </w:rPr>
              <w:t>$ Amounts ( in thousands)</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472"/>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Restricted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3100" w:type="dxa"/>
            <w:vAlign w:val="bottom"/>
          </w:tcPr>
          <w:p>
            <w:pPr>
              <w:spacing w:after="0"/>
              <w:rPr>
                <w:sz w:val="21"/>
                <w:szCs w:val="21"/>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21"/>
                <w:szCs w:val="21"/>
                <w:color w:val="auto"/>
              </w:rPr>
            </w:pPr>
          </w:p>
        </w:tc>
        <w:tc>
          <w:tcPr>
            <w:tcW w:w="74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Total</w:t>
            </w:r>
          </w:p>
        </w:tc>
      </w:tr>
      <w:tr>
        <w:trPr>
          <w:trHeight w:val="217"/>
        </w:trPr>
        <w:tc>
          <w:tcPr>
            <w:tcW w:w="3100" w:type="dxa"/>
            <w:vAlign w:val="bottom"/>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&amp; Class B</w:t>
            </w:r>
          </w:p>
        </w:tc>
        <w:tc>
          <w:tcPr>
            <w:tcW w:w="12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8"/>
                <w:szCs w:val="18"/>
                <w:color w:val="auto"/>
              </w:rPr>
            </w:pPr>
          </w:p>
        </w:tc>
        <w:tc>
          <w:tcPr>
            <w:tcW w:w="78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8"/>
              </w:rPr>
              <w:t>&amp; Class B</w:t>
            </w:r>
          </w:p>
        </w:tc>
        <w:tc>
          <w:tcPr>
            <w:tcW w:w="1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84"/>
              </w:rPr>
              <w:t>Treasury</w:t>
            </w: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Stockholders'</w:t>
            </w:r>
          </w:p>
        </w:tc>
      </w:tr>
      <w:tr>
        <w:trPr>
          <w:trHeight w:val="257"/>
        </w:trPr>
        <w:tc>
          <w:tcPr>
            <w:tcW w:w="3100" w:type="dxa"/>
            <w:vAlign w:val="bottom"/>
          </w:tcPr>
          <w:p>
            <w:pPr>
              <w:spacing w:after="0"/>
              <w:rPr>
                <w:sz w:val="22"/>
                <w:szCs w:val="22"/>
                <w:color w:val="auto"/>
              </w:rPr>
            </w:pPr>
          </w:p>
        </w:tc>
        <w:tc>
          <w:tcPr>
            <w:tcW w:w="5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Income/(Loss)</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8"/>
              </w:rPr>
              <w:t>Equity</w:t>
            </w:r>
          </w:p>
        </w:tc>
      </w:tr>
      <w:tr>
        <w:trPr>
          <w:trHeight w:val="229"/>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July 31, 2003</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w w:val="99"/>
              </w:rPr>
              <w:t>8,607,197</w:t>
            </w:r>
          </w:p>
        </w:tc>
        <w:tc>
          <w:tcPr>
            <w:tcW w:w="980" w:type="dxa"/>
            <w:vAlign w:val="bottom"/>
            <w:gridSpan w:val="2"/>
          </w:tcPr>
          <w:p>
            <w:pPr>
              <w:jc w:val="right"/>
              <w:ind w:right="92"/>
              <w:spacing w:after="0"/>
              <w:rPr>
                <w:sz w:val="20"/>
                <w:szCs w:val="20"/>
                <w:color w:val="auto"/>
              </w:rPr>
            </w:pPr>
            <w:r>
              <w:rPr>
                <w:rFonts w:ascii="Arial" w:cs="Arial" w:eastAsia="Arial" w:hAnsi="Arial"/>
                <w:sz w:val="14"/>
                <w:szCs w:val="14"/>
                <w:color w:val="auto"/>
              </w:rPr>
              <w:t>(1,761,306)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861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7,509</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88,002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color w:val="auto"/>
                <w:w w:val="99"/>
              </w:rPr>
              <w:t>(1,082)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w w:val="97"/>
              </w:rPr>
              <w:t>69,014</w:t>
            </w:r>
          </w:p>
        </w:tc>
      </w:tr>
      <w:tr>
        <w:trPr>
          <w:trHeight w:val="486"/>
        </w:trPr>
        <w:tc>
          <w:tcPr>
            <w:tcW w:w="310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5,033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5,033</w:t>
            </w:r>
          </w:p>
        </w:tc>
      </w:tr>
      <w:tr>
        <w:trPr>
          <w:trHeight w:val="176"/>
        </w:trPr>
        <w:tc>
          <w:tcPr>
            <w:tcW w:w="3100" w:type="dxa"/>
            <w:vAlign w:val="bottom"/>
          </w:tcPr>
          <w:p>
            <w:pPr>
              <w:ind w:left="180"/>
              <w:spacing w:after="0"/>
              <w:rPr>
                <w:sz w:val="20"/>
                <w:szCs w:val="20"/>
                <w:color w:val="auto"/>
              </w:rPr>
            </w:pPr>
            <w:r>
              <w:rPr>
                <w:rFonts w:ascii="Arial" w:cs="Arial" w:eastAsia="Arial" w:hAnsi="Arial"/>
                <w:sz w:val="14"/>
                <w:szCs w:val="14"/>
                <w:color w:val="auto"/>
              </w:rPr>
              <w:t>Cumulative Translation</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0"/>
        </w:trPr>
        <w:tc>
          <w:tcPr>
            <w:tcW w:w="310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388</w:t>
            </w:r>
          </w:p>
        </w:tc>
      </w:tr>
      <w:tr>
        <w:trPr>
          <w:trHeight w:val="236"/>
        </w:trPr>
        <w:tc>
          <w:tcPr>
            <w:tcW w:w="3100" w:type="dxa"/>
            <w:vAlign w:val="bottom"/>
          </w:tcPr>
          <w:p>
            <w:pPr>
              <w:ind w:left="340"/>
              <w:spacing w:after="0"/>
              <w:rPr>
                <w:sz w:val="20"/>
                <w:szCs w:val="20"/>
                <w:color w:val="auto"/>
              </w:rPr>
            </w:pPr>
            <w:r>
              <w:rPr>
                <w:rFonts w:ascii="Arial" w:cs="Arial" w:eastAsia="Arial" w:hAnsi="Arial"/>
                <w:sz w:val="14"/>
                <w:szCs w:val="14"/>
                <w:color w:val="auto"/>
              </w:rPr>
              <w:t>Total Comprehensive Income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5,421</w:t>
            </w:r>
          </w:p>
        </w:tc>
      </w:tr>
      <w:tr>
        <w:trPr>
          <w:trHeight w:val="223"/>
        </w:trPr>
        <w:tc>
          <w:tcPr>
            <w:tcW w:w="3100" w:type="dxa"/>
            <w:vAlign w:val="bottom"/>
          </w:tcPr>
          <w:p>
            <w:pPr>
              <w:spacing w:after="0"/>
              <w:rPr>
                <w:sz w:val="20"/>
                <w:szCs w:val="20"/>
                <w:color w:val="auto"/>
              </w:rPr>
            </w:pPr>
            <w:r>
              <w:rPr>
                <w:rFonts w:ascii="Arial" w:cs="Arial" w:eastAsia="Arial" w:hAnsi="Arial"/>
                <w:sz w:val="14"/>
                <w:szCs w:val="14"/>
                <w:color w:val="auto"/>
              </w:rPr>
              <w:t>Dividends Declared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(2,050)</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4"/>
                <w:szCs w:val="14"/>
                <w:color w:val="auto"/>
              </w:rPr>
              <w:t>(119,506)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(1,824)</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Issuance of Stock Under 1995</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4"/>
                <w:szCs w:val="14"/>
                <w:color w:val="auto"/>
              </w:rPr>
              <w:t>Long-Term Incentive Plan</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143,280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1,655</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1,669</w:t>
            </w:r>
          </w:p>
        </w:tc>
      </w:tr>
      <w:tr>
        <w:trPr>
          <w:trHeight w:val="257"/>
        </w:trPr>
        <w:tc>
          <w:tcPr>
            <w:tcW w:w="3100" w:type="dxa"/>
            <w:vAlign w:val="bottom"/>
          </w:tcPr>
          <w:p>
            <w:pPr>
              <w:spacing w:after="0"/>
              <w:rPr>
                <w:sz w:val="20"/>
                <w:szCs w:val="20"/>
                <w:color w:val="auto"/>
              </w:rPr>
            </w:pPr>
            <w:r>
              <w:rPr>
                <w:rFonts w:ascii="Arial" w:cs="Arial" w:eastAsia="Arial" w:hAnsi="Arial"/>
                <w:sz w:val="14"/>
                <w:szCs w:val="14"/>
                <w:color w:val="auto"/>
              </w:rPr>
              <w:t>Amortization of Restricted Stock</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28</w:t>
            </w:r>
          </w:p>
        </w:tc>
      </w:tr>
      <w:tr>
        <w:trPr>
          <w:trHeight w:val="223"/>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July 31, 2004</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8,750,477</w:t>
            </w:r>
          </w:p>
        </w:tc>
        <w:tc>
          <w:tcPr>
            <w:tcW w:w="9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(1,880,812)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875</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9,164</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90,985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(28,063)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w w:val="97"/>
              </w:rPr>
              <w:t>72,258</w:t>
            </w:r>
          </w:p>
        </w:tc>
      </w:tr>
      <w:tr>
        <w:trPr>
          <w:trHeight w:val="486"/>
        </w:trPr>
        <w:tc>
          <w:tcPr>
            <w:tcW w:w="310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6,540</w:t>
            </w:r>
          </w:p>
        </w:tc>
      </w:tr>
      <w:tr>
        <w:trPr>
          <w:trHeight w:val="243"/>
        </w:trPr>
        <w:tc>
          <w:tcPr>
            <w:tcW w:w="3100" w:type="dxa"/>
            <w:vAlign w:val="bottom"/>
          </w:tcPr>
          <w:p>
            <w:pPr>
              <w:ind w:left="180"/>
              <w:spacing w:after="0"/>
              <w:rPr>
                <w:sz w:val="20"/>
                <w:szCs w:val="20"/>
                <w:color w:val="auto"/>
              </w:rPr>
            </w:pPr>
            <w:r>
              <w:rPr>
                <w:rFonts w:ascii="Arial" w:cs="Arial" w:eastAsia="Arial" w:hAnsi="Arial"/>
                <w:sz w:val="14"/>
                <w:szCs w:val="14"/>
                <w:color w:val="auto"/>
              </w:rPr>
              <w:t>Cumulative Translation</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310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412</w:t>
            </w: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Unrealized gain on marketable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7"/>
        </w:trPr>
        <w:tc>
          <w:tcPr>
            <w:tcW w:w="3100" w:type="dxa"/>
            <w:vAlign w:val="bottom"/>
          </w:tcPr>
          <w:p>
            <w:pPr>
              <w:ind w:left="280"/>
              <w:spacing w:after="0"/>
              <w:rPr>
                <w:sz w:val="20"/>
                <w:szCs w:val="20"/>
                <w:color w:val="auto"/>
              </w:rPr>
            </w:pPr>
            <w:r>
              <w:rPr>
                <w:rFonts w:ascii="Arial" w:cs="Arial" w:eastAsia="Arial" w:hAnsi="Arial"/>
                <w:sz w:val="14"/>
                <w:szCs w:val="14"/>
                <w:color w:val="auto"/>
              </w:rPr>
              <w:t>securities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38</w:t>
            </w:r>
          </w:p>
        </w:tc>
      </w:tr>
      <w:tr>
        <w:trPr>
          <w:trHeight w:val="236"/>
        </w:trPr>
        <w:tc>
          <w:tcPr>
            <w:tcW w:w="3100" w:type="dxa"/>
            <w:vAlign w:val="bottom"/>
          </w:tcPr>
          <w:p>
            <w:pPr>
              <w:ind w:left="340"/>
              <w:spacing w:after="0"/>
              <w:rPr>
                <w:sz w:val="20"/>
                <w:szCs w:val="20"/>
                <w:color w:val="auto"/>
              </w:rPr>
            </w:pPr>
            <w:r>
              <w:rPr>
                <w:rFonts w:ascii="Arial" w:cs="Arial" w:eastAsia="Arial" w:hAnsi="Arial"/>
                <w:sz w:val="14"/>
                <w:szCs w:val="14"/>
                <w:color w:val="auto"/>
              </w:rPr>
              <w:t>Total Comprehensive Income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6,990</w:t>
            </w:r>
          </w:p>
        </w:tc>
      </w:tr>
      <w:tr>
        <w:trPr>
          <w:trHeight w:val="223"/>
        </w:trPr>
        <w:tc>
          <w:tcPr>
            <w:tcW w:w="3100" w:type="dxa"/>
            <w:vAlign w:val="bottom"/>
          </w:tcPr>
          <w:p>
            <w:pPr>
              <w:spacing w:after="0"/>
              <w:rPr>
                <w:sz w:val="20"/>
                <w:szCs w:val="20"/>
                <w:color w:val="auto"/>
              </w:rPr>
            </w:pPr>
            <w:r>
              <w:rPr>
                <w:rFonts w:ascii="Arial" w:cs="Arial" w:eastAsia="Arial" w:hAnsi="Arial"/>
                <w:sz w:val="14"/>
                <w:szCs w:val="14"/>
                <w:color w:val="auto"/>
              </w:rPr>
              <w:t>Dividends Declared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(2,251)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(2,251)</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4"/>
                <w:szCs w:val="14"/>
                <w:color w:val="auto"/>
              </w:rPr>
              <w:t>(463,500)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(8,066)</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Issuance of Stock Under 1995</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4"/>
                <w:szCs w:val="14"/>
                <w:color w:val="auto"/>
              </w:rPr>
              <w:t>Long-Term Incentive Plan</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382,680</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auto"/>
              </w:rPr>
              <w:t>48,721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38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4,571</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4,896</w:t>
            </w:r>
          </w:p>
        </w:tc>
      </w:tr>
      <w:tr>
        <w:trPr>
          <w:trHeight w:val="257"/>
        </w:trPr>
        <w:tc>
          <w:tcPr>
            <w:tcW w:w="3100" w:type="dxa"/>
            <w:vAlign w:val="bottom"/>
          </w:tcPr>
          <w:p>
            <w:pPr>
              <w:spacing w:after="0"/>
              <w:rPr>
                <w:sz w:val="20"/>
                <w:szCs w:val="20"/>
                <w:color w:val="auto"/>
              </w:rPr>
            </w:pPr>
            <w:r>
              <w:rPr>
                <w:rFonts w:ascii="Arial" w:cs="Arial" w:eastAsia="Arial" w:hAnsi="Arial"/>
                <w:sz w:val="14"/>
                <w:szCs w:val="14"/>
                <w:color w:val="auto"/>
              </w:rPr>
              <w:t>Amortization of Restricted Stock</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27</w:t>
            </w:r>
          </w:p>
        </w:tc>
      </w:tr>
      <w:tr>
        <w:trPr>
          <w:trHeight w:val="223"/>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July 31, 2005</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9,133,157</w:t>
            </w:r>
          </w:p>
        </w:tc>
        <w:tc>
          <w:tcPr>
            <w:tcW w:w="9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(2,295,591)</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913</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$ 13,735</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$ 94,891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(75)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(35,366)</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(244</w:t>
            </w: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w w:val="97"/>
              </w:rPr>
              <w:t>73,854</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5,259</w:t>
            </w:r>
          </w:p>
        </w:tc>
      </w:tr>
      <w:tr>
        <w:trPr>
          <w:trHeight w:val="243"/>
        </w:trPr>
        <w:tc>
          <w:tcPr>
            <w:tcW w:w="3100" w:type="dxa"/>
            <w:vAlign w:val="bottom"/>
          </w:tcPr>
          <w:p>
            <w:pPr>
              <w:ind w:left="180"/>
              <w:spacing w:after="0"/>
              <w:rPr>
                <w:sz w:val="20"/>
                <w:szCs w:val="20"/>
                <w:color w:val="auto"/>
              </w:rPr>
            </w:pPr>
            <w:r>
              <w:rPr>
                <w:rFonts w:ascii="Arial" w:cs="Arial" w:eastAsia="Arial" w:hAnsi="Arial"/>
                <w:sz w:val="14"/>
                <w:szCs w:val="14"/>
                <w:color w:val="auto"/>
              </w:rPr>
              <w:t>Cumulative Translation</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310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461</w:t>
            </w:r>
          </w:p>
        </w:tc>
      </w:tr>
      <w:tr>
        <w:trPr>
          <w:trHeight w:val="216"/>
        </w:trPr>
        <w:tc>
          <w:tcPr>
            <w:tcW w:w="3100" w:type="dxa"/>
            <w:vAlign w:val="bottom"/>
          </w:tcPr>
          <w:p>
            <w:pPr>
              <w:ind w:left="180"/>
              <w:spacing w:after="0"/>
              <w:rPr>
                <w:sz w:val="20"/>
                <w:szCs w:val="20"/>
                <w:color w:val="auto"/>
              </w:rPr>
            </w:pPr>
            <w:r>
              <w:rPr>
                <w:rFonts w:ascii="Arial" w:cs="Arial" w:eastAsia="Arial" w:hAnsi="Arial"/>
                <w:sz w:val="14"/>
                <w:szCs w:val="14"/>
                <w:color w:val="auto"/>
              </w:rPr>
              <w:t>Unrealized gain 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7"/>
        </w:trPr>
        <w:tc>
          <w:tcPr>
            <w:tcW w:w="3100" w:type="dxa"/>
            <w:vAlign w:val="bottom"/>
          </w:tcPr>
          <w:p>
            <w:pPr>
              <w:ind w:left="280"/>
              <w:spacing w:after="0"/>
              <w:rPr>
                <w:sz w:val="20"/>
                <w:szCs w:val="20"/>
                <w:color w:val="auto"/>
              </w:rPr>
            </w:pPr>
            <w:r>
              <w:rPr>
                <w:rFonts w:ascii="Arial" w:cs="Arial" w:eastAsia="Arial" w:hAnsi="Arial"/>
                <w:sz w:val="14"/>
                <w:szCs w:val="14"/>
                <w:color w:val="auto"/>
              </w:rPr>
              <w:t>marketable securities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8</w:t>
            </w:r>
          </w:p>
        </w:tc>
      </w:tr>
      <w:tr>
        <w:trPr>
          <w:trHeight w:val="237"/>
        </w:trPr>
        <w:tc>
          <w:tcPr>
            <w:tcW w:w="3100" w:type="dxa"/>
            <w:vAlign w:val="bottom"/>
          </w:tcPr>
          <w:p>
            <w:pPr>
              <w:ind w:left="340"/>
              <w:spacing w:after="0"/>
              <w:rPr>
                <w:sz w:val="20"/>
                <w:szCs w:val="20"/>
                <w:color w:val="auto"/>
              </w:rPr>
            </w:pPr>
            <w:r>
              <w:rPr>
                <w:rFonts w:ascii="Arial" w:cs="Arial" w:eastAsia="Arial" w:hAnsi="Arial"/>
                <w:sz w:val="14"/>
                <w:szCs w:val="14"/>
                <w:color w:val="auto"/>
              </w:rPr>
              <w:t>Total Comprehensive Income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5,728</w:t>
            </w:r>
          </w:p>
        </w:tc>
      </w:tr>
      <w:tr>
        <w:trPr>
          <w:trHeight w:val="223"/>
        </w:trPr>
        <w:tc>
          <w:tcPr>
            <w:tcW w:w="3100" w:type="dxa"/>
            <w:vAlign w:val="bottom"/>
          </w:tcPr>
          <w:p>
            <w:pPr>
              <w:spacing w:after="0"/>
              <w:rPr>
                <w:sz w:val="20"/>
                <w:szCs w:val="20"/>
                <w:color w:val="auto"/>
              </w:rPr>
            </w:pPr>
            <w:r>
              <w:rPr>
                <w:rFonts w:ascii="Arial" w:cs="Arial" w:eastAsia="Arial" w:hAnsi="Arial"/>
                <w:sz w:val="14"/>
                <w:szCs w:val="14"/>
                <w:color w:val="auto"/>
              </w:rPr>
              <w:t>Dividends Declared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(2,598)</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4"/>
                <w:szCs w:val="14"/>
                <w:color w:val="auto"/>
              </w:rPr>
              <w:t>(382,045)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(7,811)</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Issuance of Stock Under 2006</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4"/>
                <w:szCs w:val="14"/>
                <w:color w:val="auto"/>
              </w:rPr>
              <w:t>Long-Term Incentive Plan</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259,545</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auto"/>
              </w:rPr>
              <w:t>48,792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26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3,517</w:t>
            </w:r>
          </w:p>
        </w:tc>
        <w:tc>
          <w:tcPr>
            <w:tcW w:w="760" w:type="dxa"/>
            <w:vAlign w:val="bottom"/>
            <w:gridSpan w:val="2"/>
          </w:tcPr>
          <w:p>
            <w:pPr>
              <w:jc w:val="right"/>
              <w:ind w:right="52"/>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3,090</w:t>
            </w:r>
          </w:p>
        </w:tc>
      </w:tr>
      <w:tr>
        <w:trPr>
          <w:trHeight w:val="243"/>
        </w:trPr>
        <w:tc>
          <w:tcPr>
            <w:tcW w:w="3100" w:type="dxa"/>
            <w:vAlign w:val="bottom"/>
          </w:tcPr>
          <w:p>
            <w:pPr>
              <w:spacing w:after="0"/>
              <w:rPr>
                <w:sz w:val="20"/>
                <w:szCs w:val="20"/>
                <w:color w:val="auto"/>
              </w:rPr>
            </w:pPr>
            <w:r>
              <w:rPr>
                <w:rFonts w:ascii="Arial" w:cs="Arial" w:eastAsia="Arial" w:hAnsi="Arial"/>
                <w:sz w:val="14"/>
                <w:szCs w:val="14"/>
                <w:color w:val="auto"/>
              </w:rPr>
              <w:t>Share-based Stock Compensation</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820</w:t>
            </w:r>
          </w:p>
        </w:tc>
      </w:tr>
      <w:tr>
        <w:trPr>
          <w:trHeight w:val="257"/>
        </w:trPr>
        <w:tc>
          <w:tcPr>
            <w:tcW w:w="3100" w:type="dxa"/>
            <w:vAlign w:val="bottom"/>
          </w:tcPr>
          <w:p>
            <w:pPr>
              <w:spacing w:after="0"/>
              <w:rPr>
                <w:sz w:val="20"/>
                <w:szCs w:val="20"/>
                <w:color w:val="auto"/>
              </w:rPr>
            </w:pPr>
            <w:r>
              <w:rPr>
                <w:rFonts w:ascii="Arial" w:cs="Arial" w:eastAsia="Arial" w:hAnsi="Arial"/>
                <w:sz w:val="14"/>
                <w:szCs w:val="14"/>
                <w:color w:val="auto"/>
              </w:rPr>
              <w:t>Amortization of Restricted Stock</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153</w:t>
            </w:r>
          </w:p>
        </w:tc>
      </w:tr>
      <w:tr>
        <w:trPr>
          <w:trHeight w:val="223"/>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July 31, 2006</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9,392,702</w:t>
            </w:r>
          </w:p>
        </w:tc>
        <w:tc>
          <w:tcPr>
            <w:tcW w:w="9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(2,628,844)</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939</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$ 18,072</w:t>
            </w: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$ 97,390</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(1,308)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(42,082)</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w w:val="97"/>
              </w:rPr>
              <w:t>73,236</w:t>
            </w:r>
          </w:p>
        </w:tc>
      </w:tr>
    </w:tbl>
    <w:p>
      <w:pPr>
        <w:sectPr>
          <w:pgSz w:w="11900" w:h="16897" w:orient="portrait"/>
          <w:cols w:equalWidth="0" w:num="1">
            <w:col w:w="11420"/>
          </w:cols>
          <w:pgMar w:left="240" w:top="140" w:right="239" w:bottom="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2121535</wp:posOffset>
            </wp:positionH>
            <wp:positionV relativeFrom="page">
              <wp:posOffset>88900</wp:posOffset>
            </wp:positionV>
            <wp:extent cx="524827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48275" cy="26035"/>
                    </a:xfrm>
                    <a:prstGeom prst="rect">
                      <a:avLst/>
                    </a:prstGeom>
                    <a:noFill/>
                  </pic:spPr>
                </pic:pic>
              </a:graphicData>
            </a:graphic>
          </wp:anchor>
        </w:drawing>
        <w:t>The accompanying statements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CONSOLIDATED STATEMENTS OF CASH FLOWS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4"/>
        </w:trPr>
        <w:tc>
          <w:tcPr>
            <w:tcW w:w="7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89"/>
              </w:rPr>
              <w:t>Year Ended July 31,</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2005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2004</w:t>
            </w:r>
          </w:p>
        </w:tc>
      </w:tr>
      <w:tr>
        <w:trPr>
          <w:trHeight w:val="23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0"/>
                <w:szCs w:val="20"/>
                <w:color w:val="auto"/>
              </w:rPr>
            </w:pPr>
          </w:p>
        </w:tc>
        <w:tc>
          <w:tcPr>
            <w:tcW w:w="2520" w:type="dxa"/>
            <w:vAlign w:val="bottom"/>
            <w:gridSpan w:val="7"/>
          </w:tcPr>
          <w:p>
            <w:pPr>
              <w:jc w:val="center"/>
              <w:ind w:left="612"/>
              <w:spacing w:after="0"/>
              <w:rPr>
                <w:sz w:val="20"/>
                <w:szCs w:val="20"/>
                <w:color w:val="auto"/>
              </w:rPr>
            </w:pPr>
            <w:r>
              <w:rPr>
                <w:rFonts w:ascii="Arial" w:cs="Arial" w:eastAsia="Arial" w:hAnsi="Arial"/>
                <w:sz w:val="18"/>
                <w:szCs w:val="18"/>
                <w:b w:val="1"/>
                <w:bCs w:val="1"/>
                <w:color w:val="auto"/>
                <w:w w:val="86"/>
              </w:rPr>
              <w:t>(in thousands of dollars)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5,259</w:t>
            </w:r>
          </w:p>
        </w:tc>
        <w:tc>
          <w:tcPr>
            <w:tcW w:w="48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6,540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5,033</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7,212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7,429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8,057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Amortization of investment discounts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Stock compensation expense</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451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Excess tax benefits for share-based payments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192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Loss on impaired assets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(Gain) loss on the sale of property, plant and equipment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(Increase) decrease in:</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(2,631)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108</w:t>
            </w: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Prepaid overburden removal expense</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85</w:t>
            </w: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Prepaid expenses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2,175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Increase (decrease) in:</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2,759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1,016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2,825</w:t>
            </w:r>
          </w:p>
        </w:tc>
      </w:tr>
      <w:tr>
        <w:trPr>
          <w:trHeight w:val="243"/>
        </w:trPr>
        <w:tc>
          <w:tcPr>
            <w:tcW w:w="7440" w:type="dxa"/>
            <w:vAlign w:val="bottom"/>
          </w:tcPr>
          <w:p>
            <w:pPr>
              <w:ind w:left="540"/>
              <w:spacing w:after="0"/>
              <w:rPr>
                <w:sz w:val="20"/>
                <w:szCs w:val="20"/>
                <w:color w:val="auto"/>
              </w:rPr>
            </w:pPr>
            <w:r>
              <w:rPr>
                <w:rFonts w:ascii="Arial" w:cs="Arial" w:eastAsia="Arial" w:hAnsi="Arial"/>
                <w:sz w:val="18"/>
                <w:szCs w:val="18"/>
                <w:color w:val="auto"/>
              </w:rPr>
              <w:t>Deferred compensation</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443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243</w:t>
            </w:r>
          </w:p>
        </w:tc>
      </w:tr>
      <w:tr>
        <w:trPr>
          <w:trHeight w:val="245"/>
        </w:trPr>
        <w:tc>
          <w:tcPr>
            <w:tcW w:w="744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494</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472</w:t>
            </w:r>
          </w:p>
        </w:tc>
      </w:tr>
      <w:tr>
        <w:trPr>
          <w:trHeight w:val="237"/>
        </w:trPr>
        <w:tc>
          <w:tcPr>
            <w:tcW w:w="7440" w:type="dxa"/>
            <w:vAlign w:val="bottom"/>
          </w:tcPr>
          <w:p>
            <w:pPr>
              <w:ind w:left="820"/>
              <w:spacing w:after="0"/>
              <w:rPr>
                <w:sz w:val="20"/>
                <w:szCs w:val="20"/>
                <w:color w:val="auto"/>
              </w:rPr>
            </w:pPr>
            <w:r>
              <w:rPr>
                <w:rFonts w:ascii="Arial" w:cs="Arial" w:eastAsia="Arial" w:hAnsi="Arial"/>
                <w:sz w:val="18"/>
                <w:szCs w:val="18"/>
                <w:color w:val="auto"/>
              </w:rPr>
              <w:t>Total Adjustments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5,376</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6,445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13,544</w:t>
            </w:r>
          </w:p>
        </w:tc>
      </w:tr>
      <w:tr>
        <w:trPr>
          <w:trHeight w:val="237"/>
        </w:trPr>
        <w:tc>
          <w:tcPr>
            <w:tcW w:w="7440" w:type="dxa"/>
            <w:vAlign w:val="bottom"/>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10,635</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12,985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18,577</w:t>
            </w:r>
          </w:p>
        </w:tc>
      </w:tr>
      <w:tr>
        <w:trPr>
          <w:trHeight w:val="478"/>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(10,827)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Proceeds from the sale of Phoebe Products Co.</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1,006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Purchases of investments in debt securities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(3,287)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Maturities of investments in debt securities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3,679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2,834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2,156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Purchases of investment in treasury securities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(65,336)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(28,057)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(43,608)</w:t>
            </w:r>
          </w:p>
        </w:tc>
      </w:tr>
      <w:tr>
        <w:trPr>
          <w:trHeight w:val="245"/>
        </w:trPr>
        <w:tc>
          <w:tcPr>
            <w:tcW w:w="7440" w:type="dxa"/>
            <w:vAlign w:val="bottom"/>
          </w:tcPr>
          <w:p>
            <w:pPr>
              <w:ind w:left="280"/>
              <w:spacing w:after="0"/>
              <w:rPr>
                <w:sz w:val="20"/>
                <w:szCs w:val="20"/>
                <w:color w:val="auto"/>
              </w:rPr>
            </w:pPr>
            <w:r>
              <w:rPr>
                <w:rFonts w:ascii="Arial" w:cs="Arial" w:eastAsia="Arial" w:hAnsi="Arial"/>
                <w:sz w:val="18"/>
                <w:szCs w:val="18"/>
                <w:color w:val="auto"/>
              </w:rPr>
              <w:t>Dispositions of investment in treasury securities</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59,786</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29,172</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41,672</w:t>
            </w:r>
          </w:p>
        </w:tc>
      </w:tr>
      <w:tr>
        <w:trPr>
          <w:trHeight w:val="237"/>
        </w:trPr>
        <w:tc>
          <w:tcPr>
            <w:tcW w:w="7440" w:type="dxa"/>
            <w:vAlign w:val="bottom"/>
          </w:tcPr>
          <w:p>
            <w:pPr>
              <w:ind w:left="8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(14,979)</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w:t>
            </w:r>
          </w:p>
        </w:tc>
      </w:tr>
      <w:tr>
        <w:trPr>
          <w:trHeight w:val="478"/>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(3,080)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15,000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(2,403)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Proceeds from issuance of treasury stock</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631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2,460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4,147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Excess tax benefits for share-based payments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516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5"/>
        </w:trPr>
        <w:tc>
          <w:tcPr>
            <w:tcW w:w="74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247</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w:t>
            </w:r>
          </w:p>
        </w:tc>
      </w:tr>
      <w:tr>
        <w:trPr>
          <w:trHeight w:val="235"/>
        </w:trPr>
        <w:tc>
          <w:tcPr>
            <w:tcW w:w="7440" w:type="dxa"/>
            <w:vAlign w:val="bottom"/>
          </w:tcPr>
          <w:p>
            <w:pPr>
              <w:ind w:left="8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5,560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(6,262)</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74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662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1,595</w:t>
            </w:r>
          </w:p>
        </w:tc>
      </w:tr>
      <w:tr>
        <w:trPr>
          <w:trHeight w:val="245"/>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5,945</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6,348</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4,753</w:t>
            </w:r>
          </w:p>
        </w:tc>
      </w:tr>
      <w:tr>
        <w:trPr>
          <w:trHeight w:val="257"/>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6,607</w:t>
            </w:r>
          </w:p>
        </w:tc>
        <w:tc>
          <w:tcPr>
            <w:tcW w:w="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5,945</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6,348</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ectPr>
          <w:pgSz w:w="11900" w:h="16838" w:orient="portrait"/>
          <w:cols w:equalWidth="0" w:num="1">
            <w:col w:w="11420"/>
          </w:cols>
          <w:pgMar w:left="240" w:top="65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ONSOLIDATION</w:t>
      </w:r>
    </w:p>
    <w:p>
      <w:pPr>
        <w:spacing w:after="0" w:line="231"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8"/>
          <w:szCs w:val="18"/>
          <w:color w:val="auto"/>
        </w:rPr>
        <w:t>The consolidated financial statements include the accounts of Oil-Dri Corporation of America and its subsidiaries, all of which are wholly owned. All significant intercompany balances and transactions have been eliminated from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3"/>
          <w:szCs w:val="13"/>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3"/>
          <w:szCs w:val="13"/>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STIMATES</w:t>
      </w:r>
    </w:p>
    <w:p>
      <w:pPr>
        <w:spacing w:after="0" w:line="231" w:lineRule="exact"/>
        <w:rPr>
          <w:sz w:val="20"/>
          <w:szCs w:val="20"/>
          <w:color w:val="auto"/>
        </w:rPr>
      </w:pPr>
    </w:p>
    <w:p>
      <w:pPr>
        <w:jc w:val="both"/>
        <w:ind w:firstLine="295"/>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ECOGNITION</w:t>
      </w:r>
    </w:p>
    <w:p>
      <w:pPr>
        <w:spacing w:after="0" w:line="231" w:lineRule="exact"/>
        <w:rPr>
          <w:sz w:val="20"/>
          <w:szCs w:val="20"/>
          <w:color w:val="auto"/>
        </w:rPr>
      </w:pPr>
    </w:p>
    <w:p>
      <w:pPr>
        <w:jc w:val="both"/>
        <w:ind w:right="20" w:firstLine="355"/>
        <w:spacing w:after="0" w:line="268" w:lineRule="auto"/>
        <w:rPr>
          <w:sz w:val="20"/>
          <w:szCs w:val="20"/>
          <w:color w:val="auto"/>
        </w:rPr>
      </w:pPr>
      <w:r>
        <w:rPr>
          <w:rFonts w:ascii="Arial" w:cs="Arial" w:eastAsia="Arial" w:hAnsi="Arial"/>
          <w:sz w:val="18"/>
          <w:szCs w:val="18"/>
          <w:color w:val="auto"/>
        </w:rPr>
        <w:t>Under the terms of our sales agreements with customers, we recognize revenue when title is transferred. At the time of shipment an invoice is generated which sets the fixed and determinable price. Sales returns and allowances are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ROMOTIONS</w:t>
      </w:r>
    </w:p>
    <w:p>
      <w:pPr>
        <w:spacing w:after="0" w:line="231" w:lineRule="exact"/>
        <w:rPr>
          <w:sz w:val="20"/>
          <w:szCs w:val="20"/>
          <w:color w:val="auto"/>
        </w:rPr>
      </w:pPr>
    </w:p>
    <w:p>
      <w:pPr>
        <w:jc w:val="both"/>
        <w:ind w:firstLine="286"/>
        <w:spacing w:after="0" w:line="256" w:lineRule="auto"/>
        <w:rPr>
          <w:sz w:val="20"/>
          <w:szCs w:val="20"/>
          <w:color w:val="auto"/>
        </w:rPr>
      </w:pPr>
      <w:r>
        <w:rPr>
          <w:rFonts w:ascii="Arial" w:cs="Arial" w:eastAsia="Arial" w:hAnsi="Arial"/>
          <w:sz w:val="18"/>
          <w:szCs w:val="18"/>
          <w:color w:val="auto"/>
        </w:rPr>
        <w:t>In our Retail and Wholesale Products Group, we routinely commit to one-time or on-going trade promotion programs. All such costs are netted against sales. We have accrued liabilities at the end of each period for the estimated expenses incurred, but not paid for these programs. The determination of the trade spending liabilities requires us to use judgment for estimates which include our historical experience with trade spending patterns and that of the industry, current trends and forecasted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OST OF SALES</w:t>
      </w:r>
    </w:p>
    <w:p>
      <w:pPr>
        <w:spacing w:after="0" w:line="231" w:lineRule="exact"/>
        <w:rPr>
          <w:sz w:val="20"/>
          <w:szCs w:val="20"/>
          <w:color w:val="auto"/>
        </w:rPr>
      </w:pPr>
    </w:p>
    <w:p>
      <w:pPr>
        <w:jc w:val="both"/>
        <w:ind w:right="20" w:firstLine="276"/>
        <w:spacing w:after="0" w:line="268" w:lineRule="auto"/>
        <w:rPr>
          <w:sz w:val="20"/>
          <w:szCs w:val="20"/>
          <w:color w:val="auto"/>
        </w:rPr>
      </w:pPr>
      <w:r>
        <w:rPr>
          <w:rFonts w:ascii="Arial" w:cs="Arial" w:eastAsia="Arial" w:hAnsi="Arial"/>
          <w:sz w:val="18"/>
          <w:szCs w:val="18"/>
          <w:color w:val="auto"/>
        </w:rPr>
        <w:t>Cost of sales includes all manufacturing costs, inbound and outbound freight, inspection costs, purchasing costs associated with materials and packaging used in the production processes and warehouse and distribution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ELLING</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GENERAL AND ADMINISTRATIVE EXPENSES</w:t>
      </w:r>
    </w:p>
    <w:p>
      <w:pPr>
        <w:spacing w:after="0" w:line="231"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the staff outside the manufacturing and distribution functions, all marketing related costs, any miscellaneous trade spending expenses not required to be included in net sales, research and development costs and all other non-manufacturing and non-distribution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ECEIVABLES</w:t>
      </w:r>
    </w:p>
    <w:p>
      <w:pPr>
        <w:spacing w:after="0" w:line="231"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Trade receivables are recognized when the risk of loss and title pass to the customer consistent with the Revenue Recognition policy. We provide for an allowance for doubtful accounts based on our historical experience and a periodic review of our accounts receivable, including a review of the overall aging of accounts and analysis of specific accounts. A customer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NCOME TAXES</w:t>
      </w:r>
    </w:p>
    <w:p>
      <w:pPr>
        <w:spacing w:after="0" w:line="231" w:lineRule="exact"/>
        <w:rPr>
          <w:sz w:val="20"/>
          <w:szCs w:val="20"/>
          <w:color w:val="auto"/>
        </w:rPr>
      </w:pPr>
    </w:p>
    <w:p>
      <w:pPr>
        <w:jc w:val="both"/>
        <w:ind w:firstLine="296"/>
        <w:spacing w:after="0" w:line="256"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97"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8"/>
          <w:szCs w:val="18"/>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such as with the repatriation of earnings and profits under the American Jobs Creation Act described in Note 5 of the Notes to the Consolidated Financial Statements, a corresponding expense is accrued in the current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URRENCIES</w:t>
      </w:r>
    </w:p>
    <w:p>
      <w:pPr>
        <w:spacing w:after="0" w:line="231" w:lineRule="exact"/>
        <w:rPr>
          <w:sz w:val="20"/>
          <w:szCs w:val="20"/>
          <w:color w:val="auto"/>
        </w:rPr>
      </w:pPr>
    </w:p>
    <w:p>
      <w:pPr>
        <w:jc w:val="both"/>
        <w:ind w:firstLine="317"/>
        <w:spacing w:after="0" w:line="259"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QUIVALENTS AND</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NVESTMENTS IN</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ECURITIES</w:t>
      </w:r>
    </w:p>
    <w:p>
      <w:pPr>
        <w:spacing w:after="0" w:line="231" w:lineRule="exact"/>
        <w:rPr>
          <w:sz w:val="20"/>
          <w:szCs w:val="20"/>
          <w:color w:val="auto"/>
        </w:rPr>
      </w:pPr>
    </w:p>
    <w:p>
      <w:pPr>
        <w:jc w:val="both"/>
        <w:ind w:firstLine="301"/>
        <w:spacing w:after="0" w:line="298" w:lineRule="auto"/>
        <w:rPr>
          <w:sz w:val="20"/>
          <w:szCs w:val="20"/>
          <w:color w:val="auto"/>
        </w:rPr>
      </w:pPr>
      <w:r>
        <w:rPr>
          <w:rFonts w:ascii="Arial" w:cs="Arial" w:eastAsia="Arial" w:hAnsi="Arial"/>
          <w:sz w:val="16"/>
          <w:szCs w:val="16"/>
          <w:color w:val="auto"/>
        </w:rPr>
        <w:t>Cash equivalents are highly liquid investments with maturities of three months or less when purchased. Investments in treasury securities are carried at cost, plus accrued interest, which approximates market. We occasionally purchase as investments certain debt securities of highly rated United States corporations. These securities are reported as current or long-term depending on the maturity of the instrument. We classify these investments as held-to-maturity and measure them on an amortized cost basis because we have both the intention and the ability to hold these investments to maturity.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NVENTORIES</w:t>
      </w:r>
    </w:p>
    <w:p>
      <w:pPr>
        <w:sectPr>
          <w:pgSz w:w="11900" w:h="16838" w:orient="portrait"/>
          <w:cols w:equalWidth="0" w:num="1">
            <w:col w:w="11420"/>
          </w:cols>
          <w:pgMar w:left="240" w:top="125" w:right="239" w:bottom="154" w:gutter="0" w:footer="0" w:header="0"/>
        </w:sectPr>
      </w:pPr>
    </w:p>
    <w:bookmarkStart w:id="27" w:name="page28"/>
    <w:bookmarkEnd w:id="27"/>
    <w:p>
      <w:pPr>
        <w:jc w:val="both"/>
        <w:ind w:firstLine="413"/>
        <w:spacing w:after="0" w:line="332" w:lineRule="auto"/>
        <w:rPr>
          <w:sz w:val="20"/>
          <w:szCs w:val="20"/>
          <w:color w:val="auto"/>
        </w:rPr>
      </w:pPr>
      <w:r>
        <w:rPr>
          <w:rFonts w:ascii="Arial" w:cs="Arial" w:eastAsia="Arial" w:hAnsi="Arial"/>
          <w:sz w:val="16"/>
          <w:szCs w:val="16"/>
          <w:color w:val="auto"/>
        </w:rPr>
        <w:t>Inventories are valued at the lower of cost (first-in, first-out) or market. We recorded inventory obsolescence reserves of approximately $307,000 and $301,000 or the fiscal years ended July 31, 2006 and 2005, respectively. The composition of inventories as of July 31, 2006 and 2005 are as follows: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3"/>
              </w:rPr>
              <w:t>2005</w:t>
            </w:r>
          </w:p>
        </w:tc>
      </w:tr>
      <w:tr>
        <w:trPr>
          <w:trHeight w:val="236"/>
        </w:trPr>
        <w:tc>
          <w:tcPr>
            <w:tcW w:w="32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0"/>
                <w:szCs w:val="20"/>
                <w:color w:val="auto"/>
              </w:rPr>
            </w:pPr>
          </w:p>
        </w:tc>
      </w:tr>
      <w:tr>
        <w:trPr>
          <w:trHeight w:val="250"/>
        </w:trPr>
        <w:tc>
          <w:tcPr>
            <w:tcW w:w="3200" w:type="dxa"/>
            <w:vAlign w:val="bottom"/>
            <w:shd w:val="clear" w:color="auto" w:fill="C0C0C0"/>
          </w:tcPr>
          <w:p>
            <w:pPr>
              <w:spacing w:after="0"/>
              <w:rPr>
                <w:sz w:val="20"/>
                <w:szCs w:val="20"/>
                <w:color w:val="auto"/>
              </w:rPr>
            </w:pPr>
            <w:r>
              <w:rPr>
                <w:rFonts w:ascii="Arial" w:cs="Arial" w:eastAsia="Arial" w:hAnsi="Arial"/>
                <w:sz w:val="18"/>
                <w:szCs w:val="18"/>
                <w:color w:val="auto"/>
              </w:rPr>
              <w:t>Finished goods</w:t>
            </w:r>
          </w:p>
        </w:tc>
        <w:tc>
          <w:tcPr>
            <w:tcW w:w="5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8,408</w:t>
            </w:r>
          </w:p>
        </w:tc>
        <w:tc>
          <w:tcPr>
            <w:tcW w:w="5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7,257</w:t>
            </w:r>
          </w:p>
        </w:tc>
      </w:tr>
      <w:tr>
        <w:trPr>
          <w:trHeight w:val="242"/>
        </w:trPr>
        <w:tc>
          <w:tcPr>
            <w:tcW w:w="3200" w:type="dxa"/>
            <w:vAlign w:val="bottom"/>
          </w:tcPr>
          <w:p>
            <w:pPr>
              <w:spacing w:after="0"/>
              <w:rPr>
                <w:sz w:val="20"/>
                <w:szCs w:val="20"/>
                <w:color w:val="auto"/>
              </w:rPr>
            </w:pPr>
            <w:r>
              <w:rPr>
                <w:rFonts w:ascii="Arial" w:cs="Arial" w:eastAsia="Arial" w:hAnsi="Arial"/>
                <w:sz w:val="18"/>
                <w:szCs w:val="18"/>
                <w:color w:val="auto"/>
              </w:rPr>
              <w:t>Packaging</w:t>
            </w:r>
          </w:p>
        </w:tc>
        <w:tc>
          <w:tcPr>
            <w:tcW w:w="5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3,688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44"/>
        </w:trPr>
        <w:tc>
          <w:tcPr>
            <w:tcW w:w="3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552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3,601</w:t>
            </w:r>
          </w:p>
        </w:tc>
        <w:tc>
          <w:tcPr>
            <w:tcW w:w="16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2,119</w:t>
            </w:r>
          </w:p>
        </w:tc>
      </w:tr>
      <w:tr>
        <w:trPr>
          <w:trHeight w:val="257"/>
        </w:trPr>
        <w:tc>
          <w:tcPr>
            <w:tcW w:w="3200" w:type="dxa"/>
            <w:vAlign w:val="bottom"/>
          </w:tcPr>
          <w:p>
            <w:pPr>
              <w:spacing w:after="0"/>
              <w:rPr>
                <w:sz w:val="22"/>
                <w:szCs w:val="22"/>
                <w:color w:val="auto"/>
              </w:rPr>
            </w:pPr>
          </w:p>
        </w:tc>
        <w:tc>
          <w:tcPr>
            <w:tcW w:w="5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15,697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12,686</w:t>
            </w:r>
          </w:p>
        </w:tc>
      </w:tr>
      <w:tr>
        <w:trPr>
          <w:trHeight w:val="673"/>
        </w:trPr>
        <w:tc>
          <w:tcPr>
            <w:tcW w:w="3200" w:type="dxa"/>
            <w:vAlign w:val="bottom"/>
          </w:tcPr>
          <w:p>
            <w:pPr>
              <w:spacing w:after="0"/>
              <w:rPr>
                <w:sz w:val="24"/>
                <w:szCs w:val="24"/>
                <w:color w:val="auto"/>
              </w:rPr>
            </w:pPr>
          </w:p>
        </w:tc>
        <w:tc>
          <w:tcPr>
            <w:tcW w:w="5520" w:type="dxa"/>
            <w:vAlign w:val="bottom"/>
          </w:tcPr>
          <w:p>
            <w:pPr>
              <w:jc w:val="right"/>
              <w:ind w:right="3132"/>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REPAID</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31" w:lineRule="exact"/>
        <w:rPr>
          <w:sz w:val="20"/>
          <w:szCs w:val="20"/>
          <w:color w:val="auto"/>
        </w:rPr>
      </w:pPr>
    </w:p>
    <w:p>
      <w:pPr>
        <w:jc w:val="both"/>
        <w:ind w:firstLine="293"/>
        <w:spacing w:after="0" w:line="289" w:lineRule="auto"/>
        <w:rPr>
          <w:sz w:val="20"/>
          <w:szCs w:val="20"/>
          <w:color w:val="auto"/>
        </w:rPr>
      </w:pPr>
      <w:r>
        <w:rPr>
          <w:rFonts w:ascii="Arial" w:cs="Arial" w:eastAsia="Arial" w:hAnsi="Arial"/>
          <w:sz w:val="16"/>
          <w:szCs w:val="16"/>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 cost of the overburden removal is recorded in a prepaid expense account and, as the usable sorbent material is mined, the prepaid overburden removal expense is amortized over the estimated available material. We had $1,686,000 and $1,370,000 of prepaid overburden removal expense recorded on our Consolidated Balance Sheets as of July 31, 2006 and 2005, respectively. We amortized to current expense approximately $2,134,000 of previously recorded prepaid expense in fiscal 2006, $2,637,000 in fiscal 2005 and $2,895,000 in fiscal 2004. See the discussion in New Accounting Standards regarding EITF Issue No. 04-06, “Accounting for Stripping Costs in the Mining Industry”, which will change our reporting of post-production stripping costs beginning in the first quarter of fiscal year 2007.</w:t>
      </w:r>
    </w:p>
    <w:p>
      <w:pPr>
        <w:spacing w:after="0" w:line="172" w:lineRule="exact"/>
        <w:rPr>
          <w:sz w:val="20"/>
          <w:szCs w:val="20"/>
          <w:color w:val="auto"/>
        </w:rPr>
      </w:pPr>
    </w:p>
    <w:p>
      <w:pPr>
        <w:jc w:val="both"/>
        <w:ind w:firstLine="263"/>
        <w:spacing w:after="0" w:line="259" w:lineRule="auto"/>
        <w:rPr>
          <w:sz w:val="20"/>
          <w:szCs w:val="20"/>
          <w:color w:val="auto"/>
        </w:rPr>
      </w:pPr>
      <w:r>
        <w:rPr>
          <w:rFonts w:ascii="Arial" w:cs="Arial" w:eastAsia="Arial" w:hAnsi="Arial"/>
          <w:sz w:val="18"/>
          <w:szCs w:val="18"/>
          <w:color w:val="auto"/>
        </w:rPr>
        <w:t>We perform ongoing reclamation activities during the normal course of our overburden removal activities. As overburden is removed from a pit, it is hauled to a previously mined pit and used to refill the older site. This process allows us to continuously reclaim older pits and dispose of overburden simultaneously, therefore minimizing the liability for the reclamation function.</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 against future royalties due upon extraction of the mineral are also capitalized. All exploration related costs are expensed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ISK</w:t>
      </w:r>
    </w:p>
    <w:p>
      <w:pPr>
        <w:spacing w:after="0" w:line="231" w:lineRule="exact"/>
        <w:rPr>
          <w:sz w:val="20"/>
          <w:szCs w:val="20"/>
          <w:color w:val="auto"/>
        </w:rPr>
      </w:pPr>
    </w:p>
    <w:p>
      <w:pPr>
        <w:jc w:val="both"/>
        <w:ind w:firstLine="291"/>
        <w:spacing w:after="0" w:line="298" w:lineRule="auto"/>
        <w:rPr>
          <w:sz w:val="20"/>
          <w:szCs w:val="20"/>
          <w:color w:val="auto"/>
        </w:rPr>
      </w:pPr>
      <w:r>
        <w:rPr>
          <w:rFonts w:ascii="Arial" w:cs="Arial" w:eastAsia="Arial" w:hAnsi="Arial"/>
          <w:sz w:val="16"/>
          <w:szCs w:val="16"/>
          <w:color w:val="auto"/>
        </w:rPr>
        <w:t>Financial instruments, which potentially subject us to concentrations of credit risk, consist principally of cash investments and accounts receivable. We place our cash investments in government-backed instruments, both foreign and domestic, and with other quality institutions.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ROPERTY</w:t>
      </w:r>
      <w:r>
        <w:rPr>
          <w:rFonts w:ascii="Arial" w:cs="Arial" w:eastAsia="Arial" w:hAnsi="Arial"/>
          <w:sz w:val="18"/>
          <w:szCs w:val="18"/>
          <w:b w:val="1"/>
          <w:bCs w:val="1"/>
          <w:color w:val="auto"/>
        </w:rPr>
        <w:t>, P</w:t>
      </w:r>
      <w:r>
        <w:rPr>
          <w:rFonts w:ascii="Arial" w:cs="Arial" w:eastAsia="Arial" w:hAnsi="Arial"/>
          <w:sz w:val="13"/>
          <w:szCs w:val="13"/>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QUIPMENT</w:t>
      </w:r>
    </w:p>
    <w:p>
      <w:pPr>
        <w:spacing w:after="0" w:line="231" w:lineRule="exact"/>
        <w:rPr>
          <w:sz w:val="20"/>
          <w:szCs w:val="20"/>
          <w:color w:val="auto"/>
        </w:rPr>
      </w:pPr>
    </w:p>
    <w:p>
      <w:pPr>
        <w:jc w:val="both"/>
        <w:ind w:firstLine="307"/>
        <w:spacing w:after="0" w:line="259" w:lineRule="auto"/>
        <w:rPr>
          <w:sz w:val="20"/>
          <w:szCs w:val="20"/>
          <w:color w:val="auto"/>
        </w:rPr>
      </w:pPr>
      <w:r>
        <w:rPr>
          <w:rFonts w:ascii="Arial" w:cs="Arial" w:eastAsia="Arial" w:hAnsi="Arial"/>
          <w:sz w:val="18"/>
          <w:szCs w:val="18"/>
          <w:color w:val="auto"/>
        </w:rPr>
        <w:t>Property, plant and equipment expenditures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Years</w:t>
            </w: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Buildings and leasehold improvements</w:t>
            </w:r>
          </w:p>
        </w:tc>
        <w:tc>
          <w:tcPr>
            <w:tcW w:w="2240" w:type="dxa"/>
            <w:vAlign w:val="bottom"/>
            <w:gridSpan w:val="2"/>
            <w:shd w:val="clear" w:color="auto" w:fill="C0C0C0"/>
          </w:tcPr>
          <w:p>
            <w:pPr>
              <w:ind w:left="1860"/>
              <w:spacing w:after="0"/>
              <w:rPr>
                <w:sz w:val="20"/>
                <w:szCs w:val="20"/>
                <w:color w:val="auto"/>
              </w:rPr>
            </w:pPr>
            <w:r>
              <w:rPr>
                <w:rFonts w:ascii="Arial" w:cs="Arial" w:eastAsia="Arial" w:hAnsi="Arial"/>
                <w:sz w:val="18"/>
                <w:szCs w:val="18"/>
                <w:color w:val="auto"/>
                <w:w w:val="99"/>
              </w:rPr>
              <w:t>5-30</w:t>
            </w:r>
          </w:p>
        </w:tc>
      </w:tr>
      <w:tr>
        <w:trPr>
          <w:trHeight w:val="242"/>
        </w:trPr>
        <w:tc>
          <w:tcPr>
            <w:tcW w:w="4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w w:val="99"/>
              </w:rPr>
              <w:t>2-20</w:t>
            </w:r>
          </w:p>
        </w:tc>
      </w:tr>
      <w:tr>
        <w:trPr>
          <w:trHeight w:val="244"/>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Office furniture and equipment</w:t>
            </w:r>
          </w:p>
        </w:tc>
        <w:tc>
          <w:tcPr>
            <w:tcW w:w="2240" w:type="dxa"/>
            <w:vAlign w:val="bottom"/>
            <w:gridSpan w:val="2"/>
            <w:shd w:val="clear" w:color="auto" w:fill="C0C0C0"/>
          </w:tcPr>
          <w:p>
            <w:pPr>
              <w:ind w:left="1860"/>
              <w:spacing w:after="0"/>
              <w:rPr>
                <w:sz w:val="20"/>
                <w:szCs w:val="20"/>
                <w:color w:val="auto"/>
              </w:rPr>
            </w:pPr>
            <w:r>
              <w:rPr>
                <w:rFonts w:ascii="Arial" w:cs="Arial" w:eastAsia="Arial" w:hAnsi="Arial"/>
                <w:sz w:val="18"/>
                <w:szCs w:val="18"/>
                <w:color w:val="auto"/>
                <w:w w:val="99"/>
              </w:rPr>
              <w:t>2-10</w:t>
            </w: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Vehicles</w:t>
            </w:r>
          </w:p>
        </w:tc>
        <w:tc>
          <w:tcPr>
            <w:tcW w:w="2240" w:type="dxa"/>
            <w:vAlign w:val="bottom"/>
            <w:gridSpan w:val="2"/>
          </w:tcPr>
          <w:p>
            <w:pPr>
              <w:ind w:left="1860"/>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53" w:lineRule="exact"/>
        <w:rPr>
          <w:sz w:val="20"/>
          <w:szCs w:val="20"/>
          <w:color w:val="auto"/>
        </w:rPr>
      </w:pPr>
    </w:p>
    <w:p>
      <w:pPr>
        <w:jc w:val="both"/>
        <w:ind w:firstLine="350"/>
        <w:spacing w:after="0" w:line="259" w:lineRule="auto"/>
        <w:rPr>
          <w:sz w:val="20"/>
          <w:szCs w:val="20"/>
          <w:color w:val="auto"/>
        </w:rPr>
      </w:pPr>
      <w:r>
        <w:rPr>
          <w:rFonts w:ascii="Arial" w:cs="Arial" w:eastAsia="Arial" w:hAnsi="Arial"/>
          <w:sz w:val="18"/>
          <w:szCs w:val="18"/>
          <w:color w:val="auto"/>
        </w:rPr>
        <w:t>Property, plant and equipment are reviewed periodically for possible impairment on an annual basis. We review for idle and underutilized equipment and review business plans for possible impairment. When impairment is indicated, an impairment charge is recorded for the difference between the carrying value of the asset and its fair market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3"/>
          <w:szCs w:val="13"/>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31" w:lineRule="exact"/>
        <w:rPr>
          <w:sz w:val="20"/>
          <w:szCs w:val="20"/>
          <w:color w:val="auto"/>
        </w:rPr>
      </w:pPr>
    </w:p>
    <w:p>
      <w:pPr>
        <w:jc w:val="both"/>
        <w:ind w:firstLine="317"/>
        <w:spacing w:after="0" w:line="268" w:lineRule="auto"/>
        <w:rPr>
          <w:sz w:val="20"/>
          <w:szCs w:val="20"/>
          <w:color w:val="auto"/>
        </w:rPr>
      </w:pPr>
      <w:r>
        <w:rPr>
          <w:rFonts w:ascii="Arial" w:cs="Arial" w:eastAsia="Arial" w:hAnsi="Arial"/>
          <w:sz w:val="18"/>
          <w:szCs w:val="18"/>
          <w:color w:val="auto"/>
        </w:rPr>
        <w:t>Shipping and handling costs are included in cost of sales and were $33,011,000, $30,192,000 and $28,732,000 for the years ended July 31, 2006, 2005 and 2004,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EVELOPMENT</w:t>
      </w:r>
    </w:p>
    <w:p>
      <w:pPr>
        <w:spacing w:after="0" w:line="231" w:lineRule="exact"/>
        <w:rPr>
          <w:sz w:val="20"/>
          <w:szCs w:val="20"/>
          <w:color w:val="auto"/>
        </w:rPr>
      </w:pPr>
    </w:p>
    <w:p>
      <w:pPr>
        <w:jc w:val="both"/>
        <w:ind w:firstLine="289"/>
        <w:spacing w:after="0" w:line="268" w:lineRule="auto"/>
        <w:rPr>
          <w:sz w:val="20"/>
          <w:szCs w:val="20"/>
          <w:color w:val="auto"/>
        </w:rPr>
      </w:pPr>
      <w:r>
        <w:rPr>
          <w:rFonts w:ascii="Arial" w:cs="Arial" w:eastAsia="Arial" w:hAnsi="Arial"/>
          <w:sz w:val="18"/>
          <w:szCs w:val="18"/>
          <w:color w:val="auto"/>
        </w:rPr>
        <w:t>Research and development costs of $1,808,000, $2,429,000 and $2,459,000 were charged to expense as incurred for the years ended July 31, 2006, 2005 and 2004, respectively.</w:t>
      </w:r>
    </w:p>
    <w:p>
      <w:pPr>
        <w:sectPr>
          <w:pgSz w:w="11900" w:h="16838" w:orient="portrait"/>
          <w:cols w:equalWidth="0" w:num="1">
            <w:col w:w="11420"/>
          </w:cols>
          <w:pgMar w:left="240" w:top="131" w:right="239" w:bottom="0" w:gutter="0" w:footer="0" w:header="0"/>
        </w:sectPr>
      </w:pPr>
    </w:p>
    <w:bookmarkStart w:id="28" w:name="page29"/>
    <w:bookmarkEnd w:id="28"/>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NTANGIBLES AND</w:t>
      </w:r>
      <w:r>
        <w:rPr>
          <w:rFonts w:ascii="Arial" w:cs="Arial" w:eastAsia="Arial" w:hAnsi="Arial"/>
          <w:sz w:val="18"/>
          <w:szCs w:val="18"/>
          <w:b w:val="1"/>
          <w:bCs w:val="1"/>
          <w:color w:val="auto"/>
        </w:rPr>
        <w:t xml:space="preserve"> G</w:t>
      </w:r>
      <w:r>
        <w:rPr>
          <w:rFonts w:ascii="Arial" w:cs="Arial" w:eastAsia="Arial" w:hAnsi="Arial"/>
          <w:sz w:val="13"/>
          <w:szCs w:val="13"/>
          <w:b w:val="1"/>
          <w:bCs w:val="1"/>
          <w:color w:val="auto"/>
        </w:rPr>
        <w:t>OODWILL</w:t>
      </w:r>
    </w:p>
    <w:p>
      <w:pPr>
        <w:spacing w:after="0" w:line="231" w:lineRule="exact"/>
        <w:rPr>
          <w:sz w:val="20"/>
          <w:szCs w:val="20"/>
          <w:color w:val="auto"/>
        </w:rPr>
      </w:pPr>
    </w:p>
    <w:p>
      <w:pPr>
        <w:jc w:val="both"/>
        <w:ind w:firstLine="292"/>
        <w:spacing w:after="0" w:line="291" w:lineRule="auto"/>
        <w:rPr>
          <w:sz w:val="20"/>
          <w:szCs w:val="20"/>
          <w:color w:val="auto"/>
        </w:rPr>
      </w:pPr>
      <w:r>
        <w:rPr>
          <w:rFonts w:ascii="Arial" w:cs="Arial" w:eastAsia="Arial" w:hAnsi="Arial"/>
          <w:sz w:val="16"/>
          <w:szCs w:val="16"/>
          <w:color w:val="auto"/>
        </w:rPr>
        <w:t>Intangibles are amortized on a straight-line basis over periods ranging from seven to twenty years. We periodically review intangibles and goodwill to assess recoverability from projected discounted cash flows of the related operating entities. Our review is based on a discounted cash flow approach that requires significant judgment with respect to volume, revenue, expense growth rates and the selection of an appropriate discount rate. Impairment occurs when the carrying value exceeds the fair value. Our impairment analysis is performed in the first quarter of the fiscal year and we use judgment in assessing whether assets may have become impaired between annual valuations. Indicators such as unexpected adverse economic factors, unanticipated technological changes, competitive activities and acts by governments and courts may indicate that an asset has become impaired.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3"/>
          <w:szCs w:val="13"/>
          <w:b w:val="1"/>
          <w:bCs w:val="1"/>
          <w:color w:val="auto"/>
        </w:rPr>
        <w:t>DVERTISING</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OSTS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defer recognition of advertising production costs until the first time the advertising takes place; other advertising costs are expensed as incurred.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$1,273,000, $1,429,000 and $2,852,000 for the years ended July 31, 2006, 2005 and 2004,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3"/>
          <w:szCs w:val="13"/>
          <w:b w:val="1"/>
          <w:bCs w:val="1"/>
          <w:color w:val="auto"/>
        </w:rPr>
        <w:t>ECLAMATION</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BLIGATIONS</w:t>
      </w:r>
    </w:p>
    <w:p>
      <w:pPr>
        <w:spacing w:after="0" w:line="231" w:lineRule="exact"/>
        <w:rPr>
          <w:sz w:val="20"/>
          <w:szCs w:val="20"/>
          <w:color w:val="auto"/>
        </w:rPr>
      </w:pPr>
    </w:p>
    <w:p>
      <w:pPr>
        <w:jc w:val="both"/>
        <w:ind w:firstLine="307"/>
        <w:spacing w:after="0" w:line="291" w:lineRule="auto"/>
        <w:rPr>
          <w:sz w:val="20"/>
          <w:szCs w:val="20"/>
          <w:color w:val="auto"/>
        </w:rPr>
      </w:pPr>
      <w:r>
        <w:rPr>
          <w:rFonts w:ascii="Arial" w:cs="Arial" w:eastAsia="Arial" w:hAnsi="Arial"/>
          <w:sz w:val="16"/>
          <w:szCs w:val="16"/>
          <w:color w:val="auto"/>
        </w:rPr>
        <w:t>We evaluated our potential reclamation liability at the end of fiscal 2006 in accordance with SFAS No. 143, “Accounting for Asset Retirement Obligations” and with FASB Interpretation No. 47 (as amended), “Accounting for Conditional Asset Retirement Obligations”. We recorded estimated reclamation assets of approximately $263,000 and corresponding reclamation liabilities in the same amount at the end of fiscal 2004. The value represents the discounted present value of the estimated future mining reclamation costs at the production plants. The assets will be depreciated over the estimated useful lives of the various mines. The liabilities will be increased based on a yearly accretion charge, once again over the estimated useful lives of the mines. We re-examined the assumptions used to establish the fiscal 2004 reclamation liability and determined them to be satisfactory for fiscal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3"/>
          <w:szCs w:val="13"/>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3"/>
          <w:szCs w:val="13"/>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NSTRUMENTS</w:t>
      </w:r>
    </w:p>
    <w:p>
      <w:pPr>
        <w:spacing w:after="0" w:line="231"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investment securities and notes payable. These instruments, except for notes payable, were carried at amounts approximating fair value as of July 31, 2006 and 2005. The fair value of notes payable was estimated based on future cash flows discounted at current interest rates available to us for debt with similar maturities and characteristics. The fair value of notes payable as of July 31, 2006 was less than its carrying value by approximately $306,000 and greater than its carrying value by approximately $438,000 as of July 31,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p>
    <w:p>
      <w:pPr>
        <w:spacing w:after="0" w:line="23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6"/>
          <w:szCs w:val="16"/>
          <w:color w:val="auto"/>
        </w:rPr>
        <w:t>In fiscal year 2006, we began accounting for stock based compensation in accordance with FAS No. 123 (revised 2004), Share-Based Payment (“FAS 123-R”). FAS 123-R requires the determination of the fair value of stock based compensation at the grant date and the recognition of the related compensation expense over the appropriate vesting period. Under FAS 123-R, we now recognize expense for stock options and restricted stock issued under our long term incentive plans. We adopted FAS 123-R using a modified prospective application. Accordingly, prior period amounts have not been restated.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4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Prior to adoption of FAS 123-R, we applied Accounting Principles Board Opinion (“APB”) No. 25, Accounting for Stock Issued to Employees (“APB 25”) to account for our stock-based awards. Under APB 25, all options had exercise prices equal to the market value on the day of issue. Accordingly, we did not record any compensation expense associated with the issuance of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PLIT</w:t>
      </w:r>
      <w:r>
        <w:rPr>
          <w:rFonts w:ascii="Arial" w:cs="Arial" w:eastAsia="Arial" w:hAnsi="Arial"/>
          <w:sz w:val="18"/>
          <w:szCs w:val="18"/>
          <w:b w:val="1"/>
          <w:bCs w:val="1"/>
          <w:color w:val="auto"/>
        </w:rPr>
        <w:t xml:space="preserve"> E</w:t>
      </w:r>
      <w:r>
        <w:rPr>
          <w:rFonts w:ascii="Arial" w:cs="Arial" w:eastAsia="Arial" w:hAnsi="Arial"/>
          <w:sz w:val="13"/>
          <w:szCs w:val="13"/>
          <w:b w:val="1"/>
          <w:bCs w:val="1"/>
          <w:color w:val="auto"/>
        </w:rPr>
        <w:t>FFECTED BY A</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IVIDEND</w:t>
      </w:r>
    </w:p>
    <w:p>
      <w:pPr>
        <w:spacing w:after="0" w:line="258"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If a stock split is effected after the close of the fiscal year, but before the release of the financial statements, generally accepted accounting principles require per share data to be based on the new number shares. In addition, if the par value of the underlying stock is not reduced for a stock dividend, a credit to the common stock account and a charge to paid-in-capital are necessary to adjust the aggregate par value. Our Board announced the stock dividend on June 6, 2006. The stock dividend was paid on September 8, 2006 to shareholders of record at the close of business on August 4, 2006. Accordingly, shares outstanding, income (loss) per share and balance sheet values for all years presented have been restated to reflect the five-for-four stock split effected by a stock dividend of one-quarter share for each outstanding share of Common Stock and Class B Stock and the adjustment to aggregate par value has been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TANDARDS</w:t>
      </w:r>
    </w:p>
    <w:p>
      <w:pPr>
        <w:spacing w:after="0" w:line="258"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In September 2006, the FASB issued Statement of Financial Accounting Standards (“SFAS”) No. 158, “Employers’ Accounting for Defined Pension and Other Postretirement Plans”. This Statement requires recognition of the funded status of a single-employer defined benefit postretirement plan as an asset or liability in the statement of financial position. Funded status is determined as the difference between the fair value of plan assets and the benefit obligation. Changes in the funded status should be recognized in other comprehensive income. This recognition provision and the related disclosures are effective as of the end of the fiscal year ending after December 15, 2006. The Statement also requires the measurement of plan assets and benefit obligations as of the date of the fiscal year-end statement of financial position. This measurement provision is effective for fiscal years ending after December 15, 2008. We are currently reviewing this pronouncement, but we believe it could have a material impact on our financial statements.</w:t>
      </w:r>
    </w:p>
    <w:p>
      <w:pPr>
        <w:spacing w:after="0" w:line="199"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In September 2006, the FASB issued Statement of Financial Accounting Standards (“SFAS”) No. 157, “Fair Value Measurement”, effective for fiscal years beginning after November 15, 2007. This Statement defines fair value, establishes a framework for measuring fair value and expands disclosures about fair value measurements. This Statement does not require any new fair value measurements, but simplifies and codifies related guidance within generally accepted accounting principles (GAAP). This Statement applies under other accounting pronouncements that require or permit fair value measurements. We are currently reviewing this pronouncement, but we believe it will not have a material impact on our financial statements.</w:t>
      </w:r>
    </w:p>
    <w:p>
      <w:pPr>
        <w:spacing w:after="0" w:line="197"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In June 2006, the FASB issued Interpretation (“FIN”) No. 48, “Accounting for Uncertainty in Income Taxes”, effective for fiscal years beginning after December 15, 2006. This interpretation clarifies the accounting for uncertainty in income taxes in accordance with FASB Statement No. 109, “Accounting for Income Taxes”. The pronouncement provides a recognition threshold and measurement guidance for the financial statement recognition of a tax position taken or expected to be taken in a tax return. We are currently reviewing this pronouncement, but we believe it will not have a material impact on our financial statements.</w:t>
      </w:r>
    </w:p>
    <w:p>
      <w:pPr>
        <w:sectPr>
          <w:pgSz w:w="11900" w:h="16952" w:orient="portrait"/>
          <w:cols w:equalWidth="0" w:num="1">
            <w:col w:w="11420"/>
          </w:cols>
          <w:pgMar w:left="240" w:top="125" w:right="239" w:bottom="0" w:gutter="0" w:footer="0" w:header="0"/>
        </w:sectPr>
      </w:pPr>
    </w:p>
    <w:bookmarkStart w:id="29" w:name="page30"/>
    <w:bookmarkEnd w:id="29"/>
    <w:p>
      <w:pPr>
        <w:jc w:val="both"/>
        <w:ind w:firstLine="297"/>
        <w:spacing w:after="0" w:line="294" w:lineRule="auto"/>
        <w:rPr>
          <w:sz w:val="20"/>
          <w:szCs w:val="20"/>
          <w:color w:val="auto"/>
        </w:rPr>
      </w:pPr>
      <w:r>
        <w:rPr>
          <w:rFonts w:ascii="Arial" w:cs="Arial" w:eastAsia="Arial" w:hAnsi="Arial"/>
          <w:sz w:val="16"/>
          <w:szCs w:val="16"/>
          <w:color w:val="auto"/>
        </w:rPr>
        <w:t>In May 2005, the FASB issued Statement of Financial Accounting Standards (“SFAS”) No. 154, “Accounting Changes and Error Corrections,” effective for the first fiscal period in the fiscal year beginning after December 15, 2005. This statement replaces APB Opinion No. 20, “Accounting Changes” and FASB Statement No. 3, “Reporting Accounting Changes in Interim Financial Statements”. This statement applies to all voluntary changes in accounting principle and requires retrospective application to prior periods’ financial statements of changes in accounting principle, unless it is impracticable. We would only be impacted by this statement if it made a voluntary change in accounting principle after the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March 2005, the Financial Accounting Standards Board ratified the consensus reached in EITF Issue No. 04-06 (“EITF Issue 04-06”), “Accounting for Stripping Costs in the Mining Industry”. The consensus will be effective for the first fiscal period in the fiscal year beginning after December 15, 2005. The consensus on EITF Issue 04-06 calls for post-production stripping costs to be treated as a variable inventory production cost. As a result, such costs are subject to inventory costing procedures in the period they are incurred.</w:t>
      </w:r>
    </w:p>
    <w:p>
      <w:pPr>
        <w:spacing w:after="0" w:line="224"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Once EIFT Issue 04-06 becomes effective in the first quarter of fiscal 2007, we will be required to write off the amount of our prepaid overburden removal expense account at August 1, 2006 as a cumulative effect adjustment to our opening balance of retained earnings. Although the write-off adjusts the opening balance of retained earnings, it will also reduce our earnings per share in the first quarter of fiscal 2007. The value of the prepaid overburden removal expense account at July 31, 2006 was $1,686,000. Also, on an ongoing basis we expect not to defer and amortize the vast majority of our overburden removal expenses. Post-production overburden removal costs will be considered variable production expenses and will be included in cost of sales in the period they are incurred; however, in accordance with EITF Issue 04-06, we will continue to defer and amortize the pre-production overburden removal costs associated with opening a new mine. We expect these changes to result in increased earnings volatility on a quarterly, but not an annual, basis. The overburden removal expense recorded each fiscal year is not directly dependent on the tons of clay removed from the mining operation.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SPECIAL CHARGES, FEES AND CHANGES IN ACCOUNTING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3"/>
          <w:szCs w:val="13"/>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ONTRACTUAL</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HARGE</w:t>
      </w:r>
      <w:r>
        <w:rPr>
          <w:rFonts w:ascii="Arial" w:cs="Arial" w:eastAsia="Arial" w:hAnsi="Arial"/>
          <w:sz w:val="18"/>
          <w:szCs w:val="18"/>
          <w:b w:val="1"/>
          <w:bCs w:val="1"/>
          <w:color w:val="auto"/>
        </w:rPr>
        <w:t xml:space="preserve"> – P</w:t>
      </w:r>
      <w:r>
        <w:rPr>
          <w:rFonts w:ascii="Arial" w:cs="Arial" w:eastAsia="Arial" w:hAnsi="Arial"/>
          <w:sz w:val="13"/>
          <w:szCs w:val="13"/>
          <w:b w:val="1"/>
          <w:bCs w:val="1"/>
          <w:color w:val="auto"/>
        </w:rPr>
        <w:t>ATENT</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NFRINGEMENT</w:t>
      </w:r>
      <w:r>
        <w:rPr>
          <w:rFonts w:ascii="Arial" w:cs="Arial" w:eastAsia="Arial" w:hAnsi="Arial"/>
          <w:sz w:val="18"/>
          <w:szCs w:val="18"/>
          <w:b w:val="1"/>
          <w:bCs w:val="1"/>
          <w:color w:val="auto"/>
        </w:rPr>
        <w:t xml:space="preserve"> L</w:t>
      </w:r>
      <w:r>
        <w:rPr>
          <w:rFonts w:ascii="Arial" w:cs="Arial" w:eastAsia="Arial" w:hAnsi="Arial"/>
          <w:sz w:val="13"/>
          <w:szCs w:val="13"/>
          <w:b w:val="1"/>
          <w:bCs w:val="1"/>
          <w:color w:val="auto"/>
        </w:rPr>
        <w:t>AWSUIT</w:t>
      </w:r>
    </w:p>
    <w:p>
      <w:pPr>
        <w:spacing w:after="0" w:line="258"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 xml:space="preserve">We were named as a defendant in an action captioned </w:t>
      </w:r>
      <w:r>
        <w:rPr>
          <w:rFonts w:ascii="Arial" w:cs="Arial" w:eastAsia="Arial" w:hAnsi="Arial"/>
          <w:sz w:val="16"/>
          <w:szCs w:val="16"/>
          <w:u w:val="single" w:color="auto"/>
          <w:color w:val="auto"/>
        </w:rPr>
        <w:t>PSN Illinois LLC v. Oil-Dri Corporation of America</w:t>
      </w:r>
      <w:r>
        <w:rPr>
          <w:rFonts w:ascii="Arial" w:cs="Arial" w:eastAsia="Arial" w:hAnsi="Arial"/>
          <w:sz w:val="16"/>
          <w:szCs w:val="16"/>
          <w:color w:val="auto"/>
        </w:rPr>
        <w:t xml:space="preserve"> filed February 5, 2004 in the United States District Court for the Northern District of Illinois. The lawsuit alleged that most of our scoopable cat litter products infringed two patents owned by the plaintiff. The plaintiff was seeking monetary damages in an unspecified amount, treble damages if the alleged infringement was found to be willful, as well as injunctive relief. We settled the plaintiff’s claims on August 12, 2004. Under terms of the settlement, we paid the plaintiff $1,250,000 and the plaintiff granted us paid-up licenses of the two patents involved in the litigation as well as a third patent owned by the plaintiff. The $1,250,000 pre-tax charge was reflected as Other Contractual Income &amp; Charges on the Consolidated Statement of Operations for the fiscal year ended July 31, 2004.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3"/>
          <w:szCs w:val="13"/>
          <w:b w:val="1"/>
          <w:bCs w:val="1"/>
          <w:color w:val="auto"/>
        </w:rPr>
        <w:t>OSS ON</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MPAIRED</w:t>
      </w:r>
      <w:r>
        <w:rPr>
          <w:rFonts w:ascii="Arial" w:cs="Arial" w:eastAsia="Arial" w:hAnsi="Arial"/>
          <w:sz w:val="18"/>
          <w:szCs w:val="18"/>
          <w:b w:val="1"/>
          <w:bCs w:val="1"/>
          <w:color w:val="auto"/>
        </w:rPr>
        <w:t xml:space="preserve"> L</w:t>
      </w:r>
      <w:r>
        <w:rPr>
          <w:rFonts w:ascii="Arial" w:cs="Arial" w:eastAsia="Arial" w:hAnsi="Arial"/>
          <w:sz w:val="13"/>
          <w:szCs w:val="13"/>
          <w:b w:val="1"/>
          <w:bCs w:val="1"/>
          <w:color w:val="auto"/>
        </w:rPr>
        <w:t>ONG</w:t>
      </w:r>
      <w:r>
        <w:rPr>
          <w:rFonts w:ascii="Arial" w:cs="Arial" w:eastAsia="Arial" w:hAnsi="Arial"/>
          <w:sz w:val="18"/>
          <w:szCs w:val="18"/>
          <w:b w:val="1"/>
          <w:bCs w:val="1"/>
          <w:color w:val="auto"/>
        </w:rPr>
        <w:t>-L</w:t>
      </w:r>
      <w:r>
        <w:rPr>
          <w:rFonts w:ascii="Arial" w:cs="Arial" w:eastAsia="Arial" w:hAnsi="Arial"/>
          <w:sz w:val="13"/>
          <w:szCs w:val="13"/>
          <w:b w:val="1"/>
          <w:bCs w:val="1"/>
          <w:color w:val="auto"/>
        </w:rPr>
        <w:t>IVED</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SSETS</w:t>
      </w:r>
    </w:p>
    <w:p>
      <w:pPr>
        <w:spacing w:after="0" w:line="25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recorded a loss on impaired assets of $464,000 during the second quarter of fiscal 2004. This loss was related to the write-off of a scoopable “box” product line located at our Georgia facility plus the write-off of the remaining estimated held-for-sale value of a similar box line at one of our Mississippi facilities. The impairments were the result of our decision to change from boxed products to jug products. Both lines were previously used exclusively by the Retail and Wholesale Products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AIN ON</w:t>
      </w:r>
      <w:r>
        <w:rPr>
          <w:rFonts w:ascii="Arial" w:cs="Arial" w:eastAsia="Arial" w:hAnsi="Arial"/>
          <w:sz w:val="18"/>
          <w:szCs w:val="18"/>
          <w:b w:val="1"/>
          <w:bCs w:val="1"/>
          <w:color w:val="auto"/>
        </w:rPr>
        <w:t xml:space="preserve"> S</w:t>
      </w:r>
      <w:r>
        <w:rPr>
          <w:rFonts w:ascii="Arial" w:cs="Arial" w:eastAsia="Arial" w:hAnsi="Arial"/>
          <w:sz w:val="13"/>
          <w:szCs w:val="13"/>
          <w:b w:val="1"/>
          <w:bCs w:val="1"/>
          <w:color w:val="auto"/>
        </w:rPr>
        <w:t>ALE OF</w:t>
      </w:r>
      <w:r>
        <w:rPr>
          <w:rFonts w:ascii="Arial" w:cs="Arial" w:eastAsia="Arial" w:hAnsi="Arial"/>
          <w:sz w:val="18"/>
          <w:szCs w:val="18"/>
          <w:b w:val="1"/>
          <w:bCs w:val="1"/>
          <w:color w:val="auto"/>
        </w:rPr>
        <w:t xml:space="preserve"> L</w:t>
      </w:r>
      <w:r>
        <w:rPr>
          <w:rFonts w:ascii="Arial" w:cs="Arial" w:eastAsia="Arial" w:hAnsi="Arial"/>
          <w:sz w:val="13"/>
          <w:szCs w:val="13"/>
          <w:b w:val="1"/>
          <w:bCs w:val="1"/>
          <w:color w:val="auto"/>
        </w:rPr>
        <w:t>ONG</w:t>
      </w:r>
      <w:r>
        <w:rPr>
          <w:rFonts w:ascii="Arial" w:cs="Arial" w:eastAsia="Arial" w:hAnsi="Arial"/>
          <w:sz w:val="18"/>
          <w:szCs w:val="18"/>
          <w:b w:val="1"/>
          <w:bCs w:val="1"/>
          <w:color w:val="auto"/>
        </w:rPr>
        <w:t>-L</w:t>
      </w:r>
      <w:r>
        <w:rPr>
          <w:rFonts w:ascii="Arial" w:cs="Arial" w:eastAsia="Arial" w:hAnsi="Arial"/>
          <w:sz w:val="13"/>
          <w:szCs w:val="13"/>
          <w:b w:val="1"/>
          <w:bCs w:val="1"/>
          <w:color w:val="auto"/>
        </w:rPr>
        <w:t>IVED</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SSETS</w:t>
      </w:r>
    </w:p>
    <w:p>
      <w:pPr>
        <w:spacing w:after="0" w:line="258"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On September 16, 2005, in the first quarter of fiscal 2006, we recorded a $415,000 pre-tax gain from the sale of certain water rights in Nevada. These water rights were geographically located in an area that we were not actively planning to develop.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OPERATING SEGMENTS</w:t>
      </w:r>
    </w:p>
    <w:p>
      <w:pPr>
        <w:spacing w:after="0" w:line="249"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establishes standards for reporting information about operating segments. Under this standard, we have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spacing w:after="0" w:line="224"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Historically, we had divided our business by product lines; however, we recognized that due to the various products manufacturing interdependencies and marketing synergies, the most appropriate segmentation is generally based upon the type of end-customer. To support this new operating structure we reorganized the management of the product groups. The Vice President of the former Consumer Products Group was promoted to President of the Retail and Wholesale Products Group. The Business to Business Products Group is currently being managed directly by Daniel Jaffee, President and CEO.</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Management does not rely on any segment asset allocations and does not consider them meaningful because of the shared nature of our production facilities.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However we have estimated the segment asset allocations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July 31,</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237"/>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78"/>
              </w:rPr>
              <w:t>Assets</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37"/>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r>
      <w:tr>
        <w:trPr>
          <w:trHeight w:val="229"/>
        </w:trPr>
        <w:tc>
          <w:tcPr>
            <w:tcW w:w="4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Business to Business Products</w:t>
            </w:r>
          </w:p>
        </w:tc>
        <w:tc>
          <w:tcPr>
            <w:tcW w:w="26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36,358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31,376</w:t>
            </w: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31,801</w:t>
            </w: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Retail and Wholesale Products</w:t>
            </w:r>
          </w:p>
        </w:tc>
        <w:tc>
          <w:tcPr>
            <w:tcW w:w="260" w:type="dxa"/>
            <w:vAlign w:val="bottom"/>
          </w:tcPr>
          <w:p>
            <w:pPr>
              <w:spacing w:after="0"/>
              <w:rPr>
                <w:sz w:val="21"/>
                <w:szCs w:val="21"/>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59,836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57,393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66,207</w:t>
            </w:r>
          </w:p>
        </w:tc>
      </w:tr>
      <w:tr>
        <w:trPr>
          <w:trHeight w:val="257"/>
        </w:trPr>
        <w:tc>
          <w:tcPr>
            <w:tcW w:w="4500" w:type="dxa"/>
            <w:vAlign w:val="bottom"/>
          </w:tcPr>
          <w:p>
            <w:pPr>
              <w:spacing w:after="0"/>
              <w:rPr>
                <w:sz w:val="20"/>
                <w:szCs w:val="20"/>
                <w:color w:val="auto"/>
              </w:rPr>
            </w:pPr>
            <w:r>
              <w:rPr>
                <w:rFonts w:ascii="Arial" w:cs="Arial" w:eastAsia="Arial" w:hAnsi="Arial"/>
                <w:sz w:val="14"/>
                <w:szCs w:val="14"/>
                <w:color w:val="auto"/>
              </w:rPr>
              <w:t>Unallocated Assets</w:t>
            </w: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43,353</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34,802</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30,867</w:t>
            </w:r>
          </w:p>
        </w:tc>
      </w:tr>
    </w:tbl>
    <w:p>
      <w:pPr>
        <w:sectPr>
          <w:pgSz w:w="11900" w:h="16838" w:orient="portrait"/>
          <w:cols w:equalWidth="0" w:num="1">
            <w:col w:w="11420"/>
          </w:cols>
          <w:pgMar w:left="240" w:top="158" w:right="239" w:bottom="0" w:gutter="0" w:footer="0" w:header="0"/>
        </w:sectPr>
      </w:pPr>
    </w:p>
    <w:bookmarkStart w:id="30" w:name="page31"/>
    <w:bookmarkEnd w:id="30"/>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Business to Business Products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Retail and Wholesale Products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Sales/Operating Income</w:t>
      </w:r>
    </w:p>
    <w:p>
      <w:pPr>
        <w:ind w:left="2180"/>
        <w:spacing w:after="0" w:line="190" w:lineRule="auto"/>
        <w:rPr>
          <w:sz w:val="20"/>
          <w:szCs w:val="20"/>
          <w:color w:val="auto"/>
        </w:rPr>
      </w:pPr>
      <w:r>
        <w:rPr>
          <w:rFonts w:ascii="Arial" w:cs="Arial" w:eastAsia="Arial" w:hAnsi="Arial"/>
          <w:sz w:val="12"/>
          <w:szCs w:val="12"/>
          <w:color w:val="auto"/>
          <w:vertAlign w:val="superscript"/>
        </w:rPr>
        <w:t>1</w:t>
      </w:r>
    </w:p>
    <w:p>
      <w:pPr>
        <w:ind w:left="280"/>
        <w:spacing w:after="0"/>
        <w:rPr>
          <w:sz w:val="20"/>
          <w:szCs w:val="20"/>
          <w:color w:val="auto"/>
        </w:rPr>
      </w:pPr>
      <w:r>
        <w:rPr>
          <w:rFonts w:ascii="Arial" w:cs="Arial" w:eastAsia="Arial" w:hAnsi="Arial"/>
          <w:sz w:val="14"/>
          <w:szCs w:val="14"/>
          <w:color w:val="auto"/>
        </w:rPr>
        <w:t>Gain on Sale of Long-Lived Assets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Contractual Charge</w:t>
      </w:r>
      <w:r>
        <w:rPr>
          <w:rFonts w:ascii="Arial" w:cs="Arial" w:eastAsia="Arial" w:hAnsi="Arial"/>
          <w:sz w:val="27"/>
          <w:szCs w:val="27"/>
          <w:color w:val="auto"/>
          <w:vertAlign w:val="superscript"/>
        </w:rPr>
        <w:t>2</w:t>
      </w:r>
    </w:p>
    <w:p>
      <w:pPr>
        <w:ind w:left="280"/>
        <w:spacing w:after="0"/>
        <w:rPr>
          <w:sz w:val="20"/>
          <w:szCs w:val="20"/>
          <w:color w:val="auto"/>
        </w:rPr>
      </w:pPr>
      <w:r>
        <w:rPr>
          <w:rFonts w:ascii="Arial" w:cs="Arial" w:eastAsia="Arial" w:hAnsi="Arial"/>
          <w:sz w:val="13"/>
          <w:szCs w:val="13"/>
          <w:color w:val="auto"/>
        </w:rPr>
        <w:t>Loss on Impaired Long-Lived Assets</w:t>
      </w:r>
      <w:r>
        <w:rPr>
          <w:rFonts w:ascii="Arial" w:cs="Arial" w:eastAsia="Arial" w:hAnsi="Arial"/>
          <w:sz w:val="26"/>
          <w:szCs w:val="26"/>
          <w:color w:val="auto"/>
          <w:vertAlign w:val="superscript"/>
        </w:rPr>
        <w:t>3</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Corporate Expenses</w:t>
      </w:r>
    </w:p>
    <w:p>
      <w:pPr>
        <w:spacing w:after="0" w:line="84" w:lineRule="exact"/>
        <w:rPr>
          <w:sz w:val="20"/>
          <w:szCs w:val="20"/>
          <w:color w:val="auto"/>
        </w:rPr>
      </w:pPr>
    </w:p>
    <w:p>
      <w:pPr>
        <w:ind w:right="1300" w:firstLine="270"/>
        <w:spacing w:after="0" w:line="370" w:lineRule="auto"/>
        <w:rPr>
          <w:sz w:val="20"/>
          <w:szCs w:val="20"/>
          <w:color w:val="auto"/>
        </w:rPr>
      </w:pPr>
      <w:r>
        <w:rPr>
          <w:rFonts w:ascii="Arial" w:cs="Arial" w:eastAsia="Arial" w:hAnsi="Arial"/>
          <w:sz w:val="14"/>
          <w:szCs w:val="14"/>
          <w:color w:val="auto"/>
        </w:rPr>
        <w:t xml:space="preserve">Interest Expense, Net of Interest Income </w:t>
      </w:r>
      <w:r>
        <w:rPr>
          <w:rFonts w:ascii="Arial" w:cs="Arial" w:eastAsia="Arial" w:hAnsi="Arial"/>
          <w:sz w:val="14"/>
          <w:szCs w:val="14"/>
          <w:b w:val="1"/>
          <w:bCs w:val="1"/>
          <w:color w:val="auto"/>
        </w:rPr>
        <w:t>Income before Income Taxes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 Provision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  139,547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  123,571</w:t>
            </w:r>
          </w:p>
        </w:tc>
        <w:tc>
          <w:tcPr>
            <w:tcW w:w="1020" w:type="dxa"/>
            <w:vAlign w:val="bottom"/>
            <w:gridSpan w:val="3"/>
          </w:tcPr>
          <w:p>
            <w:pPr>
              <w:jc w:val="right"/>
              <w:ind w:right="52"/>
              <w:spacing w:after="0"/>
              <w:rPr>
                <w:sz w:val="20"/>
                <w:szCs w:val="20"/>
                <w:color w:val="auto"/>
              </w:rPr>
            </w:pPr>
            <w:r>
              <w:rPr>
                <w:rFonts w:ascii="Arial" w:cs="Arial" w:eastAsia="Arial" w:hAnsi="Arial"/>
                <w:sz w:val="14"/>
                <w:szCs w:val="14"/>
                <w:color w:val="auto"/>
              </w:rPr>
              <w:t>$  128,875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80"/>
        </w:trPr>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52"/>
              <w:spacing w:after="0"/>
              <w:rPr>
                <w:sz w:val="20"/>
                <w:szCs w:val="20"/>
                <w:color w:val="auto"/>
              </w:rPr>
            </w:pPr>
            <w:r>
              <w:rPr>
                <w:rFonts w:ascii="Arial" w:cs="Arial" w:eastAsia="Arial" w:hAnsi="Arial"/>
                <w:sz w:val="14"/>
                <w:szCs w:val="14"/>
                <w:b w:val="1"/>
                <w:bCs w:val="1"/>
                <w:color w:val="auto"/>
                <w:w w:val="87"/>
              </w:rPr>
              <w:t>Year Ended July 31</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Net Sales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Income</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860" w:type="dxa"/>
            <w:vAlign w:val="bottom"/>
            <w:gridSpan w:val="2"/>
          </w:tcPr>
          <w:p>
            <w:pPr>
              <w:jc w:val="right"/>
              <w:ind w:right="112"/>
              <w:spacing w:after="0"/>
              <w:rPr>
                <w:sz w:val="20"/>
                <w:szCs w:val="20"/>
                <w:color w:val="auto"/>
              </w:rPr>
            </w:pPr>
            <w:r>
              <w:rPr>
                <w:rFonts w:ascii="Arial" w:cs="Arial" w:eastAsia="Arial" w:hAnsi="Arial"/>
                <w:sz w:val="14"/>
                <w:szCs w:val="14"/>
                <w:color w:val="auto"/>
              </w:rPr>
              <w:t>2005</w:t>
            </w:r>
          </w:p>
        </w:tc>
        <w:tc>
          <w:tcPr>
            <w:tcW w:w="880" w:type="dxa"/>
            <w:vAlign w:val="bottom"/>
            <w:gridSpan w:val="2"/>
          </w:tcPr>
          <w:p>
            <w:pPr>
              <w:jc w:val="right"/>
              <w:ind w:right="132"/>
              <w:spacing w:after="0"/>
              <w:rPr>
                <w:sz w:val="20"/>
                <w:szCs w:val="20"/>
                <w:color w:val="auto"/>
              </w:rPr>
            </w:pPr>
            <w:r>
              <w:rPr>
                <w:rFonts w:ascii="Arial" w:cs="Arial" w:eastAsia="Arial" w:hAnsi="Arial"/>
                <w:sz w:val="14"/>
                <w:szCs w:val="14"/>
                <w:color w:val="auto"/>
              </w:rPr>
              <w:t>2004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2006</w:t>
            </w:r>
          </w:p>
        </w:tc>
        <w:tc>
          <w:tcPr>
            <w:tcW w:w="700" w:type="dxa"/>
            <w:vAlign w:val="bottom"/>
            <w:gridSpan w:val="2"/>
          </w:tcPr>
          <w:p>
            <w:pPr>
              <w:jc w:val="right"/>
              <w:ind w:right="32"/>
              <w:spacing w:after="0"/>
              <w:rPr>
                <w:sz w:val="20"/>
                <w:szCs w:val="20"/>
                <w:color w:val="auto"/>
              </w:rPr>
            </w:pPr>
            <w:r>
              <w:rPr>
                <w:rFonts w:ascii="Arial" w:cs="Arial" w:eastAsia="Arial" w:hAnsi="Arial"/>
                <w:sz w:val="14"/>
                <w:szCs w:val="14"/>
                <w:color w:val="auto"/>
              </w:rPr>
              <w:t>2005</w:t>
            </w:r>
          </w:p>
        </w:tc>
        <w:tc>
          <w:tcPr>
            <w:tcW w:w="680" w:type="dxa"/>
            <w:vAlign w:val="bottom"/>
            <w:gridSpan w:val="2"/>
          </w:tcPr>
          <w:p>
            <w:pPr>
              <w:jc w:val="right"/>
              <w:ind w:right="32"/>
              <w:spacing w:after="0"/>
              <w:rPr>
                <w:sz w:val="20"/>
                <w:szCs w:val="20"/>
                <w:color w:val="auto"/>
              </w:rPr>
            </w:pPr>
            <w:r>
              <w:rPr>
                <w:rFonts w:ascii="Arial" w:cs="Arial" w:eastAsia="Arial" w:hAnsi="Arial"/>
                <w:sz w:val="14"/>
                <w:szCs w:val="14"/>
                <w:color w:val="auto"/>
              </w:rPr>
              <w:t>2004</w:t>
            </w:r>
          </w:p>
        </w:tc>
      </w:tr>
      <w:tr>
        <w:trPr>
          <w:trHeight w:val="229"/>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center"/>
              <w:ind w:left="32"/>
              <w:spacing w:after="0"/>
              <w:rPr>
                <w:sz w:val="20"/>
                <w:szCs w:val="20"/>
                <w:color w:val="auto"/>
              </w:rPr>
            </w:pPr>
            <w:r>
              <w:rPr>
                <w:rFonts w:ascii="Arial" w:cs="Arial" w:eastAsia="Arial" w:hAnsi="Arial"/>
                <w:sz w:val="14"/>
                <w:szCs w:val="14"/>
                <w:b w:val="1"/>
                <w:bCs w:val="1"/>
                <w:color w:val="auto"/>
                <w:w w:val="84"/>
              </w:rPr>
              <w:t>(in thousands)</w:t>
            </w: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3"/>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70,349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62,798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62,040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9"/>
              </w:rPr>
              <w:t>14,181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13,340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14,366</w:t>
            </w:r>
          </w:p>
        </w:tc>
      </w:tr>
      <w:tr>
        <w:trPr>
          <w:trHeight w:val="251"/>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134,861</w:t>
            </w:r>
          </w:p>
        </w:tc>
        <w:tc>
          <w:tcPr>
            <w:tcW w:w="16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125,070</w:t>
            </w:r>
          </w:p>
        </w:tc>
        <w:tc>
          <w:tcPr>
            <w:tcW w:w="18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123,471</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8,486</w:t>
            </w:r>
          </w:p>
        </w:tc>
        <w:tc>
          <w:tcPr>
            <w:tcW w:w="1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11,547</w:t>
            </w:r>
          </w:p>
        </w:tc>
        <w:tc>
          <w:tcPr>
            <w:tcW w:w="16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11,864</w:t>
            </w:r>
          </w:p>
        </w:tc>
      </w:tr>
      <w:tr>
        <w:trPr>
          <w:trHeight w:val="243"/>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$ 205,210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$ 187,868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$ 185,511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9"/>
              </w:rPr>
              <w:t>22,667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24,887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26,230</w:t>
            </w:r>
          </w:p>
        </w:tc>
      </w:tr>
      <w:tr>
        <w:trPr>
          <w:trHeight w:val="237"/>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415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500"/>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1,250</w:t>
            </w:r>
          </w:p>
        </w:tc>
      </w:tr>
      <w:tr>
        <w:trPr>
          <w:trHeight w:val="257"/>
        </w:trPr>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464</w:t>
            </w:r>
          </w:p>
        </w:tc>
      </w:tr>
      <w:tr>
        <w:trPr>
          <w:trHeight w:val="243"/>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9"/>
              </w:rPr>
              <w:t>14,037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14,660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15,727</w:t>
            </w:r>
          </w:p>
        </w:tc>
      </w:tr>
      <w:tr>
        <w:trPr>
          <w:trHeight w:val="251"/>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1,149</w:t>
            </w:r>
          </w:p>
        </w:tc>
        <w:tc>
          <w:tcPr>
            <w:tcW w:w="1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16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w:t>
            </w:r>
          </w:p>
        </w:tc>
      </w:tr>
      <w:tr>
        <w:trPr>
          <w:trHeight w:val="229"/>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7,896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8,932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6,931</w:t>
            </w:r>
          </w:p>
        </w:tc>
      </w:tr>
      <w:tr>
        <w:trPr>
          <w:trHeight w:val="251"/>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2,637</w:t>
            </w:r>
          </w:p>
        </w:tc>
        <w:tc>
          <w:tcPr>
            <w:tcW w:w="1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2,392</w:t>
            </w:r>
          </w:p>
        </w:tc>
        <w:tc>
          <w:tcPr>
            <w:tcW w:w="160" w:type="dxa"/>
            <w:vAlign w:val="bottom"/>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w:t>
            </w:r>
          </w:p>
        </w:tc>
      </w:tr>
      <w:tr>
        <w:trPr>
          <w:trHeight w:val="236"/>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5,259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6,540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5,033</w:t>
            </w:r>
          </w:p>
        </w:tc>
      </w:tr>
      <w:tr>
        <w:trPr>
          <w:trHeight w:val="48"/>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shd w:val="clear" w:color="auto" w:fill="000000"/>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shd w:val="clear" w:color="auto" w:fill="000000"/>
          </w:tcPr>
          <w:p>
            <w:pPr>
              <w:spacing w:after="0"/>
              <w:rPr>
                <w:sz w:val="4"/>
                <w:szCs w:val="4"/>
                <w:color w:val="auto"/>
              </w:rPr>
            </w:pPr>
          </w:p>
        </w:tc>
      </w:tr>
    </w:tbl>
    <w:p>
      <w:pPr>
        <w:spacing w:after="0" w:line="200" w:lineRule="exact"/>
        <w:rPr>
          <w:sz w:val="20"/>
          <w:szCs w:val="20"/>
          <w:color w:val="auto"/>
        </w:rPr>
      </w:pPr>
    </w:p>
    <w:p>
      <w:pPr>
        <w:sectPr>
          <w:pgSz w:w="11900" w:h="16853" w:orient="portrait"/>
          <w:cols w:equalWidth="0" w:num="2">
            <w:col w:w="3780" w:space="720"/>
            <w:col w:w="6920"/>
          </w:cols>
          <w:pgMar w:left="240" w:top="194" w:right="239" w:bottom="0" w:gutter="0" w:footer="0" w:header="0"/>
        </w:sectPr>
      </w:pPr>
    </w:p>
    <w:p>
      <w:pPr>
        <w:spacing w:after="0" w:line="226" w:lineRule="exact"/>
        <w:rPr>
          <w:sz w:val="20"/>
          <w:szCs w:val="20"/>
          <w:color w:val="auto"/>
        </w:rPr>
      </w:pPr>
    </w:p>
    <w:p>
      <w:pPr>
        <w:ind w:left="100" w:hanging="92"/>
        <w:spacing w:after="0"/>
        <w:tabs>
          <w:tab w:leader="none" w:pos="100" w:val="left"/>
        </w:tabs>
        <w:numPr>
          <w:ilvl w:val="0"/>
          <w:numId w:val="16"/>
        </w:numPr>
        <w:rPr>
          <w:rFonts w:ascii="Arial" w:cs="Arial" w:eastAsia="Arial" w:hAnsi="Arial"/>
          <w:sz w:val="24"/>
          <w:szCs w:val="24"/>
          <w:color w:val="auto"/>
          <w:vertAlign w:val="superscript"/>
        </w:rPr>
      </w:pPr>
      <w:r>
        <w:rPr>
          <w:rFonts w:ascii="Arial" w:cs="Arial" w:eastAsia="Arial" w:hAnsi="Arial"/>
          <w:sz w:val="12"/>
          <w:szCs w:val="12"/>
          <w:color w:val="auto"/>
        </w:rPr>
        <w:t>See Note 2 for a discussion of the gain on the sale of long-lived assets</w:t>
      </w:r>
    </w:p>
    <w:p>
      <w:pPr>
        <w:spacing w:after="0" w:line="69" w:lineRule="exact"/>
        <w:rPr>
          <w:rFonts w:ascii="Arial" w:cs="Arial" w:eastAsia="Arial" w:hAnsi="Arial"/>
          <w:sz w:val="24"/>
          <w:szCs w:val="24"/>
          <w:color w:val="auto"/>
          <w:vertAlign w:val="superscript"/>
        </w:rPr>
      </w:pPr>
    </w:p>
    <w:p>
      <w:pPr>
        <w:spacing w:after="0" w:line="184" w:lineRule="auto"/>
        <w:rPr>
          <w:rFonts w:ascii="Arial" w:cs="Arial" w:eastAsia="Arial" w:hAnsi="Arial"/>
          <w:sz w:val="24"/>
          <w:szCs w:val="24"/>
          <w:color w:val="auto"/>
          <w:vertAlign w:val="superscript"/>
        </w:rPr>
      </w:pPr>
      <w:r>
        <w:rPr>
          <w:rFonts w:ascii="Arial" w:cs="Arial" w:eastAsia="Arial" w:hAnsi="Arial"/>
          <w:sz w:val="26"/>
          <w:szCs w:val="26"/>
          <w:color w:val="auto"/>
          <w:vertAlign w:val="superscript"/>
        </w:rPr>
        <w:t>2</w:t>
      </w:r>
      <w:r>
        <w:rPr>
          <w:rFonts w:ascii="Arial" w:cs="Arial" w:eastAsia="Arial" w:hAnsi="Arial"/>
          <w:sz w:val="13"/>
          <w:szCs w:val="13"/>
          <w:color w:val="auto"/>
        </w:rPr>
        <w:t xml:space="preserve"> See Note 2 for a discussion of other contractual charge.</w:t>
      </w:r>
    </w:p>
    <w:p>
      <w:pPr>
        <w:spacing w:after="0" w:line="200" w:lineRule="auto"/>
        <w:rPr>
          <w:rFonts w:ascii="Arial" w:cs="Arial" w:eastAsia="Arial" w:hAnsi="Arial"/>
          <w:sz w:val="24"/>
          <w:szCs w:val="24"/>
          <w:color w:val="auto"/>
          <w:vertAlign w:val="superscript"/>
        </w:rPr>
      </w:pPr>
      <w:r>
        <w:rPr>
          <w:rFonts w:ascii="Arial" w:cs="Arial" w:eastAsia="Arial" w:hAnsi="Arial"/>
          <w:sz w:val="27"/>
          <w:szCs w:val="27"/>
          <w:color w:val="auto"/>
          <w:vertAlign w:val="superscript"/>
        </w:rPr>
        <w:t>3</w:t>
      </w:r>
      <w:r>
        <w:rPr>
          <w:rFonts w:ascii="Arial" w:cs="Arial" w:eastAsia="Arial" w:hAnsi="Arial"/>
          <w:sz w:val="14"/>
          <w:szCs w:val="14"/>
          <w:color w:val="auto"/>
        </w:rPr>
        <w:t xml:space="preserve"> See Note 2 for a discussion of the loss on impaired long-lived assets.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Pr>
          <w:p>
            <w:pPr>
              <w:spacing w:after="0"/>
              <w:rPr>
                <w:sz w:val="20"/>
                <w:szCs w:val="20"/>
                <w:color w:val="auto"/>
              </w:rPr>
            </w:pPr>
            <w:r>
              <w:rPr>
                <w:rFonts w:ascii="Arial" w:cs="Arial" w:eastAsia="Arial" w:hAnsi="Arial"/>
                <w:sz w:val="18"/>
                <w:szCs w:val="18"/>
                <w:b w:val="1"/>
                <w:bCs w:val="1"/>
                <w:color w:val="auto"/>
              </w:rPr>
              <w:t>NOTE 3 – OPERATING SEGMENTS (CONTINUED)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6"/>
        </w:trPr>
        <w:tc>
          <w:tcPr>
            <w:tcW w:w="8240" w:type="dxa"/>
            <w:vAlign w:val="bottom"/>
          </w:tcPr>
          <w:p>
            <w:pPr>
              <w:ind w:left="280"/>
              <w:spacing w:after="0"/>
              <w:rPr>
                <w:sz w:val="20"/>
                <w:szCs w:val="20"/>
                <w:color w:val="auto"/>
              </w:rPr>
            </w:pPr>
            <w:r>
              <w:rPr>
                <w:rFonts w:ascii="Arial" w:cs="Arial" w:eastAsia="Arial" w:hAnsi="Arial"/>
                <w:sz w:val="18"/>
                <w:szCs w:val="18"/>
                <w:color w:val="auto"/>
                <w:w w:val="98"/>
              </w:rPr>
              <w:t>The following is a summary of financial information by geographic region for the years ended July 31: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0"/>
        </w:trPr>
        <w:tc>
          <w:tcPr>
            <w:tcW w:w="8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2004</w:t>
            </w:r>
          </w:p>
        </w:tc>
      </w:tr>
      <w:tr>
        <w:trPr>
          <w:trHeight w:val="237"/>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4"/>
          </w:tcPr>
          <w:p>
            <w:pPr>
              <w:ind w:left="120"/>
              <w:spacing w:after="0"/>
              <w:rPr>
                <w:sz w:val="20"/>
                <w:szCs w:val="20"/>
                <w:color w:val="auto"/>
              </w:rPr>
            </w:pPr>
            <w:r>
              <w:rPr>
                <w:rFonts w:ascii="Arial" w:cs="Arial" w:eastAsia="Arial" w:hAnsi="Arial"/>
                <w:sz w:val="18"/>
                <w:szCs w:val="18"/>
                <w:b w:val="1"/>
                <w:bCs w:val="1"/>
                <w:color w:val="auto"/>
                <w:w w:val="91"/>
              </w:rPr>
              <w:t>(in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4"/>
        </w:trPr>
        <w:tc>
          <w:tcPr>
            <w:tcW w:w="8240" w:type="dxa"/>
            <w:vAlign w:val="bottom"/>
            <w:shd w:val="clear" w:color="auto" w:fill="C0C0C0"/>
          </w:tcPr>
          <w:p>
            <w:pPr>
              <w:spacing w:after="0"/>
              <w:rPr>
                <w:sz w:val="20"/>
                <w:szCs w:val="20"/>
                <w:color w:val="auto"/>
              </w:rPr>
            </w:pPr>
            <w:r>
              <w:rPr>
                <w:rFonts w:ascii="Arial" w:cs="Arial" w:eastAsia="Arial" w:hAnsi="Arial"/>
                <w:sz w:val="18"/>
                <w:szCs w:val="18"/>
                <w:color w:val="auto"/>
              </w:rPr>
              <w:t>Sales to unaffiliated customers:</w:t>
            </w: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42"/>
        </w:trPr>
        <w:tc>
          <w:tcPr>
            <w:tcW w:w="8240" w:type="dxa"/>
            <w:vAlign w:val="bottom"/>
          </w:tcPr>
          <w:p>
            <w:pPr>
              <w:ind w:left="280"/>
              <w:spacing w:after="0"/>
              <w:rPr>
                <w:sz w:val="20"/>
                <w:szCs w:val="20"/>
                <w:color w:val="auto"/>
              </w:rPr>
            </w:pPr>
            <w:r>
              <w:rPr>
                <w:rFonts w:ascii="Arial" w:cs="Arial" w:eastAsia="Arial" w:hAnsi="Arial"/>
                <w:sz w:val="18"/>
                <w:szCs w:val="18"/>
                <w:color w:val="auto"/>
              </w:rPr>
              <w:t>Domestic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188,823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w w:val="92"/>
              </w:rPr>
              <w:t>173,413</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89"/>
              </w:rPr>
              <w:t>172,114</w:t>
            </w:r>
          </w:p>
        </w:tc>
      </w:tr>
      <w:tr>
        <w:trPr>
          <w:trHeight w:val="244"/>
        </w:trPr>
        <w:tc>
          <w:tcPr>
            <w:tcW w:w="8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Foreign subsidiaries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16,387</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14,455</w:t>
            </w: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13,397</w:t>
            </w:r>
          </w:p>
        </w:tc>
      </w:tr>
      <w:tr>
        <w:trPr>
          <w:trHeight w:val="242"/>
        </w:trPr>
        <w:tc>
          <w:tcPr>
            <w:tcW w:w="8240" w:type="dxa"/>
            <w:vAlign w:val="bottom"/>
          </w:tcPr>
          <w:p>
            <w:pPr>
              <w:spacing w:after="0"/>
              <w:rPr>
                <w:sz w:val="20"/>
                <w:szCs w:val="20"/>
                <w:color w:val="auto"/>
              </w:rPr>
            </w:pPr>
            <w:r>
              <w:rPr>
                <w:rFonts w:ascii="Arial" w:cs="Arial" w:eastAsia="Arial" w:hAnsi="Arial"/>
                <w:sz w:val="18"/>
                <w:szCs w:val="18"/>
                <w:color w:val="auto"/>
              </w:rPr>
              <w:t>Sales or transfers between geographic areas: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4"/>
        </w:trPr>
        <w:tc>
          <w:tcPr>
            <w:tcW w:w="8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7,224</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5,956</w:t>
            </w: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6,035</w:t>
            </w:r>
          </w:p>
        </w:tc>
      </w:tr>
      <w:tr>
        <w:trPr>
          <w:trHeight w:val="242"/>
        </w:trPr>
        <w:tc>
          <w:tcPr>
            <w:tcW w:w="8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4"/>
        </w:trPr>
        <w:tc>
          <w:tcPr>
            <w:tcW w:w="8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7,478</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8,370</w:t>
            </w: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5,968</w:t>
            </w:r>
          </w:p>
        </w:tc>
      </w:tr>
      <w:tr>
        <w:trPr>
          <w:trHeight w:val="242"/>
        </w:trPr>
        <w:tc>
          <w:tcPr>
            <w:tcW w:w="8240" w:type="dxa"/>
            <w:vAlign w:val="bottom"/>
          </w:tcPr>
          <w:p>
            <w:pPr>
              <w:ind w:left="280"/>
              <w:spacing w:after="0"/>
              <w:rPr>
                <w:sz w:val="20"/>
                <w:szCs w:val="20"/>
                <w:color w:val="auto"/>
              </w:rPr>
            </w:pPr>
            <w:r>
              <w:rPr>
                <w:rFonts w:ascii="Arial" w:cs="Arial" w:eastAsia="Arial" w:hAnsi="Arial"/>
                <w:sz w:val="18"/>
                <w:szCs w:val="18"/>
                <w:color w:val="auto"/>
              </w:rPr>
              <w:t>Foreign subsidiaries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418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963</w:t>
            </w:r>
          </w:p>
        </w:tc>
      </w:tr>
      <w:tr>
        <w:trPr>
          <w:trHeight w:val="244"/>
        </w:trPr>
        <w:tc>
          <w:tcPr>
            <w:tcW w:w="82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42"/>
        </w:trPr>
        <w:tc>
          <w:tcPr>
            <w:tcW w:w="8240" w:type="dxa"/>
            <w:vAlign w:val="bottom"/>
          </w:tcPr>
          <w:p>
            <w:pPr>
              <w:ind w:left="280"/>
              <w:spacing w:after="0"/>
              <w:rPr>
                <w:sz w:val="20"/>
                <w:szCs w:val="20"/>
                <w:color w:val="auto"/>
              </w:rPr>
            </w:pPr>
            <w:r>
              <w:rPr>
                <w:rFonts w:ascii="Arial" w:cs="Arial" w:eastAsia="Arial" w:hAnsi="Arial"/>
                <w:sz w:val="18"/>
                <w:szCs w:val="18"/>
                <w:color w:val="auto"/>
              </w:rPr>
              <w:t>Domestic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4,992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6,195</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4,418</w:t>
            </w:r>
          </w:p>
        </w:tc>
      </w:tr>
      <w:tr>
        <w:trPr>
          <w:trHeight w:val="244"/>
        </w:trPr>
        <w:tc>
          <w:tcPr>
            <w:tcW w:w="8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Foreign subsidiaries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267</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615</w:t>
            </w:r>
          </w:p>
        </w:tc>
      </w:tr>
      <w:tr>
        <w:trPr>
          <w:trHeight w:val="242"/>
        </w:trPr>
        <w:tc>
          <w:tcPr>
            <w:tcW w:w="8240" w:type="dxa"/>
            <w:vAlign w:val="bottom"/>
          </w:tcPr>
          <w:p>
            <w:pPr>
              <w:spacing w:after="0"/>
              <w:rPr>
                <w:sz w:val="20"/>
                <w:szCs w:val="20"/>
                <w:color w:val="auto"/>
              </w:rPr>
            </w:pPr>
            <w:r>
              <w:rPr>
                <w:rFonts w:ascii="Arial" w:cs="Arial" w:eastAsia="Arial" w:hAnsi="Arial"/>
                <w:sz w:val="18"/>
                <w:szCs w:val="18"/>
                <w:color w:val="auto"/>
              </w:rPr>
              <w:t>Identifiable assets:</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4"/>
        </w:trPr>
        <w:tc>
          <w:tcPr>
            <w:tcW w:w="82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w w:val="89"/>
              </w:rPr>
              <w:t>130,143</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2"/>
              </w:rPr>
              <w:t>111,992</w:t>
            </w: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9"/>
              </w:rPr>
              <w:t>117,604</w:t>
            </w:r>
          </w:p>
        </w:tc>
      </w:tr>
      <w:tr>
        <w:trPr>
          <w:trHeight w:val="241"/>
        </w:trPr>
        <w:tc>
          <w:tcPr>
            <w:tcW w:w="8240" w:type="dxa"/>
            <w:vAlign w:val="bottom"/>
          </w:tcPr>
          <w:p>
            <w:pPr>
              <w:ind w:left="280"/>
              <w:spacing w:after="0"/>
              <w:rPr>
                <w:sz w:val="20"/>
                <w:szCs w:val="20"/>
                <w:color w:val="auto"/>
              </w:rPr>
            </w:pPr>
            <w:r>
              <w:rPr>
                <w:rFonts w:ascii="Arial" w:cs="Arial" w:eastAsia="Arial" w:hAnsi="Arial"/>
                <w:sz w:val="18"/>
                <w:szCs w:val="18"/>
                <w:color w:val="auto"/>
              </w:rPr>
              <w:t>Foreign subsidiaries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9,404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11,579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11,271</w:t>
            </w:r>
          </w:p>
        </w:tc>
      </w:tr>
    </w:tbl>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largest customer accounted for the following percentage of consolidated net sales and net accounts receivable: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5140" w:type="dxa"/>
            <w:vAlign w:val="bottom"/>
            <w:gridSpan w:val="2"/>
          </w:tcPr>
          <w:p>
            <w:pPr>
              <w:jc w:val="right"/>
              <w:ind w:right="712"/>
              <w:spacing w:after="0"/>
              <w:rPr>
                <w:sz w:val="20"/>
                <w:szCs w:val="20"/>
                <w:color w:val="auto"/>
              </w:rPr>
            </w:pPr>
            <w:r>
              <w:rPr>
                <w:rFonts w:ascii="Arial" w:cs="Arial" w:eastAsia="Arial" w:hAnsi="Arial"/>
                <w:sz w:val="18"/>
                <w:szCs w:val="18"/>
                <w:b w:val="1"/>
                <w:bCs w:val="1"/>
                <w:color w:val="auto"/>
              </w:rPr>
              <w:t>2006</w:t>
            </w:r>
          </w:p>
        </w:tc>
        <w:tc>
          <w:tcPr>
            <w:tcW w:w="1300" w:type="dxa"/>
            <w:vAlign w:val="bottom"/>
          </w:tcPr>
          <w:p>
            <w:pPr>
              <w:jc w:val="right"/>
              <w:ind w:right="712"/>
              <w:spacing w:after="0"/>
              <w:rPr>
                <w:sz w:val="20"/>
                <w:szCs w:val="20"/>
                <w:color w:val="auto"/>
              </w:rPr>
            </w:pPr>
            <w:r>
              <w:rPr>
                <w:rFonts w:ascii="Arial" w:cs="Arial" w:eastAsia="Arial" w:hAnsi="Arial"/>
                <w:sz w:val="18"/>
                <w:szCs w:val="18"/>
                <w:color w:val="auto"/>
              </w:rPr>
              <w:t>2005</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2004</w:t>
            </w:r>
          </w:p>
        </w:tc>
      </w:tr>
      <w:tr>
        <w:trPr>
          <w:trHeight w:val="238"/>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Net sales for the years ended July 31</w:t>
            </w:r>
          </w:p>
        </w:tc>
        <w:tc>
          <w:tcPr>
            <w:tcW w:w="3580" w:type="dxa"/>
            <w:vAlign w:val="bottom"/>
            <w:shd w:val="clear" w:color="auto" w:fill="C0C0C0"/>
          </w:tcPr>
          <w:p>
            <w:pPr>
              <w:spacing w:after="0"/>
              <w:rPr>
                <w:sz w:val="20"/>
                <w:szCs w:val="20"/>
                <w:color w:val="auto"/>
              </w:rPr>
            </w:pPr>
          </w:p>
        </w:tc>
        <w:tc>
          <w:tcPr>
            <w:tcW w:w="1560" w:type="dxa"/>
            <w:vAlign w:val="bottom"/>
            <w:tcBorders>
              <w:top w:val="single" w:sz="8" w:color="auto"/>
            </w:tcBorders>
            <w:shd w:val="clear" w:color="auto" w:fill="C0C0C0"/>
          </w:tcPr>
          <w:p>
            <w:pPr>
              <w:jc w:val="right"/>
              <w:ind w:right="652"/>
              <w:spacing w:after="0"/>
              <w:rPr>
                <w:sz w:val="20"/>
                <w:szCs w:val="20"/>
                <w:color w:val="auto"/>
              </w:rPr>
            </w:pPr>
            <w:r>
              <w:rPr>
                <w:rFonts w:ascii="Arial" w:cs="Arial" w:eastAsia="Arial" w:hAnsi="Arial"/>
                <w:sz w:val="18"/>
                <w:szCs w:val="18"/>
                <w:b w:val="1"/>
                <w:bCs w:val="1"/>
                <w:color w:val="auto"/>
              </w:rPr>
              <w:t>19%</w:t>
            </w:r>
          </w:p>
        </w:tc>
        <w:tc>
          <w:tcPr>
            <w:tcW w:w="1300" w:type="dxa"/>
            <w:vAlign w:val="bottom"/>
            <w:tcBorders>
              <w:top w:val="single" w:sz="8" w:color="auto"/>
            </w:tcBorders>
            <w:shd w:val="clear" w:color="auto" w:fill="C0C0C0"/>
          </w:tcPr>
          <w:p>
            <w:pPr>
              <w:jc w:val="right"/>
              <w:ind w:right="672"/>
              <w:spacing w:after="0"/>
              <w:rPr>
                <w:sz w:val="20"/>
                <w:szCs w:val="20"/>
                <w:color w:val="auto"/>
              </w:rPr>
            </w:pPr>
            <w:r>
              <w:rPr>
                <w:rFonts w:ascii="Arial" w:cs="Arial" w:eastAsia="Arial" w:hAnsi="Arial"/>
                <w:sz w:val="18"/>
                <w:szCs w:val="18"/>
                <w:color w:val="auto"/>
              </w:rPr>
              <w:t>18%</w:t>
            </w:r>
          </w:p>
        </w:tc>
        <w:tc>
          <w:tcPr>
            <w:tcW w:w="860" w:type="dxa"/>
            <w:vAlign w:val="bottom"/>
            <w:tcBorders>
              <w:top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18%</w:t>
            </w:r>
          </w:p>
        </w:tc>
      </w:tr>
      <w:tr>
        <w:trPr>
          <w:trHeight w:val="241"/>
        </w:trPr>
        <w:tc>
          <w:tcPr>
            <w:tcW w:w="4120" w:type="dxa"/>
            <w:vAlign w:val="bottom"/>
          </w:tcPr>
          <w:p>
            <w:pPr>
              <w:spacing w:after="0"/>
              <w:rPr>
                <w:sz w:val="20"/>
                <w:szCs w:val="20"/>
                <w:color w:val="auto"/>
              </w:rPr>
            </w:pPr>
            <w:r>
              <w:rPr>
                <w:rFonts w:ascii="Arial" w:cs="Arial" w:eastAsia="Arial" w:hAnsi="Arial"/>
                <w:sz w:val="18"/>
                <w:szCs w:val="18"/>
                <w:color w:val="auto"/>
              </w:rPr>
              <w:t>Net accounts receivable as of July 31</w:t>
            </w:r>
          </w:p>
        </w:tc>
        <w:tc>
          <w:tcPr>
            <w:tcW w:w="514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27%</w:t>
            </w:r>
          </w:p>
        </w:tc>
        <w:tc>
          <w:tcPr>
            <w:tcW w:w="1300" w:type="dxa"/>
            <w:vAlign w:val="bottom"/>
          </w:tcPr>
          <w:p>
            <w:pPr>
              <w:jc w:val="right"/>
              <w:ind w:right="672"/>
              <w:spacing w:after="0"/>
              <w:rPr>
                <w:sz w:val="20"/>
                <w:szCs w:val="20"/>
                <w:color w:val="auto"/>
              </w:rPr>
            </w:pPr>
            <w:r>
              <w:rPr>
                <w:rFonts w:ascii="Arial" w:cs="Arial" w:eastAsia="Arial" w:hAnsi="Arial"/>
                <w:sz w:val="18"/>
                <w:szCs w:val="18"/>
                <w:color w:val="auto"/>
              </w:rPr>
              <w:t>25%</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27%</w:t>
            </w:r>
          </w:p>
        </w:tc>
      </w:tr>
      <w:tr>
        <w:trPr>
          <w:trHeight w:val="675"/>
        </w:trPr>
        <w:tc>
          <w:tcPr>
            <w:tcW w:w="4120" w:type="dxa"/>
            <w:vAlign w:val="bottom"/>
          </w:tcPr>
          <w:p>
            <w:pPr>
              <w:spacing w:after="0"/>
              <w:rPr>
                <w:sz w:val="24"/>
                <w:szCs w:val="24"/>
                <w:color w:val="auto"/>
              </w:rPr>
            </w:pPr>
          </w:p>
        </w:tc>
        <w:tc>
          <w:tcPr>
            <w:tcW w:w="3580" w:type="dxa"/>
            <w:vAlign w:val="bottom"/>
          </w:tcPr>
          <w:p>
            <w:pPr>
              <w:jc w:val="right"/>
              <w:ind w:right="1812"/>
              <w:spacing w:after="0"/>
              <w:rPr>
                <w:sz w:val="20"/>
                <w:szCs w:val="20"/>
                <w:color w:val="auto"/>
              </w:rPr>
            </w:pPr>
            <w:r>
              <w:rPr>
                <w:rFonts w:ascii="Arial" w:cs="Arial" w:eastAsia="Arial" w:hAnsi="Arial"/>
                <w:sz w:val="18"/>
                <w:szCs w:val="18"/>
                <w:color w:val="auto"/>
              </w:rPr>
              <w:t>49</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NOTES PAYABLE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notes payable at July 31 is as follows:</w:t>
      </w:r>
    </w:p>
    <w:p>
      <w:pPr>
        <w:spacing w:after="0" w:line="288" w:lineRule="exact"/>
        <w:rPr>
          <w:sz w:val="20"/>
          <w:szCs w:val="20"/>
          <w:color w:val="auto"/>
        </w:rPr>
      </w:pPr>
    </w:p>
    <w:p>
      <w:pPr>
        <w:ind w:left="9480"/>
        <w:spacing w:after="0"/>
        <w:tabs>
          <w:tab w:leader="none" w:pos="1076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17145</wp:posOffset>
            </wp:positionV>
            <wp:extent cx="14236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76"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636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63627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Town of Blue Mountain, Mississippi</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payable on October 1, 2008. Interest payable monthly</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a variable interest rate reset weekly based on market conditions</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similar instruments. The average annual rate was 3.28% and 2.15%</w:t>
      </w:r>
    </w:p>
    <w:p>
      <w:pPr>
        <w:sectPr>
          <w:pgSz w:w="11900" w:h="16853" w:orient="portrait"/>
          <w:cols w:equalWidth="0" w:num="1">
            <w:col w:w="11420"/>
          </w:cols>
          <w:pgMar w:left="240" w:top="194" w:right="23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42"/>
        </w:trPr>
        <w:tc>
          <w:tcPr>
            <w:tcW w:w="91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in fiscal 2006 and 2005, respectively. Payment of these bonds</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2"/>
        </w:trPr>
        <w:tc>
          <w:tcPr>
            <w:tcW w:w="91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by the Company is guaranteed by a letter of credit issued by</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5"/>
        </w:trPr>
        <w:tc>
          <w:tcPr>
            <w:tcW w:w="91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Harris Trust and Savings Bank</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2,500</w:t>
            </w:r>
          </w:p>
        </w:tc>
        <w:tc>
          <w:tcPr>
            <w:tcW w:w="20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2,500</w:t>
            </w:r>
          </w:p>
        </w:tc>
      </w:tr>
      <w:tr>
        <w:trPr>
          <w:trHeight w:val="484"/>
        </w:trPr>
        <w:tc>
          <w:tcPr>
            <w:tcW w:w="9180" w:type="dxa"/>
            <w:vAlign w:val="bottom"/>
          </w:tcPr>
          <w:p>
            <w:pPr>
              <w:spacing w:after="0"/>
              <w:rPr>
                <w:sz w:val="20"/>
                <w:szCs w:val="20"/>
                <w:color w:val="auto"/>
              </w:rPr>
            </w:pPr>
            <w:r>
              <w:rPr>
                <w:rFonts w:ascii="Arial" w:cs="Arial" w:eastAsia="Arial" w:hAnsi="Arial"/>
                <w:sz w:val="18"/>
                <w:szCs w:val="18"/>
                <w:color w:val="auto"/>
              </w:rPr>
              <w:t>Teachers Insurance and Annuity Association of America and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9180" w:type="dxa"/>
            <w:vAlign w:val="bottom"/>
          </w:tcPr>
          <w:p>
            <w:pPr>
              <w:ind w:left="380"/>
              <w:spacing w:after="0"/>
              <w:rPr>
                <w:sz w:val="20"/>
                <w:szCs w:val="20"/>
                <w:color w:val="auto"/>
              </w:rPr>
            </w:pPr>
            <w:r>
              <w:rPr>
                <w:rFonts w:ascii="Arial" w:cs="Arial" w:eastAsia="Arial" w:hAnsi="Arial"/>
                <w:sz w:val="18"/>
                <w:szCs w:val="18"/>
                <w:color w:val="auto"/>
              </w:rPr>
              <w:t>Prudential Financial</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9180" w:type="dxa"/>
            <w:vAlign w:val="bottom"/>
          </w:tcPr>
          <w:p>
            <w:pPr>
              <w:ind w:left="720"/>
              <w:spacing w:after="0"/>
              <w:rPr>
                <w:sz w:val="20"/>
                <w:szCs w:val="20"/>
                <w:color w:val="auto"/>
              </w:rPr>
            </w:pPr>
            <w:r>
              <w:rPr>
                <w:rFonts w:ascii="Arial" w:cs="Arial" w:eastAsia="Arial" w:hAnsi="Arial"/>
                <w:sz w:val="18"/>
                <w:szCs w:val="18"/>
                <w:color w:val="auto"/>
              </w:rPr>
              <w:t>Payable in annual principal installments on April 15: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9180" w:type="dxa"/>
            <w:vAlign w:val="bottom"/>
          </w:tcPr>
          <w:p>
            <w:pPr>
              <w:ind w:left="720"/>
              <w:spacing w:after="0"/>
              <w:rPr>
                <w:sz w:val="20"/>
                <w:szCs w:val="20"/>
                <w:color w:val="auto"/>
              </w:rPr>
            </w:pPr>
            <w:r>
              <w:rPr>
                <w:rFonts w:ascii="Arial" w:cs="Arial" w:eastAsia="Arial" w:hAnsi="Arial"/>
                <w:sz w:val="18"/>
                <w:szCs w:val="18"/>
                <w:color w:val="auto"/>
              </w:rPr>
              <w:t>$4,000,000 in fiscal 2007 and 2008; $1,500,000 in fiscal 2009;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9180" w:type="dxa"/>
            <w:vAlign w:val="bottom"/>
          </w:tcPr>
          <w:p>
            <w:pPr>
              <w:ind w:left="720"/>
              <w:spacing w:after="0"/>
              <w:rPr>
                <w:sz w:val="20"/>
                <w:szCs w:val="20"/>
                <w:color w:val="auto"/>
              </w:rPr>
            </w:pPr>
            <w:r>
              <w:rPr>
                <w:rFonts w:ascii="Arial" w:cs="Arial" w:eastAsia="Arial" w:hAnsi="Arial"/>
                <w:sz w:val="18"/>
                <w:szCs w:val="18"/>
                <w:color w:val="auto"/>
              </w:rPr>
              <w:t>$3,000,000 in fiscal 2010; $2,000,000 in fiscal 2011; and</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9180" w:type="dxa"/>
            <w:vAlign w:val="bottom"/>
          </w:tcPr>
          <w:p>
            <w:pPr>
              <w:ind w:left="720"/>
              <w:spacing w:after="0"/>
              <w:rPr>
                <w:sz w:val="20"/>
                <w:szCs w:val="20"/>
                <w:color w:val="auto"/>
              </w:rPr>
            </w:pPr>
            <w:r>
              <w:rPr>
                <w:rFonts w:ascii="Arial" w:cs="Arial" w:eastAsia="Arial" w:hAnsi="Arial"/>
                <w:sz w:val="18"/>
                <w:szCs w:val="18"/>
                <w:color w:val="auto"/>
              </w:rPr>
              <w:t>$1,500,000 in fiscal 2012 and 2013. Interest is payable</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9180" w:type="dxa"/>
            <w:vAlign w:val="bottom"/>
          </w:tcPr>
          <w:p>
            <w:pPr>
              <w:ind w:left="720"/>
              <w:spacing w:after="0"/>
              <w:rPr>
                <w:sz w:val="20"/>
                <w:szCs w:val="20"/>
                <w:color w:val="auto"/>
              </w:rPr>
            </w:pPr>
            <w:r>
              <w:rPr>
                <w:rFonts w:ascii="Arial" w:cs="Arial" w:eastAsia="Arial" w:hAnsi="Arial"/>
                <w:sz w:val="18"/>
                <w:szCs w:val="18"/>
                <w:color w:val="auto"/>
              </w:rPr>
              <w:t>semiannually at an annual rate of 6.55%</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17,500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20,500</w:t>
            </w:r>
          </w:p>
        </w:tc>
      </w:tr>
      <w:tr>
        <w:trPr>
          <w:trHeight w:val="245"/>
        </w:trPr>
        <w:tc>
          <w:tcPr>
            <w:tcW w:w="9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1"/>
        </w:trPr>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The Prudential Insurance Company of America and Prudential</w:t>
            </w:r>
          </w:p>
        </w:tc>
        <w:tc>
          <w:tcPr>
            <w:tcW w:w="1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r>
      <w:tr>
        <w:trPr>
          <w:trHeight w:val="243"/>
        </w:trPr>
        <w:tc>
          <w:tcPr>
            <w:tcW w:w="91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Retirement Insurance and Annuity Company</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Payable in annual principal installments on October 15:</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$1,500,000 in fiscal 2009; $200,000 in fiscal 2010;</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$1,500,000 in fiscal 2011; $2,100,000 in fiscal 2012;</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$2,300,000 in fiscal 2013; $3,500,000 in fiscal 2014;</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$3,500,000 in fiscal 2015; $400,000 in fiscal 2016.</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Interest is payable semiannually at an annual rate</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5"/>
        </w:trPr>
        <w:tc>
          <w:tcPr>
            <w:tcW w:w="9180" w:type="dxa"/>
            <w:vAlign w:val="bottom"/>
            <w:shd w:val="clear" w:color="auto" w:fill="C0C0C0"/>
          </w:tcPr>
          <w:p>
            <w:pPr>
              <w:ind w:left="720"/>
              <w:spacing w:after="0"/>
              <w:rPr>
                <w:sz w:val="20"/>
                <w:szCs w:val="20"/>
                <w:color w:val="auto"/>
              </w:rPr>
            </w:pPr>
            <w:r>
              <w:rPr>
                <w:rFonts w:ascii="Arial" w:cs="Arial" w:eastAsia="Arial" w:hAnsi="Arial"/>
                <w:sz w:val="18"/>
                <w:szCs w:val="18"/>
                <w:color w:val="auto"/>
              </w:rPr>
              <w:t>of 5.89%</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15,000</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r>
      <w:tr>
        <w:trPr>
          <w:trHeight w:val="243"/>
        </w:trPr>
        <w:tc>
          <w:tcPr>
            <w:tcW w:w="9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r>
      <w:tr>
        <w:trPr>
          <w:trHeight w:val="243"/>
        </w:trPr>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320</w:t>
            </w:r>
          </w:p>
        </w:tc>
      </w:tr>
      <w:tr>
        <w:trPr>
          <w:trHeight w:val="20"/>
        </w:trPr>
        <w:tc>
          <w:tcPr>
            <w:tcW w:w="91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235"/>
        </w:trPr>
        <w:tc>
          <w:tcPr>
            <w:tcW w:w="9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35,240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23,320</w:t>
            </w:r>
          </w:p>
        </w:tc>
      </w:tr>
      <w:tr>
        <w:trPr>
          <w:trHeight w:val="245"/>
        </w:trPr>
        <w:tc>
          <w:tcPr>
            <w:tcW w:w="9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r>
      <w:tr>
        <w:trPr>
          <w:trHeight w:val="243"/>
        </w:trPr>
        <w:tc>
          <w:tcPr>
            <w:tcW w:w="91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Less current maturities of notes payable</w:t>
            </w:r>
          </w:p>
        </w:tc>
        <w:tc>
          <w:tcPr>
            <w:tcW w:w="12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b w:val="1"/>
                <w:bCs w:val="1"/>
                <w:color w:val="auto"/>
              </w:rPr>
              <w:t>(4,080)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(3,080)</w:t>
            </w:r>
          </w:p>
        </w:tc>
      </w:tr>
      <w:tr>
        <w:trPr>
          <w:trHeight w:val="20"/>
        </w:trPr>
        <w:tc>
          <w:tcPr>
            <w:tcW w:w="91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236"/>
        </w:trPr>
        <w:tc>
          <w:tcPr>
            <w:tcW w:w="9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31,160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20,240</w:t>
            </w:r>
          </w:p>
        </w:tc>
      </w:tr>
      <w:tr>
        <w:trPr>
          <w:trHeight w:val="42"/>
        </w:trPr>
        <w:tc>
          <w:tcPr>
            <w:tcW w:w="9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on debt, acquisitions, stock repurchases, capital expenditures and for working capital purposes. The Note Agreement contains certain covenants that restrict our ability to, among other things, incur additional indebtedness, dispose of assets and merge or consolidate. The Note Agreement also requires a minimum fixed coverage ratio and a minimum consolidated net worth to be maintained.</w:t>
      </w:r>
    </w:p>
    <w:p>
      <w:pPr>
        <w:spacing w:after="0" w:line="197"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On January 29, 1999, we entered into a Credit Agreement with Harris Trust and Savings Bank. The agreement, as amended, provided for up to $7,500,000 in committed unsecured revolving credit loans and/or letters of credit (not to exceed $5,000,000). This agreement provided three possible interest rates based on either an applicable margin plus a LIBOR-based rate, an applicable margin plus a prime-based rate or a negotiated bank rate. This agreement ended in January 2006 and we did not have any outstanding borrowings.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NOTES PAYABLE (CONTINUED)</w:t>
      </w:r>
    </w:p>
    <w:p>
      <w:pPr>
        <w:spacing w:after="0" w:line="249"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On January 27, 2006, we entered into a new unsecured revolving credit agreement with Harris N.A. that is effective until January 27, 2009. The credit agreement provides that we may select a variable rate based on either Harris’ prime rate or a LIBOR-based rate, plus a margin which varies depending on our debt to earnings ratio, or a fixed rate as agreed to with Harris N.A. At July 31, 2006, the variable rates would have been 8.3% for the Harris’ prime rate or 6.0% for the LIBOR-based rate. As of July 31, 2006, $15,000,000 was available under this credit facility. The credit agreement contains restrictive covenants that, among other things and under various conditions (including a limitation on capital expenditures), limit our ability to incur additional indebtedness or to dispose of assets. The agreement also requires a minimum fixed coverage ratio and a minimum consolidated net worth to be maintained. As of July 31, 2006, there were no outstanding borrowings against this agreement.</w:t>
      </w:r>
    </w:p>
    <w:p>
      <w:pPr>
        <w:spacing w:after="0" w:line="199"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On July 12, 2006, Favorite Products Company, Ltd., a wholly owned subsidiary, entered into a credit agreement with the National Bank of Canada. The agreement provides up to $1,500,000 (Canadian dollars) in committed unsecured revolving credit loans. The interest rate on any outstanding borrowings would be based on the Canadian prime rate. The agreement also contains restrictive covenants that require Favorite Products to maintain a minimum working capital ratio and a maximum debt to equity ratio. As of July 31, 2006, there were no outstanding borrowings against this agreement.</w:t>
      </w:r>
    </w:p>
    <w:p>
      <w:pPr>
        <w:spacing w:after="0" w:line="194"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The 1998 note agreement with Teachers Insurance and Annuity Association of America and Prudential Insurance for the $25,000,000 private debt placement was been amended to modify the fixed charges ratio covenant contained therein from the original ratio to ratio values that varied over different periods of time. The currently applicable fixed charges ratio was set forth in the July 2002 amendment and sets the ratio for the period November 1, 2003 and thereafter at 1.50 to 1.00. Also currently applicable is an additional interest charge of 0.25% for any fiscal quarter ending on or after July 31, 2002 if the fixed charge coverage ratio is less than 1.50 to 1.00.</w:t>
      </w:r>
    </w:p>
    <w:p>
      <w:pPr>
        <w:spacing w:after="0" w:line="224"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The agreements with Teachers Insurance and Annuity Association of America, Prudential Insurance Company of America and Harris N.A. impose working capital requirements, dividend and financing limitations, minimum tangible net worth requirements and other restrictions. Our credit agreement with Harris N.A. indirectly restricts dividends by requiring us to maintain consolidated net worth, as defined, of about $56,760,000 plus 25% of cumulative quarterly earnings from January 31, 2006.</w:t>
      </w:r>
    </w:p>
    <w:p>
      <w:pPr>
        <w:spacing w:after="0" w:line="224" w:lineRule="exact"/>
        <w:rPr>
          <w:sz w:val="20"/>
          <w:szCs w:val="20"/>
          <w:color w:val="auto"/>
        </w:rPr>
      </w:pPr>
    </w:p>
    <w:p>
      <w:pPr>
        <w:jc w:val="both"/>
        <w:ind w:firstLine="365"/>
        <w:spacing w:after="0" w:line="370" w:lineRule="auto"/>
        <w:rPr>
          <w:sz w:val="20"/>
          <w:szCs w:val="20"/>
          <w:color w:val="auto"/>
        </w:rPr>
      </w:pPr>
      <w:r>
        <w:rPr>
          <w:rFonts w:ascii="Arial" w:cs="Arial" w:eastAsia="Arial" w:hAnsi="Arial"/>
          <w:sz w:val="15"/>
          <w:szCs w:val="15"/>
          <w:color w:val="auto"/>
        </w:rPr>
        <w:t>In prior years, the Town of Blue Mountain, Mississippi issued long-term bonds to finance the purchase of substantially all of the assets of certain plant expansion projects, and leased the projects to us and various of our subsidiaries (with the Company and various of its wholly owned subsidiaries as guarantors) at</w:t>
      </w:r>
    </w:p>
    <w:p>
      <w:pPr>
        <w:sectPr>
          <w:pgSz w:w="11900" w:h="16838" w:orient="portrait"/>
          <w:cols w:equalWidth="0" w:num="1">
            <w:col w:w="11420"/>
          </w:cols>
          <w:pgMar w:left="240" w:top="140" w:right="239" w:bottom="0" w:gutter="0" w:footer="0" w:header="0"/>
        </w:sectPr>
      </w:pPr>
    </w:p>
    <w:bookmarkStart w:id="32" w:name="page33"/>
    <w:bookmarkEnd w:id="32"/>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rentals sufficient to pay the debt service on the bonds.</w:t>
      </w:r>
    </w:p>
    <w:p>
      <w:pPr>
        <w:spacing w:after="0" w:line="252" w:lineRule="exact"/>
        <w:rPr>
          <w:sz w:val="20"/>
          <w:szCs w:val="20"/>
          <w:color w:val="auto"/>
        </w:rPr>
      </w:pPr>
    </w:p>
    <w:p>
      <w:pPr>
        <w:jc w:val="both"/>
        <w:ind w:right="20" w:firstLine="378"/>
        <w:spacing w:after="0" w:line="255" w:lineRule="auto"/>
        <w:rPr>
          <w:sz w:val="20"/>
          <w:szCs w:val="20"/>
          <w:color w:val="auto"/>
        </w:rPr>
      </w:pPr>
      <w:r>
        <w:rPr>
          <w:rFonts w:ascii="Arial" w:cs="Arial" w:eastAsia="Arial" w:hAnsi="Arial"/>
          <w:sz w:val="18"/>
          <w:szCs w:val="18"/>
          <w:color w:val="auto"/>
        </w:rPr>
        <w:t>Our debt agreements also contain provisions such that if we default on one debt agreement, the others will automatically default. If we default on any guaranteed debt with a balance greater than $1,000,000, our unsecured revolving credit agreement with Harris N.A. will be considered in default. If we default on any debt with a balance greater than $5,000,000, we will also be considered in default on the note agreement with Teachers Insurance and Annuity Association of America and Prudential Insurance and with the promissory notes to The Prudential Insurance Company of America and Prudential Retirement Insurance and Annuity Company.</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were in compliance with all restrictive covenants and limitations at July 31, 2006.</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schedule by year of future maturities of notes payable as of July 31, 2006: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8"/>
          </w:tcPr>
          <w:p>
            <w:pPr>
              <w:ind w:left="50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420" w:type="dxa"/>
            <w:vAlign w:val="bottom"/>
          </w:tcPr>
          <w:p>
            <w:pPr>
              <w:spacing w:after="0"/>
              <w:rPr>
                <w:sz w:val="21"/>
                <w:szCs w:val="21"/>
                <w:color w:val="auto"/>
              </w:rPr>
            </w:pPr>
          </w:p>
        </w:tc>
        <w:tc>
          <w:tcPr>
            <w:tcW w:w="7960" w:type="dxa"/>
            <w:vAlign w:val="bottom"/>
            <w:shd w:val="clear" w:color="auto" w:fill="C0C0C0"/>
          </w:tcPr>
          <w:p>
            <w:pPr>
              <w:spacing w:after="0"/>
              <w:rPr>
                <w:sz w:val="20"/>
                <w:szCs w:val="20"/>
                <w:color w:val="auto"/>
              </w:rPr>
            </w:pPr>
            <w:r>
              <w:rPr>
                <w:rFonts w:ascii="Arial" w:cs="Arial" w:eastAsia="Arial" w:hAnsi="Arial"/>
                <w:sz w:val="18"/>
                <w:szCs w:val="18"/>
                <w:color w:val="auto"/>
              </w:rPr>
              <w:t>2007</w:t>
            </w: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4"/>
            <w:shd w:val="clear" w:color="auto" w:fill="C0C0C0"/>
          </w:tcPr>
          <w:p>
            <w:pPr>
              <w:jc w:val="right"/>
              <w:ind w:right="320"/>
              <w:spacing w:after="0"/>
              <w:rPr>
                <w:sz w:val="20"/>
                <w:szCs w:val="20"/>
                <w:color w:val="auto"/>
              </w:rPr>
            </w:pPr>
            <w:r>
              <w:rPr>
                <w:rFonts w:ascii="Arial" w:cs="Arial" w:eastAsia="Arial" w:hAnsi="Arial"/>
                <w:sz w:val="18"/>
                <w:szCs w:val="18"/>
                <w:color w:val="auto"/>
                <w:w w:val="90"/>
              </w:rPr>
              <w:t>$4,080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838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color w:val="auto"/>
              </w:rPr>
              <w:t>4,080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20" w:type="dxa"/>
            <w:vAlign w:val="bottom"/>
          </w:tcPr>
          <w:p>
            <w:pPr>
              <w:spacing w:after="0"/>
              <w:rPr>
                <w:sz w:val="21"/>
                <w:szCs w:val="21"/>
                <w:color w:val="auto"/>
              </w:rPr>
            </w:pPr>
          </w:p>
        </w:tc>
        <w:tc>
          <w:tcPr>
            <w:tcW w:w="7960" w:type="dxa"/>
            <w:vAlign w:val="bottom"/>
            <w:shd w:val="clear" w:color="auto" w:fill="C0C0C0"/>
          </w:tcPr>
          <w:p>
            <w:pPr>
              <w:spacing w:after="0"/>
              <w:rPr>
                <w:sz w:val="20"/>
                <w:szCs w:val="20"/>
                <w:color w:val="auto"/>
              </w:rPr>
            </w:pPr>
            <w:r>
              <w:rPr>
                <w:rFonts w:ascii="Arial" w:cs="Arial" w:eastAsia="Arial" w:hAnsi="Arial"/>
                <w:sz w:val="18"/>
                <w:szCs w:val="18"/>
                <w:color w:val="auto"/>
              </w:rPr>
              <w:t>2009</w:t>
            </w: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4"/>
            <w:shd w:val="clear" w:color="auto" w:fill="C0C0C0"/>
          </w:tcPr>
          <w:p>
            <w:pPr>
              <w:jc w:val="right"/>
              <w:ind w:right="320"/>
              <w:spacing w:after="0"/>
              <w:rPr>
                <w:sz w:val="20"/>
                <w:szCs w:val="20"/>
                <w:color w:val="auto"/>
              </w:rPr>
            </w:pPr>
            <w:r>
              <w:rPr>
                <w:rFonts w:ascii="Arial" w:cs="Arial" w:eastAsia="Arial" w:hAnsi="Arial"/>
                <w:sz w:val="18"/>
                <w:szCs w:val="18"/>
                <w:color w:val="auto"/>
              </w:rPr>
              <w:t>5,580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8380" w:type="dxa"/>
            <w:vAlign w:val="bottom"/>
            <w:gridSpan w:val="2"/>
          </w:tcPr>
          <w:p>
            <w:pPr>
              <w:ind w:left="42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8"/>
                <w:szCs w:val="18"/>
                <w:color w:val="auto"/>
              </w:rPr>
              <w:t>3,200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20" w:type="dxa"/>
            <w:vAlign w:val="bottom"/>
          </w:tcPr>
          <w:p>
            <w:pPr>
              <w:spacing w:after="0"/>
              <w:rPr>
                <w:sz w:val="21"/>
                <w:szCs w:val="21"/>
                <w:color w:val="auto"/>
              </w:rPr>
            </w:pPr>
          </w:p>
        </w:tc>
        <w:tc>
          <w:tcPr>
            <w:tcW w:w="7960" w:type="dxa"/>
            <w:vAlign w:val="bottom"/>
            <w:shd w:val="clear" w:color="auto" w:fill="C0C0C0"/>
          </w:tcPr>
          <w:p>
            <w:pPr>
              <w:spacing w:after="0"/>
              <w:rPr>
                <w:sz w:val="20"/>
                <w:szCs w:val="20"/>
                <w:color w:val="auto"/>
              </w:rPr>
            </w:pPr>
            <w:r>
              <w:rPr>
                <w:rFonts w:ascii="Arial" w:cs="Arial" w:eastAsia="Arial" w:hAnsi="Arial"/>
                <w:sz w:val="18"/>
                <w:szCs w:val="18"/>
                <w:color w:val="auto"/>
              </w:rPr>
              <w:t>Later years</w:t>
            </w: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gridSpan w:val="4"/>
            <w:shd w:val="clear" w:color="auto" w:fill="C0C0C0"/>
          </w:tcPr>
          <w:p>
            <w:pPr>
              <w:jc w:val="right"/>
              <w:ind w:right="320"/>
              <w:spacing w:after="0"/>
              <w:rPr>
                <w:sz w:val="20"/>
                <w:szCs w:val="20"/>
                <w:color w:val="auto"/>
              </w:rPr>
            </w:pPr>
            <w:r>
              <w:rPr>
                <w:rFonts w:ascii="Arial" w:cs="Arial" w:eastAsia="Arial" w:hAnsi="Arial"/>
                <w:sz w:val="18"/>
                <w:szCs w:val="18"/>
                <w:color w:val="auto"/>
                <w:w w:val="90"/>
              </w:rPr>
              <w:t>18,300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7960" w:type="dxa"/>
            <w:vAlign w:val="bottom"/>
            <w:shd w:val="clear" w:color="auto" w:fill="C0C0C0"/>
          </w:tcPr>
          <w:p>
            <w:pPr>
              <w:spacing w:after="0" w:line="20" w:lineRule="exact"/>
              <w:rPr>
                <w:sz w:val="1"/>
                <w:szCs w:val="1"/>
                <w:color w:val="auto"/>
              </w:rPr>
            </w:pPr>
          </w:p>
        </w:tc>
        <w:tc>
          <w:tcPr>
            <w:tcW w:w="84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6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4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960" w:type="dxa"/>
            <w:vAlign w:val="bottom"/>
            <w:gridSpan w:val="5"/>
          </w:tcPr>
          <w:p>
            <w:pPr>
              <w:jc w:val="right"/>
              <w:ind w:right="32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35,240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73"/>
        </w:trPr>
        <w:tc>
          <w:tcPr>
            <w:tcW w:w="8380" w:type="dxa"/>
            <w:vAlign w:val="bottom"/>
            <w:gridSpan w:val="2"/>
          </w:tcPr>
          <w:p>
            <w:pPr>
              <w:ind w:left="5620"/>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8380" w:type="dxa"/>
            <w:vAlign w:val="bottom"/>
            <w:tcBorders>
              <w:bottom w:val="single" w:sz="8" w:color="808080"/>
            </w:tcBorders>
            <w:gridSpan w:val="2"/>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27"/>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NOTE 5 – INCOME TAXES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960" w:type="dxa"/>
            <w:vAlign w:val="bottom"/>
          </w:tcPr>
          <w:p>
            <w:pPr>
              <w:ind w:left="500"/>
              <w:spacing w:after="0"/>
              <w:rPr>
                <w:sz w:val="20"/>
                <w:szCs w:val="20"/>
                <w:color w:val="auto"/>
              </w:rPr>
            </w:pPr>
            <w:r>
              <w:rPr>
                <w:rFonts w:ascii="Arial" w:cs="Arial" w:eastAsia="Arial" w:hAnsi="Arial"/>
                <w:sz w:val="18"/>
                <w:szCs w:val="18"/>
                <w:color w:val="auto"/>
              </w:rPr>
              <w:t>The provision (benefit) for income tax expense consists of the following:</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gridSpan w:val="9"/>
          </w:tcPr>
          <w:p>
            <w:pPr>
              <w:ind w:left="180"/>
              <w:spacing w:after="0"/>
              <w:rPr>
                <w:sz w:val="20"/>
                <w:szCs w:val="20"/>
                <w:color w:val="auto"/>
              </w:rPr>
            </w:pPr>
            <w:r>
              <w:rPr>
                <w:rFonts w:ascii="Arial" w:cs="Arial" w:eastAsia="Arial" w:hAnsi="Arial"/>
                <w:sz w:val="18"/>
                <w:szCs w:val="18"/>
                <w:b w:val="1"/>
                <w:bCs w:val="1"/>
                <w:color w:val="auto"/>
              </w:rPr>
              <w:t>(in thousands)</w:t>
            </w:r>
          </w:p>
        </w:tc>
      </w:tr>
      <w:tr>
        <w:trPr>
          <w:trHeight w:val="244"/>
        </w:trPr>
        <w:tc>
          <w:tcPr>
            <w:tcW w:w="83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8380" w:type="dxa"/>
            <w:vAlign w:val="bottom"/>
            <w:gridSpan w:val="2"/>
          </w:tcPr>
          <w:p>
            <w:pPr>
              <w:ind w:left="280"/>
              <w:spacing w:after="0"/>
              <w:rPr>
                <w:sz w:val="20"/>
                <w:szCs w:val="20"/>
                <w:color w:val="auto"/>
              </w:rPr>
            </w:pPr>
            <w:r>
              <w:rPr>
                <w:rFonts w:ascii="Arial" w:cs="Arial" w:eastAsia="Arial" w:hAnsi="Arial"/>
                <w:sz w:val="18"/>
                <w:szCs w:val="18"/>
                <w:color w:val="auto"/>
              </w:rPr>
              <w:t>Federal</w:t>
            </w:r>
          </w:p>
        </w:tc>
        <w:tc>
          <w:tcPr>
            <w:tcW w:w="840" w:type="dxa"/>
            <w:vAlign w:val="bottom"/>
          </w:tcPr>
          <w:p>
            <w:pPr>
              <w:jc w:val="right"/>
              <w:ind w:right="132"/>
              <w:spacing w:after="0"/>
              <w:rPr>
                <w:sz w:val="20"/>
                <w:szCs w:val="20"/>
                <w:color w:val="auto"/>
              </w:rPr>
            </w:pPr>
            <w:r>
              <w:rPr>
                <w:rFonts w:ascii="Arial" w:cs="Arial" w:eastAsia="Arial" w:hAnsi="Arial"/>
                <w:sz w:val="18"/>
                <w:szCs w:val="18"/>
                <w:b w:val="1"/>
                <w:bCs w:val="1"/>
                <w:color w:val="auto"/>
              </w:rPr>
              <w:t>$2,148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$ 1,178</w:t>
            </w:r>
          </w:p>
        </w:tc>
        <w:tc>
          <w:tcPr>
            <w:tcW w:w="1240" w:type="dxa"/>
            <w:vAlign w:val="bottom"/>
            <w:gridSpan w:val="5"/>
          </w:tcPr>
          <w:p>
            <w:pPr>
              <w:jc w:val="right"/>
              <w:ind w:right="220"/>
              <w:spacing w:after="0"/>
              <w:rPr>
                <w:sz w:val="20"/>
                <w:szCs w:val="20"/>
                <w:color w:val="auto"/>
              </w:rPr>
            </w:pPr>
            <w:r>
              <w:rPr>
                <w:rFonts w:ascii="Arial" w:cs="Arial" w:eastAsia="Arial" w:hAnsi="Arial"/>
                <w:sz w:val="18"/>
                <w:szCs w:val="18"/>
                <w:color w:val="auto"/>
              </w:rPr>
              <w:t>$ 1,220</w:t>
            </w:r>
          </w:p>
        </w:tc>
        <w:tc>
          <w:tcPr>
            <w:tcW w:w="20" w:type="dxa"/>
            <w:vAlign w:val="bottom"/>
          </w:tcPr>
          <w:p>
            <w:pPr>
              <w:spacing w:after="0"/>
              <w:rPr>
                <w:sz w:val="21"/>
                <w:szCs w:val="21"/>
                <w:color w:val="auto"/>
              </w:rPr>
            </w:pPr>
          </w:p>
        </w:tc>
      </w:tr>
      <w:tr>
        <w:trPr>
          <w:trHeight w:val="244"/>
        </w:trPr>
        <w:tc>
          <w:tcPr>
            <w:tcW w:w="83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68</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254</w:t>
            </w:r>
          </w:p>
        </w:tc>
        <w:tc>
          <w:tcPr>
            <w:tcW w:w="1240" w:type="dxa"/>
            <w:vAlign w:val="bottom"/>
            <w:gridSpan w:val="5"/>
            <w:shd w:val="clear" w:color="auto" w:fill="C0C0C0"/>
          </w:tcPr>
          <w:p>
            <w:pPr>
              <w:jc w:val="right"/>
              <w:ind w:right="22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1"/>
                <w:szCs w:val="21"/>
                <w:color w:val="auto"/>
              </w:rPr>
            </w:pPr>
          </w:p>
        </w:tc>
      </w:tr>
      <w:tr>
        <w:trPr>
          <w:trHeight w:val="243"/>
        </w:trPr>
        <w:tc>
          <w:tcPr>
            <w:tcW w:w="8380" w:type="dxa"/>
            <w:vAlign w:val="bottom"/>
            <w:gridSpan w:val="2"/>
          </w:tcPr>
          <w:p>
            <w:pPr>
              <w:ind w:left="280"/>
              <w:spacing w:after="0"/>
              <w:rPr>
                <w:sz w:val="20"/>
                <w:szCs w:val="20"/>
                <w:color w:val="auto"/>
              </w:rPr>
            </w:pPr>
            <w:r>
              <w:rPr>
                <w:rFonts w:ascii="Arial" w:cs="Arial" w:eastAsia="Arial" w:hAnsi="Arial"/>
                <w:sz w:val="18"/>
                <w:szCs w:val="18"/>
                <w:color w:val="auto"/>
              </w:rPr>
              <w:t>State</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360</w:t>
            </w:r>
          </w:p>
        </w:tc>
        <w:tc>
          <w:tcPr>
            <w:tcW w:w="22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r>
      <w:tr>
        <w:trPr>
          <w:trHeight w:val="236"/>
        </w:trPr>
        <w:tc>
          <w:tcPr>
            <w:tcW w:w="420" w:type="dxa"/>
            <w:vAlign w:val="bottom"/>
            <w:shd w:val="clear" w:color="auto" w:fill="C0C0C0"/>
          </w:tcPr>
          <w:p>
            <w:pPr>
              <w:spacing w:after="0"/>
              <w:rPr>
                <w:sz w:val="20"/>
                <w:szCs w:val="20"/>
                <w:color w:val="auto"/>
              </w:rPr>
            </w:pPr>
          </w:p>
        </w:tc>
        <w:tc>
          <w:tcPr>
            <w:tcW w:w="7960" w:type="dxa"/>
            <w:vAlign w:val="bottom"/>
            <w:shd w:val="clear" w:color="auto" w:fill="C0C0C0"/>
          </w:tcPr>
          <w:p>
            <w:pPr>
              <w:spacing w:after="0"/>
              <w:rPr>
                <w:sz w:val="20"/>
                <w:szCs w:val="20"/>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2,576</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1,828</w:t>
            </w:r>
          </w:p>
        </w:tc>
        <w:tc>
          <w:tcPr>
            <w:tcW w:w="1240" w:type="dxa"/>
            <w:vAlign w:val="bottom"/>
            <w:gridSpan w:val="5"/>
            <w:shd w:val="clear" w:color="auto" w:fill="C0C0C0"/>
          </w:tcPr>
          <w:p>
            <w:pPr>
              <w:jc w:val="right"/>
              <w:ind w:right="220"/>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20"/>
                <w:szCs w:val="20"/>
                <w:color w:val="auto"/>
              </w:rPr>
            </w:pPr>
          </w:p>
        </w:tc>
      </w:tr>
      <w:tr>
        <w:trPr>
          <w:trHeight w:val="237"/>
        </w:trPr>
        <w:tc>
          <w:tcPr>
            <w:tcW w:w="8380" w:type="dxa"/>
            <w:vAlign w:val="bottom"/>
            <w:tcBorders>
              <w:top w:val="single" w:sz="8" w:color="C0C0C0"/>
            </w:tcBorders>
            <w:gridSpan w:val="2"/>
          </w:tcPr>
          <w:p>
            <w:pPr>
              <w:spacing w:after="0"/>
              <w:rPr>
                <w:sz w:val="20"/>
                <w:szCs w:val="20"/>
                <w:color w:val="auto"/>
              </w:rPr>
            </w:pPr>
            <w:r>
              <w:rPr>
                <w:rFonts w:ascii="Arial" w:cs="Arial" w:eastAsia="Arial" w:hAnsi="Arial"/>
                <w:sz w:val="18"/>
                <w:szCs w:val="18"/>
                <w:color w:val="auto"/>
              </w:rPr>
              <w:t>Deferred</w:t>
            </w: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C0C0C0"/>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C0C0C0"/>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83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(57)</w:t>
            </w:r>
          </w:p>
        </w:tc>
        <w:tc>
          <w:tcPr>
            <w:tcW w:w="9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507</w:t>
            </w:r>
          </w:p>
        </w:tc>
        <w:tc>
          <w:tcPr>
            <w:tcW w:w="1240" w:type="dxa"/>
            <w:vAlign w:val="bottom"/>
            <w:gridSpan w:val="5"/>
            <w:shd w:val="clear" w:color="auto" w:fill="C0C0C0"/>
          </w:tcPr>
          <w:p>
            <w:pPr>
              <w:jc w:val="right"/>
              <w:ind w:right="2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r>
      <w:tr>
        <w:trPr>
          <w:trHeight w:val="242"/>
        </w:trPr>
        <w:tc>
          <w:tcPr>
            <w:tcW w:w="8380" w:type="dxa"/>
            <w:vAlign w:val="bottom"/>
            <w:gridSpan w:val="2"/>
          </w:tcPr>
          <w:p>
            <w:pPr>
              <w:ind w:left="280"/>
              <w:spacing w:after="0"/>
              <w:rPr>
                <w:sz w:val="20"/>
                <w:szCs w:val="20"/>
                <w:color w:val="auto"/>
              </w:rPr>
            </w:pPr>
            <w:r>
              <w:rPr>
                <w:rFonts w:ascii="Arial" w:cs="Arial" w:eastAsia="Arial" w:hAnsi="Arial"/>
                <w:sz w:val="18"/>
                <w:szCs w:val="18"/>
                <w:color w:val="auto"/>
              </w:rPr>
              <w:t>Foreign</w:t>
            </w:r>
          </w:p>
        </w:tc>
        <w:tc>
          <w:tcPr>
            <w:tcW w:w="840" w:type="dxa"/>
            <w:vAlign w:val="bottom"/>
          </w:tcPr>
          <w:p>
            <w:pPr>
              <w:jc w:val="right"/>
              <w:ind w:right="132"/>
              <w:spacing w:after="0"/>
              <w:rPr>
                <w:sz w:val="20"/>
                <w:szCs w:val="20"/>
                <w:color w:val="auto"/>
              </w:rPr>
            </w:pPr>
            <w:r>
              <w:rPr>
                <w:rFonts w:ascii="Arial" w:cs="Arial" w:eastAsia="Arial" w:hAnsi="Arial"/>
                <w:sz w:val="18"/>
                <w:szCs w:val="18"/>
                <w:b w:val="1"/>
                <w:bCs w:val="1"/>
                <w:color w:val="auto"/>
              </w:rPr>
              <w:t>82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240" w:type="dxa"/>
            <w:vAlign w:val="bottom"/>
            <w:gridSpan w:val="5"/>
          </w:tcPr>
          <w:p>
            <w:pPr>
              <w:jc w:val="right"/>
              <w:ind w:right="2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r>
      <w:tr>
        <w:trPr>
          <w:trHeight w:val="244"/>
        </w:trPr>
        <w:tc>
          <w:tcPr>
            <w:tcW w:w="8380" w:type="dxa"/>
            <w:vAlign w:val="bottom"/>
            <w:tcBorders>
              <w:bottom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rPr>
              <w:t>State</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36</w:t>
            </w:r>
          </w:p>
        </w:tc>
        <w:tc>
          <w:tcPr>
            <w:tcW w:w="22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900" w:type="dxa"/>
            <w:vAlign w:val="bottom"/>
            <w:tcBorders>
              <w:bottom w:val="single" w:sz="8" w:color="auto"/>
            </w:tcBorders>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r>
      <w:tr>
        <w:trPr>
          <w:trHeight w:val="236"/>
        </w:trPr>
        <w:tc>
          <w:tcPr>
            <w:tcW w:w="4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0"/>
                <w:szCs w:val="20"/>
                <w:color w:val="auto"/>
              </w:rPr>
            </w:pPr>
          </w:p>
        </w:tc>
      </w:tr>
      <w:tr>
        <w:trPr>
          <w:trHeight w:val="258"/>
        </w:trPr>
        <w:tc>
          <w:tcPr>
            <w:tcW w:w="83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Total Income Tax Provision</w:t>
            </w:r>
          </w:p>
        </w:tc>
        <w:tc>
          <w:tcPr>
            <w:tcW w:w="8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$2,637</w:t>
            </w:r>
          </w:p>
        </w:tc>
        <w:tc>
          <w:tcPr>
            <w:tcW w:w="22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$ 2,392</w:t>
            </w:r>
          </w:p>
        </w:tc>
        <w:tc>
          <w:tcPr>
            <w:tcW w:w="14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900" w:type="dxa"/>
            <w:vAlign w:val="bottom"/>
            <w:tcBorders>
              <w:bottom w:val="single" w:sz="8" w:color="auto"/>
            </w:tcBorders>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$ 1,898</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-2644775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-2644775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reasons for variations between the statutory federal rate and the effective rates for the years ended July 31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20" w:type="dxa"/>
            <w:vAlign w:val="bottom"/>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2004</w:t>
            </w:r>
          </w:p>
        </w:tc>
      </w:tr>
      <w:tr>
        <w:trPr>
          <w:trHeight w:val="238"/>
        </w:trPr>
        <w:tc>
          <w:tcPr>
            <w:tcW w:w="8620" w:type="dxa"/>
            <w:vAlign w:val="bottom"/>
            <w:shd w:val="clear" w:color="auto" w:fill="C0C0C0"/>
          </w:tcPr>
          <w:p>
            <w:pPr>
              <w:spacing w:after="0"/>
              <w:rPr>
                <w:sz w:val="20"/>
                <w:szCs w:val="20"/>
                <w:color w:val="auto"/>
              </w:rPr>
            </w:pPr>
            <w:r>
              <w:rPr>
                <w:rFonts w:ascii="Arial" w:cs="Arial" w:eastAsia="Arial" w:hAnsi="Arial"/>
                <w:sz w:val="18"/>
                <w:szCs w:val="18"/>
                <w:color w:val="auto"/>
              </w:rPr>
              <w:t>U.S. federal income tax rate</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34.0%</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34.0%</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34.0%</w:t>
            </w:r>
          </w:p>
        </w:tc>
      </w:tr>
      <w:tr>
        <w:trPr>
          <w:trHeight w:val="242"/>
        </w:trPr>
        <w:tc>
          <w:tcPr>
            <w:tcW w:w="8620" w:type="dxa"/>
            <w:vAlign w:val="bottom"/>
          </w:tcPr>
          <w:p>
            <w:pPr>
              <w:spacing w:after="0"/>
              <w:rPr>
                <w:sz w:val="20"/>
                <w:szCs w:val="20"/>
                <w:color w:val="auto"/>
              </w:rPr>
            </w:pPr>
            <w:r>
              <w:rPr>
                <w:rFonts w:ascii="Arial" w:cs="Arial" w:eastAsia="Arial" w:hAnsi="Arial"/>
                <w:sz w:val="18"/>
                <w:szCs w:val="18"/>
                <w:color w:val="auto"/>
              </w:rPr>
              <w:t>Depletion deductions allowed for mining</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(13.6)</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(11.7)</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(16.2)</w:t>
            </w:r>
          </w:p>
        </w:tc>
      </w:tr>
      <w:tr>
        <w:trPr>
          <w:trHeight w:val="244"/>
        </w:trPr>
        <w:tc>
          <w:tcPr>
            <w:tcW w:w="8620" w:type="dxa"/>
            <w:vAlign w:val="bottom"/>
            <w:shd w:val="clear" w:color="auto" w:fill="C0C0C0"/>
          </w:tcPr>
          <w:p>
            <w:pPr>
              <w:spacing w:after="0"/>
              <w:rPr>
                <w:sz w:val="20"/>
                <w:szCs w:val="20"/>
                <w:color w:val="auto"/>
              </w:rPr>
            </w:pPr>
            <w:r>
              <w:rPr>
                <w:rFonts w:ascii="Arial" w:cs="Arial" w:eastAsia="Arial" w:hAnsi="Arial"/>
                <w:sz w:val="18"/>
                <w:szCs w:val="18"/>
                <w:color w:val="auto"/>
              </w:rPr>
              <w:t>State income tax expense, net of federal tax expense</w:t>
            </w: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3.3</w:t>
            </w:r>
          </w:p>
        </w:tc>
        <w:tc>
          <w:tcPr>
            <w:tcW w:w="10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3.6</w:t>
            </w:r>
          </w:p>
        </w:tc>
        <w:tc>
          <w:tcPr>
            <w:tcW w:w="10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2.6</w:t>
            </w:r>
          </w:p>
        </w:tc>
      </w:tr>
      <w:tr>
        <w:trPr>
          <w:trHeight w:val="242"/>
        </w:trPr>
        <w:tc>
          <w:tcPr>
            <w:tcW w:w="8620" w:type="dxa"/>
            <w:vAlign w:val="bottom"/>
          </w:tcPr>
          <w:p>
            <w:pPr>
              <w:spacing w:after="0"/>
              <w:rPr>
                <w:sz w:val="20"/>
                <w:szCs w:val="20"/>
                <w:color w:val="auto"/>
              </w:rPr>
            </w:pPr>
            <w:r>
              <w:rPr>
                <w:rFonts w:ascii="Arial" w:cs="Arial" w:eastAsia="Arial" w:hAnsi="Arial"/>
                <w:sz w:val="18"/>
                <w:szCs w:val="18"/>
                <w:color w:val="auto"/>
              </w:rPr>
              <w:t>AMT</w:t>
            </w: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1.1</w:t>
            </w: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4.0</w:t>
            </w:r>
          </w:p>
        </w:tc>
      </w:tr>
      <w:tr>
        <w:trPr>
          <w:trHeight w:val="244"/>
        </w:trPr>
        <w:tc>
          <w:tcPr>
            <w:tcW w:w="8620" w:type="dxa"/>
            <w:vAlign w:val="bottom"/>
            <w:shd w:val="clear" w:color="auto" w:fill="C0C0C0"/>
          </w:tcPr>
          <w:p>
            <w:pPr>
              <w:spacing w:after="0"/>
              <w:rPr>
                <w:sz w:val="20"/>
                <w:szCs w:val="20"/>
                <w:color w:val="auto"/>
              </w:rPr>
            </w:pPr>
            <w:r>
              <w:rPr>
                <w:rFonts w:ascii="Arial" w:cs="Arial" w:eastAsia="Arial" w:hAnsi="Arial"/>
                <w:sz w:val="18"/>
                <w:szCs w:val="18"/>
                <w:color w:val="auto"/>
              </w:rPr>
              <w:t>Difference in effective tax rate of foreign subsidiaries</w:t>
            </w: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0.1</w:t>
            </w:r>
          </w:p>
        </w:tc>
        <w:tc>
          <w:tcPr>
            <w:tcW w:w="10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0.6</w:t>
            </w:r>
          </w:p>
        </w:tc>
        <w:tc>
          <w:tcPr>
            <w:tcW w:w="10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0.3</w:t>
            </w:r>
          </w:p>
        </w:tc>
      </w:tr>
      <w:tr>
        <w:trPr>
          <w:trHeight w:val="242"/>
        </w:trPr>
        <w:tc>
          <w:tcPr>
            <w:tcW w:w="8620" w:type="dxa"/>
            <w:vAlign w:val="bottom"/>
          </w:tcPr>
          <w:p>
            <w:pPr>
              <w:spacing w:after="0"/>
              <w:rPr>
                <w:sz w:val="20"/>
                <w:szCs w:val="20"/>
                <w:color w:val="auto"/>
              </w:rPr>
            </w:pPr>
            <w:r>
              <w:rPr>
                <w:rFonts w:ascii="Arial" w:cs="Arial" w:eastAsia="Arial" w:hAnsi="Arial"/>
                <w:sz w:val="18"/>
                <w:szCs w:val="18"/>
                <w:color w:val="auto"/>
              </w:rPr>
              <w:t>Empowerment zone credits</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(0.5)</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r>
      <w:tr>
        <w:trPr>
          <w:trHeight w:val="244"/>
        </w:trPr>
        <w:tc>
          <w:tcPr>
            <w:tcW w:w="8620" w:type="dxa"/>
            <w:vAlign w:val="bottom"/>
            <w:shd w:val="clear" w:color="auto" w:fill="C0C0C0"/>
          </w:tcPr>
          <w:p>
            <w:pPr>
              <w:spacing w:after="0"/>
              <w:rPr>
                <w:sz w:val="20"/>
                <w:szCs w:val="20"/>
                <w:color w:val="auto"/>
              </w:rPr>
            </w:pPr>
            <w:r>
              <w:rPr>
                <w:rFonts w:ascii="Arial" w:cs="Arial" w:eastAsia="Arial" w:hAnsi="Arial"/>
                <w:sz w:val="18"/>
                <w:szCs w:val="18"/>
                <w:color w:val="auto"/>
              </w:rPr>
              <w:t>Remitted foreign earnings</w:t>
            </w: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6.6</w:t>
            </w:r>
          </w:p>
        </w:tc>
        <w:tc>
          <w:tcPr>
            <w:tcW w:w="1000" w:type="dxa"/>
            <w:vAlign w:val="bottom"/>
            <w:gridSpan w:val="2"/>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3.0</w:t>
            </w:r>
          </w:p>
        </w:tc>
      </w:tr>
      <w:tr>
        <w:trPr>
          <w:trHeight w:val="243"/>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0.8</w:t>
            </w:r>
          </w:p>
        </w:tc>
      </w:tr>
      <w:tr>
        <w:trPr>
          <w:trHeight w:val="257"/>
        </w:trPr>
        <w:tc>
          <w:tcPr>
            <w:tcW w:w="862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33.4%</w:t>
            </w:r>
          </w:p>
        </w:tc>
        <w:tc>
          <w:tcPr>
            <w:tcW w:w="220" w:type="dxa"/>
            <w:vAlign w:val="bottom"/>
            <w:tcBorders>
              <w:bottom w:val="single" w:sz="8" w:color="C0C0C0"/>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0C0C0"/>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27.4%</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Balance Sheets as of July 31 included the following tax effects of cumulative temporary differences: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8"/>
                <w:szCs w:val="18"/>
                <w:color w:val="auto"/>
                <w:w w:val="99"/>
              </w:rPr>
              <w:t>2005</w:t>
            </w:r>
          </w:p>
        </w:tc>
      </w:tr>
      <w:tr>
        <w:trPr>
          <w:trHeight w:val="237"/>
        </w:trPr>
        <w:tc>
          <w:tcPr>
            <w:tcW w:w="716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Assets</w:t>
            </w: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Liabilities</w:t>
            </w:r>
          </w:p>
        </w:tc>
      </w:tr>
      <w:tr>
        <w:trPr>
          <w:trHeight w:val="237"/>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4"/>
        </w:trPr>
        <w:tc>
          <w:tcPr>
            <w:tcW w:w="7160" w:type="dxa"/>
            <w:vAlign w:val="bottom"/>
            <w:shd w:val="clear" w:color="auto" w:fill="C0C0C0"/>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$ 1,026</w:t>
            </w:r>
          </w:p>
        </w:tc>
        <w:tc>
          <w:tcPr>
            <w:tcW w:w="4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0C0C0"/>
          </w:tcPr>
          <w:p>
            <w:pPr>
              <w:jc w:val="right"/>
              <w:ind w:right="132"/>
              <w:spacing w:after="0"/>
              <w:rPr>
                <w:sz w:val="20"/>
                <w:szCs w:val="20"/>
                <w:color w:val="auto"/>
              </w:rPr>
            </w:pPr>
            <w:r>
              <w:rPr>
                <w:rFonts w:ascii="Arial" w:cs="Arial" w:eastAsia="Arial" w:hAnsi="Arial"/>
                <w:sz w:val="18"/>
                <w:szCs w:val="18"/>
                <w:color w:val="auto"/>
              </w:rPr>
              <w:t>$   851</w:t>
            </w:r>
          </w:p>
        </w:tc>
      </w:tr>
      <w:tr>
        <w:trPr>
          <w:trHeight w:val="242"/>
        </w:trPr>
        <w:tc>
          <w:tcPr>
            <w:tcW w:w="7160" w:type="dxa"/>
            <w:vAlign w:val="bottom"/>
          </w:tcPr>
          <w:p>
            <w:pPr>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8"/>
              </w:rPr>
              <w:t>1,742</w:t>
            </w:r>
          </w:p>
        </w:tc>
        <w:tc>
          <w:tcPr>
            <w:tcW w:w="124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1,623</w:t>
            </w:r>
          </w:p>
        </w:tc>
        <w:tc>
          <w:tcPr>
            <w:tcW w:w="124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r>
      <w:tr>
        <w:trPr>
          <w:trHeight w:val="244"/>
        </w:trPr>
        <w:tc>
          <w:tcPr>
            <w:tcW w:w="7160" w:type="dxa"/>
            <w:vAlign w:val="bottom"/>
            <w:shd w:val="clear" w:color="auto" w:fill="C0C0C0"/>
          </w:tcPr>
          <w:p>
            <w:pPr>
              <w:spacing w:after="0"/>
              <w:rPr>
                <w:sz w:val="20"/>
                <w:szCs w:val="20"/>
                <w:color w:val="auto"/>
              </w:rPr>
            </w:pPr>
            <w:r>
              <w:rPr>
                <w:rFonts w:ascii="Arial" w:cs="Arial" w:eastAsia="Arial" w:hAnsi="Arial"/>
                <w:sz w:val="18"/>
                <w:szCs w:val="18"/>
                <w:color w:val="auto"/>
              </w:rPr>
              <w:t>Postretirement benefits</w:t>
            </w: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269</w:t>
            </w:r>
          </w:p>
        </w:tc>
        <w:tc>
          <w:tcPr>
            <w:tcW w:w="1240" w:type="dxa"/>
            <w:vAlign w:val="bottom"/>
            <w:gridSpan w:val="3"/>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w:t>
            </w:r>
          </w:p>
        </w:tc>
        <w:tc>
          <w:tcPr>
            <w:tcW w:w="1240" w:type="dxa"/>
            <w:vAlign w:val="bottom"/>
            <w:gridSpan w:val="3"/>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r>
      <w:tr>
        <w:trPr>
          <w:trHeight w:val="242"/>
        </w:trPr>
        <w:tc>
          <w:tcPr>
            <w:tcW w:w="71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24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w:t>
            </w:r>
          </w:p>
        </w:tc>
        <w:tc>
          <w:tcPr>
            <w:tcW w:w="124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r>
      <w:tr>
        <w:trPr>
          <w:trHeight w:val="244"/>
        </w:trPr>
        <w:tc>
          <w:tcPr>
            <w:tcW w:w="716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317</w:t>
            </w:r>
          </w:p>
        </w:tc>
        <w:tc>
          <w:tcPr>
            <w:tcW w:w="1240" w:type="dxa"/>
            <w:vAlign w:val="bottom"/>
            <w:gridSpan w:val="3"/>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454</w:t>
            </w:r>
          </w:p>
        </w:tc>
        <w:tc>
          <w:tcPr>
            <w:tcW w:w="1240" w:type="dxa"/>
            <w:vAlign w:val="bottom"/>
            <w:gridSpan w:val="3"/>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r>
      <w:tr>
        <w:trPr>
          <w:trHeight w:val="242"/>
        </w:trPr>
        <w:tc>
          <w:tcPr>
            <w:tcW w:w="71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8"/>
              </w:rPr>
              <w:t>1,223</w:t>
            </w:r>
          </w:p>
        </w:tc>
        <w:tc>
          <w:tcPr>
            <w:tcW w:w="124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124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r>
      <w:tr>
        <w:trPr>
          <w:trHeight w:val="244"/>
        </w:trPr>
        <w:tc>
          <w:tcPr>
            <w:tcW w:w="7160" w:type="dxa"/>
            <w:vAlign w:val="bottom"/>
            <w:shd w:val="clear" w:color="auto" w:fill="C0C0C0"/>
          </w:tcPr>
          <w:p>
            <w:pPr>
              <w:spacing w:after="0"/>
              <w:rPr>
                <w:sz w:val="20"/>
                <w:szCs w:val="20"/>
                <w:color w:val="auto"/>
              </w:rPr>
            </w:pPr>
            <w:r>
              <w:rPr>
                <w:rFonts w:ascii="Arial" w:cs="Arial" w:eastAsia="Arial" w:hAnsi="Arial"/>
                <w:sz w:val="18"/>
                <w:szCs w:val="18"/>
                <w:color w:val="auto"/>
              </w:rPr>
              <w:t>Tax credits</w:t>
            </w: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88"/>
              </w:rPr>
              <w:t>2,654</w:t>
            </w:r>
          </w:p>
        </w:tc>
        <w:tc>
          <w:tcPr>
            <w:tcW w:w="1240" w:type="dxa"/>
            <w:vAlign w:val="bottom"/>
            <w:gridSpan w:val="3"/>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2,470</w:t>
            </w:r>
          </w:p>
        </w:tc>
        <w:tc>
          <w:tcPr>
            <w:tcW w:w="1240" w:type="dxa"/>
            <w:vAlign w:val="bottom"/>
            <w:gridSpan w:val="3"/>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r>
      <w:tr>
        <w:trPr>
          <w:trHeight w:val="280"/>
        </w:trPr>
        <w:tc>
          <w:tcPr>
            <w:tcW w:w="71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0C0C0"/>
            </w:tcBorders>
            <w:gridSpan w:val="3"/>
          </w:tcPr>
          <w:p>
            <w:pPr>
              <w:jc w:val="right"/>
              <w:ind w:right="132"/>
              <w:spacing w:after="0"/>
              <w:rPr>
                <w:sz w:val="20"/>
                <w:szCs w:val="20"/>
                <w:color w:val="auto"/>
              </w:rPr>
            </w:pPr>
            <w:r>
              <w:rPr>
                <w:rFonts w:ascii="Arial" w:cs="Arial" w:eastAsia="Arial" w:hAnsi="Arial"/>
                <w:sz w:val="18"/>
                <w:szCs w:val="18"/>
                <w:b w:val="1"/>
                <w:bCs w:val="1"/>
                <w:color w:val="auto"/>
              </w:rPr>
              <w:t>360</w:t>
            </w:r>
          </w:p>
        </w:tc>
        <w:tc>
          <w:tcPr>
            <w:tcW w:w="2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206</w:t>
            </w:r>
          </w:p>
        </w:tc>
        <w:tc>
          <w:tcPr>
            <w:tcW w:w="1240" w:type="dxa"/>
            <w:vAlign w:val="bottom"/>
            <w:tcBorders>
              <w:bottom w:val="single" w:sz="8" w:color="C0C0C0"/>
            </w:tcBorders>
            <w:gridSpan w:val="3"/>
          </w:tcPr>
          <w:p>
            <w:pPr>
              <w:jc w:val="right"/>
              <w:ind w:right="192"/>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40"/>
          </w:cols>
          <w:pgMar w:left="240" w:top="131" w:right="21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Inventories</w:t>
            </w:r>
          </w:p>
        </w:tc>
        <w:tc>
          <w:tcPr>
            <w:tcW w:w="372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113</w:t>
            </w:r>
          </w:p>
        </w:tc>
        <w:tc>
          <w:tcPr>
            <w:tcW w:w="110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112</w:t>
            </w:r>
          </w:p>
        </w:tc>
        <w:tc>
          <w:tcPr>
            <w:tcW w:w="110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r>
      <w:tr>
        <w:trPr>
          <w:trHeight w:val="242"/>
        </w:trPr>
        <w:tc>
          <w:tcPr>
            <w:tcW w:w="4340" w:type="dxa"/>
            <w:vAlign w:val="bottom"/>
          </w:tcPr>
          <w:p>
            <w:pPr>
              <w:spacing w:after="0"/>
              <w:rPr>
                <w:sz w:val="20"/>
                <w:szCs w:val="20"/>
                <w:color w:val="auto"/>
              </w:rPr>
            </w:pPr>
            <w:r>
              <w:rPr>
                <w:rFonts w:ascii="Arial" w:cs="Arial" w:eastAsia="Arial" w:hAnsi="Arial"/>
                <w:sz w:val="18"/>
                <w:szCs w:val="18"/>
                <w:color w:val="auto"/>
              </w:rPr>
              <w:t>Depletion</w:t>
            </w:r>
          </w:p>
        </w:tc>
        <w:tc>
          <w:tcPr>
            <w:tcW w:w="37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382</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763</w:t>
            </w:r>
          </w:p>
        </w:tc>
      </w:tr>
      <w:tr>
        <w:trPr>
          <w:trHeight w:val="244"/>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Stock compensation expense</w:t>
            </w:r>
          </w:p>
        </w:tc>
        <w:tc>
          <w:tcPr>
            <w:tcW w:w="372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132</w:t>
            </w:r>
          </w:p>
        </w:tc>
        <w:tc>
          <w:tcPr>
            <w:tcW w:w="110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r>
      <w:tr>
        <w:trPr>
          <w:trHeight w:val="242"/>
        </w:trPr>
        <w:tc>
          <w:tcPr>
            <w:tcW w:w="4340" w:type="dxa"/>
            <w:vAlign w:val="bottom"/>
          </w:tcPr>
          <w:p>
            <w:pPr>
              <w:spacing w:after="0"/>
              <w:rPr>
                <w:sz w:val="20"/>
                <w:szCs w:val="20"/>
                <w:color w:val="auto"/>
              </w:rPr>
            </w:pPr>
            <w:r>
              <w:rPr>
                <w:rFonts w:ascii="Arial" w:cs="Arial" w:eastAsia="Arial" w:hAnsi="Arial"/>
                <w:sz w:val="18"/>
                <w:szCs w:val="18"/>
                <w:color w:val="auto"/>
              </w:rPr>
              <w:t>Unremitted earnings of foreign subsidiaries</w:t>
            </w:r>
          </w:p>
        </w:tc>
        <w:tc>
          <w:tcPr>
            <w:tcW w:w="37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210</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210</w:t>
            </w:r>
          </w:p>
        </w:tc>
      </w:tr>
      <w:tr>
        <w:trPr>
          <w:trHeight w:val="244"/>
        </w:trPr>
        <w:tc>
          <w:tcPr>
            <w:tcW w:w="43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assets – foreign</w:t>
            </w:r>
          </w:p>
        </w:tc>
        <w:tc>
          <w:tcPr>
            <w:tcW w:w="2820" w:type="dxa"/>
            <w:vAlign w:val="bottom"/>
            <w:tcBorders>
              <w:bottom w:val="single" w:sz="8" w:color="C0C0C0"/>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154</w:t>
            </w:r>
          </w:p>
        </w:tc>
        <w:tc>
          <w:tcPr>
            <w:tcW w:w="200" w:type="dxa"/>
            <w:vAlign w:val="bottom"/>
            <w:tcBorders>
              <w:bottom w:val="single" w:sz="8" w:color="C0C0C0"/>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0C0C0"/>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72</w:t>
            </w:r>
          </w:p>
        </w:tc>
      </w:tr>
      <w:tr>
        <w:trPr>
          <w:trHeight w:val="236"/>
        </w:trPr>
        <w:tc>
          <w:tcPr>
            <w:tcW w:w="4340" w:type="dxa"/>
            <w:vAlign w:val="bottom"/>
          </w:tcPr>
          <w:p>
            <w:pPr>
              <w:spacing w:after="0"/>
              <w:rPr>
                <w:sz w:val="20"/>
                <w:szCs w:val="20"/>
                <w:color w:val="auto"/>
              </w:rPr>
            </w:pPr>
          </w:p>
        </w:tc>
        <w:tc>
          <w:tcPr>
            <w:tcW w:w="37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6,836</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2,132</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6,614</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1,896</w:t>
            </w:r>
          </w:p>
        </w:tc>
      </w:tr>
      <w:tr>
        <w:trPr>
          <w:trHeight w:val="244"/>
        </w:trPr>
        <w:tc>
          <w:tcPr>
            <w:tcW w:w="43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Valuation allowance</w:t>
            </w:r>
          </w:p>
        </w:tc>
        <w:tc>
          <w:tcPr>
            <w:tcW w:w="2820" w:type="dxa"/>
            <w:vAlign w:val="bottom"/>
            <w:tcBorders>
              <w:bottom w:val="single" w:sz="8" w:color="C0C0C0"/>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(1,831)</w:t>
            </w:r>
          </w:p>
        </w:tc>
        <w:tc>
          <w:tcPr>
            <w:tcW w:w="220" w:type="dxa"/>
            <w:vAlign w:val="bottom"/>
            <w:tcBorders>
              <w:bottom w:val="single" w:sz="8" w:color="C0C0C0"/>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0C0C0"/>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(1,784)</w:t>
            </w:r>
          </w:p>
        </w:tc>
        <w:tc>
          <w:tcPr>
            <w:tcW w:w="200" w:type="dxa"/>
            <w:vAlign w:val="bottom"/>
            <w:tcBorders>
              <w:bottom w:val="single" w:sz="8" w:color="C0C0C0"/>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Total deferred taxes</w:t>
            </w:r>
          </w:p>
        </w:tc>
        <w:tc>
          <w:tcPr>
            <w:tcW w:w="3720" w:type="dxa"/>
            <w:vAlign w:val="bottom"/>
            <w:gridSpan w:val="2"/>
          </w:tcPr>
          <w:p>
            <w:pPr>
              <w:jc w:val="right"/>
              <w:ind w:right="13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5,005</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$ 2,132</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  4,830</w:t>
            </w: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$ 1,896</w:t>
            </w:r>
          </w:p>
        </w:tc>
      </w:tr>
      <w:tr>
        <w:trPr>
          <w:trHeight w:val="673"/>
        </w:trPr>
        <w:tc>
          <w:tcPr>
            <w:tcW w:w="4340" w:type="dxa"/>
            <w:vAlign w:val="bottom"/>
          </w:tcPr>
          <w:p>
            <w:pPr>
              <w:spacing w:after="0"/>
              <w:rPr>
                <w:sz w:val="24"/>
                <w:szCs w:val="24"/>
                <w:color w:val="auto"/>
              </w:rPr>
            </w:pPr>
          </w:p>
        </w:tc>
        <w:tc>
          <w:tcPr>
            <w:tcW w:w="2820" w:type="dxa"/>
            <w:vAlign w:val="bottom"/>
          </w:tcPr>
          <w:p>
            <w:pPr>
              <w:jc w:val="right"/>
              <w:ind w:right="1272"/>
              <w:spacing w:after="0"/>
              <w:rPr>
                <w:sz w:val="20"/>
                <w:szCs w:val="20"/>
                <w:color w:val="auto"/>
              </w:rPr>
            </w:pPr>
            <w:r>
              <w:rPr>
                <w:rFonts w:ascii="Arial" w:cs="Arial" w:eastAsia="Arial" w:hAnsi="Arial"/>
                <w:sz w:val="18"/>
                <w:szCs w:val="18"/>
                <w:color w:val="auto"/>
              </w:rPr>
              <w:t>52</w:t>
            </w: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 (CONTINUED)</w:t>
      </w:r>
    </w:p>
    <w:p>
      <w:pPr>
        <w:spacing w:after="0" w:line="24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As of July 31, 2006, for federal income tax purposes there were alternative minimum tax credit carryforwards of approximately $2,346,000. A valuation allowance has been established for $1,831,000 of the deferred tax benefit related to the AMT tax credits since it is more likely than not that the benefit will not be realized. The alternative minimum tax credit carryforwards of $2,346,000 can be carried forward indefinitely or until utilized.</w:t>
      </w:r>
    </w:p>
    <w:p>
      <w:pPr>
        <w:spacing w:after="0" w:line="188"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Historically no provision had been made for possible income taxes which may be paid on the distribution of untaxed earnings of foreign subsidiaries of approximately $3,700,000, $8,000,000 and $7,500,000 as of July 31, 2006, 2005 and 2004, respectively. No provision was required as substantially all such amounts were intended to be indefinitely invested in the subsidiaries or to be handled in such a way that no additional income taxes would be incurred when such earnings are distributed. In 2004, a $210,000 tax expense was recorded on certain unremitted earnings of the foreign subsidiary in Switzerland. This charge was taken to reflect the estimated potential impact of repatriating certain cash balances held by that subsidiary.</w:t>
      </w:r>
    </w:p>
    <w:p>
      <w:pPr>
        <w:spacing w:after="0" w:line="197"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phase-out of the existing extra-territorial income exclusion (ETI) for foreign sales that was viewed to be inconsistent with international trade protocols by the European Union. We have implemented this provision effective July 31, 2006.</w:t>
      </w:r>
    </w:p>
    <w:p>
      <w:pPr>
        <w:spacing w:after="0" w:line="224"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Also, the Act creates a temporary incentive for U.S. corporations to repatriate accumulated income earned abroad by providing an 85% dividends received deduction for certain dividends from controlled foreign corporations. During fiscal 2006, we had a plan to repatriate untaxed earnings from our foreign subsidiaries. During the year we repatriated approximately $4,600,000 from our Swiss subsidiary. We recorded total additional tax expense relating to the repatriation of $735,000 (net of foreign tax credits), of which $525,000 was recorded in fiscal 2006 and $210,000 was recorded in fiscal 2004. This additional tax increased our effective tax rate in fiscal 2006 to 33.4% of pre-tax income versus 26.8% in fiscal 2005.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49" w:lineRule="exact"/>
        <w:rPr>
          <w:sz w:val="20"/>
          <w:szCs w:val="20"/>
          <w:color w:val="auto"/>
        </w:rPr>
      </w:pPr>
    </w:p>
    <w:p>
      <w:pPr>
        <w:jc w:val="both"/>
        <w:ind w:firstLine="284"/>
        <w:spacing w:after="0" w:line="332" w:lineRule="auto"/>
        <w:rPr>
          <w:sz w:val="20"/>
          <w:szCs w:val="20"/>
          <w:color w:val="auto"/>
        </w:rPr>
      </w:pPr>
      <w:r>
        <w:rPr>
          <w:rFonts w:ascii="Arial" w:cs="Arial" w:eastAsia="Arial" w:hAnsi="Arial"/>
          <w:sz w:val="16"/>
          <w:szCs w:val="16"/>
          <w:color w:val="auto"/>
        </w:rPr>
        <w:t>Our authorized capital stock at July 31, 2006 and 2005 consisted of 15,000,000 shares of Common Stock, 7,000,000 shares of Class B Stock and 30,000,000 shares of Class A Common Stock, each with a par value of $.10 per share. There are no Class A shares currently outstanding.</w:t>
      </w:r>
    </w:p>
    <w:p>
      <w:pPr>
        <w:spacing w:after="0" w:line="166"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On June 6, 2006, the Board announced a five-for-four stock split, to be effected by a stock dividend of one-quarter share for each outstanding share of Common Stock and Class B Stock. The stock dividend was paid on September 8, 2006 to stockholders of record at the close of business on August 4, 2006. Except where otherwise noted, all share, per share and balance sheet values for all years presented have been restated to reflect the stock split.</w:t>
      </w:r>
    </w:p>
    <w:p>
      <w:pPr>
        <w:spacing w:after="0" w:line="188"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share-for-share basis into Common Stock at any time and is subject to mandatory conversion under certain circumstances.</w:t>
      </w:r>
    </w:p>
    <w:p>
      <w:pPr>
        <w:spacing w:after="0" w:line="197"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Common Stock is entitled to cash dividends, as and when declared or paid, equal to at least 133 1/3%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 1/3% of the sum of the per share cash dividend paid on Class B Stock and Class A Common Stock. See Note 4 of the Notes to the Consolidated Financial Statements regarding dividend restrictions.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 (CONTINUED)</w:t>
      </w:r>
    </w:p>
    <w:p>
      <w:pPr>
        <w:spacing w:after="0" w:line="249"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The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22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Our Board of Directors has authorized the repurchase of 2,916,771 shares of the Company stock. As of July 31, 2006, 2,158,058 shares of Common Stock and 342,241 shares of Class B stock have been repurchased under the Board approved repurchase authorizations and 146,545 shares of Common Stock by other transactions authorized by management prior to the adoption of this plan. The number of shares to be repurchased under Board authorization is not affected by the stock split described below; therefore, the number of shares has not been restated.</w:t>
      </w:r>
    </w:p>
    <w:p>
      <w:pPr>
        <w:sectPr>
          <w:pgSz w:w="11900" w:h="16838" w:orient="portrait"/>
          <w:cols w:equalWidth="0" w:num="1">
            <w:col w:w="11420"/>
          </w:cols>
          <w:pgMar w:left="240" w:top="140" w:right="239" w:bottom="0" w:gutter="0" w:footer="0" w:header="0"/>
        </w:sectPr>
      </w:pPr>
    </w:p>
    <w:bookmarkStart w:id="34" w:name="page35"/>
    <w:bookmarkEnd w:id="34"/>
    <w:p>
      <w:pPr>
        <w:spacing w:after="0" w:line="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number of holders of record of Common Stock and Class B stock on September 29, 2006 were 747 and 33, respectively, as reported by our transfer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New York Stock Exchange. There is no established trading market for the Class B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BASED COMPENSATION</w:t>
      </w:r>
    </w:p>
    <w:p>
      <w:pPr>
        <w:spacing w:after="0" w:line="249"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In December 2004, the FASB issued Statement of Financial Accounting Standards (“SFAS”) No. 123 (revised 2004), “Share-Based Payments” (“FAS 123-R”), effective for the first reporting period which begins after June 15, 2005. This statement is a revision of SFAS No. 123, “Accounting for Stock-Based Compensation” and supersedes APB Opinion No. 25, Accounting for Stock Issued to Employees. This revised statement eliminates the alternative to use the intrinsic value method of accounting that was provided in SFAS 123, which generally resulted in no compensation expense recorded in the financial statements related to the issuance of stock option awards to employees. FAS 123-R requires all companies to apply a fair-value-based measurement method in accounting for generally all share-based payment transactions with employees and requires the resulting cost to be recognized in the financial statements.</w:t>
      </w:r>
    </w:p>
    <w:p>
      <w:pPr>
        <w:spacing w:after="0" w:line="201"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On August 1, 2005 we adopted FAS 123-R using a modified prospective application. Accordingly, prior period amounts have not been restated. Under this application, we are required to record compensation expense for all awards granted after the date of adoption and for the unvested portion of previously granted awards that remain outstanding at the date of adoption.</w:t>
      </w:r>
    </w:p>
    <w:p>
      <w:pPr>
        <w:spacing w:after="0" w:line="22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Prior to the adoption of FAS 123-R, we applied APB 25 to account for stock-based awards. Under APB 25, we only recorded stock-based compensation expense for restricted stock. Under the provisions of APB 25, we were not required to recognize compensation expense for the cost of stock options. Beginning with the 2006 fiscal year, with the adoption of FAS 123-R, we recorded stock-based compensation expense for the cost of stock options and restricted stock (together, “Employee Stock-Based Awards”). Stock-based compensation expense for fiscal 2006 was $451,000 ($330,000 after tax). The effect on basic and diluted earnings per share was approximately $0.05 per share.</w:t>
      </w:r>
    </w:p>
    <w:p>
      <w:pPr>
        <w:spacing w:after="0" w:line="224"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FAS 123-R requires that stock based compensation be recognized over the period from the date of grant to the date when the award is no longer contingent on the employee providing additional service to the company. Certain employees are eligible for accelerated vesting in accordance with the terms of our plans if they retire with 17 years of continuous service and are at least 55 years old and their age plus years of service equals 80. Any unamortized expense would be recognized immediately when the employee meets these criteria.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BASED COMPENSATION (CONTINUED)</w:t>
      </w:r>
    </w:p>
    <w:p>
      <w:pPr>
        <w:spacing w:after="0" w:line="249"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The following table details the effect on net income and earnings per share if compensation expense for the stock plans had been recorded based on the fair value method under FAS 123-R for all years presented. The reported and pro forma net income and earnings per share for fiscal 2006 in the table below are the same since stock-based compensation expense is calculated under the provisions of FAS 123-R. These amounts are included only for a basis of comparison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0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Year Ended</w:t>
            </w:r>
          </w:p>
        </w:tc>
        <w:tc>
          <w:tcPr>
            <w:tcW w:w="940" w:type="dxa"/>
            <w:vAlign w:val="bottom"/>
            <w:tcBorders>
              <w:bottom w:val="single" w:sz="8" w:color="auto"/>
            </w:tcBorders>
          </w:tcPr>
          <w:p>
            <w:pPr>
              <w:spacing w:after="0"/>
              <w:rPr>
                <w:sz w:val="20"/>
                <w:szCs w:val="20"/>
                <w:color w:val="auto"/>
              </w:rPr>
            </w:pPr>
          </w:p>
        </w:tc>
      </w:tr>
      <w:tr>
        <w:trPr>
          <w:trHeight w:val="241"/>
        </w:trPr>
        <w:tc>
          <w:tcPr>
            <w:tcW w:w="5020" w:type="dxa"/>
            <w:vAlign w:val="bottom"/>
          </w:tcPr>
          <w:p>
            <w:pPr>
              <w:ind w:left="280"/>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4"/>
        </w:trPr>
        <w:tc>
          <w:tcPr>
            <w:tcW w:w="50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except per share data)</w:t>
            </w:r>
          </w:p>
        </w:tc>
        <w:tc>
          <w:tcPr>
            <w:tcW w:w="27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2005</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2004</w:t>
            </w:r>
          </w:p>
        </w:tc>
      </w:tr>
      <w:tr>
        <w:trPr>
          <w:trHeight w:val="236"/>
        </w:trPr>
        <w:tc>
          <w:tcPr>
            <w:tcW w:w="5020" w:type="dxa"/>
            <w:vAlign w:val="bottom"/>
          </w:tcPr>
          <w:p>
            <w:pPr>
              <w:ind w:left="280"/>
              <w:spacing w:after="0"/>
              <w:rPr>
                <w:sz w:val="20"/>
                <w:szCs w:val="20"/>
                <w:color w:val="auto"/>
              </w:rPr>
            </w:pPr>
            <w:r>
              <w:rPr>
                <w:rFonts w:ascii="Arial" w:cs="Arial" w:eastAsia="Arial" w:hAnsi="Arial"/>
                <w:sz w:val="18"/>
                <w:szCs w:val="18"/>
                <w:color w:val="auto"/>
              </w:rPr>
              <w:t>Reported net income</w:t>
            </w:r>
          </w:p>
        </w:tc>
        <w:tc>
          <w:tcPr>
            <w:tcW w:w="2740" w:type="dxa"/>
            <w:vAlign w:val="bottom"/>
          </w:tcPr>
          <w:p>
            <w:pPr>
              <w:jc w:val="right"/>
              <w:ind w:right="332"/>
              <w:spacing w:after="0"/>
              <w:rPr>
                <w:sz w:val="20"/>
                <w:szCs w:val="20"/>
                <w:color w:val="auto"/>
              </w:rPr>
            </w:pPr>
            <w:r>
              <w:rPr>
                <w:rFonts w:ascii="Arial" w:cs="Arial" w:eastAsia="Arial" w:hAnsi="Arial"/>
                <w:sz w:val="18"/>
                <w:szCs w:val="18"/>
                <w:b w:val="1"/>
                <w:bCs w:val="1"/>
                <w:color w:val="auto"/>
              </w:rPr>
              <w:t>$5,259</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$6,540</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$5,033</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Add: Total stock-based</w:t>
            </w:r>
          </w:p>
        </w:tc>
        <w:tc>
          <w:tcPr>
            <w:tcW w:w="2740" w:type="dxa"/>
            <w:vAlign w:val="bottom"/>
          </w:tcPr>
          <w:p>
            <w:pPr>
              <w:jc w:val="right"/>
              <w:ind w:right="332"/>
              <w:spacing w:after="0"/>
              <w:rPr>
                <w:sz w:val="20"/>
                <w:szCs w:val="20"/>
                <w:color w:val="auto"/>
              </w:rPr>
            </w:pPr>
            <w:r>
              <w:rPr>
                <w:rFonts w:ascii="Arial" w:cs="Arial" w:eastAsia="Arial" w:hAnsi="Arial"/>
                <w:sz w:val="18"/>
                <w:szCs w:val="18"/>
                <w:b w:val="1"/>
                <w:bCs w:val="1"/>
                <w:color w:val="auto"/>
              </w:rPr>
              <w:t>330</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16</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employee compensation expense</w:t>
            </w: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included in reported net income,</w:t>
            </w: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net of related tax effects</w:t>
            </w: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Deduct: Total stock-based</w:t>
            </w:r>
          </w:p>
        </w:tc>
        <w:tc>
          <w:tcPr>
            <w:tcW w:w="2740" w:type="dxa"/>
            <w:vAlign w:val="bottom"/>
          </w:tcPr>
          <w:p>
            <w:pPr>
              <w:jc w:val="right"/>
              <w:ind w:right="272"/>
              <w:spacing w:after="0"/>
              <w:rPr>
                <w:sz w:val="20"/>
                <w:szCs w:val="20"/>
                <w:color w:val="auto"/>
              </w:rPr>
            </w:pPr>
            <w:r>
              <w:rPr>
                <w:rFonts w:ascii="Arial" w:cs="Arial" w:eastAsia="Arial" w:hAnsi="Arial"/>
                <w:sz w:val="18"/>
                <w:szCs w:val="18"/>
                <w:b w:val="1"/>
                <w:bCs w:val="1"/>
                <w:color w:val="auto"/>
              </w:rPr>
              <w:t>(330)</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(341)</w:t>
            </w: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employee compensation expense</w:t>
            </w: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determined under fair value</w:t>
            </w: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method for all awards</w:t>
            </w:r>
          </w:p>
        </w:tc>
        <w:tc>
          <w:tcPr>
            <w:tcW w:w="2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4"/>
        </w:trPr>
        <w:tc>
          <w:tcPr>
            <w:tcW w:w="5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net of related tax effects</w:t>
            </w:r>
          </w:p>
        </w:tc>
        <w:tc>
          <w:tcPr>
            <w:tcW w:w="27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37"/>
        </w:trPr>
        <w:tc>
          <w:tcPr>
            <w:tcW w:w="5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Pro forma net income</w:t>
            </w:r>
          </w:p>
        </w:tc>
        <w:tc>
          <w:tcPr>
            <w:tcW w:w="2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$5,259</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$6,215</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$4,732</w:t>
            </w:r>
          </w:p>
        </w:tc>
      </w:tr>
      <w:tr>
        <w:trPr>
          <w:trHeight w:val="236"/>
        </w:trPr>
        <w:tc>
          <w:tcPr>
            <w:tcW w:w="5020" w:type="dxa"/>
            <w:vAlign w:val="bottom"/>
          </w:tcPr>
          <w:p>
            <w:pPr>
              <w:ind w:left="280"/>
              <w:spacing w:after="0"/>
              <w:rPr>
                <w:sz w:val="20"/>
                <w:szCs w:val="20"/>
                <w:color w:val="auto"/>
              </w:rPr>
            </w:pPr>
            <w:r>
              <w:rPr>
                <w:rFonts w:ascii="Arial" w:cs="Arial" w:eastAsia="Arial" w:hAnsi="Arial"/>
                <w:sz w:val="18"/>
                <w:szCs w:val="18"/>
                <w:color w:val="auto"/>
              </w:rPr>
              <w:t>Earnings per share:</w:t>
            </w:r>
          </w:p>
        </w:tc>
        <w:tc>
          <w:tcPr>
            <w:tcW w:w="2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5020" w:type="dxa"/>
            <w:vAlign w:val="bottom"/>
          </w:tcPr>
          <w:p>
            <w:pPr>
              <w:ind w:left="540"/>
              <w:spacing w:after="0"/>
              <w:rPr>
                <w:sz w:val="20"/>
                <w:szCs w:val="20"/>
                <w:color w:val="auto"/>
              </w:rPr>
            </w:pPr>
            <w:r>
              <w:rPr>
                <w:rFonts w:ascii="Arial" w:cs="Arial" w:eastAsia="Arial" w:hAnsi="Arial"/>
                <w:sz w:val="18"/>
                <w:szCs w:val="18"/>
                <w:color w:val="auto"/>
              </w:rPr>
              <w:t>Basic Common – as reported</w:t>
            </w:r>
          </w:p>
        </w:tc>
        <w:tc>
          <w:tcPr>
            <w:tcW w:w="2740" w:type="dxa"/>
            <w:vAlign w:val="bottom"/>
          </w:tcPr>
          <w:p>
            <w:pPr>
              <w:jc w:val="right"/>
              <w:ind w:right="332"/>
              <w:spacing w:after="0"/>
              <w:rPr>
                <w:sz w:val="20"/>
                <w:szCs w:val="20"/>
                <w:color w:val="auto"/>
              </w:rPr>
            </w:pPr>
            <w:r>
              <w:rPr>
                <w:rFonts w:ascii="Arial" w:cs="Arial" w:eastAsia="Arial" w:hAnsi="Arial"/>
                <w:sz w:val="18"/>
                <w:szCs w:val="18"/>
                <w:b w:val="1"/>
                <w:bCs w:val="1"/>
                <w:color w:val="auto"/>
              </w:rPr>
              <w:t>$0.83</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$1.02</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$0.79</w:t>
            </w:r>
          </w:p>
        </w:tc>
      </w:tr>
      <w:tr>
        <w:trPr>
          <w:trHeight w:val="244"/>
        </w:trPr>
        <w:tc>
          <w:tcPr>
            <w:tcW w:w="5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Common – pro forma</w:t>
            </w:r>
          </w:p>
        </w:tc>
        <w:tc>
          <w:tcPr>
            <w:tcW w:w="2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$0.83</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$0.97</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$0.74</w:t>
            </w:r>
          </w:p>
        </w:tc>
      </w:tr>
      <w:tr>
        <w:trPr>
          <w:trHeight w:val="236"/>
        </w:trPr>
        <w:tc>
          <w:tcPr>
            <w:tcW w:w="5020" w:type="dxa"/>
            <w:vAlign w:val="bottom"/>
          </w:tcPr>
          <w:p>
            <w:pPr>
              <w:ind w:left="540"/>
              <w:spacing w:after="0"/>
              <w:rPr>
                <w:sz w:val="20"/>
                <w:szCs w:val="20"/>
                <w:color w:val="auto"/>
              </w:rPr>
            </w:pPr>
            <w:r>
              <w:rPr>
                <w:rFonts w:ascii="Arial" w:cs="Arial" w:eastAsia="Arial" w:hAnsi="Arial"/>
                <w:sz w:val="18"/>
                <w:szCs w:val="18"/>
                <w:color w:val="auto"/>
              </w:rPr>
              <w:t>Basic Class B Common – as reported</w:t>
            </w:r>
          </w:p>
        </w:tc>
        <w:tc>
          <w:tcPr>
            <w:tcW w:w="2740" w:type="dxa"/>
            <w:vAlign w:val="bottom"/>
          </w:tcPr>
          <w:p>
            <w:pPr>
              <w:jc w:val="right"/>
              <w:ind w:right="332"/>
              <w:spacing w:after="0"/>
              <w:rPr>
                <w:sz w:val="20"/>
                <w:szCs w:val="20"/>
                <w:color w:val="auto"/>
              </w:rPr>
            </w:pPr>
            <w:r>
              <w:rPr>
                <w:rFonts w:ascii="Arial" w:cs="Arial" w:eastAsia="Arial" w:hAnsi="Arial"/>
                <w:sz w:val="18"/>
                <w:szCs w:val="18"/>
                <w:b w:val="1"/>
                <w:bCs w:val="1"/>
                <w:color w:val="auto"/>
              </w:rPr>
              <w:t>$0.61</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$0.76</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$0.59</w:t>
            </w:r>
          </w:p>
        </w:tc>
      </w:tr>
      <w:tr>
        <w:trPr>
          <w:trHeight w:val="244"/>
        </w:trPr>
        <w:tc>
          <w:tcPr>
            <w:tcW w:w="5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Class B Common – pro forma</w:t>
            </w:r>
          </w:p>
        </w:tc>
        <w:tc>
          <w:tcPr>
            <w:tcW w:w="2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$0.61</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$0.73</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$0.56</w:t>
            </w:r>
          </w:p>
        </w:tc>
      </w:tr>
      <w:tr>
        <w:trPr>
          <w:trHeight w:val="236"/>
        </w:trPr>
        <w:tc>
          <w:tcPr>
            <w:tcW w:w="5020" w:type="dxa"/>
            <w:vAlign w:val="bottom"/>
          </w:tcPr>
          <w:p>
            <w:pPr>
              <w:ind w:left="540"/>
              <w:spacing w:after="0"/>
              <w:rPr>
                <w:sz w:val="20"/>
                <w:szCs w:val="20"/>
                <w:color w:val="auto"/>
              </w:rPr>
            </w:pPr>
            <w:r>
              <w:rPr>
                <w:rFonts w:ascii="Arial" w:cs="Arial" w:eastAsia="Arial" w:hAnsi="Arial"/>
                <w:sz w:val="18"/>
                <w:szCs w:val="18"/>
                <w:color w:val="auto"/>
              </w:rPr>
              <w:t>Diluted – as reported</w:t>
            </w:r>
          </w:p>
        </w:tc>
        <w:tc>
          <w:tcPr>
            <w:tcW w:w="2740" w:type="dxa"/>
            <w:vAlign w:val="bottom"/>
          </w:tcPr>
          <w:p>
            <w:pPr>
              <w:jc w:val="right"/>
              <w:ind w:right="332"/>
              <w:spacing w:after="0"/>
              <w:rPr>
                <w:sz w:val="20"/>
                <w:szCs w:val="20"/>
                <w:color w:val="auto"/>
              </w:rPr>
            </w:pPr>
            <w:r>
              <w:rPr>
                <w:rFonts w:ascii="Arial" w:cs="Arial" w:eastAsia="Arial" w:hAnsi="Arial"/>
                <w:sz w:val="18"/>
                <w:szCs w:val="18"/>
                <w:b w:val="1"/>
                <w:bCs w:val="1"/>
                <w:color w:val="auto"/>
              </w:rPr>
              <w:t>$0.73</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$0.88</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$0.68</w:t>
            </w:r>
          </w:p>
        </w:tc>
      </w:tr>
      <w:tr>
        <w:trPr>
          <w:trHeight w:val="244"/>
        </w:trPr>
        <w:tc>
          <w:tcPr>
            <w:tcW w:w="5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Diluted – pro forma</w:t>
            </w:r>
          </w:p>
        </w:tc>
        <w:tc>
          <w:tcPr>
            <w:tcW w:w="2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$0.73</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$0.83</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$0.63</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52"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Our 1995 Long Term Incentive Plan (“1995 Plan”) provided for grants of both incentive and non-qualified stock options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vest 25% two years after the grant date and 25% in each of the three following anniversaries of the grant date. This plan expired for purposes of issuing new grants on August 5, 2005. All stock issued from option exercises under this plan were from authorized but unissued stock. All restricted stock issued was from treasury stock.</w:t>
      </w:r>
    </w:p>
    <w:p>
      <w:pPr>
        <w:spacing w:after="0" w:line="197" w:lineRule="exact"/>
        <w:rPr>
          <w:sz w:val="20"/>
          <w:szCs w:val="20"/>
          <w:color w:val="auto"/>
        </w:rPr>
      </w:pPr>
    </w:p>
    <w:p>
      <w:pPr>
        <w:jc w:val="both"/>
        <w:ind w:firstLine="311"/>
        <w:spacing w:after="0" w:line="323" w:lineRule="auto"/>
        <w:rPr>
          <w:sz w:val="20"/>
          <w:szCs w:val="20"/>
          <w:color w:val="auto"/>
        </w:rPr>
      </w:pPr>
      <w:r>
        <w:rPr>
          <w:rFonts w:ascii="Arial" w:cs="Arial" w:eastAsia="Arial" w:hAnsi="Arial"/>
          <w:sz w:val="15"/>
          <w:szCs w:val="15"/>
          <w:color w:val="auto"/>
        </w:rPr>
        <w:t>On March 14, 2006, our Board of Directors unanimously approved adoption of the Oil-Dri Corporation of America 2006 Long Term Incentive Plan (“2006 Plan”), subject to approval by our stockholders. We expect to present the plan to stockholders for approval at the December 2006 annual meeting of stockholders. The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w:t>
      </w:r>
    </w:p>
    <w:p>
      <w:pPr>
        <w:sectPr>
          <w:pgSz w:w="11900" w:h="16886" w:orient="portrait"/>
          <w:cols w:equalWidth="0" w:num="1">
            <w:col w:w="11420"/>
          </w:cols>
          <w:pgMar w:left="240" w:top="158" w:right="239" w:bottom="0" w:gutter="0" w:footer="0" w:header="0"/>
        </w:sectPr>
      </w:pPr>
    </w:p>
    <w:bookmarkStart w:id="35" w:name="page36"/>
    <w:bookmarkEnd w:id="35"/>
    <w:p>
      <w:pPr>
        <w:spacing w:after="0" w:line="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grants under the 2006 Plan may not exceed 937,500. Option grants covering 25,000 shares were issued to our outside directors with a vesting period of one year and an option grant covering 12,500 shares was issued to an employee with vesting similar to the vesting described above under the 1995 Plan. 90,000 shares of restricted stock were issued under the 2006 Plan. Because our executive officers, directors and their affiliates control a majority of the aggregate voting power of Oil-Dri Corporation of America, the awards are expected to be approved and have met the grant date criteria established by FAS 123-R. However, no grants issued under the 2006 Plan will be exercisable or payable to a participant prior to approval of the 2006 Plan by our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BASED COMPENSATION (CONTINUED)</w:t>
      </w:r>
    </w:p>
    <w:p>
      <w:pPr>
        <w:spacing w:after="0" w:line="24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The Oil-Dri Corporation of America Outside Director Stock Plan (the “Directors’ Plan”) provides for grants of stock options to its directors at an option price per share of 100% of the fair market value of Common Stock on the date of grant. Our directors are considered employees under the provisions of FAS 123-R. Stock options have been granted to our directors for a 10-year term with a one year vesting period. There are 100,000 shares outstanding and no shares available for future grants under this plan. All stock issued under this plan were from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111125</wp:posOffset>
            </wp:positionV>
            <wp:extent cx="68776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EQUITY COMPENSATION PLAN INFORMATION AS OF JULY 31, 2006</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243"/>
        </w:trPr>
        <w:tc>
          <w:tcPr>
            <w:tcW w:w="5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2"/>
              </w:rPr>
              <w:t>securities</w:t>
            </w:r>
          </w:p>
        </w:tc>
      </w:tr>
      <w:tr>
        <w:trPr>
          <w:trHeight w:val="243"/>
        </w:trPr>
        <w:tc>
          <w:tcPr>
            <w:tcW w:w="5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r>
      <w:tr>
        <w:trPr>
          <w:trHeight w:val="243"/>
        </w:trPr>
        <w:tc>
          <w:tcPr>
            <w:tcW w:w="5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available for</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207"/>
              <w:spacing w:after="0"/>
              <w:rPr>
                <w:sz w:val="20"/>
                <w:szCs w:val="20"/>
                <w:color w:val="auto"/>
              </w:rPr>
            </w:pPr>
            <w:r>
              <w:rPr>
                <w:rFonts w:ascii="Arial" w:cs="Arial" w:eastAsia="Arial" w:hAnsi="Arial"/>
                <w:sz w:val="14"/>
                <w:szCs w:val="14"/>
                <w:b w:val="1"/>
                <w:bCs w:val="1"/>
                <w:color w:val="auto"/>
                <w:w w:val="88"/>
              </w:rPr>
              <w:t>Number of</w:t>
            </w:r>
          </w:p>
        </w:tc>
        <w:tc>
          <w:tcPr>
            <w:tcW w:w="16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further issuance</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207"/>
              <w:spacing w:after="0"/>
              <w:rPr>
                <w:sz w:val="20"/>
                <w:szCs w:val="20"/>
                <w:color w:val="auto"/>
              </w:rPr>
            </w:pPr>
            <w:r>
              <w:rPr>
                <w:rFonts w:ascii="Arial" w:cs="Arial" w:eastAsia="Arial" w:hAnsi="Arial"/>
                <w:sz w:val="14"/>
                <w:szCs w:val="14"/>
                <w:b w:val="1"/>
                <w:bCs w:val="1"/>
                <w:color w:val="auto"/>
                <w:w w:val="83"/>
              </w:rPr>
              <w:t>securities to be</w:t>
            </w:r>
          </w:p>
        </w:tc>
        <w:tc>
          <w:tcPr>
            <w:tcW w:w="16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under equity</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issued upon</w:t>
            </w:r>
          </w:p>
        </w:tc>
        <w:tc>
          <w:tcPr>
            <w:tcW w:w="16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187"/>
              <w:spacing w:after="0"/>
              <w:rPr>
                <w:sz w:val="20"/>
                <w:szCs w:val="20"/>
                <w:color w:val="auto"/>
              </w:rPr>
            </w:pPr>
            <w:r>
              <w:rPr>
                <w:rFonts w:ascii="Arial" w:cs="Arial" w:eastAsia="Arial" w:hAnsi="Arial"/>
                <w:sz w:val="14"/>
                <w:szCs w:val="14"/>
                <w:b w:val="1"/>
                <w:bCs w:val="1"/>
                <w:color w:val="auto"/>
                <w:w w:val="81"/>
              </w:rPr>
              <w:t>exercise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plans (excluding</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187"/>
              <w:spacing w:after="0"/>
              <w:rPr>
                <w:sz w:val="20"/>
                <w:szCs w:val="20"/>
                <w:color w:val="auto"/>
              </w:rPr>
            </w:pPr>
            <w:r>
              <w:rPr>
                <w:rFonts w:ascii="Arial" w:cs="Arial" w:eastAsia="Arial" w:hAnsi="Arial"/>
                <w:sz w:val="14"/>
                <w:szCs w:val="14"/>
                <w:b w:val="1"/>
                <w:bCs w:val="1"/>
                <w:color w:val="auto"/>
                <w:w w:val="84"/>
              </w:rPr>
              <w:t>outstanding</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securities reflected</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207"/>
              <w:spacing w:after="0"/>
              <w:rPr>
                <w:sz w:val="20"/>
                <w:szCs w:val="20"/>
                <w:color w:val="auto"/>
              </w:rPr>
            </w:pPr>
            <w:r>
              <w:rPr>
                <w:rFonts w:ascii="Arial" w:cs="Arial" w:eastAsia="Arial" w:hAnsi="Arial"/>
                <w:sz w:val="14"/>
                <w:szCs w:val="14"/>
                <w:b w:val="1"/>
                <w:bCs w:val="1"/>
                <w:color w:val="auto"/>
                <w:w w:val="82"/>
              </w:rPr>
              <w:t>options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in column (a))</w:t>
            </w:r>
          </w:p>
        </w:tc>
      </w:tr>
      <w:tr>
        <w:trPr>
          <w:trHeight w:val="243"/>
        </w:trPr>
        <w:tc>
          <w:tcPr>
            <w:tcW w:w="5700" w:type="dxa"/>
            <w:vAlign w:val="bottom"/>
          </w:tcPr>
          <w:p>
            <w:pPr>
              <w:spacing w:after="0"/>
              <w:rPr>
                <w:sz w:val="21"/>
                <w:szCs w:val="21"/>
                <w:color w:val="auto"/>
              </w:rPr>
            </w:pPr>
          </w:p>
        </w:tc>
        <w:tc>
          <w:tcPr>
            <w:tcW w:w="1820" w:type="dxa"/>
            <w:vAlign w:val="bottom"/>
          </w:tcPr>
          <w:p>
            <w:pPr>
              <w:jc w:val="center"/>
              <w:ind w:left="207"/>
              <w:spacing w:after="0"/>
              <w:rPr>
                <w:sz w:val="20"/>
                <w:szCs w:val="20"/>
                <w:color w:val="auto"/>
              </w:rPr>
            </w:pPr>
            <w:r>
              <w:rPr>
                <w:rFonts w:ascii="Arial" w:cs="Arial" w:eastAsia="Arial" w:hAnsi="Arial"/>
                <w:sz w:val="14"/>
                <w:szCs w:val="14"/>
                <w:b w:val="1"/>
                <w:bCs w:val="1"/>
                <w:color w:val="auto"/>
                <w:w w:val="84"/>
              </w:rPr>
              <w:t>(in thousands)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r>
      <w:tr>
        <w:trPr>
          <w:trHeight w:val="251"/>
        </w:trPr>
        <w:tc>
          <w:tcPr>
            <w:tcW w:w="570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tcBorders>
              <w:bottom w:val="single" w:sz="8" w:color="auto"/>
            </w:tcBorders>
          </w:tcPr>
          <w:p>
            <w:pPr>
              <w:jc w:val="center"/>
              <w:ind w:left="187"/>
              <w:spacing w:after="0"/>
              <w:rPr>
                <w:sz w:val="20"/>
                <w:szCs w:val="20"/>
                <w:color w:val="auto"/>
              </w:rPr>
            </w:pPr>
            <w:r>
              <w:rPr>
                <w:rFonts w:ascii="Arial" w:cs="Arial" w:eastAsia="Arial" w:hAnsi="Arial"/>
                <w:sz w:val="14"/>
                <w:szCs w:val="14"/>
                <w:b w:val="1"/>
                <w:bCs w:val="1"/>
                <w:color w:val="auto"/>
                <w:w w:val="93"/>
              </w:rPr>
              <w:t>(a)</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r>
      <w:tr>
        <w:trPr>
          <w:trHeight w:val="242"/>
        </w:trPr>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Equity compensation plans approved by stockholders</w:t>
            </w:r>
          </w:p>
        </w:tc>
        <w:tc>
          <w:tcPr>
            <w:tcW w:w="1820" w:type="dxa"/>
            <w:vAlign w:val="bottom"/>
            <w:tcBorders>
              <w:bottom w:val="single" w:sz="8" w:color="auto"/>
            </w:tcBorders>
          </w:tcPr>
          <w:p>
            <w:pPr>
              <w:jc w:val="right"/>
              <w:ind w:right="567"/>
              <w:spacing w:after="0"/>
              <w:rPr>
                <w:sz w:val="20"/>
                <w:szCs w:val="20"/>
                <w:color w:val="auto"/>
              </w:rPr>
            </w:pPr>
            <w:r>
              <w:rPr>
                <w:rFonts w:ascii="Arial" w:cs="Arial" w:eastAsia="Arial" w:hAnsi="Arial"/>
                <w:sz w:val="18"/>
                <w:szCs w:val="18"/>
                <w:color w:val="auto"/>
              </w:rPr>
              <w:t>763</w:t>
            </w:r>
          </w:p>
        </w:tc>
        <w:tc>
          <w:tcPr>
            <w:tcW w:w="1680" w:type="dxa"/>
            <w:vAlign w:val="bottom"/>
            <w:tcBorders>
              <w:bottom w:val="single" w:sz="8" w:color="auto"/>
            </w:tcBorders>
          </w:tcPr>
          <w:p>
            <w:pPr>
              <w:jc w:val="right"/>
              <w:ind w:right="605"/>
              <w:spacing w:after="0"/>
              <w:rPr>
                <w:sz w:val="20"/>
                <w:szCs w:val="20"/>
                <w:color w:val="auto"/>
              </w:rPr>
            </w:pPr>
            <w:r>
              <w:rPr>
                <w:rFonts w:ascii="Arial" w:cs="Arial" w:eastAsia="Arial" w:hAnsi="Arial"/>
                <w:sz w:val="18"/>
                <w:szCs w:val="18"/>
                <w:color w:val="auto"/>
              </w:rPr>
              <w:t>$8.30</w:t>
            </w: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8"/>
              </w:rPr>
              <w:t>Equity compensation plans expected to be approved by stockholders</w:t>
            </w:r>
          </w:p>
        </w:tc>
        <w:tc>
          <w:tcPr>
            <w:tcW w:w="1820" w:type="dxa"/>
            <w:vAlign w:val="bottom"/>
            <w:tcBorders>
              <w:bottom w:val="single" w:sz="8" w:color="auto"/>
            </w:tcBorders>
          </w:tcPr>
          <w:p>
            <w:pPr>
              <w:jc w:val="right"/>
              <w:ind w:right="567"/>
              <w:spacing w:after="0"/>
              <w:rPr>
                <w:sz w:val="20"/>
                <w:szCs w:val="20"/>
                <w:color w:val="auto"/>
              </w:rPr>
            </w:pPr>
            <w:r>
              <w:rPr>
                <w:rFonts w:ascii="Arial" w:cs="Arial" w:eastAsia="Arial" w:hAnsi="Arial"/>
                <w:sz w:val="18"/>
                <w:szCs w:val="18"/>
                <w:color w:val="auto"/>
              </w:rPr>
              <w:t>38</w:t>
            </w:r>
          </w:p>
        </w:tc>
        <w:tc>
          <w:tcPr>
            <w:tcW w:w="1680" w:type="dxa"/>
            <w:vAlign w:val="bottom"/>
            <w:tcBorders>
              <w:bottom w:val="single" w:sz="8" w:color="auto"/>
            </w:tcBorders>
          </w:tcPr>
          <w:p>
            <w:pPr>
              <w:jc w:val="right"/>
              <w:ind w:right="605"/>
              <w:spacing w:after="0"/>
              <w:rPr>
                <w:sz w:val="20"/>
                <w:szCs w:val="20"/>
                <w:color w:val="auto"/>
              </w:rPr>
            </w:pPr>
            <w:r>
              <w:rPr>
                <w:rFonts w:ascii="Arial" w:cs="Arial" w:eastAsia="Arial" w:hAnsi="Arial"/>
                <w:sz w:val="18"/>
                <w:szCs w:val="18"/>
                <w:color w:val="auto"/>
              </w:rPr>
              <w:t>$15.00</w:t>
            </w: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rPr>
              <w:t>810</w:t>
            </w:r>
          </w:p>
        </w:tc>
      </w:tr>
      <w:tr>
        <w:trPr>
          <w:trHeight w:val="237"/>
        </w:trPr>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Equity compensation plans not approved by stockholders</w:t>
            </w:r>
          </w:p>
        </w:tc>
        <w:tc>
          <w:tcPr>
            <w:tcW w:w="1820" w:type="dxa"/>
            <w:vAlign w:val="bottom"/>
            <w:tcBorders>
              <w:bottom w:val="single" w:sz="8" w:color="auto"/>
            </w:tcBorders>
          </w:tcPr>
          <w:p>
            <w:pPr>
              <w:jc w:val="right"/>
              <w:ind w:right="567"/>
              <w:spacing w:after="0"/>
              <w:rPr>
                <w:sz w:val="20"/>
                <w:szCs w:val="20"/>
                <w:color w:val="auto"/>
              </w:rPr>
            </w:pPr>
            <w:r>
              <w:rPr>
                <w:rFonts w:ascii="Arial" w:cs="Arial" w:eastAsia="Arial" w:hAnsi="Arial"/>
                <w:sz w:val="18"/>
                <w:szCs w:val="18"/>
                <w:color w:val="auto"/>
              </w:rPr>
              <w:t>125</w:t>
            </w:r>
          </w:p>
        </w:tc>
        <w:tc>
          <w:tcPr>
            <w:tcW w:w="1680" w:type="dxa"/>
            <w:vAlign w:val="bottom"/>
            <w:tcBorders>
              <w:bottom w:val="single" w:sz="8" w:color="auto"/>
            </w:tcBorders>
          </w:tcPr>
          <w:p>
            <w:pPr>
              <w:jc w:val="right"/>
              <w:ind w:right="605"/>
              <w:spacing w:after="0"/>
              <w:rPr>
                <w:sz w:val="20"/>
                <w:szCs w:val="20"/>
                <w:color w:val="auto"/>
              </w:rPr>
            </w:pPr>
            <w:r>
              <w:rPr>
                <w:rFonts w:ascii="Arial" w:cs="Arial" w:eastAsia="Arial" w:hAnsi="Arial"/>
                <w:sz w:val="18"/>
                <w:szCs w:val="18"/>
                <w:color w:val="auto"/>
              </w:rPr>
              <w:t>$8.50</w:t>
            </w: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A summary of option transactions under the plans is shown below. The number of shares transacted is shown subsequent to the five-for-four stock split effected by a stock dividend paid on September 8, 2006.</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4960" w:type="dxa"/>
            <w:vAlign w:val="bottom"/>
          </w:tcPr>
          <w:p>
            <w:pPr>
              <w:jc w:val="center"/>
              <w:ind w:left="3332"/>
              <w:spacing w:after="0"/>
              <w:rPr>
                <w:sz w:val="20"/>
                <w:szCs w:val="20"/>
                <w:color w:val="auto"/>
              </w:rPr>
            </w:pPr>
            <w:r>
              <w:rPr>
                <w:rFonts w:ascii="Arial" w:cs="Arial" w:eastAsia="Arial" w:hAnsi="Arial"/>
                <w:sz w:val="18"/>
                <w:szCs w:val="18"/>
                <w:b w:val="1"/>
                <w:bCs w:val="1"/>
                <w:color w:val="auto"/>
                <w:w w:val="91"/>
              </w:rPr>
              <w:t>Number of</w:t>
            </w:r>
          </w:p>
        </w:tc>
        <w:tc>
          <w:tcPr>
            <w:tcW w:w="1320" w:type="dxa"/>
            <w:vAlign w:val="bottom"/>
            <w:gridSpan w:val="3"/>
          </w:tcPr>
          <w:p>
            <w:pPr>
              <w:ind w:left="420"/>
              <w:spacing w:after="0"/>
              <w:rPr>
                <w:sz w:val="20"/>
                <w:szCs w:val="20"/>
                <w:color w:val="auto"/>
              </w:rPr>
            </w:pPr>
            <w:r>
              <w:rPr>
                <w:rFonts w:ascii="Arial" w:cs="Arial" w:eastAsia="Arial" w:hAnsi="Arial"/>
                <w:sz w:val="18"/>
                <w:szCs w:val="18"/>
                <w:b w:val="1"/>
                <w:bCs w:val="1"/>
                <w:color w:val="auto"/>
              </w:rPr>
              <w:t>Weighted</w:t>
            </w:r>
          </w:p>
        </w:tc>
      </w:tr>
      <w:tr>
        <w:trPr>
          <w:trHeight w:val="243"/>
        </w:trPr>
        <w:tc>
          <w:tcPr>
            <w:tcW w:w="4020" w:type="dxa"/>
            <w:vAlign w:val="bottom"/>
          </w:tcPr>
          <w:p>
            <w:pPr>
              <w:spacing w:after="0"/>
              <w:rPr>
                <w:sz w:val="21"/>
                <w:szCs w:val="21"/>
                <w:color w:val="auto"/>
              </w:rPr>
            </w:pPr>
          </w:p>
        </w:tc>
        <w:tc>
          <w:tcPr>
            <w:tcW w:w="4960" w:type="dxa"/>
            <w:vAlign w:val="bottom"/>
          </w:tcPr>
          <w:p>
            <w:pPr>
              <w:jc w:val="center"/>
              <w:ind w:left="3332"/>
              <w:spacing w:after="0"/>
              <w:rPr>
                <w:sz w:val="20"/>
                <w:szCs w:val="20"/>
                <w:color w:val="auto"/>
              </w:rPr>
            </w:pPr>
            <w:r>
              <w:rPr>
                <w:rFonts w:ascii="Arial" w:cs="Arial" w:eastAsia="Arial" w:hAnsi="Arial"/>
                <w:sz w:val="18"/>
                <w:szCs w:val="18"/>
                <w:b w:val="1"/>
                <w:bCs w:val="1"/>
                <w:color w:val="auto"/>
                <w:w w:val="83"/>
              </w:rPr>
              <w:t>Shares</w:t>
            </w:r>
          </w:p>
        </w:tc>
        <w:tc>
          <w:tcPr>
            <w:tcW w:w="1320" w:type="dxa"/>
            <w:vAlign w:val="bottom"/>
            <w:gridSpan w:val="3"/>
          </w:tcPr>
          <w:p>
            <w:pPr>
              <w:ind w:left="460"/>
              <w:spacing w:after="0"/>
              <w:rPr>
                <w:sz w:val="20"/>
                <w:szCs w:val="20"/>
                <w:color w:val="auto"/>
              </w:rPr>
            </w:pPr>
            <w:r>
              <w:rPr>
                <w:rFonts w:ascii="Arial" w:cs="Arial" w:eastAsia="Arial" w:hAnsi="Arial"/>
                <w:sz w:val="18"/>
                <w:szCs w:val="18"/>
                <w:b w:val="1"/>
                <w:bCs w:val="1"/>
                <w:color w:val="auto"/>
              </w:rPr>
              <w:t>Average</w:t>
            </w:r>
          </w:p>
        </w:tc>
      </w:tr>
      <w:tr>
        <w:trPr>
          <w:trHeight w:val="244"/>
        </w:trPr>
        <w:tc>
          <w:tcPr>
            <w:tcW w:w="4020" w:type="dxa"/>
            <w:vAlign w:val="bottom"/>
          </w:tcPr>
          <w:p>
            <w:pPr>
              <w:spacing w:after="0"/>
              <w:rPr>
                <w:sz w:val="21"/>
                <w:szCs w:val="21"/>
                <w:color w:val="auto"/>
              </w:rPr>
            </w:pPr>
          </w:p>
        </w:tc>
        <w:tc>
          <w:tcPr>
            <w:tcW w:w="4960" w:type="dxa"/>
            <w:vAlign w:val="bottom"/>
          </w:tcPr>
          <w:p>
            <w:pPr>
              <w:jc w:val="center"/>
              <w:ind w:left="3332"/>
              <w:spacing w:after="0"/>
              <w:rPr>
                <w:sz w:val="20"/>
                <w:szCs w:val="20"/>
                <w:color w:val="auto"/>
              </w:rPr>
            </w:pPr>
            <w:r>
              <w:rPr>
                <w:rFonts w:ascii="Arial" w:cs="Arial" w:eastAsia="Arial" w:hAnsi="Arial"/>
                <w:sz w:val="18"/>
                <w:szCs w:val="18"/>
                <w:b w:val="1"/>
                <w:bCs w:val="1"/>
                <w:color w:val="auto"/>
                <w:w w:val="85"/>
              </w:rPr>
              <w:t>(in thousands)</w:t>
            </w:r>
          </w:p>
        </w:tc>
        <w:tc>
          <w:tcPr>
            <w:tcW w:w="1320" w:type="dxa"/>
            <w:vAlign w:val="bottom"/>
            <w:gridSpan w:val="3"/>
          </w:tcPr>
          <w:p>
            <w:pPr>
              <w:ind w:left="240"/>
              <w:spacing w:after="0"/>
              <w:rPr>
                <w:sz w:val="20"/>
                <w:szCs w:val="20"/>
                <w:color w:val="auto"/>
              </w:rPr>
            </w:pPr>
            <w:r>
              <w:rPr>
                <w:rFonts w:ascii="Arial" w:cs="Arial" w:eastAsia="Arial" w:hAnsi="Arial"/>
                <w:sz w:val="18"/>
                <w:szCs w:val="18"/>
                <w:b w:val="1"/>
                <w:bCs w:val="1"/>
                <w:color w:val="auto"/>
                <w:w w:val="86"/>
              </w:rPr>
              <w:t>Exercise Price</w:t>
            </w:r>
          </w:p>
        </w:tc>
      </w:tr>
      <w:tr>
        <w:trPr>
          <w:trHeight w:val="236"/>
        </w:trPr>
        <w:tc>
          <w:tcPr>
            <w:tcW w:w="40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Options outstanding at July 31, 2003</w:t>
            </w:r>
          </w:p>
        </w:tc>
        <w:tc>
          <w:tcPr>
            <w:tcW w:w="49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1,841</w:t>
            </w:r>
          </w:p>
        </w:tc>
        <w:tc>
          <w:tcPr>
            <w:tcW w:w="5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0"/>
                <w:szCs w:val="20"/>
                <w:color w:val="auto"/>
              </w:rPr>
            </w:pPr>
          </w:p>
        </w:tc>
      </w:tr>
      <w:tr>
        <w:trPr>
          <w:trHeight w:val="243"/>
        </w:trPr>
        <w:tc>
          <w:tcPr>
            <w:tcW w:w="4020" w:type="dxa"/>
            <w:vAlign w:val="bottom"/>
          </w:tcPr>
          <w:p>
            <w:pPr>
              <w:ind w:left="540"/>
              <w:spacing w:after="0"/>
              <w:rPr>
                <w:sz w:val="20"/>
                <w:szCs w:val="20"/>
                <w:color w:val="auto"/>
              </w:rPr>
            </w:pPr>
            <w:r>
              <w:rPr>
                <w:rFonts w:ascii="Arial" w:cs="Arial" w:eastAsia="Arial" w:hAnsi="Arial"/>
                <w:sz w:val="18"/>
                <w:szCs w:val="18"/>
                <w:color w:val="auto"/>
              </w:rPr>
              <w:t>Granted</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245</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21"/>
                <w:szCs w:val="21"/>
                <w:color w:val="auto"/>
              </w:rPr>
            </w:pPr>
          </w:p>
        </w:tc>
      </w:tr>
      <w:tr>
        <w:trPr>
          <w:trHeight w:val="243"/>
        </w:trPr>
        <w:tc>
          <w:tcPr>
            <w:tcW w:w="4020" w:type="dxa"/>
            <w:vAlign w:val="bottom"/>
          </w:tcPr>
          <w:p>
            <w:pPr>
              <w:ind w:left="540"/>
              <w:spacing w:after="0"/>
              <w:rPr>
                <w:sz w:val="20"/>
                <w:szCs w:val="20"/>
                <w:color w:val="auto"/>
              </w:rPr>
            </w:pPr>
            <w:r>
              <w:rPr>
                <w:rFonts w:ascii="Arial" w:cs="Arial" w:eastAsia="Arial" w:hAnsi="Arial"/>
                <w:sz w:val="18"/>
                <w:szCs w:val="18"/>
                <w:color w:val="auto"/>
              </w:rPr>
              <w:t>Exercised</w:t>
            </w:r>
          </w:p>
        </w:tc>
        <w:tc>
          <w:tcPr>
            <w:tcW w:w="4960" w:type="dxa"/>
            <w:vAlign w:val="bottom"/>
          </w:tcPr>
          <w:p>
            <w:pPr>
              <w:jc w:val="right"/>
              <w:ind w:right="432"/>
              <w:spacing w:after="0"/>
              <w:rPr>
                <w:sz w:val="20"/>
                <w:szCs w:val="20"/>
                <w:color w:val="auto"/>
              </w:rPr>
            </w:pPr>
            <w:r>
              <w:rPr>
                <w:rFonts w:ascii="Arial" w:cs="Arial" w:eastAsia="Arial" w:hAnsi="Arial"/>
                <w:sz w:val="18"/>
                <w:szCs w:val="18"/>
                <w:color w:val="auto"/>
              </w:rPr>
              <w:t>(174)</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21"/>
                <w:szCs w:val="21"/>
                <w:color w:val="auto"/>
              </w:rPr>
            </w:pPr>
          </w:p>
        </w:tc>
      </w:tr>
      <w:tr>
        <w:trPr>
          <w:trHeight w:val="243"/>
        </w:trPr>
        <w:tc>
          <w:tcPr>
            <w:tcW w:w="4020" w:type="dxa"/>
            <w:vAlign w:val="bottom"/>
          </w:tcPr>
          <w:p>
            <w:pPr>
              <w:ind w:left="540"/>
              <w:spacing w:after="0"/>
              <w:rPr>
                <w:sz w:val="20"/>
                <w:szCs w:val="20"/>
                <w:color w:val="auto"/>
              </w:rPr>
            </w:pPr>
            <w:r>
              <w:rPr>
                <w:rFonts w:ascii="Arial" w:cs="Arial" w:eastAsia="Arial" w:hAnsi="Arial"/>
                <w:sz w:val="18"/>
                <w:szCs w:val="18"/>
                <w:color w:val="auto"/>
              </w:rPr>
              <w:t>Expired</w:t>
            </w:r>
          </w:p>
        </w:tc>
        <w:tc>
          <w:tcPr>
            <w:tcW w:w="4960" w:type="dxa"/>
            <w:vAlign w:val="bottom"/>
          </w:tcPr>
          <w:p>
            <w:pPr>
              <w:jc w:val="right"/>
              <w:ind w:right="432"/>
              <w:spacing w:after="0"/>
              <w:rPr>
                <w:sz w:val="20"/>
                <w:szCs w:val="20"/>
                <w:color w:val="auto"/>
              </w:rPr>
            </w:pPr>
            <w:r>
              <w:rPr>
                <w:rFonts w:ascii="Arial" w:cs="Arial" w:eastAsia="Arial" w:hAnsi="Arial"/>
                <w:sz w:val="18"/>
                <w:szCs w:val="18"/>
                <w:color w:val="auto"/>
              </w:rPr>
              <w:t>(19)</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10.90</w:t>
            </w:r>
          </w:p>
        </w:tc>
        <w:tc>
          <w:tcPr>
            <w:tcW w:w="20" w:type="dxa"/>
            <w:vAlign w:val="bottom"/>
          </w:tcPr>
          <w:p>
            <w:pPr>
              <w:spacing w:after="0"/>
              <w:rPr>
                <w:sz w:val="21"/>
                <w:szCs w:val="21"/>
                <w:color w:val="auto"/>
              </w:rPr>
            </w:pPr>
          </w:p>
        </w:tc>
      </w:tr>
      <w:tr>
        <w:trPr>
          <w:trHeight w:val="244"/>
        </w:trPr>
        <w:tc>
          <w:tcPr>
            <w:tcW w:w="4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Forfeited</w:t>
            </w:r>
          </w:p>
        </w:tc>
        <w:tc>
          <w:tcPr>
            <w:tcW w:w="4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(49)</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21"/>
                <w:szCs w:val="21"/>
                <w:color w:val="auto"/>
              </w:rPr>
            </w:pPr>
          </w:p>
        </w:tc>
      </w:tr>
      <w:tr>
        <w:trPr>
          <w:trHeight w:val="236"/>
        </w:trPr>
        <w:tc>
          <w:tcPr>
            <w:tcW w:w="4020" w:type="dxa"/>
            <w:vAlign w:val="bottom"/>
          </w:tcPr>
          <w:p>
            <w:pPr>
              <w:ind w:left="280"/>
              <w:spacing w:after="0"/>
              <w:rPr>
                <w:sz w:val="20"/>
                <w:szCs w:val="20"/>
                <w:color w:val="auto"/>
              </w:rPr>
            </w:pPr>
            <w:r>
              <w:rPr>
                <w:rFonts w:ascii="Arial" w:cs="Arial" w:eastAsia="Arial" w:hAnsi="Arial"/>
                <w:sz w:val="18"/>
                <w:szCs w:val="18"/>
                <w:color w:val="auto"/>
              </w:rPr>
              <w:t>Options outstanding at July 31, 2004</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1,844</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20"/>
                <w:szCs w:val="20"/>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Options vested at July 31, 2004</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1,159</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1"/>
                <w:szCs w:val="21"/>
                <w:color w:val="auto"/>
              </w:rPr>
            </w:pPr>
          </w:p>
        </w:tc>
      </w:tr>
      <w:tr>
        <w:trPr>
          <w:trHeight w:val="244"/>
        </w:trPr>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Options unvested at July 31, 2004</w:t>
            </w:r>
          </w:p>
        </w:tc>
        <w:tc>
          <w:tcPr>
            <w:tcW w:w="49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685</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21"/>
                <w:szCs w:val="21"/>
                <w:color w:val="auto"/>
              </w:rPr>
            </w:pPr>
          </w:p>
        </w:tc>
      </w:tr>
      <w:tr>
        <w:trPr>
          <w:trHeight w:val="236"/>
        </w:trPr>
        <w:tc>
          <w:tcPr>
            <w:tcW w:w="4020" w:type="dxa"/>
            <w:vAlign w:val="bottom"/>
          </w:tcPr>
          <w:p>
            <w:pPr>
              <w:ind w:left="540"/>
              <w:spacing w:after="0"/>
              <w:rPr>
                <w:sz w:val="20"/>
                <w:szCs w:val="20"/>
                <w:color w:val="auto"/>
              </w:rPr>
            </w:pPr>
            <w:r>
              <w:rPr>
                <w:rFonts w:ascii="Arial" w:cs="Arial" w:eastAsia="Arial" w:hAnsi="Arial"/>
                <w:sz w:val="18"/>
                <w:szCs w:val="18"/>
                <w:color w:val="auto"/>
              </w:rPr>
              <w:t>Granted</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88</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12.94</w:t>
            </w:r>
          </w:p>
        </w:tc>
        <w:tc>
          <w:tcPr>
            <w:tcW w:w="20" w:type="dxa"/>
            <w:vAlign w:val="bottom"/>
          </w:tcPr>
          <w:p>
            <w:pPr>
              <w:spacing w:after="0"/>
              <w:rPr>
                <w:sz w:val="20"/>
                <w:szCs w:val="20"/>
                <w:color w:val="auto"/>
              </w:rPr>
            </w:pPr>
          </w:p>
        </w:tc>
      </w:tr>
      <w:tr>
        <w:trPr>
          <w:trHeight w:val="243"/>
        </w:trPr>
        <w:tc>
          <w:tcPr>
            <w:tcW w:w="4020" w:type="dxa"/>
            <w:vAlign w:val="bottom"/>
          </w:tcPr>
          <w:p>
            <w:pPr>
              <w:ind w:left="540"/>
              <w:spacing w:after="0"/>
              <w:rPr>
                <w:sz w:val="20"/>
                <w:szCs w:val="20"/>
                <w:color w:val="auto"/>
              </w:rPr>
            </w:pPr>
            <w:r>
              <w:rPr>
                <w:rFonts w:ascii="Arial" w:cs="Arial" w:eastAsia="Arial" w:hAnsi="Arial"/>
                <w:sz w:val="18"/>
                <w:szCs w:val="18"/>
                <w:color w:val="auto"/>
              </w:rPr>
              <w:t>Exercised</w:t>
            </w:r>
          </w:p>
        </w:tc>
        <w:tc>
          <w:tcPr>
            <w:tcW w:w="4960" w:type="dxa"/>
            <w:vAlign w:val="bottom"/>
          </w:tcPr>
          <w:p>
            <w:pPr>
              <w:jc w:val="right"/>
              <w:ind w:right="432"/>
              <w:spacing w:after="0"/>
              <w:rPr>
                <w:sz w:val="20"/>
                <w:szCs w:val="20"/>
                <w:color w:val="auto"/>
              </w:rPr>
            </w:pPr>
            <w:r>
              <w:rPr>
                <w:rFonts w:ascii="Arial" w:cs="Arial" w:eastAsia="Arial" w:hAnsi="Arial"/>
                <w:sz w:val="18"/>
                <w:szCs w:val="18"/>
                <w:color w:val="auto"/>
              </w:rPr>
              <w:t>(549)</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1"/>
                <w:szCs w:val="21"/>
                <w:color w:val="auto"/>
              </w:rPr>
            </w:pPr>
          </w:p>
        </w:tc>
      </w:tr>
      <w:tr>
        <w:trPr>
          <w:trHeight w:val="243"/>
        </w:trPr>
        <w:tc>
          <w:tcPr>
            <w:tcW w:w="4020" w:type="dxa"/>
            <w:vAlign w:val="bottom"/>
          </w:tcPr>
          <w:p>
            <w:pPr>
              <w:ind w:left="540"/>
              <w:spacing w:after="0"/>
              <w:rPr>
                <w:sz w:val="20"/>
                <w:szCs w:val="20"/>
                <w:color w:val="auto"/>
              </w:rPr>
            </w:pPr>
            <w:r>
              <w:rPr>
                <w:rFonts w:ascii="Arial" w:cs="Arial" w:eastAsia="Arial" w:hAnsi="Arial"/>
                <w:sz w:val="18"/>
                <w:szCs w:val="18"/>
                <w:color w:val="auto"/>
              </w:rPr>
              <w:t>Expired</w:t>
            </w:r>
          </w:p>
        </w:tc>
        <w:tc>
          <w:tcPr>
            <w:tcW w:w="4960" w:type="dxa"/>
            <w:vAlign w:val="bottom"/>
          </w:tcPr>
          <w:p>
            <w:pPr>
              <w:jc w:val="right"/>
              <w:ind w:right="432"/>
              <w:spacing w:after="0"/>
              <w:rPr>
                <w:sz w:val="20"/>
                <w:szCs w:val="20"/>
                <w:color w:val="auto"/>
              </w:rPr>
            </w:pPr>
            <w:r>
              <w:rPr>
                <w:rFonts w:ascii="Arial" w:cs="Arial" w:eastAsia="Arial" w:hAnsi="Arial"/>
                <w:sz w:val="18"/>
                <w:szCs w:val="18"/>
                <w:color w:val="auto"/>
              </w:rPr>
              <w:t>(72)</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15.42</w:t>
            </w:r>
          </w:p>
        </w:tc>
        <w:tc>
          <w:tcPr>
            <w:tcW w:w="20" w:type="dxa"/>
            <w:vAlign w:val="bottom"/>
          </w:tcPr>
          <w:p>
            <w:pPr>
              <w:spacing w:after="0"/>
              <w:rPr>
                <w:sz w:val="21"/>
                <w:szCs w:val="21"/>
                <w:color w:val="auto"/>
              </w:rPr>
            </w:pPr>
          </w:p>
        </w:tc>
      </w:tr>
      <w:tr>
        <w:trPr>
          <w:trHeight w:val="244"/>
        </w:trPr>
        <w:tc>
          <w:tcPr>
            <w:tcW w:w="4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Forfeited</w:t>
            </w:r>
          </w:p>
        </w:tc>
        <w:tc>
          <w:tcPr>
            <w:tcW w:w="4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(48)</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21"/>
                <w:szCs w:val="21"/>
                <w:color w:val="auto"/>
              </w:rPr>
            </w:pPr>
          </w:p>
        </w:tc>
      </w:tr>
      <w:tr>
        <w:trPr>
          <w:trHeight w:val="236"/>
        </w:trPr>
        <w:tc>
          <w:tcPr>
            <w:tcW w:w="4020" w:type="dxa"/>
            <w:vAlign w:val="bottom"/>
          </w:tcPr>
          <w:p>
            <w:pPr>
              <w:ind w:left="280"/>
              <w:spacing w:after="0"/>
              <w:rPr>
                <w:sz w:val="20"/>
                <w:szCs w:val="20"/>
                <w:color w:val="auto"/>
              </w:rPr>
            </w:pPr>
            <w:r>
              <w:rPr>
                <w:rFonts w:ascii="Arial" w:cs="Arial" w:eastAsia="Arial" w:hAnsi="Arial"/>
                <w:sz w:val="18"/>
                <w:szCs w:val="18"/>
                <w:color w:val="auto"/>
              </w:rPr>
              <w:t>Options outstanding at July 31, 2005</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1,263</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20"/>
                <w:szCs w:val="20"/>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Options vested at July 31, 2005</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652</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21"/>
                <w:szCs w:val="21"/>
                <w:color w:val="auto"/>
              </w:rPr>
            </w:pPr>
          </w:p>
        </w:tc>
      </w:tr>
      <w:tr>
        <w:trPr>
          <w:trHeight w:val="244"/>
        </w:trPr>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Options unvested at July 31, 2005</w:t>
            </w:r>
          </w:p>
        </w:tc>
        <w:tc>
          <w:tcPr>
            <w:tcW w:w="49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611</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21"/>
                <w:szCs w:val="21"/>
                <w:color w:val="auto"/>
              </w:rPr>
            </w:pPr>
          </w:p>
        </w:tc>
      </w:tr>
      <w:tr>
        <w:trPr>
          <w:trHeight w:val="236"/>
        </w:trPr>
        <w:tc>
          <w:tcPr>
            <w:tcW w:w="4020" w:type="dxa"/>
            <w:vAlign w:val="bottom"/>
          </w:tcPr>
          <w:p>
            <w:pPr>
              <w:ind w:left="540"/>
              <w:spacing w:after="0"/>
              <w:rPr>
                <w:sz w:val="20"/>
                <w:szCs w:val="20"/>
                <w:color w:val="auto"/>
              </w:rPr>
            </w:pPr>
            <w:r>
              <w:rPr>
                <w:rFonts w:ascii="Arial" w:cs="Arial" w:eastAsia="Arial" w:hAnsi="Arial"/>
                <w:sz w:val="18"/>
                <w:szCs w:val="18"/>
                <w:color w:val="auto"/>
              </w:rPr>
              <w:t>Granted</w:t>
            </w:r>
          </w:p>
        </w:tc>
        <w:tc>
          <w:tcPr>
            <w:tcW w:w="4960" w:type="dxa"/>
            <w:vAlign w:val="bottom"/>
          </w:tcPr>
          <w:p>
            <w:pPr>
              <w:jc w:val="right"/>
              <w:ind w:right="492"/>
              <w:spacing w:after="0"/>
              <w:rPr>
                <w:sz w:val="20"/>
                <w:szCs w:val="20"/>
                <w:color w:val="auto"/>
              </w:rPr>
            </w:pPr>
            <w:r>
              <w:rPr>
                <w:rFonts w:ascii="Arial" w:cs="Arial" w:eastAsia="Arial" w:hAnsi="Arial"/>
                <w:sz w:val="18"/>
                <w:szCs w:val="18"/>
                <w:color w:val="auto"/>
              </w:rPr>
              <w:t>37</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15.01</w:t>
            </w:r>
          </w:p>
        </w:tc>
        <w:tc>
          <w:tcPr>
            <w:tcW w:w="20" w:type="dxa"/>
            <w:vAlign w:val="bottom"/>
          </w:tcPr>
          <w:p>
            <w:pPr>
              <w:spacing w:after="0"/>
              <w:rPr>
                <w:sz w:val="20"/>
                <w:szCs w:val="20"/>
                <w:color w:val="auto"/>
              </w:rPr>
            </w:pPr>
          </w:p>
        </w:tc>
      </w:tr>
      <w:tr>
        <w:trPr>
          <w:trHeight w:val="243"/>
        </w:trPr>
        <w:tc>
          <w:tcPr>
            <w:tcW w:w="4020" w:type="dxa"/>
            <w:vAlign w:val="bottom"/>
          </w:tcPr>
          <w:p>
            <w:pPr>
              <w:ind w:left="540"/>
              <w:spacing w:after="0"/>
              <w:rPr>
                <w:sz w:val="20"/>
                <w:szCs w:val="20"/>
                <w:color w:val="auto"/>
              </w:rPr>
            </w:pPr>
            <w:r>
              <w:rPr>
                <w:rFonts w:ascii="Arial" w:cs="Arial" w:eastAsia="Arial" w:hAnsi="Arial"/>
                <w:sz w:val="18"/>
                <w:szCs w:val="18"/>
                <w:color w:val="auto"/>
              </w:rPr>
              <w:t>Exercised</w:t>
            </w:r>
          </w:p>
        </w:tc>
        <w:tc>
          <w:tcPr>
            <w:tcW w:w="4960" w:type="dxa"/>
            <w:vAlign w:val="bottom"/>
          </w:tcPr>
          <w:p>
            <w:pPr>
              <w:jc w:val="right"/>
              <w:ind w:right="432"/>
              <w:spacing w:after="0"/>
              <w:rPr>
                <w:sz w:val="20"/>
                <w:szCs w:val="20"/>
                <w:color w:val="auto"/>
              </w:rPr>
            </w:pPr>
            <w:r>
              <w:rPr>
                <w:rFonts w:ascii="Arial" w:cs="Arial" w:eastAsia="Arial" w:hAnsi="Arial"/>
                <w:sz w:val="18"/>
                <w:szCs w:val="18"/>
                <w:color w:val="auto"/>
              </w:rPr>
              <w:t>(340)</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21"/>
                <w:szCs w:val="21"/>
                <w:color w:val="auto"/>
              </w:rPr>
            </w:pPr>
          </w:p>
        </w:tc>
      </w:tr>
      <w:tr>
        <w:trPr>
          <w:trHeight w:val="244"/>
        </w:trPr>
        <w:tc>
          <w:tcPr>
            <w:tcW w:w="40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Forfeited</w:t>
            </w:r>
          </w:p>
        </w:tc>
        <w:tc>
          <w:tcPr>
            <w:tcW w:w="4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(34)</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21"/>
                <w:szCs w:val="21"/>
                <w:color w:val="auto"/>
              </w:rPr>
            </w:pPr>
          </w:p>
        </w:tc>
      </w:tr>
      <w:tr>
        <w:trPr>
          <w:trHeight w:val="236"/>
        </w:trPr>
        <w:tc>
          <w:tcPr>
            <w:tcW w:w="4020" w:type="dxa"/>
            <w:vAlign w:val="bottom"/>
          </w:tcPr>
          <w:p>
            <w:pPr>
              <w:ind w:left="280"/>
              <w:spacing w:after="0"/>
              <w:rPr>
                <w:sz w:val="20"/>
                <w:szCs w:val="20"/>
                <w:color w:val="auto"/>
              </w:rPr>
            </w:pPr>
            <w:r>
              <w:rPr>
                <w:rFonts w:ascii="Arial" w:cs="Arial" w:eastAsia="Arial" w:hAnsi="Arial"/>
                <w:sz w:val="18"/>
                <w:szCs w:val="18"/>
                <w:b w:val="1"/>
                <w:bCs w:val="1"/>
                <w:color w:val="auto"/>
              </w:rPr>
              <w:t>Options outstanding at July 31, 2006</w:t>
            </w:r>
          </w:p>
        </w:tc>
        <w:tc>
          <w:tcPr>
            <w:tcW w:w="4960" w:type="dxa"/>
            <w:vAlign w:val="bottom"/>
          </w:tcPr>
          <w:p>
            <w:pPr>
              <w:jc w:val="right"/>
              <w:ind w:right="492"/>
              <w:spacing w:after="0"/>
              <w:rPr>
                <w:sz w:val="20"/>
                <w:szCs w:val="20"/>
                <w:color w:val="auto"/>
              </w:rPr>
            </w:pPr>
            <w:r>
              <w:rPr>
                <w:rFonts w:ascii="Arial" w:cs="Arial" w:eastAsia="Arial" w:hAnsi="Arial"/>
                <w:sz w:val="18"/>
                <w:szCs w:val="18"/>
                <w:b w:val="1"/>
                <w:bCs w:val="1"/>
                <w:color w:val="auto"/>
              </w:rPr>
              <w:t>926</w:t>
            </w:r>
          </w:p>
        </w:tc>
        <w:tc>
          <w:tcPr>
            <w:tcW w:w="540" w:type="dxa"/>
            <w:vAlign w:val="bottom"/>
          </w:tcPr>
          <w:p>
            <w:pPr>
              <w:ind w:left="4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8.60</w:t>
            </w:r>
          </w:p>
        </w:tc>
        <w:tc>
          <w:tcPr>
            <w:tcW w:w="20" w:type="dxa"/>
            <w:vAlign w:val="bottom"/>
          </w:tcPr>
          <w:p>
            <w:pPr>
              <w:spacing w:after="0"/>
              <w:rPr>
                <w:sz w:val="20"/>
                <w:szCs w:val="20"/>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b w:val="1"/>
                <w:bCs w:val="1"/>
                <w:color w:val="auto"/>
              </w:rPr>
              <w:t>Options vested at July 31, 2006</w:t>
            </w:r>
          </w:p>
        </w:tc>
        <w:tc>
          <w:tcPr>
            <w:tcW w:w="4960" w:type="dxa"/>
            <w:vAlign w:val="bottom"/>
          </w:tcPr>
          <w:p>
            <w:pPr>
              <w:jc w:val="right"/>
              <w:ind w:right="492"/>
              <w:spacing w:after="0"/>
              <w:rPr>
                <w:sz w:val="20"/>
                <w:szCs w:val="20"/>
                <w:color w:val="auto"/>
              </w:rPr>
            </w:pPr>
            <w:r>
              <w:rPr>
                <w:rFonts w:ascii="Arial" w:cs="Arial" w:eastAsia="Arial" w:hAnsi="Arial"/>
                <w:sz w:val="18"/>
                <w:szCs w:val="18"/>
                <w:b w:val="1"/>
                <w:bCs w:val="1"/>
                <w:color w:val="auto"/>
              </w:rPr>
              <w:t>480</w:t>
            </w:r>
          </w:p>
        </w:tc>
        <w:tc>
          <w:tcPr>
            <w:tcW w:w="540" w:type="dxa"/>
            <w:vAlign w:val="bottom"/>
          </w:tcPr>
          <w:p>
            <w:pPr>
              <w:ind w:left="4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8.27</w:t>
            </w:r>
          </w:p>
        </w:tc>
        <w:tc>
          <w:tcPr>
            <w:tcW w:w="2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b w:val="1"/>
                <w:bCs w:val="1"/>
                <w:color w:val="auto"/>
              </w:rPr>
              <w:t>Options unvested at July 31, 2006</w:t>
            </w:r>
          </w:p>
        </w:tc>
        <w:tc>
          <w:tcPr>
            <w:tcW w:w="4960" w:type="dxa"/>
            <w:vAlign w:val="bottom"/>
          </w:tcPr>
          <w:p>
            <w:pPr>
              <w:jc w:val="right"/>
              <w:ind w:right="492"/>
              <w:spacing w:after="0"/>
              <w:rPr>
                <w:sz w:val="20"/>
                <w:szCs w:val="20"/>
                <w:color w:val="auto"/>
              </w:rPr>
            </w:pPr>
            <w:r>
              <w:rPr>
                <w:rFonts w:ascii="Arial" w:cs="Arial" w:eastAsia="Arial" w:hAnsi="Arial"/>
                <w:sz w:val="18"/>
                <w:szCs w:val="18"/>
                <w:b w:val="1"/>
                <w:bCs w:val="1"/>
                <w:color w:val="auto"/>
              </w:rPr>
              <w:t>446</w:t>
            </w:r>
          </w:p>
        </w:tc>
        <w:tc>
          <w:tcPr>
            <w:tcW w:w="540" w:type="dxa"/>
            <w:vAlign w:val="bottom"/>
          </w:tcPr>
          <w:p>
            <w:pPr>
              <w:ind w:left="4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8.96</w:t>
            </w:r>
          </w:p>
        </w:tc>
        <w:tc>
          <w:tcPr>
            <w:tcW w:w="20" w:type="dxa"/>
            <w:vAlign w:val="bottom"/>
          </w:tcPr>
          <w:p>
            <w:pPr>
              <w:spacing w:after="0"/>
              <w:rPr>
                <w:sz w:val="21"/>
                <w:szCs w:val="21"/>
                <w:color w:val="auto"/>
              </w:rPr>
            </w:pPr>
          </w:p>
        </w:tc>
      </w:tr>
      <w:tr>
        <w:trPr>
          <w:trHeight w:val="675"/>
        </w:trPr>
        <w:tc>
          <w:tcPr>
            <w:tcW w:w="4020" w:type="dxa"/>
            <w:vAlign w:val="bottom"/>
          </w:tcPr>
          <w:p>
            <w:pPr>
              <w:spacing w:after="0"/>
              <w:rPr>
                <w:sz w:val="24"/>
                <w:szCs w:val="24"/>
                <w:color w:val="auto"/>
              </w:rPr>
            </w:pPr>
          </w:p>
        </w:tc>
        <w:tc>
          <w:tcPr>
            <w:tcW w:w="4960" w:type="dxa"/>
            <w:vAlign w:val="bottom"/>
          </w:tcPr>
          <w:p>
            <w:pPr>
              <w:jc w:val="right"/>
              <w:ind w:right="3672"/>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BASED COMPENSATION (CONTINUED)</w:t>
      </w:r>
    </w:p>
    <w:p>
      <w:pPr>
        <w:spacing w:after="0" w:line="222" w:lineRule="exact"/>
        <w:rPr>
          <w:sz w:val="20"/>
          <w:szCs w:val="20"/>
          <w:color w:val="auto"/>
        </w:rPr>
      </w:pPr>
    </w:p>
    <w:p>
      <w:pPr>
        <w:ind w:firstLine="302"/>
        <w:spacing w:after="0" w:line="268" w:lineRule="auto"/>
        <w:rPr>
          <w:sz w:val="20"/>
          <w:szCs w:val="20"/>
          <w:color w:val="auto"/>
        </w:rPr>
      </w:pPr>
      <w:r>
        <w:rPr>
          <w:rFonts w:ascii="Arial" w:cs="Arial" w:eastAsia="Arial" w:hAnsi="Arial"/>
          <w:sz w:val="18"/>
          <w:szCs w:val="18"/>
          <w:color w:val="auto"/>
        </w:rPr>
        <w:t>As of July 31, 2006, 2005, and 2004, the weighted average remaining contractual term of all outstanding options was 5.5 years, 5.9 years and 5.9 years, respectively, and 4.1 years, 4.3 years and 4.7 years for options exercisable on those dates.</w:t>
      </w:r>
    </w:p>
    <w:p>
      <w:pPr>
        <w:sectPr>
          <w:pgSz w:w="11900" w:h="16852" w:orient="portrait"/>
          <w:cols w:equalWidth="0" w:num="1">
            <w:col w:w="11420"/>
          </w:cols>
          <w:pgMar w:left="240" w:top="131" w:right="239" w:bottom="0" w:gutter="0" w:footer="0" w:header="0"/>
        </w:sectPr>
      </w:pPr>
    </w:p>
    <w:bookmarkStart w:id="36" w:name="page37"/>
    <w:bookmarkEnd w:id="36"/>
    <w:p>
      <w:pPr>
        <w:jc w:val="both"/>
        <w:ind w:firstLine="272"/>
        <w:spacing w:after="0" w:line="294" w:lineRule="auto"/>
        <w:rPr>
          <w:sz w:val="20"/>
          <w:szCs w:val="20"/>
          <w:color w:val="auto"/>
        </w:rPr>
      </w:pPr>
      <w:r>
        <w:rPr>
          <w:rFonts w:ascii="Arial" w:cs="Arial" w:eastAsia="Arial" w:hAnsi="Arial"/>
          <w:sz w:val="16"/>
          <w:szCs w:val="16"/>
          <w:color w:val="auto"/>
        </w:rPr>
        <w:t>The total intrinsic value (the excess of the market price over the exercise price) was approximately $6,800,000 for all outstanding options at July 31, 2006, $3,700,000 for options exercisable at July 31, 2006 and $2,100,000 for options exercised during the fiscal year ended July 31, 2006. The total intrinsic value was approximately $7,500,000 for all outstanding options at July 31, 2005, $3,900,000 for options exercisable at July 31, 2005 and $2,900,000 for options exercised during the fiscal year ended July 31, 2005. The total intrinsic value was approximately $8,700,000 for all outstanding options at July 31, 2004, $5,100,000 for options exercisable at July 31, 2004 and $1,000,000 for options exercised during the fiscal year ended July 31, 2004.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380" w:type="dxa"/>
            <w:vAlign w:val="bottom"/>
            <w:gridSpan w:val="6"/>
          </w:tcPr>
          <w:p>
            <w:pPr>
              <w:jc w:val="center"/>
              <w:ind w:left="492"/>
              <w:spacing w:after="0"/>
              <w:rPr>
                <w:sz w:val="20"/>
                <w:szCs w:val="20"/>
                <w:color w:val="auto"/>
              </w:rPr>
            </w:pPr>
            <w:r>
              <w:rPr>
                <w:rFonts w:ascii="Arial" w:cs="Arial" w:eastAsia="Arial" w:hAnsi="Arial"/>
                <w:sz w:val="18"/>
                <w:szCs w:val="18"/>
                <w:color w:val="auto"/>
                <w:w w:val="94"/>
              </w:rPr>
              <w:t>OPTIONS OUTSTANDING AND EXERCISABLE</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3"/>
        </w:trPr>
        <w:tc>
          <w:tcPr>
            <w:tcW w:w="4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380" w:type="dxa"/>
            <w:vAlign w:val="bottom"/>
            <w:gridSpan w:val="6"/>
          </w:tcPr>
          <w:p>
            <w:pPr>
              <w:jc w:val="center"/>
              <w:ind w:left="492"/>
              <w:spacing w:after="0"/>
              <w:rPr>
                <w:sz w:val="20"/>
                <w:szCs w:val="20"/>
                <w:color w:val="auto"/>
              </w:rPr>
            </w:pPr>
            <w:r>
              <w:rPr>
                <w:rFonts w:ascii="Arial" w:cs="Arial" w:eastAsia="Arial" w:hAnsi="Arial"/>
                <w:sz w:val="18"/>
                <w:szCs w:val="18"/>
                <w:color w:val="auto"/>
                <w:w w:val="91"/>
              </w:rPr>
              <w:t>BY PRICE RANGE AS OF 7/31/2006</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4"/>
        </w:trPr>
        <w:tc>
          <w:tcPr>
            <w:tcW w:w="4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Options Outstanding</w:t>
            </w: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Options Exercisable</w:t>
            </w:r>
          </w:p>
        </w:tc>
      </w:tr>
      <w:tr>
        <w:trPr>
          <w:trHeight w:val="236"/>
        </w:trPr>
        <w:tc>
          <w:tcPr>
            <w:tcW w:w="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Weighted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Outstanding as</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Weighted</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Weighted</w:t>
            </w:r>
          </w:p>
        </w:tc>
      </w:tr>
      <w:tr>
        <w:trPr>
          <w:trHeight w:val="243"/>
        </w:trPr>
        <w:tc>
          <w:tcPr>
            <w:tcW w:w="420" w:type="dxa"/>
            <w:vAlign w:val="bottom"/>
          </w:tcPr>
          <w:p>
            <w:pPr>
              <w:spacing w:after="0"/>
              <w:rPr>
                <w:sz w:val="21"/>
                <w:szCs w:val="21"/>
                <w:color w:val="auto"/>
              </w:rPr>
            </w:pPr>
          </w:p>
        </w:tc>
        <w:tc>
          <w:tcPr>
            <w:tcW w:w="2840" w:type="dxa"/>
            <w:vAlign w:val="bottom"/>
          </w:tcPr>
          <w:p>
            <w:pPr>
              <w:ind w:left="1560"/>
              <w:spacing w:after="0"/>
              <w:rPr>
                <w:sz w:val="20"/>
                <w:szCs w:val="20"/>
                <w:color w:val="auto"/>
              </w:rPr>
            </w:pPr>
            <w:r>
              <w:rPr>
                <w:rFonts w:ascii="Arial" w:cs="Arial" w:eastAsia="Arial" w:hAnsi="Arial"/>
                <w:sz w:val="18"/>
                <w:szCs w:val="18"/>
                <w:color w:val="auto"/>
              </w:rPr>
              <w:t>Range of</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of 7/31/2006</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21"/>
                <w:szCs w:val="21"/>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r>
      <w:tr>
        <w:trPr>
          <w:trHeight w:val="244"/>
        </w:trPr>
        <w:tc>
          <w:tcPr>
            <w:tcW w:w="420" w:type="dxa"/>
            <w:vAlign w:val="bottom"/>
          </w:tcPr>
          <w:p>
            <w:pPr>
              <w:spacing w:after="0"/>
              <w:rPr>
                <w:sz w:val="21"/>
                <w:szCs w:val="21"/>
                <w:color w:val="auto"/>
              </w:rPr>
            </w:pPr>
          </w:p>
        </w:tc>
        <w:tc>
          <w:tcPr>
            <w:tcW w:w="2840" w:type="dxa"/>
            <w:vAlign w:val="bottom"/>
          </w:tcPr>
          <w:p>
            <w:pPr>
              <w:ind w:left="1340"/>
              <w:spacing w:after="0"/>
              <w:rPr>
                <w:sz w:val="20"/>
                <w:szCs w:val="20"/>
                <w:color w:val="auto"/>
              </w:rPr>
            </w:pPr>
            <w:r>
              <w:rPr>
                <w:rFonts w:ascii="Arial" w:cs="Arial" w:eastAsia="Arial" w:hAnsi="Arial"/>
                <w:sz w:val="18"/>
                <w:szCs w:val="18"/>
                <w:color w:val="auto"/>
              </w:rPr>
              <w:t>Exercise Prices</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(in thousands)</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 Life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Exercise Price</w:t>
            </w:r>
          </w:p>
        </w:tc>
        <w:tc>
          <w:tcPr>
            <w:tcW w:w="26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Exercise Price</w:t>
            </w:r>
          </w:p>
        </w:tc>
      </w:tr>
      <w:tr>
        <w:trPr>
          <w:trHeight w:val="236"/>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$4.96</w:t>
            </w: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$6.00</w:t>
            </w:r>
          </w:p>
        </w:tc>
        <w:tc>
          <w:tcPr>
            <w:tcW w:w="12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240</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5.36</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5.08</w:t>
            </w:r>
          </w:p>
        </w:tc>
        <w:tc>
          <w:tcPr>
            <w:tcW w:w="1260" w:type="dxa"/>
            <w:vAlign w:val="bottom"/>
            <w:tcBorders>
              <w:top w:val="single" w:sz="8" w:color="auto"/>
            </w:tcBorders>
            <w:gridSpan w:val="2"/>
          </w:tcPr>
          <w:p>
            <w:pPr>
              <w:jc w:val="right"/>
              <w:ind w:right="332"/>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3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5.10</w:t>
            </w:r>
          </w:p>
        </w:tc>
      </w:tr>
      <w:tr>
        <w:trPr>
          <w:trHeight w:val="243"/>
        </w:trPr>
        <w:tc>
          <w:tcPr>
            <w:tcW w:w="420" w:type="dxa"/>
            <w:vAlign w:val="bottom"/>
          </w:tcPr>
          <w:p>
            <w:pPr>
              <w:spacing w:after="0"/>
              <w:rPr>
                <w:sz w:val="20"/>
                <w:szCs w:val="20"/>
                <w:color w:val="auto"/>
              </w:rPr>
            </w:pPr>
            <w:r>
              <w:rPr>
                <w:rFonts w:ascii="Arial" w:cs="Arial" w:eastAsia="Arial" w:hAnsi="Arial"/>
                <w:sz w:val="18"/>
                <w:szCs w:val="18"/>
                <w:color w:val="auto"/>
                <w:w w:val="88"/>
              </w:rPr>
              <w:t>$6.01</w:t>
            </w:r>
          </w:p>
        </w:tc>
        <w:tc>
          <w:tcPr>
            <w:tcW w:w="2840" w:type="dxa"/>
            <w:vAlign w:val="bottom"/>
          </w:tcPr>
          <w:p>
            <w:pPr>
              <w:ind w:left="20"/>
              <w:spacing w:after="0"/>
              <w:rPr>
                <w:sz w:val="20"/>
                <w:szCs w:val="20"/>
                <w:color w:val="auto"/>
              </w:rPr>
            </w:pPr>
            <w:r>
              <w:rPr>
                <w:rFonts w:ascii="Arial" w:cs="Arial" w:eastAsia="Arial" w:hAnsi="Arial"/>
                <w:sz w:val="18"/>
                <w:szCs w:val="18"/>
                <w:color w:val="auto"/>
              </w:rPr>
              <w:t>- $8.00</w:t>
            </w:r>
          </w:p>
        </w:tc>
        <w:tc>
          <w:tcPr>
            <w:tcW w:w="2620" w:type="dxa"/>
            <w:vAlign w:val="bottom"/>
            <w:gridSpan w:val="3"/>
          </w:tcPr>
          <w:p>
            <w:pPr>
              <w:jc w:val="right"/>
              <w:ind w:right="372"/>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6.72</w:t>
            </w: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6.72</w:t>
            </w:r>
          </w:p>
        </w:tc>
      </w:tr>
      <w:tr>
        <w:trPr>
          <w:trHeight w:val="243"/>
        </w:trPr>
        <w:tc>
          <w:tcPr>
            <w:tcW w:w="420" w:type="dxa"/>
            <w:vAlign w:val="bottom"/>
          </w:tcPr>
          <w:p>
            <w:pPr>
              <w:spacing w:after="0"/>
              <w:rPr>
                <w:sz w:val="20"/>
                <w:szCs w:val="20"/>
                <w:color w:val="auto"/>
              </w:rPr>
            </w:pPr>
            <w:r>
              <w:rPr>
                <w:rFonts w:ascii="Arial" w:cs="Arial" w:eastAsia="Arial" w:hAnsi="Arial"/>
                <w:sz w:val="18"/>
                <w:szCs w:val="18"/>
                <w:color w:val="auto"/>
                <w:w w:val="88"/>
              </w:rPr>
              <w:t>$8.01</w:t>
            </w:r>
          </w:p>
        </w:tc>
        <w:tc>
          <w:tcPr>
            <w:tcW w:w="2840" w:type="dxa"/>
            <w:vAlign w:val="bottom"/>
          </w:tcPr>
          <w:p>
            <w:pPr>
              <w:ind w:left="20"/>
              <w:spacing w:after="0"/>
              <w:rPr>
                <w:sz w:val="20"/>
                <w:szCs w:val="20"/>
                <w:color w:val="auto"/>
              </w:rPr>
            </w:pPr>
            <w:r>
              <w:rPr>
                <w:rFonts w:ascii="Arial" w:cs="Arial" w:eastAsia="Arial" w:hAnsi="Arial"/>
                <w:sz w:val="18"/>
                <w:szCs w:val="18"/>
                <w:color w:val="auto"/>
              </w:rPr>
              <w:t>- $10.00</w:t>
            </w:r>
          </w:p>
        </w:tc>
        <w:tc>
          <w:tcPr>
            <w:tcW w:w="2620" w:type="dxa"/>
            <w:vAlign w:val="bottom"/>
            <w:gridSpan w:val="3"/>
          </w:tcPr>
          <w:p>
            <w:pPr>
              <w:jc w:val="right"/>
              <w:ind w:right="372"/>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1"/>
                <w:szCs w:val="21"/>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9.22</w:t>
            </w: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9.09</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$10.01 - $12.00</w:t>
            </w:r>
          </w:p>
        </w:tc>
        <w:tc>
          <w:tcPr>
            <w:tcW w:w="2620" w:type="dxa"/>
            <w:vAlign w:val="bottom"/>
            <w:gridSpan w:val="3"/>
          </w:tcPr>
          <w:p>
            <w:pPr>
              <w:jc w:val="right"/>
              <w:ind w:right="372"/>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11.80</w:t>
            </w: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11.69</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$12.01 - $14.00</w:t>
            </w:r>
          </w:p>
        </w:tc>
        <w:tc>
          <w:tcPr>
            <w:tcW w:w="2620" w:type="dxa"/>
            <w:vAlign w:val="bottom"/>
            <w:gridSpan w:val="3"/>
          </w:tcPr>
          <w:p>
            <w:pPr>
              <w:jc w:val="right"/>
              <w:ind w:right="372"/>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13.18</w:t>
            </w: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13.11</w:t>
            </w:r>
          </w:p>
        </w:tc>
      </w:tr>
      <w:tr>
        <w:trPr>
          <w:trHeight w:val="244"/>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$14.01 - $16.00</w:t>
            </w:r>
          </w:p>
        </w:tc>
        <w:tc>
          <w:tcPr>
            <w:tcW w:w="12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21"/>
                <w:szCs w:val="21"/>
                <w:color w:val="auto"/>
              </w:rPr>
            </w:pP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88"/>
              </w:rPr>
              <w:t>14.94</w:t>
            </w:r>
          </w:p>
        </w:tc>
        <w:tc>
          <w:tcPr>
            <w:tcW w:w="260" w:type="dxa"/>
            <w:vAlign w:val="bottom"/>
          </w:tcPr>
          <w:p>
            <w:pPr>
              <w:spacing w:after="0"/>
              <w:rPr>
                <w:sz w:val="21"/>
                <w:szCs w:val="21"/>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r>
      <w:tr>
        <w:trPr>
          <w:trHeight w:val="25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$4.96</w:t>
            </w: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$16.00</w:t>
            </w:r>
          </w:p>
        </w:tc>
        <w:tc>
          <w:tcPr>
            <w:tcW w:w="12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2"/>
                <w:szCs w:val="22"/>
                <w:color w:val="auto"/>
              </w:rPr>
            </w:pP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22"/>
                <w:szCs w:val="22"/>
                <w:color w:val="auto"/>
              </w:rPr>
            </w:pP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8.27</w:t>
            </w:r>
          </w:p>
        </w:tc>
      </w:tr>
    </w:tbl>
    <w:p>
      <w:pPr>
        <w:spacing w:after="0" w:line="200" w:lineRule="exact"/>
        <w:rPr>
          <w:sz w:val="20"/>
          <w:szCs w:val="20"/>
          <w:color w:val="auto"/>
        </w:rPr>
      </w:pPr>
    </w:p>
    <w:p>
      <w:pPr>
        <w:spacing w:after="0" w:line="251"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The amount of cash received from the exercise of options during the fiscal year ended July 31, 2006 was approximately $3,100,000 and the related tax benefit was approximately $550,000. The amount of cash received from the exercise of options during the fiscal year ended July 31, 2005 was approximately $4,600,000 and the related tax benefit was approximately $770,000. The amount of cash received from the exercise of options during the fiscal year ended July 31, 2004 was approximately $1,300,000 and the related tax benefit was approximately $270,000.</w:t>
      </w:r>
    </w:p>
    <w:p>
      <w:pPr>
        <w:spacing w:after="0" w:line="197" w:lineRule="exact"/>
        <w:rPr>
          <w:sz w:val="20"/>
          <w:szCs w:val="20"/>
          <w:color w:val="auto"/>
        </w:rPr>
      </w:pPr>
    </w:p>
    <w:p>
      <w:pPr>
        <w:jc w:val="both"/>
        <w:ind w:firstLine="245"/>
        <w:spacing w:after="0" w:line="308" w:lineRule="auto"/>
        <w:rPr>
          <w:sz w:val="20"/>
          <w:szCs w:val="20"/>
          <w:color w:val="auto"/>
        </w:rPr>
      </w:pPr>
      <w:r>
        <w:rPr>
          <w:rFonts w:ascii="Arial" w:cs="Arial" w:eastAsia="Arial" w:hAnsi="Arial"/>
          <w:sz w:val="15"/>
          <w:szCs w:val="15"/>
          <w:color w:val="auto"/>
        </w:rPr>
        <w:t>A five-for-four stock split was announced by our Board on June 6, 2006. In keeping with historical practices, we have adjusted the number of shares and the option prices to equitably adjust all outstanding stock options. Under FAS 123-R,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Oil-Dri Corporation of America Outside Director Stock Plan and the Oil-Dri Corporation of America 1995 Long Term Incentive Plan may be deemed to have been discretionary, rather than required by the actual terms of these plans. We will therefore recognize approximately $500,000 additional stock based compensation expense relating to the modification in fiscal 2007 and approximately $500,000 expense in subsequent years. As of July 31, 2006, we had a total of approximately $1,700,000 in unamortized expense associated with all outstanding stock options, including the additional compensation expense resulting from the stock split. The weighted average period over which this expense is expected to be amortized is 2.4 years. As of July 31, 2005 and July 31, 2004, we had a total of approximately $840,000 and $1,100,000, respectively, in unamortized compensation expense. The weighted average period over which this expense was expected to be amortized was 3.3 years and 3.9 years at July 31, 2005 and July 31, 2004,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BASED COMPENSATION (CONTINUED)</w:t>
      </w:r>
    </w:p>
    <w:p>
      <w:pPr>
        <w:spacing w:after="0" w:line="222"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The fair value of the stock options granted was estimated on the date of the grant using a Black-Scholes option valuation model that uses the assumptions noted in the following table. The components of the table are weighted averages of the assumptions for each fiscal year. The assumptions are determined on the date of the grant. Grants issued on a given date are valued as a group. The risk free interest rate is based on the U.S. Treasury yield curve in effect at the time of grant. The expected life (estimated period of time outstanding) of a grant is determined by reference to the vesting schedule, past exercise behavior and comparison with other reporting companies. We use the dividend rate at the date of grant as the best estimate of future dividends. Expected volatility is determined by calculating the standard deviation of our stock price for the 5 years immediately prior to the grant date. This period of time closely resembles the expected term. All of the options currently outstanding have a term of 10 years. All stock options issued under our plans have been issued at the closing market price on the date of grant.</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2005</w:t>
            </w:r>
          </w:p>
        </w:tc>
        <w:tc>
          <w:tcPr>
            <w:tcW w:w="480" w:type="dxa"/>
            <w:vAlign w:val="bottom"/>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2004</w:t>
            </w:r>
          </w:p>
        </w:tc>
      </w:tr>
      <w:tr>
        <w:trPr>
          <w:trHeight w:val="243"/>
        </w:trPr>
        <w:tc>
          <w:tcPr>
            <w:tcW w:w="20" w:type="dxa"/>
            <w:vAlign w:val="bottom"/>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Dividend Yields</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3.0%</w:t>
            </w:r>
          </w:p>
        </w:tc>
      </w:tr>
      <w:tr>
        <w:trPr>
          <w:trHeight w:val="242"/>
        </w:trPr>
        <w:tc>
          <w:tcPr>
            <w:tcW w:w="644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35.1%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44"/>
        </w:trPr>
        <w:tc>
          <w:tcPr>
            <w:tcW w:w="20" w:type="dxa"/>
            <w:vAlign w:val="bottom"/>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4.9%</w:t>
            </w:r>
          </w:p>
        </w:tc>
        <w:tc>
          <w:tcPr>
            <w:tcW w:w="10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3.1%</w:t>
            </w:r>
          </w:p>
        </w:tc>
      </w:tr>
      <w:tr>
        <w:trPr>
          <w:trHeight w:val="242"/>
        </w:trPr>
        <w:tc>
          <w:tcPr>
            <w:tcW w:w="644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600" w:type="dxa"/>
            <w:vAlign w:val="bottom"/>
          </w:tcPr>
          <w:p>
            <w:pPr>
              <w:jc w:val="right"/>
              <w:ind w:right="156"/>
              <w:spacing w:after="0"/>
              <w:rPr>
                <w:sz w:val="20"/>
                <w:szCs w:val="20"/>
                <w:color w:val="auto"/>
              </w:rPr>
            </w:pPr>
            <w:r>
              <w:rPr>
                <w:rFonts w:ascii="Arial" w:cs="Arial" w:eastAsia="Arial" w:hAnsi="Arial"/>
                <w:sz w:val="18"/>
                <w:szCs w:val="18"/>
                <w:b w:val="1"/>
                <w:bCs w:val="1"/>
                <w:color w:val="auto"/>
              </w:rPr>
              <w:t>5.4</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5.4</w:t>
            </w:r>
          </w:p>
        </w:tc>
      </w:tr>
      <w:tr>
        <w:trPr>
          <w:trHeight w:val="244"/>
        </w:trPr>
        <w:tc>
          <w:tcPr>
            <w:tcW w:w="20" w:type="dxa"/>
            <w:vAlign w:val="bottom"/>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Fair Value</w:t>
            </w:r>
          </w:p>
        </w:tc>
        <w:tc>
          <w:tcPr>
            <w:tcW w:w="600" w:type="dxa"/>
            <w:vAlign w:val="bottom"/>
            <w:shd w:val="clear" w:color="auto" w:fill="C0C0C0"/>
          </w:tcPr>
          <w:p>
            <w:pPr>
              <w:jc w:val="right"/>
              <w:ind w:right="56"/>
              <w:spacing w:after="0"/>
              <w:rPr>
                <w:sz w:val="20"/>
                <w:szCs w:val="20"/>
                <w:color w:val="auto"/>
              </w:rPr>
            </w:pPr>
            <w:r>
              <w:rPr>
                <w:rFonts w:ascii="Arial" w:cs="Arial" w:eastAsia="Arial" w:hAnsi="Arial"/>
                <w:sz w:val="18"/>
                <w:szCs w:val="18"/>
                <w:b w:val="1"/>
                <w:bCs w:val="1"/>
                <w:color w:val="auto"/>
                <w:w w:val="97"/>
              </w:rPr>
              <w:t>$3.48</w:t>
            </w:r>
          </w:p>
        </w:tc>
        <w:tc>
          <w:tcPr>
            <w:tcW w:w="10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$3.99</w:t>
            </w:r>
          </w:p>
        </w:tc>
        <w:tc>
          <w:tcPr>
            <w:tcW w:w="10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$2.6 4</w:t>
            </w:r>
          </w:p>
        </w:tc>
      </w:tr>
      <w:tr>
        <w:trPr>
          <w:trHeight w:val="241"/>
        </w:trPr>
        <w:tc>
          <w:tcPr>
            <w:tcW w:w="6440" w:type="dxa"/>
            <w:vAlign w:val="bottom"/>
            <w:gridSpan w:val="2"/>
          </w:tcPr>
          <w:p>
            <w:pPr>
              <w:spacing w:after="0"/>
              <w:rPr>
                <w:sz w:val="20"/>
                <w:szCs w:val="20"/>
                <w:color w:val="auto"/>
              </w:rPr>
            </w:pPr>
            <w:r>
              <w:rPr>
                <w:rFonts w:ascii="Arial" w:cs="Arial" w:eastAsia="Arial" w:hAnsi="Arial"/>
                <w:sz w:val="18"/>
                <w:szCs w:val="18"/>
                <w:color w:val="auto"/>
              </w:rPr>
              <w:t>(restated for five-for-four stock split paid on September 8, 2006)</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1995 Plan and 2006 Plan both provide for grants of restricted stock. The vesting schedule under the 1995 Plan has varied but has been three years or less.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Under the 2006 Plan the grants issued so far have vesting periods between three and five years.</w:t>
      </w:r>
    </w:p>
    <w:p>
      <w:pPr>
        <w:spacing w:after="0" w:line="219" w:lineRule="exact"/>
        <w:rPr>
          <w:sz w:val="20"/>
          <w:szCs w:val="20"/>
          <w:color w:val="auto"/>
        </w:rPr>
      </w:pPr>
    </w:p>
    <w:p>
      <w:pPr>
        <w:ind w:firstLine="266"/>
        <w:spacing w:after="0" w:line="268" w:lineRule="auto"/>
        <w:rPr>
          <w:sz w:val="20"/>
          <w:szCs w:val="20"/>
          <w:color w:val="auto"/>
        </w:rPr>
      </w:pPr>
      <w:r>
        <w:rPr>
          <w:rFonts w:ascii="Arial" w:cs="Arial" w:eastAsia="Arial" w:hAnsi="Arial"/>
          <w:sz w:val="18"/>
          <w:szCs w:val="18"/>
          <w:color w:val="auto"/>
        </w:rPr>
        <w:t>A summary of option transactions under the plans is shown below. The number of shares transacted reflects the five-for-four stock split effected by a stock dividend paid on September 8, 2006.</w:t>
      </w:r>
    </w:p>
    <w:p>
      <w:pPr>
        <w:spacing w:after="0" w:line="207" w:lineRule="exact"/>
        <w:rPr>
          <w:sz w:val="20"/>
          <w:szCs w:val="20"/>
          <w:color w:val="auto"/>
        </w:rPr>
      </w:pPr>
    </w:p>
    <w:tbl>
      <w:tblPr>
        <w:tblLayout w:type="fixed"/>
        <w:tblInd w:w="7380" w:type="dxa"/>
        <w:tblCellMar>
          <w:top w:w="0" w:type="dxa"/>
          <w:left w:w="0" w:type="dxa"/>
          <w:bottom w:w="0" w:type="dxa"/>
          <w:right w:w="0" w:type="dxa"/>
        </w:tblCellMar>
      </w:tblPr>
      <w:tr>
        <w:trPr>
          <w:trHeight w:val="228"/>
        </w:trPr>
        <w:tc>
          <w:tcPr>
            <w:tcW w:w="1100" w:type="dxa"/>
            <w:vAlign w:val="bottom"/>
          </w:tcPr>
          <w:p>
            <w:pPr>
              <w:jc w:val="center"/>
              <w:ind w:right="192"/>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Pr>
          <w:p>
            <w:pPr>
              <w:jc w:val="center"/>
              <w:ind w:left="172"/>
              <w:spacing w:after="0"/>
              <w:rPr>
                <w:sz w:val="20"/>
                <w:szCs w:val="20"/>
                <w:color w:val="auto"/>
              </w:rPr>
            </w:pPr>
            <w:r>
              <w:rPr>
                <w:rFonts w:ascii="Arial" w:cs="Arial" w:eastAsia="Arial" w:hAnsi="Arial"/>
                <w:sz w:val="18"/>
                <w:szCs w:val="18"/>
                <w:b w:val="1"/>
                <w:bCs w:val="1"/>
                <w:color w:val="auto"/>
                <w:w w:val="86"/>
              </w:rPr>
              <w:t>Weighted</w:t>
            </w:r>
          </w:p>
        </w:tc>
      </w:tr>
      <w:tr>
        <w:trPr>
          <w:trHeight w:val="243"/>
        </w:trPr>
        <w:tc>
          <w:tcPr>
            <w:tcW w:w="1100" w:type="dxa"/>
            <w:vAlign w:val="bottom"/>
          </w:tcPr>
          <w:p>
            <w:pPr>
              <w:jc w:val="center"/>
              <w:ind w:right="192"/>
              <w:spacing w:after="0"/>
              <w:rPr>
                <w:sz w:val="20"/>
                <w:szCs w:val="20"/>
                <w:color w:val="auto"/>
              </w:rPr>
            </w:pPr>
            <w:r>
              <w:rPr>
                <w:rFonts w:ascii="Arial" w:cs="Arial" w:eastAsia="Arial" w:hAnsi="Arial"/>
                <w:sz w:val="18"/>
                <w:szCs w:val="18"/>
                <w:b w:val="1"/>
                <w:bCs w:val="1"/>
                <w:color w:val="auto"/>
                <w:w w:val="83"/>
              </w:rPr>
              <w:t>Shares</w:t>
            </w:r>
          </w:p>
        </w:tc>
        <w:tc>
          <w:tcPr>
            <w:tcW w:w="112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Average</w:t>
            </w:r>
          </w:p>
        </w:tc>
      </w:tr>
      <w:tr>
        <w:trPr>
          <w:trHeight w:val="243"/>
        </w:trPr>
        <w:tc>
          <w:tcPr>
            <w:tcW w:w="110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(in</w:t>
            </w:r>
          </w:p>
        </w:tc>
        <w:tc>
          <w:tcPr>
            <w:tcW w:w="1120" w:type="dxa"/>
            <w:vAlign w:val="bottom"/>
          </w:tcPr>
          <w:p>
            <w:pPr>
              <w:jc w:val="center"/>
              <w:ind w:left="172"/>
              <w:spacing w:after="0"/>
              <w:rPr>
                <w:sz w:val="20"/>
                <w:szCs w:val="20"/>
                <w:color w:val="auto"/>
              </w:rPr>
            </w:pPr>
            <w:r>
              <w:rPr>
                <w:rFonts w:ascii="Arial" w:cs="Arial" w:eastAsia="Arial" w:hAnsi="Arial"/>
                <w:sz w:val="18"/>
                <w:szCs w:val="18"/>
                <w:b w:val="1"/>
                <w:bCs w:val="1"/>
                <w:color w:val="auto"/>
                <w:w w:val="93"/>
              </w:rPr>
              <w:t>Grant Date</w:t>
            </w:r>
          </w:p>
        </w:tc>
      </w:tr>
    </w:tbl>
    <w:p>
      <w:pPr>
        <w:sectPr>
          <w:pgSz w:w="11900" w:h="16838" w:orient="portrait"/>
          <w:cols w:equalWidth="0" w:num="1">
            <w:col w:w="11420"/>
          </w:cols>
          <w:pgMar w:left="240" w:top="131" w:right="239" w:bottom="0" w:gutter="0" w:footer="0" w:header="0"/>
        </w:sectPr>
      </w:pPr>
    </w:p>
    <w:bookmarkStart w:id="37" w:name="page38"/>
    <w:bookmarkEnd w:id="37"/>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56"/>
        </w:trPr>
        <w:tc>
          <w:tcPr>
            <w:tcW w:w="4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thousands)</w:t>
            </w: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Fair Value</w:t>
            </w:r>
          </w:p>
        </w:tc>
      </w:tr>
      <w:tr>
        <w:trPr>
          <w:trHeight w:val="237"/>
        </w:trPr>
        <w:tc>
          <w:tcPr>
            <w:tcW w:w="4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Unvested restricted stock outstanding at July 31, 2003</w:t>
            </w:r>
          </w:p>
        </w:tc>
        <w:tc>
          <w:tcPr>
            <w:tcW w:w="1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6.43</w:t>
            </w:r>
          </w:p>
        </w:tc>
      </w:tr>
      <w:tr>
        <w:trPr>
          <w:trHeight w:val="236"/>
        </w:trPr>
        <w:tc>
          <w:tcPr>
            <w:tcW w:w="4980" w:type="dxa"/>
            <w:vAlign w:val="bottom"/>
          </w:tcPr>
          <w:p>
            <w:pPr>
              <w:ind w:left="280"/>
              <w:spacing w:after="0"/>
              <w:rPr>
                <w:sz w:val="20"/>
                <w:szCs w:val="20"/>
                <w:color w:val="auto"/>
              </w:rPr>
            </w:pPr>
            <w:r>
              <w:rPr>
                <w:rFonts w:ascii="Arial" w:cs="Arial" w:eastAsia="Arial" w:hAnsi="Arial"/>
                <w:sz w:val="18"/>
                <w:szCs w:val="18"/>
                <w:color w:val="auto"/>
              </w:rPr>
              <w:t>Unvested restricted stock outstanding at July 31, 2004</w:t>
            </w:r>
          </w:p>
        </w:tc>
        <w:tc>
          <w:tcPr>
            <w:tcW w:w="180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6.43</w:t>
            </w:r>
          </w:p>
        </w:tc>
      </w:tr>
      <w:tr>
        <w:trPr>
          <w:trHeight w:val="243"/>
        </w:trPr>
        <w:tc>
          <w:tcPr>
            <w:tcW w:w="4980" w:type="dxa"/>
            <w:vAlign w:val="bottom"/>
          </w:tcPr>
          <w:p>
            <w:pPr>
              <w:ind w:left="5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8"/>
              </w:rPr>
              <w:t>14.86</w:t>
            </w:r>
          </w:p>
        </w:tc>
      </w:tr>
      <w:tr>
        <w:trPr>
          <w:trHeight w:val="244"/>
        </w:trPr>
        <w:tc>
          <w:tcPr>
            <w:tcW w:w="49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6.43</w:t>
            </w:r>
          </w:p>
        </w:tc>
      </w:tr>
      <w:tr>
        <w:trPr>
          <w:trHeight w:val="236"/>
        </w:trPr>
        <w:tc>
          <w:tcPr>
            <w:tcW w:w="4980" w:type="dxa"/>
            <w:vAlign w:val="bottom"/>
          </w:tcPr>
          <w:p>
            <w:pPr>
              <w:ind w:left="280"/>
              <w:spacing w:after="0"/>
              <w:rPr>
                <w:sz w:val="20"/>
                <w:szCs w:val="20"/>
                <w:color w:val="auto"/>
              </w:rPr>
            </w:pPr>
            <w:r>
              <w:rPr>
                <w:rFonts w:ascii="Arial" w:cs="Arial" w:eastAsia="Arial" w:hAnsi="Arial"/>
                <w:sz w:val="18"/>
                <w:szCs w:val="18"/>
                <w:color w:val="auto"/>
              </w:rPr>
              <w:t>Unvested restricted stock outstanding at July 31, 2005</w:t>
            </w:r>
          </w:p>
        </w:tc>
        <w:tc>
          <w:tcPr>
            <w:tcW w:w="180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8"/>
              </w:rPr>
              <w:t>14.86</w:t>
            </w:r>
          </w:p>
        </w:tc>
      </w:tr>
      <w:tr>
        <w:trPr>
          <w:trHeight w:val="243"/>
        </w:trPr>
        <w:tc>
          <w:tcPr>
            <w:tcW w:w="4980" w:type="dxa"/>
            <w:vAlign w:val="bottom"/>
          </w:tcPr>
          <w:p>
            <w:pPr>
              <w:ind w:left="5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212"/>
              <w:spacing w:after="0"/>
              <w:rPr>
                <w:sz w:val="20"/>
                <w:szCs w:val="20"/>
                <w:color w:val="auto"/>
              </w:rPr>
            </w:pPr>
            <w:r>
              <w:rPr>
                <w:rFonts w:ascii="Arial" w:cs="Arial" w:eastAsia="Arial" w:hAnsi="Arial"/>
                <w:sz w:val="18"/>
                <w:szCs w:val="18"/>
                <w:color w:val="auto"/>
              </w:rPr>
              <w:t>90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8"/>
              </w:rPr>
              <w:t>15.40</w:t>
            </w:r>
          </w:p>
        </w:tc>
      </w:tr>
      <w:tr>
        <w:trPr>
          <w:trHeight w:val="244"/>
        </w:trPr>
        <w:tc>
          <w:tcPr>
            <w:tcW w:w="49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8"/>
              </w:rPr>
              <w:t>14.86</w:t>
            </w:r>
          </w:p>
        </w:tc>
      </w:tr>
      <w:tr>
        <w:trPr>
          <w:trHeight w:val="236"/>
        </w:trPr>
        <w:tc>
          <w:tcPr>
            <w:tcW w:w="4980" w:type="dxa"/>
            <w:vAlign w:val="bottom"/>
          </w:tcPr>
          <w:p>
            <w:pPr>
              <w:ind w:left="280"/>
              <w:spacing w:after="0"/>
              <w:rPr>
                <w:sz w:val="20"/>
                <w:szCs w:val="20"/>
                <w:color w:val="auto"/>
              </w:rPr>
            </w:pPr>
            <w:r>
              <w:rPr>
                <w:rFonts w:ascii="Arial" w:cs="Arial" w:eastAsia="Arial" w:hAnsi="Arial"/>
                <w:sz w:val="18"/>
                <w:szCs w:val="18"/>
                <w:b w:val="1"/>
                <w:bCs w:val="1"/>
                <w:color w:val="auto"/>
              </w:rPr>
              <w:t>Unvested restricted stock outstanding at July 31, 2006</w:t>
            </w:r>
          </w:p>
        </w:tc>
        <w:tc>
          <w:tcPr>
            <w:tcW w:w="1800" w:type="dxa"/>
            <w:vAlign w:val="bottom"/>
          </w:tcPr>
          <w:p>
            <w:pPr>
              <w:jc w:val="right"/>
              <w:ind w:right="212"/>
              <w:spacing w:after="0"/>
              <w:rPr>
                <w:sz w:val="20"/>
                <w:szCs w:val="20"/>
                <w:color w:val="auto"/>
              </w:rPr>
            </w:pPr>
            <w:r>
              <w:rPr>
                <w:rFonts w:ascii="Arial" w:cs="Arial" w:eastAsia="Arial" w:hAnsi="Arial"/>
                <w:sz w:val="18"/>
                <w:szCs w:val="18"/>
                <w:color w:val="auto"/>
              </w:rPr>
              <w:t>95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8"/>
              </w:rPr>
              <w:t>15.37</w:t>
            </w:r>
          </w:p>
        </w:tc>
      </w:tr>
    </w:tbl>
    <w:p>
      <w:pPr>
        <w:spacing w:after="0" w:line="200" w:lineRule="exact"/>
        <w:rPr>
          <w:sz w:val="20"/>
          <w:szCs w:val="20"/>
          <w:color w:val="auto"/>
        </w:rPr>
      </w:pPr>
    </w:p>
    <w:p>
      <w:pPr>
        <w:spacing w:after="0" w:line="253"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8"/>
          <w:szCs w:val="18"/>
          <w:color w:val="auto"/>
        </w:rPr>
        <w:t>As of July 31, 2006, we had a total of $1,308,000 in unamortized expense associated with restricted stock. The weighted average period over which this expense is expected to be amortized is 4.2 years at July 31, 2006. As of July 31, 2005 and July 31, 2004, we had a total of approximately $75,000 and $10,000, respectively, in unamortized compensation expense. The weighted average period over which this expense was expected to be amortized was 2.8 years and 0.5 years at July 31, 2005 and July 31, 2004,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36"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We have a defined benefit pension plan for eligible salaried and hourly employees. Benefits are based on a formula of years of credited service and levels of compensation or stated amounts for each year of credited service.</w:t>
      </w:r>
    </w:p>
    <w:p>
      <w:pPr>
        <w:spacing w:after="0" w:line="213"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Pension benefit obligations and the related effects on operations are calculated using actuarial models. Two critical assumptions, discount rate and expected return on assets, are important elements of plan expense and asset/liability measurement. We evaluate these critical assumptions at least annually. Other assumptions involving demographic factors such as retirement age, mortality and turnover are evaluated periodically and are updated to reflect our experience. Actual results in any given year will often differ from actuarial assumptions because of economic and other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discount rate utilized for determining future pension obligations of the U.S. qualified plans is based on a market benchmark rate that is of comparable duration to the plan’s liabilities. Specifically, at July 31, 2006, the discount rate was based on the Citigroup Pension Liability Index and at July 31, 2005, the discount rate was based on the Moody’s Aa corporate rate. The rate was rounded to the nearest 25 basis point. The resulting discount rate increased from 5.25% at July 31, 2005 to 6.25% at July 31, 2006.</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one-percentage point change in the discount rate and the expected return on assets on key costs and accruals is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58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3260" w:type="dxa"/>
            <w:vAlign w:val="bottom"/>
          </w:tcPr>
          <w:p>
            <w:pPr>
              <w:spacing w:after="0"/>
              <w:rPr>
                <w:sz w:val="21"/>
                <w:szCs w:val="21"/>
                <w:color w:val="auto"/>
              </w:rPr>
            </w:pPr>
          </w:p>
        </w:tc>
        <w:tc>
          <w:tcPr>
            <w:tcW w:w="3400" w:type="dxa"/>
            <w:vAlign w:val="bottom"/>
          </w:tcPr>
          <w:p>
            <w:pPr>
              <w:ind w:left="1040"/>
              <w:spacing w:after="0"/>
              <w:rPr>
                <w:sz w:val="20"/>
                <w:szCs w:val="20"/>
                <w:color w:val="auto"/>
              </w:rPr>
            </w:pPr>
            <w:r>
              <w:rPr>
                <w:rFonts w:ascii="Arial" w:cs="Arial" w:eastAsia="Arial" w:hAnsi="Arial"/>
                <w:sz w:val="18"/>
                <w:szCs w:val="18"/>
                <w:color w:val="auto"/>
                <w:w w:val="92"/>
              </w:rPr>
              <w:t>One-Percentage Point Increase</w:t>
            </w:r>
          </w:p>
        </w:tc>
        <w:tc>
          <w:tcPr>
            <w:tcW w:w="2420" w:type="dxa"/>
            <w:vAlign w:val="bottom"/>
          </w:tcPr>
          <w:p>
            <w:pPr>
              <w:ind w:left="200"/>
              <w:spacing w:after="0"/>
              <w:rPr>
                <w:sz w:val="20"/>
                <w:szCs w:val="20"/>
                <w:color w:val="auto"/>
              </w:rPr>
            </w:pPr>
            <w:r>
              <w:rPr>
                <w:rFonts w:ascii="Arial" w:cs="Arial" w:eastAsia="Arial" w:hAnsi="Arial"/>
                <w:sz w:val="18"/>
                <w:szCs w:val="18"/>
                <w:color w:val="auto"/>
                <w:w w:val="84"/>
              </w:rPr>
              <w:t>One-Percentage Point Decrease</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Effect on total service cost and</w:t>
            </w:r>
          </w:p>
        </w:tc>
        <w:tc>
          <w:tcPr>
            <w:tcW w:w="3400" w:type="dxa"/>
            <w:vAlign w:val="bottom"/>
          </w:tcPr>
          <w:p>
            <w:pPr>
              <w:jc w:val="center"/>
              <w:ind w:left="712"/>
              <w:spacing w:after="0"/>
              <w:rPr>
                <w:sz w:val="20"/>
                <w:szCs w:val="20"/>
                <w:color w:val="auto"/>
              </w:rPr>
            </w:pPr>
            <w:r>
              <w:rPr>
                <w:rFonts w:ascii="Arial" w:cs="Arial" w:eastAsia="Arial" w:hAnsi="Arial"/>
                <w:sz w:val="18"/>
                <w:szCs w:val="18"/>
                <w:color w:val="auto"/>
                <w:w w:val="92"/>
              </w:rPr>
              <w:t>($192)</w:t>
            </w:r>
          </w:p>
        </w:tc>
        <w:tc>
          <w:tcPr>
            <w:tcW w:w="2420" w:type="dxa"/>
            <w:vAlign w:val="bottom"/>
          </w:tcPr>
          <w:p>
            <w:pPr>
              <w:jc w:val="center"/>
              <w:ind w:left="52"/>
              <w:spacing w:after="0"/>
              <w:rPr>
                <w:sz w:val="20"/>
                <w:szCs w:val="20"/>
                <w:color w:val="auto"/>
              </w:rPr>
            </w:pPr>
            <w:r>
              <w:rPr>
                <w:rFonts w:ascii="Arial" w:cs="Arial" w:eastAsia="Arial" w:hAnsi="Arial"/>
                <w:sz w:val="18"/>
                <w:szCs w:val="18"/>
                <w:color w:val="auto"/>
                <w:w w:val="89"/>
              </w:rPr>
              <w:t>$236</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interest cost components of</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expense for a 1% change in the</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discount rate</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Effect on projected benefit</w:t>
            </w:r>
          </w:p>
        </w:tc>
        <w:tc>
          <w:tcPr>
            <w:tcW w:w="3400" w:type="dxa"/>
            <w:vAlign w:val="bottom"/>
          </w:tcPr>
          <w:p>
            <w:pPr>
              <w:jc w:val="center"/>
              <w:ind w:left="712"/>
              <w:spacing w:after="0"/>
              <w:rPr>
                <w:sz w:val="20"/>
                <w:szCs w:val="20"/>
                <w:color w:val="auto"/>
              </w:rPr>
            </w:pPr>
            <w:r>
              <w:rPr>
                <w:rFonts w:ascii="Arial" w:cs="Arial" w:eastAsia="Arial" w:hAnsi="Arial"/>
                <w:sz w:val="18"/>
                <w:szCs w:val="18"/>
                <w:color w:val="auto"/>
                <w:w w:val="89"/>
              </w:rPr>
              <w:t>($2,541)</w:t>
            </w:r>
          </w:p>
        </w:tc>
        <w:tc>
          <w:tcPr>
            <w:tcW w:w="2420" w:type="dxa"/>
            <w:vAlign w:val="bottom"/>
          </w:tcPr>
          <w:p>
            <w:pPr>
              <w:jc w:val="center"/>
              <w:ind w:left="52"/>
              <w:spacing w:after="0"/>
              <w:rPr>
                <w:sz w:val="20"/>
                <w:szCs w:val="20"/>
                <w:color w:val="auto"/>
              </w:rPr>
            </w:pPr>
            <w:r>
              <w:rPr>
                <w:rFonts w:ascii="Arial" w:cs="Arial" w:eastAsia="Arial" w:hAnsi="Arial"/>
                <w:sz w:val="18"/>
                <w:szCs w:val="18"/>
                <w:color w:val="auto"/>
                <w:w w:val="87"/>
              </w:rPr>
              <w:t>$3,212</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obligation for a 1% change in</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the discount rate</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Effect on the return on</w:t>
            </w:r>
          </w:p>
        </w:tc>
        <w:tc>
          <w:tcPr>
            <w:tcW w:w="3400" w:type="dxa"/>
            <w:vAlign w:val="bottom"/>
          </w:tcPr>
          <w:p>
            <w:pPr>
              <w:jc w:val="center"/>
              <w:ind w:left="712"/>
              <w:spacing w:after="0"/>
              <w:rPr>
                <w:sz w:val="20"/>
                <w:szCs w:val="20"/>
                <w:color w:val="auto"/>
              </w:rPr>
            </w:pPr>
            <w:r>
              <w:rPr>
                <w:rFonts w:ascii="Arial" w:cs="Arial" w:eastAsia="Arial" w:hAnsi="Arial"/>
                <w:sz w:val="18"/>
                <w:szCs w:val="18"/>
                <w:color w:val="auto"/>
                <w:w w:val="92"/>
              </w:rPr>
              <w:t>($137)</w:t>
            </w:r>
          </w:p>
        </w:tc>
        <w:tc>
          <w:tcPr>
            <w:tcW w:w="2420" w:type="dxa"/>
            <w:vAlign w:val="bottom"/>
          </w:tcPr>
          <w:p>
            <w:pPr>
              <w:jc w:val="center"/>
              <w:ind w:left="52"/>
              <w:spacing w:after="0"/>
              <w:rPr>
                <w:sz w:val="20"/>
                <w:szCs w:val="20"/>
                <w:color w:val="auto"/>
              </w:rPr>
            </w:pPr>
            <w:r>
              <w:rPr>
                <w:rFonts w:ascii="Arial" w:cs="Arial" w:eastAsia="Arial" w:hAnsi="Arial"/>
                <w:sz w:val="18"/>
                <w:szCs w:val="18"/>
                <w:color w:val="auto"/>
                <w:w w:val="89"/>
              </w:rPr>
              <w:t>$137</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investments component of</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expense by a 1% change in the</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return on investment</w:t>
            </w:r>
          </w:p>
        </w:tc>
        <w:tc>
          <w:tcPr>
            <w:tcW w:w="3400" w:type="dxa"/>
            <w:vAlign w:val="bottom"/>
          </w:tcPr>
          <w:p>
            <w:pPr>
              <w:spacing w:after="0"/>
              <w:rPr>
                <w:sz w:val="21"/>
                <w:szCs w:val="21"/>
                <w:color w:val="auto"/>
              </w:rPr>
            </w:pPr>
          </w:p>
        </w:tc>
        <w:tc>
          <w:tcPr>
            <w:tcW w:w="2420" w:type="dxa"/>
            <w:vAlign w:val="bottom"/>
          </w:tcPr>
          <w:p>
            <w:pPr>
              <w:spacing w:after="0"/>
              <w:rPr>
                <w:sz w:val="21"/>
                <w:szCs w:val="21"/>
                <w:color w:val="auto"/>
              </w:rPr>
            </w:pPr>
          </w:p>
        </w:tc>
      </w:tr>
    </w:tbl>
    <w:p>
      <w:pPr>
        <w:spacing w:after="0" w:line="200" w:lineRule="exact"/>
        <w:rPr>
          <w:sz w:val="20"/>
          <w:szCs w:val="20"/>
          <w:color w:val="auto"/>
        </w:rPr>
      </w:pPr>
    </w:p>
    <w:p>
      <w:pPr>
        <w:spacing w:after="0" w:line="280"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Our expected rate of return on plan assets is determined by our asset allocation, our historical long-term investment performance, our estimate of future long-term returns by asset class (using input from our actuaries, investment services and investment managers), and long-term inflation assumptions. The long-term rate of return assumption used for determining net periodic pension expense for the fiscal year ended July 31, 2006 was 8%. This assumption is maintained at 8% for determining fiscal 2006 net periodic pension expense. Our historical actual return averaged 10.9% for the ten-year period ending July 31, 2006. The actual rate of return in fiscal 2006 was 10.3%. Future actual pension expense will depend on future investment performance, changes in future discount rates and various other factors related to the population of participants in our pension plans. The investment objective for the pension plan is to secure the benefit obligations to participants at a reasonable cost. The goal is to optimize the long-term return on plan assets at a moderate level of risk.</w:t>
      </w:r>
    </w:p>
    <w:p>
      <w:pPr>
        <w:spacing w:after="0" w:line="199"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We review the allocation of plan assets quarterly. The allocation of plan assets at July 31, 2006 was 54% fixed income, 44% equity and 2% cash and accrued income. The allocation of plan assets at July 31, 2005 was 45% fixed income, 54% equity and 1% cash and accrued income. We are currently targeting a 50% fixed income and 50% equity funds allocation for fiscal 2007. There is no Oil-Dri common stock in the pension trust fund.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 (CONTINUED)</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net periodic pension cost for the years ended July 31 consists of the following:</w:t>
      </w:r>
    </w:p>
    <w:p>
      <w:pPr>
        <w:spacing w:after="0" w:line="261" w:lineRule="exact"/>
        <w:rPr>
          <w:sz w:val="20"/>
          <w:szCs w:val="20"/>
          <w:color w:val="auto"/>
        </w:rPr>
      </w:pPr>
    </w:p>
    <w:p>
      <w:pPr>
        <w:ind w:left="7260"/>
        <w:spacing w:after="0"/>
        <w:tabs>
          <w:tab w:leader="none" w:pos="8420" w:val="left"/>
          <w:tab w:leader="none" w:pos="96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color w:val="auto"/>
        </w:rPr>
        <w:t>2005</w:t>
      </w:r>
      <w:r>
        <w:rPr>
          <w:sz w:val="20"/>
          <w:szCs w:val="20"/>
          <w:color w:val="auto"/>
        </w:rPr>
        <w:tab/>
      </w:r>
      <w:r>
        <w:rPr>
          <w:rFonts w:ascii="Arial" w:cs="Arial" w:eastAsia="Arial" w:hAnsi="Arial"/>
          <w:sz w:val="11"/>
          <w:szCs w:val="1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34290</wp:posOffset>
            </wp:positionV>
            <wp:extent cx="21183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7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579755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97550" cy="19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8" w:name="page39"/>
    <w:bookmarkEnd w:id="38"/>
    <w:p>
      <w:pPr>
        <w:spacing w:after="0" w:line="42"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880" w:type="dxa"/>
            <w:vAlign w:val="bottom"/>
          </w:tcPr>
          <w:p>
            <w:pPr>
              <w:spacing w:after="0"/>
              <w:rPr>
                <w:sz w:val="22"/>
                <w:szCs w:val="22"/>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976</w:t>
            </w:r>
          </w:p>
        </w:tc>
        <w:tc>
          <w:tcPr>
            <w:tcW w:w="200" w:type="dxa"/>
            <w:vAlign w:val="bottom"/>
            <w:tcBorders>
              <w:right w:val="single" w:sz="8" w:color="C0C0C0"/>
            </w:tcBorders>
            <w:shd w:val="clear" w:color="auto" w:fill="C0C0C0"/>
          </w:tcPr>
          <w:p>
            <w:pPr>
              <w:spacing w:after="0"/>
              <w:rPr>
                <w:sz w:val="22"/>
                <w:szCs w:val="22"/>
                <w:color w:val="auto"/>
              </w:rPr>
            </w:pPr>
          </w:p>
        </w:tc>
        <w:tc>
          <w:tcPr>
            <w:tcW w:w="2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3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0C0C0"/>
          </w:tcPr>
          <w:p>
            <w:pPr>
              <w:spacing w:after="0"/>
              <w:rPr>
                <w:sz w:val="22"/>
                <w:szCs w:val="22"/>
                <w:color w:val="auto"/>
              </w:rPr>
            </w:pPr>
          </w:p>
        </w:tc>
        <w:tc>
          <w:tcPr>
            <w:tcW w:w="3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0C0C0"/>
            </w:tcBorders>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0C0C0"/>
          </w:tcPr>
          <w:p>
            <w:pPr>
              <w:spacing w:after="0"/>
              <w:rPr>
                <w:sz w:val="22"/>
                <w:szCs w:val="22"/>
                <w:color w:val="auto"/>
              </w:rPr>
            </w:pPr>
          </w:p>
        </w:tc>
      </w:tr>
      <w:tr>
        <w:trPr>
          <w:trHeight w:val="236"/>
        </w:trPr>
        <w:tc>
          <w:tcPr>
            <w:tcW w:w="6660" w:type="dxa"/>
            <w:vAlign w:val="bottom"/>
            <w:gridSpan w:val="2"/>
          </w:tcPr>
          <w:p>
            <w:pPr>
              <w:ind w:left="860"/>
              <w:spacing w:after="0"/>
              <w:rPr>
                <w:sz w:val="20"/>
                <w:szCs w:val="20"/>
                <w:color w:val="auto"/>
              </w:rPr>
            </w:pPr>
            <w:r>
              <w:rPr>
                <w:rFonts w:ascii="Arial" w:cs="Arial" w:eastAsia="Arial" w:hAnsi="Arial"/>
                <w:sz w:val="18"/>
                <w:szCs w:val="18"/>
                <w:color w:val="auto"/>
              </w:rPr>
              <w:t>Interest cost on projected benefit obligations</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20"/>
                <w:szCs w:val="20"/>
                <w:color w:val="auto"/>
              </w:rPr>
            </w:pPr>
          </w:p>
        </w:tc>
      </w:tr>
      <w:tr>
        <w:trPr>
          <w:trHeight w:val="250"/>
        </w:trPr>
        <w:tc>
          <w:tcPr>
            <w:tcW w:w="880" w:type="dxa"/>
            <w:vAlign w:val="bottom"/>
          </w:tcPr>
          <w:p>
            <w:pPr>
              <w:spacing w:after="0"/>
              <w:rPr>
                <w:sz w:val="21"/>
                <w:szCs w:val="21"/>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0C0C0"/>
          </w:tcPr>
          <w:p>
            <w:pPr>
              <w:spacing w:after="0"/>
              <w:rPr>
                <w:sz w:val="21"/>
                <w:szCs w:val="21"/>
                <w:color w:val="auto"/>
              </w:rPr>
            </w:pPr>
          </w:p>
        </w:tc>
        <w:tc>
          <w:tcPr>
            <w:tcW w:w="800" w:type="dxa"/>
            <w:vAlign w:val="bottom"/>
            <w:tcBorders>
              <w:right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8"/>
                <w:szCs w:val="18"/>
                <w:b w:val="1"/>
                <w:bCs w:val="1"/>
                <w:color w:val="auto"/>
              </w:rPr>
              <w:t>(1,094)</w:t>
            </w: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4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w w:val="95"/>
              </w:rPr>
              <w:t>(942)</w:t>
            </w: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(814)</w:t>
            </w:r>
          </w:p>
        </w:tc>
      </w:tr>
      <w:tr>
        <w:trPr>
          <w:trHeight w:val="235"/>
        </w:trPr>
        <w:tc>
          <w:tcPr>
            <w:tcW w:w="6660" w:type="dxa"/>
            <w:vAlign w:val="bottom"/>
            <w:gridSpan w:val="2"/>
          </w:tcPr>
          <w:p>
            <w:pPr>
              <w:ind w:left="86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880" w:type="dxa"/>
            <w:vAlign w:val="bottom"/>
          </w:tcPr>
          <w:p>
            <w:pPr>
              <w:spacing w:after="0"/>
              <w:rPr>
                <w:sz w:val="21"/>
                <w:szCs w:val="21"/>
                <w:color w:val="auto"/>
              </w:rPr>
            </w:pPr>
          </w:p>
        </w:tc>
        <w:tc>
          <w:tcPr>
            <w:tcW w:w="57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Net transition asset</w:t>
            </w:r>
          </w:p>
        </w:tc>
        <w:tc>
          <w:tcPr>
            <w:tcW w:w="240" w:type="dxa"/>
            <w:vAlign w:val="bottom"/>
            <w:shd w:val="clear" w:color="auto" w:fill="C0C0C0"/>
          </w:tcPr>
          <w:p>
            <w:pPr>
              <w:spacing w:after="0"/>
              <w:rPr>
                <w:sz w:val="21"/>
                <w:szCs w:val="21"/>
                <w:color w:val="auto"/>
              </w:rPr>
            </w:pPr>
          </w:p>
        </w:tc>
        <w:tc>
          <w:tcPr>
            <w:tcW w:w="800" w:type="dxa"/>
            <w:vAlign w:val="bottom"/>
            <w:tcBorders>
              <w:right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4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(27)</w:t>
            </w:r>
          </w:p>
        </w:tc>
      </w:tr>
      <w:tr>
        <w:trPr>
          <w:trHeight w:val="236"/>
        </w:trPr>
        <w:tc>
          <w:tcPr>
            <w:tcW w:w="880" w:type="dxa"/>
            <w:vAlign w:val="bottom"/>
          </w:tcPr>
          <w:p>
            <w:pPr>
              <w:spacing w:after="0"/>
              <w:rPr>
                <w:sz w:val="20"/>
                <w:szCs w:val="20"/>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Prior service costs</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r>
      <w:tr>
        <w:trPr>
          <w:trHeight w:val="249"/>
        </w:trPr>
        <w:tc>
          <w:tcPr>
            <w:tcW w:w="880" w:type="dxa"/>
            <w:vAlign w:val="bottom"/>
          </w:tcPr>
          <w:p>
            <w:pPr>
              <w:spacing w:after="0"/>
              <w:rPr>
                <w:sz w:val="21"/>
                <w:szCs w:val="21"/>
                <w:color w:val="auto"/>
              </w:rPr>
            </w:pPr>
          </w:p>
        </w:tc>
        <w:tc>
          <w:tcPr>
            <w:tcW w:w="5780" w:type="dxa"/>
            <w:vAlign w:val="bottom"/>
            <w:tcBorders>
              <w:bottom w:val="single" w:sz="8" w:color="C0C0C0"/>
            </w:tcBorders>
            <w:shd w:val="clear" w:color="auto" w:fill="C0C0C0"/>
          </w:tcPr>
          <w:p>
            <w:pPr>
              <w:ind w:left="300"/>
              <w:spacing w:after="0"/>
              <w:rPr>
                <w:sz w:val="20"/>
                <w:szCs w:val="20"/>
                <w:color w:val="auto"/>
              </w:rPr>
            </w:pPr>
            <w:r>
              <w:rPr>
                <w:rFonts w:ascii="Arial" w:cs="Arial" w:eastAsia="Arial" w:hAnsi="Arial"/>
                <w:sz w:val="18"/>
                <w:szCs w:val="18"/>
                <w:color w:val="auto"/>
              </w:rPr>
              <w:t>Other actuarial loss</w:t>
            </w:r>
          </w:p>
        </w:tc>
        <w:tc>
          <w:tcPr>
            <w:tcW w:w="24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107</w:t>
            </w:r>
          </w:p>
        </w:tc>
        <w:tc>
          <w:tcPr>
            <w:tcW w:w="200" w:type="dxa"/>
            <w:vAlign w:val="bottom"/>
            <w:tcBorders>
              <w:bottom w:val="single" w:sz="8" w:color="C0C0C0"/>
              <w:right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gridSpan w:val="3"/>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right w:val="single" w:sz="8" w:color="C0C0C0"/>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0C0C0"/>
            </w:tcBorders>
            <w:shd w:val="clear" w:color="auto" w:fill="C0C0C0"/>
          </w:tcPr>
          <w:p>
            <w:pPr>
              <w:spacing w:after="0"/>
              <w:rPr>
                <w:sz w:val="21"/>
                <w:szCs w:val="21"/>
                <w:color w:val="auto"/>
              </w:rPr>
            </w:pPr>
          </w:p>
        </w:tc>
      </w:tr>
      <w:tr>
        <w:trPr>
          <w:trHeight w:val="238"/>
        </w:trPr>
        <w:tc>
          <w:tcPr>
            <w:tcW w:w="6660" w:type="dxa"/>
            <w:vAlign w:val="bottom"/>
            <w:gridSpan w:val="2"/>
          </w:tcPr>
          <w:p>
            <w:pPr>
              <w:ind w:left="860"/>
              <w:spacing w:after="0"/>
              <w:rPr>
                <w:sz w:val="20"/>
                <w:szCs w:val="20"/>
                <w:color w:val="auto"/>
              </w:rPr>
            </w:pPr>
            <w:r>
              <w:rPr>
                <w:rFonts w:ascii="Arial" w:cs="Arial" w:eastAsia="Arial" w:hAnsi="Arial"/>
                <w:sz w:val="18"/>
                <w:szCs w:val="18"/>
                <w:color w:val="auto"/>
              </w:rPr>
              <w:t>Net pension cost</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1,030</w:t>
            </w:r>
          </w:p>
        </w:tc>
        <w:tc>
          <w:tcPr>
            <w:tcW w:w="20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0"/>
                <w:szCs w:val="20"/>
                <w:color w:val="auto"/>
              </w:rPr>
            </w:pPr>
          </w:p>
        </w:tc>
      </w:tr>
      <w:tr>
        <w:trPr>
          <w:trHeight w:val="41"/>
        </w:trPr>
        <w:tc>
          <w:tcPr>
            <w:tcW w:w="6660" w:type="dxa"/>
            <w:vAlign w:val="bottom"/>
            <w:gridSpan w:val="2"/>
          </w:tcPr>
          <w:p>
            <w:pPr>
              <w:spacing w:after="0"/>
              <w:rPr>
                <w:sz w:val="3"/>
                <w:szCs w:val="3"/>
                <w:color w:val="auto"/>
              </w:rPr>
            </w:pPr>
          </w:p>
        </w:tc>
        <w:tc>
          <w:tcPr>
            <w:tcW w:w="840" w:type="dxa"/>
            <w:vAlign w:val="bottom"/>
            <w:gridSpan w:val="2"/>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340" w:type="dxa"/>
            <w:vAlign w:val="bottom"/>
            <w:gridSpan w:val="2"/>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r>
      <w:tr>
        <w:trPr>
          <w:trHeight w:val="700"/>
        </w:trPr>
        <w:tc>
          <w:tcPr>
            <w:tcW w:w="8780" w:type="dxa"/>
            <w:vAlign w:val="bottom"/>
            <w:gridSpan w:val="13"/>
          </w:tcPr>
          <w:p>
            <w:pPr>
              <w:spacing w:after="0"/>
              <w:rPr>
                <w:sz w:val="20"/>
                <w:szCs w:val="20"/>
                <w:color w:val="auto"/>
              </w:rPr>
            </w:pPr>
            <w:r>
              <w:rPr>
                <w:rFonts w:ascii="Arial" w:cs="Arial" w:eastAsia="Arial" w:hAnsi="Arial"/>
                <w:sz w:val="18"/>
                <w:szCs w:val="18"/>
                <w:color w:val="auto"/>
                <w:w w:val="89"/>
              </w:rPr>
              <w:t>The measurement dates used to calculate the net periodic pension cost were August 1, 2005, 2004 and 2003, respectively.</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6660" w:type="dxa"/>
            <w:vAlign w:val="bottom"/>
            <w:gridSpan w:val="2"/>
          </w:tcPr>
          <w:p>
            <w:pPr>
              <w:spacing w:after="0"/>
              <w:rPr>
                <w:sz w:val="20"/>
                <w:szCs w:val="20"/>
                <w:color w:val="auto"/>
              </w:rPr>
            </w:pPr>
            <w:r>
              <w:rPr>
                <w:rFonts w:ascii="Arial" w:cs="Arial" w:eastAsia="Arial" w:hAnsi="Arial"/>
                <w:sz w:val="18"/>
                <w:szCs w:val="18"/>
                <w:color w:val="auto"/>
              </w:rPr>
              <w:t>The funded status of the plans at July 31 is as follows: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0"/>
        </w:trPr>
        <w:tc>
          <w:tcPr>
            <w:tcW w:w="8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24"/>
                <w:szCs w:val="24"/>
                <w:color w:val="auto"/>
              </w:rPr>
            </w:pPr>
          </w:p>
        </w:tc>
      </w:tr>
      <w:tr>
        <w:trPr>
          <w:trHeight w:val="41"/>
        </w:trPr>
        <w:tc>
          <w:tcPr>
            <w:tcW w:w="8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r>
      <w:tr>
        <w:trPr>
          <w:trHeight w:val="196"/>
        </w:trPr>
        <w:tc>
          <w:tcPr>
            <w:tcW w:w="8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89"/>
              </w:rPr>
              <w:t>(in thousands)</w:t>
            </w:r>
          </w:p>
        </w:tc>
      </w:tr>
      <w:tr>
        <w:trPr>
          <w:trHeight w:val="41"/>
        </w:trPr>
        <w:tc>
          <w:tcPr>
            <w:tcW w:w="6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3"/>
          </w:tcPr>
          <w:p>
            <w:pPr>
              <w:spacing w:after="0"/>
              <w:rPr>
                <w:sz w:val="3"/>
                <w:szCs w:val="3"/>
                <w:color w:val="auto"/>
              </w:rPr>
            </w:pPr>
          </w:p>
        </w:tc>
        <w:tc>
          <w:tcPr>
            <w:tcW w:w="2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r>
      <w:tr>
        <w:trPr>
          <w:trHeight w:val="257"/>
        </w:trPr>
        <w:tc>
          <w:tcPr>
            <w:tcW w:w="880" w:type="dxa"/>
            <w:vAlign w:val="bottom"/>
          </w:tcPr>
          <w:p>
            <w:pPr>
              <w:spacing w:after="0"/>
              <w:rPr>
                <w:sz w:val="22"/>
                <w:szCs w:val="22"/>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color w:val="auto"/>
              </w:rPr>
              <w:t>Fair Value of Plan Assets Less Than Projected Benefit Obligations</w:t>
            </w:r>
          </w:p>
        </w:tc>
        <w:tc>
          <w:tcPr>
            <w:tcW w:w="24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200" w:type="dxa"/>
            <w:vAlign w:val="bottom"/>
            <w:tcBorders>
              <w:right w:val="single" w:sz="8" w:color="C0C0C0"/>
            </w:tcBorders>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3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7"/>
            <w:shd w:val="clear" w:color="auto" w:fill="C0C0C0"/>
          </w:tcPr>
          <w:p>
            <w:pPr>
              <w:jc w:val="right"/>
              <w:ind w:right="20"/>
              <w:spacing w:after="0"/>
              <w:rPr>
                <w:sz w:val="20"/>
                <w:szCs w:val="20"/>
                <w:color w:val="auto"/>
              </w:rPr>
            </w:pPr>
            <w:r>
              <w:rPr>
                <w:rFonts w:ascii="Arial" w:cs="Arial" w:eastAsia="Arial" w:hAnsi="Arial"/>
                <w:sz w:val="18"/>
                <w:szCs w:val="18"/>
                <w:b w:val="1"/>
                <w:bCs w:val="1"/>
                <w:color w:val="auto"/>
              </w:rPr>
              <w:t>(2,552)</w:t>
            </w:r>
          </w:p>
        </w:tc>
        <w:tc>
          <w:tcPr>
            <w:tcW w:w="240" w:type="dxa"/>
            <w:vAlign w:val="bottom"/>
            <w:tcBorders>
              <w:right w:val="single" w:sz="8" w:color="C0C0C0"/>
            </w:tcBorders>
            <w:shd w:val="clear" w:color="auto" w:fill="C0C0C0"/>
          </w:tcPr>
          <w:p>
            <w:pPr>
              <w:spacing w:after="0"/>
              <w:rPr>
                <w:sz w:val="22"/>
                <w:szCs w:val="22"/>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w w:val="85"/>
              </w:rPr>
              <w:t>$ (5,745)</w:t>
            </w:r>
          </w:p>
        </w:tc>
      </w:tr>
      <w:tr>
        <w:trPr>
          <w:trHeight w:val="249"/>
        </w:trPr>
        <w:tc>
          <w:tcPr>
            <w:tcW w:w="6660" w:type="dxa"/>
            <w:vAlign w:val="bottom"/>
            <w:gridSpan w:val="2"/>
          </w:tcPr>
          <w:p>
            <w:pPr>
              <w:ind w:left="860"/>
              <w:spacing w:after="0"/>
              <w:rPr>
                <w:sz w:val="20"/>
                <w:szCs w:val="20"/>
                <w:color w:val="auto"/>
              </w:rPr>
            </w:pPr>
            <w:r>
              <w:rPr>
                <w:rFonts w:ascii="Arial" w:cs="Arial" w:eastAsia="Arial" w:hAnsi="Arial"/>
                <w:sz w:val="18"/>
                <w:szCs w:val="18"/>
                <w:color w:val="auto"/>
              </w:rPr>
              <w:t>Unrecognized Net Loss</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21"/>
                <w:szCs w:val="21"/>
                <w:color w:val="auto"/>
              </w:rPr>
            </w:pPr>
          </w:p>
        </w:tc>
      </w:tr>
      <w:tr>
        <w:trPr>
          <w:trHeight w:val="264"/>
        </w:trPr>
        <w:tc>
          <w:tcPr>
            <w:tcW w:w="880" w:type="dxa"/>
            <w:vAlign w:val="bottom"/>
          </w:tcPr>
          <w:p>
            <w:pPr>
              <w:spacing w:after="0"/>
              <w:rPr>
                <w:sz w:val="22"/>
                <w:szCs w:val="22"/>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color w:val="auto"/>
              </w:rPr>
              <w:t>Unrecognized Prior Service Cost</w:t>
            </w:r>
          </w:p>
        </w:tc>
        <w:tc>
          <w:tcPr>
            <w:tcW w:w="24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200" w:type="dxa"/>
            <w:vAlign w:val="bottom"/>
            <w:tcBorders>
              <w:right w:val="single" w:sz="8" w:color="C0C0C0"/>
            </w:tcBorders>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80" w:type="dxa"/>
            <w:vAlign w:val="bottom"/>
            <w:gridSpan w:val="6"/>
            <w:shd w:val="clear" w:color="auto" w:fill="C0C0C0"/>
          </w:tcPr>
          <w:p>
            <w:pPr>
              <w:jc w:val="right"/>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0C0C0"/>
          </w:tcPr>
          <w:p>
            <w:pPr>
              <w:spacing w:after="0"/>
              <w:rPr>
                <w:sz w:val="22"/>
                <w:szCs w:val="22"/>
                <w:color w:val="auto"/>
              </w:rPr>
            </w:pPr>
          </w:p>
        </w:tc>
        <w:tc>
          <w:tcPr>
            <w:tcW w:w="240" w:type="dxa"/>
            <w:vAlign w:val="bottom"/>
            <w:tcBorders>
              <w:right w:val="single" w:sz="8" w:color="C0C0C0"/>
            </w:tcBorders>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0C0C0"/>
          </w:tcPr>
          <w:p>
            <w:pPr>
              <w:spacing w:after="0"/>
              <w:rPr>
                <w:sz w:val="22"/>
                <w:szCs w:val="22"/>
                <w:color w:val="auto"/>
              </w:rPr>
            </w:pPr>
          </w:p>
        </w:tc>
      </w:tr>
      <w:tr>
        <w:trPr>
          <w:trHeight w:val="250"/>
        </w:trPr>
        <w:tc>
          <w:tcPr>
            <w:tcW w:w="6660" w:type="dxa"/>
            <w:vAlign w:val="bottom"/>
            <w:gridSpan w:val="2"/>
          </w:tcPr>
          <w:p>
            <w:pPr>
              <w:ind w:left="860"/>
              <w:spacing w:after="0"/>
              <w:rPr>
                <w:sz w:val="20"/>
                <w:szCs w:val="20"/>
                <w:color w:val="auto"/>
              </w:rPr>
            </w:pPr>
            <w:r>
              <w:rPr>
                <w:rFonts w:ascii="Arial" w:cs="Arial" w:eastAsia="Arial" w:hAnsi="Arial"/>
                <w:sz w:val="18"/>
                <w:szCs w:val="18"/>
                <w:color w:val="auto"/>
              </w:rPr>
              <w:t>Unrecognized Net Asset at Transition</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7"/>
              </w:rPr>
              <w:t>(51)</w:t>
            </w:r>
          </w:p>
        </w:tc>
        <w:tc>
          <w:tcPr>
            <w:tcW w:w="2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49"/>
        </w:trPr>
        <w:tc>
          <w:tcPr>
            <w:tcW w:w="880" w:type="dxa"/>
            <w:vAlign w:val="bottom"/>
          </w:tcPr>
          <w:p>
            <w:pPr>
              <w:spacing w:after="0"/>
              <w:rPr>
                <w:sz w:val="21"/>
                <w:szCs w:val="21"/>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color w:val="auto"/>
              </w:rPr>
              <w:t>Additional Minimum Liability</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(216)</w:t>
            </w:r>
          </w:p>
        </w:tc>
      </w:tr>
      <w:tr>
        <w:trPr>
          <w:trHeight w:val="20"/>
        </w:trPr>
        <w:tc>
          <w:tcPr>
            <w:tcW w:w="880" w:type="dxa"/>
            <w:vAlign w:val="bottom"/>
          </w:tcPr>
          <w:p>
            <w:pPr>
              <w:spacing w:after="0" w:line="20" w:lineRule="exact"/>
              <w:rPr>
                <w:sz w:val="1"/>
                <w:szCs w:val="1"/>
                <w:color w:val="auto"/>
              </w:rPr>
            </w:pPr>
          </w:p>
        </w:tc>
        <w:tc>
          <w:tcPr>
            <w:tcW w:w="578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600" w:type="dxa"/>
            <w:vAlign w:val="bottom"/>
            <w:shd w:val="clear" w:color="auto" w:fill="C0C0C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40" w:type="dxa"/>
            <w:vAlign w:val="bottom"/>
            <w:tcBorders>
              <w:right w:val="single" w:sz="8" w:color="C0C0C0"/>
            </w:tcBorders>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r>
      <w:tr>
        <w:trPr>
          <w:trHeight w:val="258"/>
        </w:trPr>
        <w:tc>
          <w:tcPr>
            <w:tcW w:w="6660" w:type="dxa"/>
            <w:vAlign w:val="bottom"/>
            <w:gridSpan w:val="2"/>
          </w:tcPr>
          <w:p>
            <w:pPr>
              <w:ind w:left="860"/>
              <w:spacing w:after="0"/>
              <w:rPr>
                <w:sz w:val="20"/>
                <w:szCs w:val="20"/>
                <w:color w:val="auto"/>
              </w:rPr>
            </w:pPr>
            <w:r>
              <w:rPr>
                <w:rFonts w:ascii="Arial" w:cs="Arial" w:eastAsia="Arial" w:hAnsi="Arial"/>
                <w:sz w:val="18"/>
                <w:szCs w:val="18"/>
                <w:color w:val="auto"/>
              </w:rPr>
              <w:t>Accrued Pension Included in Noncurrent Liabilities--Other</w:t>
            </w: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(2,317)</w:t>
            </w:r>
          </w:p>
        </w:tc>
        <w:tc>
          <w:tcPr>
            <w:tcW w:w="24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 (2,005)</w:t>
            </w:r>
          </w:p>
        </w:tc>
      </w:tr>
      <w:tr>
        <w:trPr>
          <w:trHeight w:val="700"/>
        </w:trPr>
        <w:tc>
          <w:tcPr>
            <w:tcW w:w="6660" w:type="dxa"/>
            <w:vAlign w:val="bottom"/>
            <w:gridSpan w:val="2"/>
          </w:tcPr>
          <w:p>
            <w:pPr>
              <w:spacing w:after="0"/>
              <w:rPr>
                <w:sz w:val="20"/>
                <w:szCs w:val="20"/>
                <w:color w:val="auto"/>
              </w:rPr>
            </w:pPr>
            <w:r>
              <w:rPr>
                <w:rFonts w:ascii="Arial" w:cs="Arial" w:eastAsia="Arial" w:hAnsi="Arial"/>
                <w:sz w:val="18"/>
                <w:szCs w:val="18"/>
                <w:color w:val="auto"/>
              </w:rPr>
              <w:t>Reconciliation of the assets and liabilities of the plans at July 31 is as follows: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20"/>
        </w:trPr>
        <w:tc>
          <w:tcPr>
            <w:tcW w:w="8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275"/>
              <w:spacing w:after="0"/>
              <w:rPr>
                <w:sz w:val="20"/>
                <w:szCs w:val="20"/>
                <w:color w:val="auto"/>
              </w:rPr>
            </w:pPr>
            <w:r>
              <w:rPr>
                <w:rFonts w:ascii="Arial" w:cs="Arial" w:eastAsia="Arial" w:hAnsi="Arial"/>
                <w:sz w:val="12"/>
                <w:szCs w:val="12"/>
                <w:color w:val="auto"/>
                <w:w w:val="74"/>
              </w:rPr>
              <w:t>2005</w:t>
            </w:r>
          </w:p>
        </w:tc>
        <w:tc>
          <w:tcPr>
            <w:tcW w:w="80" w:type="dxa"/>
            <w:vAlign w:val="bottom"/>
          </w:tcPr>
          <w:p>
            <w:pPr>
              <w:spacing w:after="0"/>
              <w:rPr>
                <w:sz w:val="24"/>
                <w:szCs w:val="24"/>
                <w:color w:val="auto"/>
              </w:rPr>
            </w:pPr>
          </w:p>
        </w:tc>
      </w:tr>
      <w:tr>
        <w:trPr>
          <w:trHeight w:val="41"/>
        </w:trPr>
        <w:tc>
          <w:tcPr>
            <w:tcW w:w="8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gridSpan w:val="3"/>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96"/>
        </w:trPr>
        <w:tc>
          <w:tcPr>
            <w:tcW w:w="8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8"/>
          </w:tcPr>
          <w:p>
            <w:pPr>
              <w:ind w:left="100"/>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
        </w:trPr>
        <w:tc>
          <w:tcPr>
            <w:tcW w:w="6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3"/>
        </w:trPr>
        <w:tc>
          <w:tcPr>
            <w:tcW w:w="880" w:type="dxa"/>
            <w:vAlign w:val="bottom"/>
          </w:tcPr>
          <w:p>
            <w:pPr>
              <w:spacing w:after="0"/>
              <w:rPr>
                <w:sz w:val="21"/>
                <w:szCs w:val="21"/>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color w:val="auto"/>
              </w:rPr>
              <w:t>Change in Plan Assets:</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r>
      <w:tr>
        <w:trPr>
          <w:trHeight w:val="249"/>
        </w:trPr>
        <w:tc>
          <w:tcPr>
            <w:tcW w:w="880" w:type="dxa"/>
            <w:vAlign w:val="bottom"/>
          </w:tcPr>
          <w:p>
            <w:pPr>
              <w:spacing w:after="0"/>
              <w:rPr>
                <w:sz w:val="21"/>
                <w:szCs w:val="21"/>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Plan assets at fair value, beginning of year</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13,952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11,843</w:t>
            </w:r>
          </w:p>
        </w:tc>
        <w:tc>
          <w:tcPr>
            <w:tcW w:w="80" w:type="dxa"/>
            <w:vAlign w:val="bottom"/>
          </w:tcPr>
          <w:p>
            <w:pPr>
              <w:spacing w:after="0"/>
              <w:rPr>
                <w:sz w:val="21"/>
                <w:szCs w:val="21"/>
                <w:color w:val="auto"/>
              </w:rPr>
            </w:pPr>
          </w:p>
        </w:tc>
      </w:tr>
      <w:tr>
        <w:trPr>
          <w:trHeight w:val="251"/>
        </w:trPr>
        <w:tc>
          <w:tcPr>
            <w:tcW w:w="880" w:type="dxa"/>
            <w:vAlign w:val="bottom"/>
          </w:tcPr>
          <w:p>
            <w:pPr>
              <w:spacing w:after="0"/>
              <w:rPr>
                <w:sz w:val="21"/>
                <w:szCs w:val="21"/>
                <w:color w:val="auto"/>
              </w:rPr>
            </w:pPr>
          </w:p>
        </w:tc>
        <w:tc>
          <w:tcPr>
            <w:tcW w:w="57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80" w:type="dxa"/>
            <w:vAlign w:val="bottom"/>
            <w:gridSpan w:val="3"/>
            <w:shd w:val="clear" w:color="auto" w:fill="C0C0C0"/>
          </w:tcPr>
          <w:p>
            <w:pPr>
              <w:jc w:val="right"/>
              <w:spacing w:after="0"/>
              <w:rPr>
                <w:sz w:val="20"/>
                <w:szCs w:val="20"/>
                <w:color w:val="auto"/>
              </w:rPr>
            </w:pPr>
            <w:r>
              <w:rPr>
                <w:rFonts w:ascii="Arial" w:cs="Arial" w:eastAsia="Arial" w:hAnsi="Arial"/>
                <w:sz w:val="18"/>
                <w:szCs w:val="18"/>
                <w:b w:val="1"/>
                <w:bCs w:val="1"/>
                <w:color w:val="auto"/>
              </w:rPr>
              <w:t>1,434</w:t>
            </w: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2,060</w:t>
            </w:r>
          </w:p>
        </w:tc>
        <w:tc>
          <w:tcPr>
            <w:tcW w:w="80" w:type="dxa"/>
            <w:vAlign w:val="bottom"/>
            <w:shd w:val="clear" w:color="auto" w:fill="C0C0C0"/>
          </w:tcPr>
          <w:p>
            <w:pPr>
              <w:spacing w:after="0"/>
              <w:rPr>
                <w:sz w:val="21"/>
                <w:szCs w:val="21"/>
                <w:color w:val="auto"/>
              </w:rPr>
            </w:pPr>
          </w:p>
        </w:tc>
      </w:tr>
      <w:tr>
        <w:trPr>
          <w:trHeight w:val="236"/>
        </w:trPr>
        <w:tc>
          <w:tcPr>
            <w:tcW w:w="880" w:type="dxa"/>
            <w:vAlign w:val="bottom"/>
          </w:tcPr>
          <w:p>
            <w:pPr>
              <w:spacing w:after="0"/>
              <w:rPr>
                <w:sz w:val="20"/>
                <w:szCs w:val="20"/>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Contributions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0"/>
                <w:szCs w:val="20"/>
                <w:color w:val="auto"/>
              </w:rPr>
            </w:pPr>
          </w:p>
        </w:tc>
      </w:tr>
      <w:tr>
        <w:trPr>
          <w:trHeight w:val="249"/>
        </w:trPr>
        <w:tc>
          <w:tcPr>
            <w:tcW w:w="880" w:type="dxa"/>
            <w:vAlign w:val="bottom"/>
          </w:tcPr>
          <w:p>
            <w:pPr>
              <w:spacing w:after="0"/>
              <w:rPr>
                <w:sz w:val="21"/>
                <w:szCs w:val="21"/>
                <w:color w:val="auto"/>
              </w:rPr>
            </w:pPr>
          </w:p>
        </w:tc>
        <w:tc>
          <w:tcPr>
            <w:tcW w:w="57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b w:val="1"/>
                <w:bCs w:val="1"/>
                <w:color w:val="auto"/>
              </w:rPr>
              <w:t>(534)</w:t>
            </w: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(511)</w:t>
            </w:r>
          </w:p>
        </w:tc>
      </w:tr>
      <w:tr>
        <w:trPr>
          <w:trHeight w:val="20"/>
        </w:trPr>
        <w:tc>
          <w:tcPr>
            <w:tcW w:w="880" w:type="dxa"/>
            <w:vAlign w:val="bottom"/>
          </w:tcPr>
          <w:p>
            <w:pPr>
              <w:spacing w:after="0" w:line="20" w:lineRule="exact"/>
              <w:rPr>
                <w:sz w:val="1"/>
                <w:szCs w:val="1"/>
                <w:color w:val="auto"/>
              </w:rPr>
            </w:pPr>
          </w:p>
        </w:tc>
        <w:tc>
          <w:tcPr>
            <w:tcW w:w="578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600" w:type="dxa"/>
            <w:vAlign w:val="bottom"/>
            <w:shd w:val="clear" w:color="auto" w:fill="C0C0C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r>
      <w:tr>
        <w:trPr>
          <w:trHeight w:val="238"/>
        </w:trPr>
        <w:tc>
          <w:tcPr>
            <w:tcW w:w="880" w:type="dxa"/>
            <w:vAlign w:val="bottom"/>
          </w:tcPr>
          <w:p>
            <w:pPr>
              <w:spacing w:after="0"/>
              <w:rPr>
                <w:sz w:val="20"/>
                <w:szCs w:val="20"/>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Plan assets at fair value, end of year</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15,352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13,952</w:t>
            </w:r>
          </w:p>
        </w:tc>
        <w:tc>
          <w:tcPr>
            <w:tcW w:w="80" w:type="dxa"/>
            <w:vAlign w:val="bottom"/>
          </w:tcPr>
          <w:p>
            <w:pPr>
              <w:spacing w:after="0"/>
              <w:rPr>
                <w:sz w:val="20"/>
                <w:szCs w:val="20"/>
                <w:color w:val="auto"/>
              </w:rPr>
            </w:pPr>
          </w:p>
        </w:tc>
      </w:tr>
      <w:tr>
        <w:trPr>
          <w:trHeight w:val="41"/>
        </w:trPr>
        <w:tc>
          <w:tcPr>
            <w:tcW w:w="8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ectPr>
          <w:pgSz w:w="11900" w:h="16881" w:orient="portrait"/>
          <w:cols w:equalWidth="0" w:num="1">
            <w:col w:w="11420"/>
          </w:cols>
          <w:pgMar w:left="240" w:top="140" w:right="239" w:bottom="0" w:gutter="0" w:footer="0" w:header="0"/>
        </w:sectPr>
      </w:pP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Projected Benefit Obligation:</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Projected benefit obligation,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579755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Service cost</w:t>
      </w:r>
    </w:p>
    <w:p>
      <w:pPr>
        <w:spacing w:after="0" w:line="3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19685</wp:posOffset>
            </wp:positionV>
            <wp:extent cx="579755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Actuarial (gain) loss</w:t>
      </w:r>
    </w:p>
    <w:p>
      <w:pPr>
        <w:spacing w:after="0" w:line="5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19685</wp:posOffset>
            </wp:positionV>
            <wp:extent cx="579755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7550" cy="180340"/>
                    </a:xfrm>
                    <a:prstGeom prst="rect">
                      <a:avLst/>
                    </a:prstGeom>
                    <a:noFill/>
                  </pic:spPr>
                </pic:pic>
              </a:graphicData>
            </a:graphic>
          </wp:anchor>
        </w:drawing>
      </w:r>
    </w:p>
    <w:p>
      <w:pPr>
        <w:spacing w:after="0" w:line="5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Projected benefit obligation, end of year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0" w:type="dxa"/>
            <w:vAlign w:val="bottom"/>
            <w:gridSpan w:val="2"/>
          </w:tcPr>
          <w:p>
            <w:pPr>
              <w:jc w:val="right"/>
              <w:ind w:right="63"/>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19,697</w:t>
            </w:r>
          </w:p>
        </w:tc>
        <w:tc>
          <w:tcPr>
            <w:tcW w:w="1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(3,253)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17,904</w:t>
            </w:r>
          </w:p>
        </w:tc>
        <w:tc>
          <w:tcPr>
            <w:tcW w:w="1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shd w:val="clear" w:color="auto" w:fill="000000"/>
          </w:tcPr>
          <w:p>
            <w:pPr>
              <w:spacing w:after="0"/>
              <w:rPr>
                <w:sz w:val="4"/>
                <w:szCs w:val="4"/>
                <w:color w:val="auto"/>
              </w:rPr>
            </w:pPr>
          </w:p>
        </w:tc>
        <w:tc>
          <w:tcPr>
            <w:tcW w:w="220" w:type="dxa"/>
            <w:vAlign w:val="bottom"/>
            <w:shd w:val="clear" w:color="auto" w:fill="000000"/>
          </w:tcPr>
          <w:p>
            <w:pPr>
              <w:spacing w:after="0"/>
              <w:rPr>
                <w:sz w:val="4"/>
                <w:szCs w:val="4"/>
                <w:color w:val="auto"/>
              </w:rPr>
            </w:pPr>
          </w:p>
        </w:tc>
        <w:tc>
          <w:tcPr>
            <w:tcW w:w="620" w:type="dxa"/>
            <w:vAlign w:val="bottom"/>
            <w:shd w:val="clear" w:color="auto" w:fill="000000"/>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74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1" w:orient="portrait"/>
          <w:cols w:equalWidth="0" w:num="2">
            <w:col w:w="7240" w:space="720"/>
            <w:col w:w="3460"/>
          </w:cols>
          <w:pgMar w:left="240" w:top="140" w:right="239" w:bottom="0" w:gutter="0" w:footer="0" w:header="0"/>
          <w:type w:val="continuous"/>
        </w:sect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Assumptions used in the previous calculations are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200" w:type="dxa"/>
            <w:vAlign w:val="bottom"/>
            <w:gridSpan w:val="2"/>
          </w:tcPr>
          <w:p>
            <w:pPr>
              <w:jc w:val="center"/>
              <w:ind w:left="3136"/>
              <w:spacing w:after="0"/>
              <w:rPr>
                <w:sz w:val="20"/>
                <w:szCs w:val="20"/>
                <w:color w:val="auto"/>
              </w:rPr>
            </w:pPr>
            <w:r>
              <w:rPr>
                <w:rFonts w:ascii="Arial" w:cs="Arial" w:eastAsia="Arial" w:hAnsi="Arial"/>
                <w:sz w:val="14"/>
                <w:szCs w:val="14"/>
                <w:b w:val="1"/>
                <w:bCs w:val="1"/>
                <w:color w:val="auto"/>
                <w:w w:val="83"/>
              </w:rPr>
              <w:t>2006</w:t>
            </w:r>
          </w:p>
        </w:tc>
        <w:tc>
          <w:tcPr>
            <w:tcW w:w="1160" w:type="dxa"/>
            <w:vAlign w:val="bottom"/>
            <w:gridSpan w:val="2"/>
          </w:tcPr>
          <w:p>
            <w:pPr>
              <w:jc w:val="center"/>
              <w:ind w:left="136"/>
              <w:spacing w:after="0"/>
              <w:rPr>
                <w:sz w:val="20"/>
                <w:szCs w:val="20"/>
                <w:color w:val="auto"/>
              </w:rPr>
            </w:pPr>
            <w:r>
              <w:rPr>
                <w:rFonts w:ascii="Arial" w:cs="Arial" w:eastAsia="Arial" w:hAnsi="Arial"/>
                <w:sz w:val="14"/>
                <w:szCs w:val="14"/>
                <w:color w:val="auto"/>
                <w:w w:val="83"/>
              </w:rPr>
              <w:t>2005</w:t>
            </w:r>
          </w:p>
        </w:tc>
      </w:tr>
      <w:tr>
        <w:trPr>
          <w:trHeight w:val="41"/>
        </w:trPr>
        <w:tc>
          <w:tcPr>
            <w:tcW w:w="20" w:type="dxa"/>
            <w:vAlign w:val="bottom"/>
          </w:tcPr>
          <w:p>
            <w:pPr>
              <w:spacing w:after="0"/>
              <w:rPr>
                <w:sz w:val="3"/>
                <w:szCs w:val="3"/>
                <w:color w:val="auto"/>
              </w:rPr>
            </w:pPr>
          </w:p>
        </w:tc>
        <w:tc>
          <w:tcPr>
            <w:tcW w:w="37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Discount rate for net pension cost</w:t>
            </w:r>
          </w:p>
        </w:tc>
        <w:tc>
          <w:tcPr>
            <w:tcW w:w="3240" w:type="dxa"/>
            <w:vAlign w:val="bottom"/>
            <w:shd w:val="clear" w:color="auto" w:fill="C0C0C0"/>
          </w:tcPr>
          <w:p>
            <w:pPr>
              <w:spacing w:after="0"/>
              <w:rPr>
                <w:sz w:val="20"/>
                <w:szCs w:val="20"/>
                <w:color w:val="auto"/>
              </w:rPr>
            </w:pPr>
          </w:p>
        </w:tc>
        <w:tc>
          <w:tcPr>
            <w:tcW w:w="9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7"/>
              </w:rPr>
              <w:t>5.25%</w:t>
            </w:r>
          </w:p>
        </w:tc>
        <w:tc>
          <w:tcPr>
            <w:tcW w:w="1160" w:type="dxa"/>
            <w:vAlign w:val="bottom"/>
            <w:gridSpan w:val="2"/>
            <w:shd w:val="clear" w:color="auto" w:fill="C0C0C0"/>
          </w:tcPr>
          <w:p>
            <w:pPr>
              <w:jc w:val="center"/>
              <w:ind w:left="136"/>
              <w:spacing w:after="0"/>
              <w:rPr>
                <w:sz w:val="20"/>
                <w:szCs w:val="20"/>
                <w:color w:val="auto"/>
              </w:rPr>
            </w:pPr>
            <w:r>
              <w:rPr>
                <w:rFonts w:ascii="Arial" w:cs="Arial" w:eastAsia="Arial" w:hAnsi="Arial"/>
                <w:sz w:val="18"/>
                <w:szCs w:val="18"/>
                <w:color w:val="auto"/>
                <w:w w:val="90"/>
              </w:rPr>
              <w:t>6.25%</w:t>
            </w:r>
          </w:p>
        </w:tc>
      </w:tr>
      <w:tr>
        <w:trPr>
          <w:trHeight w:val="236"/>
        </w:trPr>
        <w:tc>
          <w:tcPr>
            <w:tcW w:w="3780" w:type="dxa"/>
            <w:vAlign w:val="bottom"/>
            <w:gridSpan w:val="2"/>
          </w:tcPr>
          <w:p>
            <w:pPr>
              <w:spacing w:after="0"/>
              <w:rPr>
                <w:sz w:val="20"/>
                <w:szCs w:val="20"/>
                <w:color w:val="auto"/>
              </w:rPr>
            </w:pPr>
            <w:r>
              <w:rPr>
                <w:rFonts w:ascii="Arial" w:cs="Arial" w:eastAsia="Arial" w:hAnsi="Arial"/>
                <w:sz w:val="18"/>
                <w:szCs w:val="18"/>
                <w:color w:val="auto"/>
              </w:rPr>
              <w:t>Discount rate for year-end obligations</w:t>
            </w:r>
          </w:p>
        </w:tc>
        <w:tc>
          <w:tcPr>
            <w:tcW w:w="4200" w:type="dxa"/>
            <w:vAlign w:val="bottom"/>
            <w:gridSpan w:val="2"/>
          </w:tcPr>
          <w:p>
            <w:pPr>
              <w:jc w:val="center"/>
              <w:ind w:left="3136"/>
              <w:spacing w:after="0"/>
              <w:rPr>
                <w:sz w:val="20"/>
                <w:szCs w:val="20"/>
                <w:color w:val="auto"/>
              </w:rPr>
            </w:pPr>
            <w:r>
              <w:rPr>
                <w:rFonts w:ascii="Arial" w:cs="Arial" w:eastAsia="Arial" w:hAnsi="Arial"/>
                <w:sz w:val="18"/>
                <w:szCs w:val="18"/>
                <w:b w:val="1"/>
                <w:bCs w:val="1"/>
                <w:color w:val="auto"/>
                <w:w w:val="97"/>
              </w:rPr>
              <w:t>6.25%</w:t>
            </w:r>
          </w:p>
        </w:tc>
        <w:tc>
          <w:tcPr>
            <w:tcW w:w="116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5.25%</w:t>
            </w:r>
          </w:p>
        </w:tc>
      </w:tr>
      <w:tr>
        <w:trPr>
          <w:trHeight w:val="250"/>
        </w:trPr>
        <w:tc>
          <w:tcPr>
            <w:tcW w:w="20" w:type="dxa"/>
            <w:vAlign w:val="bottom"/>
          </w:tcPr>
          <w:p>
            <w:pPr>
              <w:spacing w:after="0"/>
              <w:rPr>
                <w:sz w:val="21"/>
                <w:szCs w:val="21"/>
                <w:color w:val="auto"/>
              </w:rPr>
            </w:pPr>
          </w:p>
        </w:tc>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Rate of increase in compensation levels</w:t>
            </w:r>
          </w:p>
        </w:tc>
        <w:tc>
          <w:tcPr>
            <w:tcW w:w="4200" w:type="dxa"/>
            <w:vAlign w:val="bottom"/>
            <w:gridSpan w:val="2"/>
            <w:shd w:val="clear" w:color="auto" w:fill="C0C0C0"/>
          </w:tcPr>
          <w:p>
            <w:pPr>
              <w:jc w:val="center"/>
              <w:ind w:left="3136"/>
              <w:spacing w:after="0"/>
              <w:rPr>
                <w:sz w:val="20"/>
                <w:szCs w:val="20"/>
                <w:color w:val="auto"/>
              </w:rPr>
            </w:pPr>
            <w:r>
              <w:rPr>
                <w:rFonts w:ascii="Arial" w:cs="Arial" w:eastAsia="Arial" w:hAnsi="Arial"/>
                <w:sz w:val="18"/>
                <w:szCs w:val="18"/>
                <w:b w:val="1"/>
                <w:bCs w:val="1"/>
                <w:color w:val="auto"/>
                <w:w w:val="97"/>
              </w:rPr>
              <w:t>4.00%</w:t>
            </w:r>
          </w:p>
        </w:tc>
        <w:tc>
          <w:tcPr>
            <w:tcW w:w="1160" w:type="dxa"/>
            <w:vAlign w:val="bottom"/>
            <w:gridSpan w:val="2"/>
            <w:shd w:val="clear" w:color="auto" w:fill="C0C0C0"/>
          </w:tcPr>
          <w:p>
            <w:pPr>
              <w:jc w:val="center"/>
              <w:ind w:left="136"/>
              <w:spacing w:after="0"/>
              <w:rPr>
                <w:sz w:val="20"/>
                <w:szCs w:val="20"/>
                <w:color w:val="auto"/>
              </w:rPr>
            </w:pPr>
            <w:r>
              <w:rPr>
                <w:rFonts w:ascii="Arial" w:cs="Arial" w:eastAsia="Arial" w:hAnsi="Arial"/>
                <w:sz w:val="18"/>
                <w:szCs w:val="18"/>
                <w:color w:val="auto"/>
                <w:w w:val="90"/>
              </w:rPr>
              <w:t>4.00%</w:t>
            </w: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color w:val="auto"/>
              </w:rPr>
              <w:t>Long-term expected rate of return on assets</w:t>
            </w:r>
          </w:p>
        </w:tc>
        <w:tc>
          <w:tcPr>
            <w:tcW w:w="4200" w:type="dxa"/>
            <w:vAlign w:val="bottom"/>
            <w:gridSpan w:val="2"/>
          </w:tcPr>
          <w:p>
            <w:pPr>
              <w:jc w:val="center"/>
              <w:ind w:left="3136"/>
              <w:spacing w:after="0"/>
              <w:rPr>
                <w:sz w:val="20"/>
                <w:szCs w:val="20"/>
                <w:color w:val="auto"/>
              </w:rPr>
            </w:pPr>
            <w:r>
              <w:rPr>
                <w:rFonts w:ascii="Arial" w:cs="Arial" w:eastAsia="Arial" w:hAnsi="Arial"/>
                <w:sz w:val="18"/>
                <w:szCs w:val="18"/>
                <w:b w:val="1"/>
                <w:bCs w:val="1"/>
                <w:color w:val="auto"/>
                <w:w w:val="97"/>
              </w:rPr>
              <w:t>8.00%</w:t>
            </w:r>
          </w:p>
        </w:tc>
        <w:tc>
          <w:tcPr>
            <w:tcW w:w="1160" w:type="dxa"/>
            <w:vAlign w:val="bottom"/>
            <w:gridSpan w:val="2"/>
          </w:tcPr>
          <w:p>
            <w:pPr>
              <w:jc w:val="center"/>
              <w:ind w:left="136"/>
              <w:spacing w:after="0"/>
              <w:rPr>
                <w:sz w:val="20"/>
                <w:szCs w:val="20"/>
                <w:color w:val="auto"/>
              </w:rPr>
            </w:pPr>
            <w:r>
              <w:rPr>
                <w:rFonts w:ascii="Arial" w:cs="Arial" w:eastAsia="Arial" w:hAnsi="Arial"/>
                <w:sz w:val="18"/>
                <w:szCs w:val="18"/>
                <w:color w:val="auto"/>
                <w:w w:val="90"/>
              </w:rPr>
              <w:t>8.00%</w:t>
            </w:r>
          </w:p>
        </w:tc>
      </w:tr>
      <w:tr>
        <w:trPr>
          <w:trHeight w:val="68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40" w:type="dxa"/>
            <w:vAlign w:val="bottom"/>
          </w:tcPr>
          <w:p>
            <w:pPr>
              <w:jc w:val="right"/>
              <w:ind w:right="2276"/>
              <w:spacing w:after="0"/>
              <w:rPr>
                <w:sz w:val="20"/>
                <w:szCs w:val="20"/>
                <w:color w:val="auto"/>
              </w:rPr>
            </w:pPr>
            <w:r>
              <w:rPr>
                <w:rFonts w:ascii="Arial" w:cs="Arial" w:eastAsia="Arial" w:hAnsi="Arial"/>
                <w:sz w:val="18"/>
                <w:szCs w:val="18"/>
                <w:color w:val="auto"/>
              </w:rPr>
              <w:t>60</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 (CONTINUED)</w:t>
      </w:r>
    </w:p>
    <w:p>
      <w:pPr>
        <w:spacing w:after="0" w:line="24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funded the plans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w:t>
      </w:r>
    </w:p>
    <w:p>
      <w:pPr>
        <w:spacing w:after="0" w:line="221"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contributed $500,000 and $560,000 to the pension during the fiscal years ended July 31, 2006 and July 31, 2005, respectively. We are not required to make a contribution to the plan in fiscal 2007; however, we expect to make a contribution to the plan sufficient to fund the annual cost. We expect to contribute about $546,000 in fiscal 2007.</w:t>
      </w:r>
    </w:p>
    <w:p>
      <w:pPr>
        <w:spacing w:after="0" w:line="22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accumulated benefit obligation for the pension plan was $14,830,000 as of July 31, 2006 and $15,957,000 as of July 31, 2005. The decrease in the accumulated benefit obligation is primarily due to the higher discount rate used at July 31, 2006. The measurement dates for determining the accumulated benefit obligation at July 31 are July 31, 2006 and 2005, respectively. The measurement dates for determining the net periodic pension cost for fiscal years ended July 31, 2006 and 2005 are August 1, 2005 and 2004, respectively.</w:t>
      </w:r>
    </w:p>
    <w:p>
      <w:pPr>
        <w:sectPr>
          <w:pgSz w:w="11900" w:h="16881" w:orient="portrait"/>
          <w:cols w:equalWidth="0" w:num="1">
            <w:col w:w="11420"/>
          </w:cols>
          <w:pgMar w:left="240" w:top="140" w:right="239" w:bottom="0" w:gutter="0" w:footer="0" w:header="0"/>
          <w:type w:val="continuous"/>
        </w:sectPr>
      </w:pPr>
    </w:p>
    <w:bookmarkStart w:id="39" w:name="page40"/>
    <w:bookmarkEnd w:id="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Our estimated future benefit payments are as follows: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60"/>
        </w:trPr>
        <w:tc>
          <w:tcPr>
            <w:tcW w:w="5640" w:type="dxa"/>
            <w:vAlign w:val="bottom"/>
          </w:tcPr>
          <w:p>
            <w:pPr>
              <w:spacing w:after="0"/>
              <w:rPr>
                <w:sz w:val="20"/>
                <w:szCs w:val="20"/>
                <w:color w:val="auto"/>
              </w:rPr>
            </w:pPr>
            <w:r>
              <w:rPr>
                <w:rFonts w:ascii="Arial" w:cs="Arial" w:eastAsia="Arial" w:hAnsi="Arial"/>
                <w:sz w:val="18"/>
                <w:szCs w:val="18"/>
                <w:color w:val="auto"/>
              </w:rPr>
              <w:t>Year ended July 31,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2007</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2008</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2011</w:t>
            </w:r>
          </w:p>
        </w:tc>
        <w:tc>
          <w:tcPr>
            <w:tcW w:w="22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2012-16</w:t>
            </w:r>
          </w:p>
        </w:tc>
      </w:tr>
      <w:tr>
        <w:trPr>
          <w:trHeight w:val="223"/>
        </w:trPr>
        <w:tc>
          <w:tcPr>
            <w:tcW w:w="5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0"/>
              </w:rPr>
              <w:t>(in</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21"/>
        </w:trPr>
        <w:tc>
          <w:tcPr>
            <w:tcW w:w="5640" w:type="dxa"/>
            <w:vAlign w:val="bottom"/>
          </w:tcPr>
          <w:p>
            <w:pPr>
              <w:spacing w:after="0"/>
              <w:rPr>
                <w:sz w:val="20"/>
                <w:szCs w:val="20"/>
                <w:color w:val="auto"/>
              </w:rPr>
            </w:pPr>
            <w:r>
              <w:rPr>
                <w:rFonts w:ascii="Arial" w:cs="Arial" w:eastAsia="Arial" w:hAnsi="Arial"/>
                <w:sz w:val="18"/>
                <w:szCs w:val="18"/>
                <w:color w:val="auto"/>
              </w:rPr>
              <w:t>Estimated benefit payments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$605</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$640</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$680</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$721</w:t>
            </w:r>
          </w:p>
        </w:tc>
        <w:tc>
          <w:tcPr>
            <w:tcW w:w="22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$5,173</w:t>
            </w: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For the years ended July 31, 2006, 2005 and 2004, we maintained a 401(k) savings plan under which we match a portion of employee contributions. The plan is available to essentially all domestic employees following thirty or sixty days of employment. Our contributions to this plan, and to similar plans maintained by our foreign subsidiaries, were $562,000, $554,000 and $533,000 for fiscal years 2006, 2005 and 2004,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COMPENSATION</w:t>
      </w:r>
    </w:p>
    <w:p>
      <w:pPr>
        <w:spacing w:after="0" w:line="2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Effective April 1, 2003, we adopted the Oil-Dri Corporation of America Supplemental Executive Retirement Plan (“SERP”). The purpose of the Plan is to provide certain retired participants in the Oil-Dri Corporation of America Pension Plan (“Retirement Plan”) with the amount of benefits that would have been provided under the Retirement Plan but for: (1) the limitations on benefits imposed by Section 415 of the Internal Revenue Code (“Code”), and/or (2) the limitation on compensation for purposes of calculating benefits under the Retirement Plan imposed by Section 401(a)(17) of the Code. We recorded $27,000 in expense associated with this plan in the fiscal year ended July 31, 2006. The plan is unfunded and we will fund benefits when payments are made. The total liability recorded for the SERP is $98,000 at July 31, 2006.</w:t>
      </w:r>
    </w:p>
    <w:p>
      <w:pPr>
        <w:spacing w:after="0" w:line="225"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In December 1995, we adopted the Oil-Dri Corporation of America Deferred Compensation Plan. This plan has permitted Directors and certain management employees to defer portions of their compensation and to earn interest on the deferred amounts. During the period January 1, 1999 through September 30, 2000, participants' returns were tied to the performance of various investment elections. After September 30, 2000 the participants’ returns have been set at our long-term cost of borrowing plus 1%. Compensation deferred since the inception of the plan has been accrued as well as earnings thereon. Participants have deferred $304,000, $292,000 and $360,000 into these plans in fiscal years 2006, 2005 and 2004, respectively. Payments to participants were $25,000.</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have segregated deferrals made since January 1, 2005, and the associated earnings, pending adoption of a new plan compliant with the provisions of Section 409(A) of the Internal Revenue Code. That plan will have earnings provisions identical to the Oil-Dri Corporation of America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4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management believes that none of the pending proceedings will have a material adverse effect on our business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49"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8"/>
          <w:szCs w:val="18"/>
          <w:color w:val="auto"/>
        </w:rPr>
        <w:t>Our mining operations are conducted on leased or owned property. These leases generally provide us with the right to mine as long as we continue to pay a minimum monthly rental, which is applied against the per ton royalty when the property is mined.</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lease certain offices and production facilities. Please see Item 2. “Properties”, for further details.</w:t>
      </w:r>
    </w:p>
    <w:p>
      <w:pPr>
        <w:spacing w:after="0" w:line="252"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In addition, we lease vehicles, railcars, mining property and equipment, warehouse space, data processing equipment, and office equipment. In most cases, we expect that, in the normal course of business, leases will be renewed or replaced by other leases.</w:t>
      </w:r>
    </w:p>
    <w:p>
      <w:pPr>
        <w:spacing w:after="0" w:line="213"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2006:</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3"/>
              </w:rPr>
              <w:t>(in thousands)</w:t>
            </w:r>
          </w:p>
        </w:tc>
      </w:tr>
      <w:tr>
        <w:trPr>
          <w:trHeight w:val="243"/>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2007</w:t>
            </w:r>
          </w:p>
        </w:tc>
        <w:tc>
          <w:tcPr>
            <w:tcW w:w="46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2,760</w:t>
            </w:r>
          </w:p>
        </w:tc>
      </w:tr>
      <w:tr>
        <w:trPr>
          <w:trHeight w:val="236"/>
        </w:trPr>
        <w:tc>
          <w:tcPr>
            <w:tcW w:w="5540" w:type="dxa"/>
            <w:vAlign w:val="bottom"/>
          </w:tcPr>
          <w:p>
            <w:pPr>
              <w:spacing w:after="0"/>
              <w:rPr>
                <w:sz w:val="20"/>
                <w:szCs w:val="20"/>
                <w:color w:val="auto"/>
              </w:rPr>
            </w:pPr>
            <w:r>
              <w:rPr>
                <w:rFonts w:ascii="Arial" w:cs="Arial" w:eastAsia="Arial" w:hAnsi="Arial"/>
                <w:sz w:val="18"/>
                <w:szCs w:val="18"/>
                <w:color w:val="auto"/>
              </w:rPr>
              <w:t>2008</w:t>
            </w:r>
          </w:p>
        </w:tc>
        <w:tc>
          <w:tcPr>
            <w:tcW w:w="4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1,307</w:t>
            </w:r>
          </w:p>
        </w:tc>
      </w:tr>
      <w:tr>
        <w:trPr>
          <w:trHeight w:val="250"/>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2009</w:t>
            </w:r>
          </w:p>
        </w:tc>
        <w:tc>
          <w:tcPr>
            <w:tcW w:w="4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1,066</w:t>
            </w:r>
          </w:p>
        </w:tc>
      </w:tr>
      <w:tr>
        <w:trPr>
          <w:trHeight w:val="236"/>
        </w:trPr>
        <w:tc>
          <w:tcPr>
            <w:tcW w:w="5540" w:type="dxa"/>
            <w:vAlign w:val="bottom"/>
          </w:tcPr>
          <w:p>
            <w:pPr>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988</w:t>
            </w:r>
          </w:p>
        </w:tc>
      </w:tr>
      <w:tr>
        <w:trPr>
          <w:trHeight w:val="250"/>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4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782</w:t>
            </w:r>
          </w:p>
        </w:tc>
      </w:tr>
      <w:tr>
        <w:trPr>
          <w:trHeight w:val="242"/>
        </w:trPr>
        <w:tc>
          <w:tcPr>
            <w:tcW w:w="5540" w:type="dxa"/>
            <w:vAlign w:val="bottom"/>
          </w:tcPr>
          <w:p>
            <w:pPr>
              <w:spacing w:after="0"/>
              <w:rPr>
                <w:sz w:val="20"/>
                <w:szCs w:val="20"/>
                <w:color w:val="auto"/>
              </w:rPr>
            </w:pPr>
            <w:r>
              <w:rPr>
                <w:rFonts w:ascii="Arial" w:cs="Arial" w:eastAsia="Arial" w:hAnsi="Arial"/>
                <w:sz w:val="18"/>
                <w:szCs w:val="18"/>
                <w:color w:val="auto"/>
              </w:rPr>
              <w:t>Later years</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4,975</w:t>
            </w:r>
          </w:p>
        </w:tc>
      </w:tr>
      <w:tr>
        <w:trPr>
          <w:trHeight w:val="258"/>
        </w:trPr>
        <w:tc>
          <w:tcPr>
            <w:tcW w:w="5540" w:type="dxa"/>
            <w:vAlign w:val="bottom"/>
            <w:tcBorders>
              <w:bottom w:val="single" w:sz="8" w:color="C0C0C0"/>
            </w:tcBorders>
            <w:shd w:val="clear" w:color="auto" w:fill="C0C0C0"/>
          </w:tcPr>
          <w:p>
            <w:pPr>
              <w:spacing w:after="0"/>
              <w:rPr>
                <w:sz w:val="22"/>
                <w:szCs w:val="22"/>
                <w:color w:val="auto"/>
              </w:rPr>
            </w:pPr>
          </w:p>
        </w:tc>
        <w:tc>
          <w:tcPr>
            <w:tcW w:w="4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w w:val="98"/>
              </w:rPr>
              <w:t>11,878</w:t>
            </w:r>
          </w:p>
        </w:tc>
      </w:tr>
    </w:tbl>
    <w:p>
      <w:pPr>
        <w:spacing w:after="0" w:line="200" w:lineRule="exact"/>
        <w:rPr>
          <w:sz w:val="20"/>
          <w:szCs w:val="20"/>
          <w:color w:val="auto"/>
        </w:rPr>
      </w:pPr>
    </w:p>
    <w:p>
      <w:pPr>
        <w:spacing w:after="0" w:line="27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as of the years ended July 31:</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900" w:type="dxa"/>
            <w:vAlign w:val="bottom"/>
            <w:gridSpan w:val="2"/>
          </w:tcPr>
          <w:p>
            <w:pPr>
              <w:jc w:val="right"/>
              <w:ind w:right="78"/>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2004</w:t>
            </w:r>
          </w:p>
        </w:tc>
      </w:tr>
      <w:tr>
        <w:trPr>
          <w:trHeight w:val="236"/>
        </w:trPr>
        <w:tc>
          <w:tcPr>
            <w:tcW w:w="42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w w:val="81"/>
              </w:rPr>
              <w:t>(in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76"/>
              </w:rPr>
              <w:t>thousands)</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50"/>
        </w:trPr>
        <w:tc>
          <w:tcPr>
            <w:tcW w:w="4240" w:type="dxa"/>
            <w:vAlign w:val="bottom"/>
            <w:shd w:val="clear" w:color="auto" w:fill="C0C0C0"/>
          </w:tcPr>
          <w:p>
            <w:pPr>
              <w:spacing w:after="0"/>
              <w:rPr>
                <w:sz w:val="20"/>
                <w:szCs w:val="20"/>
                <w:color w:val="auto"/>
              </w:rPr>
            </w:pPr>
            <w:r>
              <w:rPr>
                <w:rFonts w:ascii="Arial" w:cs="Arial" w:eastAsia="Arial" w:hAnsi="Arial"/>
                <w:sz w:val="18"/>
                <w:szCs w:val="18"/>
                <w:color w:val="auto"/>
              </w:rPr>
              <w:t>Vehicles and Railcars</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  994</w:t>
            </w:r>
          </w:p>
        </w:tc>
        <w:tc>
          <w:tcPr>
            <w:tcW w:w="112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  988</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  878</w:t>
            </w:r>
          </w:p>
        </w:tc>
      </w:tr>
      <w:tr>
        <w:trPr>
          <w:trHeight w:val="236"/>
        </w:trPr>
        <w:tc>
          <w:tcPr>
            <w:tcW w:w="4240" w:type="dxa"/>
            <w:vAlign w:val="bottom"/>
          </w:tcPr>
          <w:p>
            <w:pPr>
              <w:spacing w:after="0"/>
              <w:rPr>
                <w:sz w:val="20"/>
                <w:szCs w:val="20"/>
                <w:color w:val="auto"/>
              </w:rPr>
            </w:pPr>
            <w:r>
              <w:rPr>
                <w:rFonts w:ascii="Arial" w:cs="Arial" w:eastAsia="Arial" w:hAnsi="Arial"/>
                <w:sz w:val="18"/>
                <w:szCs w:val="18"/>
                <w:color w:val="auto"/>
              </w:rPr>
              <w:t>Office facilities</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673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618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516</w:t>
            </w:r>
          </w:p>
        </w:tc>
      </w:tr>
      <w:tr>
        <w:trPr>
          <w:trHeight w:val="104"/>
        </w:trPr>
        <w:tc>
          <w:tcPr>
            <w:tcW w:w="4240" w:type="dxa"/>
            <w:vAlign w:val="bottom"/>
            <w:shd w:val="clear" w:color="auto" w:fill="C0C0C0"/>
          </w:tcPr>
          <w:p>
            <w:pPr>
              <w:spacing w:after="0"/>
              <w:rPr>
                <w:sz w:val="9"/>
                <w:szCs w:val="9"/>
                <w:color w:val="auto"/>
              </w:rPr>
            </w:pPr>
          </w:p>
        </w:tc>
        <w:tc>
          <w:tcPr>
            <w:tcW w:w="740" w:type="dxa"/>
            <w:vAlign w:val="bottom"/>
            <w:shd w:val="clear" w:color="auto" w:fill="C0C0C0"/>
          </w:tcPr>
          <w:p>
            <w:pPr>
              <w:spacing w:after="0"/>
              <w:rPr>
                <w:sz w:val="9"/>
                <w:szCs w:val="9"/>
                <w:color w:val="auto"/>
              </w:rPr>
            </w:pPr>
          </w:p>
        </w:tc>
        <w:tc>
          <w:tcPr>
            <w:tcW w:w="220" w:type="dxa"/>
            <w:vAlign w:val="bottom"/>
            <w:shd w:val="clear" w:color="auto" w:fill="C0C0C0"/>
          </w:tcPr>
          <w:p>
            <w:pPr>
              <w:spacing w:after="0"/>
              <w:rPr>
                <w:sz w:val="9"/>
                <w:szCs w:val="9"/>
                <w:color w:val="auto"/>
              </w:rPr>
            </w:pPr>
          </w:p>
        </w:tc>
        <w:tc>
          <w:tcPr>
            <w:tcW w:w="680" w:type="dxa"/>
            <w:vAlign w:val="bottom"/>
            <w:shd w:val="clear" w:color="auto" w:fill="C0C0C0"/>
          </w:tcPr>
          <w:p>
            <w:pPr>
              <w:spacing w:after="0"/>
              <w:rPr>
                <w:sz w:val="9"/>
                <w:szCs w:val="9"/>
                <w:color w:val="auto"/>
              </w:rPr>
            </w:pPr>
          </w:p>
        </w:tc>
        <w:tc>
          <w:tcPr>
            <w:tcW w:w="220" w:type="dxa"/>
            <w:vAlign w:val="bottom"/>
            <w:shd w:val="clear" w:color="auto" w:fill="C0C0C0"/>
          </w:tcPr>
          <w:p>
            <w:pPr>
              <w:spacing w:after="0"/>
              <w:rPr>
                <w:sz w:val="9"/>
                <w:szCs w:val="9"/>
                <w:color w:val="auto"/>
              </w:rPr>
            </w:pPr>
          </w:p>
        </w:tc>
        <w:tc>
          <w:tcPr>
            <w:tcW w:w="740" w:type="dxa"/>
            <w:vAlign w:val="bottom"/>
            <w:shd w:val="clear" w:color="auto" w:fill="C0C0C0"/>
          </w:tcPr>
          <w:p>
            <w:pPr>
              <w:spacing w:after="0"/>
              <w:rPr>
                <w:sz w:val="9"/>
                <w:szCs w:val="9"/>
                <w:color w:val="auto"/>
              </w:rPr>
            </w:pPr>
          </w:p>
        </w:tc>
      </w:tr>
    </w:tbl>
    <w:p>
      <w:pPr>
        <w:sectPr>
          <w:pgSz w:w="11900" w:h="16900" w:orient="portrait"/>
          <w:cols w:equalWidth="0" w:num="1">
            <w:col w:w="11420"/>
          </w:cols>
          <w:pgMar w:left="240" w:top="131" w:right="239" w:bottom="0" w:gutter="0" w:footer="0" w:header="0"/>
        </w:sectPr>
      </w:pPr>
    </w:p>
    <w:bookmarkStart w:id="40" w:name="page41"/>
    <w:bookmarkEnd w:id="40"/>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43"/>
        </w:trPr>
        <w:tc>
          <w:tcPr>
            <w:tcW w:w="4240" w:type="dxa"/>
            <w:vAlign w:val="bottom"/>
            <w:shd w:val="clear" w:color="auto" w:fill="C0C0C0"/>
          </w:tcPr>
          <w:p>
            <w:pPr>
              <w:spacing w:after="0"/>
              <w:rPr>
                <w:sz w:val="20"/>
                <w:szCs w:val="20"/>
                <w:color w:val="auto"/>
              </w:rPr>
            </w:pPr>
            <w:r>
              <w:rPr>
                <w:rFonts w:ascii="Arial" w:cs="Arial" w:eastAsia="Arial" w:hAnsi="Arial"/>
                <w:sz w:val="18"/>
                <w:szCs w:val="18"/>
                <w:color w:val="auto"/>
              </w:rPr>
              <w:t>Warehouse facilities</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142</w:t>
            </w:r>
          </w:p>
        </w:tc>
        <w:tc>
          <w:tcPr>
            <w:tcW w:w="112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132</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253</w:t>
            </w:r>
          </w:p>
        </w:tc>
      </w:t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Mining properties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4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Minimum</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104</w:t>
            </w:r>
          </w:p>
        </w:tc>
        <w:tc>
          <w:tcPr>
            <w:tcW w:w="112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94</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w:t>
            </w:r>
          </w:p>
        </w:tc>
      </w:tr>
      <w:tr>
        <w:trPr>
          <w:trHeight w:val="236"/>
        </w:trPr>
        <w:tc>
          <w:tcPr>
            <w:tcW w:w="4240" w:type="dxa"/>
            <w:vAlign w:val="bottom"/>
          </w:tcPr>
          <w:p>
            <w:pPr>
              <w:ind w:left="220"/>
              <w:spacing w:after="0"/>
              <w:rPr>
                <w:sz w:val="20"/>
                <w:szCs w:val="20"/>
                <w:color w:val="auto"/>
              </w:rPr>
            </w:pPr>
            <w:r>
              <w:rPr>
                <w:rFonts w:ascii="Arial" w:cs="Arial" w:eastAsia="Arial" w:hAnsi="Arial"/>
                <w:sz w:val="18"/>
                <w:szCs w:val="18"/>
                <w:color w:val="auto"/>
              </w:rPr>
              <w:t>Contingent</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620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703</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678</w:t>
            </w:r>
          </w:p>
        </w:tc>
      </w:tr>
      <w:tr>
        <w:trPr>
          <w:trHeight w:val="249"/>
        </w:trPr>
        <w:tc>
          <w:tcPr>
            <w:tcW w:w="42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760</w:t>
            </w:r>
          </w:p>
        </w:tc>
        <w:tc>
          <w:tcPr>
            <w:tcW w:w="22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902</w:t>
            </w:r>
          </w:p>
        </w:tc>
      </w:tr>
      <w:tr>
        <w:trPr>
          <w:trHeight w:val="258"/>
        </w:trPr>
        <w:tc>
          <w:tcPr>
            <w:tcW w:w="4240" w:type="dxa"/>
            <w:vAlign w:val="bottom"/>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$ 3,293</w:t>
            </w:r>
          </w:p>
        </w:tc>
        <w:tc>
          <w:tcPr>
            <w:tcW w:w="22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$ 3,379</w:t>
            </w:r>
          </w:p>
        </w:tc>
        <w:tc>
          <w:tcPr>
            <w:tcW w:w="220" w:type="dxa"/>
            <w:vAlign w:val="bottom"/>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$ 3,318</w:t>
            </w: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NOTE 12 – OTHER CASH FLOW INFORMATION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6"/>
        </w:trPr>
        <w:tc>
          <w:tcPr>
            <w:tcW w:w="6620" w:type="dxa"/>
            <w:vAlign w:val="bottom"/>
            <w:gridSpan w:val="2"/>
          </w:tcPr>
          <w:p>
            <w:pPr>
              <w:ind w:left="280"/>
              <w:spacing w:after="0"/>
              <w:rPr>
                <w:sz w:val="20"/>
                <w:szCs w:val="20"/>
                <w:color w:val="auto"/>
              </w:rPr>
            </w:pPr>
            <w:r>
              <w:rPr>
                <w:rFonts w:ascii="Arial" w:cs="Arial" w:eastAsia="Arial" w:hAnsi="Arial"/>
                <w:sz w:val="18"/>
                <w:szCs w:val="18"/>
                <w:color w:val="auto"/>
              </w:rPr>
              <w:t>Cash payments for interest and income taxes were as follows: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55"/>
        </w:trPr>
        <w:tc>
          <w:tcPr>
            <w:tcW w:w="2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4"/>
              </w:rPr>
              <w:t>2006</w:t>
            </w:r>
          </w:p>
        </w:tc>
        <w:tc>
          <w:tcPr>
            <w:tcW w:w="900" w:type="dxa"/>
            <w:vAlign w:val="bottom"/>
            <w:gridSpan w:val="2"/>
          </w:tcPr>
          <w:p>
            <w:pPr>
              <w:jc w:val="right"/>
              <w:ind w:right="78"/>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2004</w:t>
            </w:r>
          </w:p>
        </w:tc>
      </w:tr>
      <w:tr>
        <w:trPr>
          <w:trHeight w:val="236"/>
        </w:trPr>
        <w:tc>
          <w:tcPr>
            <w:tcW w:w="23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w w:val="81"/>
              </w:rPr>
              <w:t>(in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76"/>
              </w:rPr>
              <w:t>thousands)</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50"/>
        </w:trPr>
        <w:tc>
          <w:tcPr>
            <w:tcW w:w="2300" w:type="dxa"/>
            <w:vAlign w:val="bottom"/>
          </w:tcPr>
          <w:p>
            <w:pPr>
              <w:spacing w:after="0"/>
              <w:rPr>
                <w:sz w:val="21"/>
                <w:szCs w:val="21"/>
                <w:color w:val="auto"/>
              </w:rPr>
            </w:pPr>
          </w:p>
        </w:tc>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Interest</w:t>
            </w:r>
          </w:p>
        </w:tc>
        <w:tc>
          <w:tcPr>
            <w:tcW w:w="70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$1,756</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$1,723</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$1,859</w:t>
            </w:r>
          </w:p>
        </w:tc>
      </w:tr>
      <w:tr>
        <w:trPr>
          <w:trHeight w:val="234"/>
        </w:trPr>
        <w:tc>
          <w:tcPr>
            <w:tcW w:w="6620" w:type="dxa"/>
            <w:vAlign w:val="bottom"/>
            <w:gridSpan w:val="2"/>
          </w:tcPr>
          <w:p>
            <w:pPr>
              <w:ind w:left="2300"/>
              <w:spacing w:after="0"/>
              <w:rPr>
                <w:sz w:val="20"/>
                <w:szCs w:val="20"/>
                <w:color w:val="auto"/>
              </w:rPr>
            </w:pPr>
            <w:r>
              <w:rPr>
                <w:rFonts w:ascii="Arial" w:cs="Arial" w:eastAsia="Arial" w:hAnsi="Arial"/>
                <w:sz w:val="18"/>
                <w:szCs w:val="18"/>
                <w:color w:val="auto"/>
              </w:rPr>
              <w:t>Income taxes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7"/>
                <w:szCs w:val="17"/>
                <w:b w:val="1"/>
                <w:bCs w:val="1"/>
                <w:color w:val="auto"/>
                <w:w w:val="95"/>
              </w:rPr>
              <w:t>1,250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7"/>
                <w:szCs w:val="17"/>
                <w:color w:val="auto"/>
                <w:w w:val="95"/>
              </w:rPr>
              <w:t>1,034</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POST-RETIREMENT HEALTH BENEFITS</w:t>
      </w:r>
    </w:p>
    <w:p>
      <w:pPr>
        <w:spacing w:after="0" w:line="249" w:lineRule="exact"/>
        <w:rPr>
          <w:sz w:val="20"/>
          <w:szCs w:val="20"/>
          <w:color w:val="auto"/>
        </w:rPr>
      </w:pPr>
    </w:p>
    <w:p>
      <w:pPr>
        <w:jc w:val="both"/>
        <w:ind w:firstLine="284"/>
        <w:spacing w:after="0" w:line="305" w:lineRule="auto"/>
        <w:rPr>
          <w:sz w:val="20"/>
          <w:szCs w:val="20"/>
          <w:color w:val="auto"/>
        </w:rPr>
      </w:pPr>
      <w:r>
        <w:rPr>
          <w:rFonts w:ascii="Arial" w:cs="Arial" w:eastAsia="Arial" w:hAnsi="Arial"/>
          <w:sz w:val="15"/>
          <w:szCs w:val="15"/>
          <w:color w:val="auto"/>
        </w:rPr>
        <w:t>Domestic salaried employees who retire prior to reaching age 65 and have at least 17 years of continuous service and whose age is at least 55 and whose age plus years of service equals at least 80 may elect to continue their health care coverage under the Oil-Dri Corporation of America Employee Benefits Plan until</w:t>
      </w:r>
    </w:p>
    <w:tbl>
      <w:tblPr>
        <w:tblLayout w:type="fixed"/>
        <w:tblInd w:w="0" w:type="dxa"/>
        <w:tblCellMar>
          <w:top w:w="0" w:type="dxa"/>
          <w:left w:w="0" w:type="dxa"/>
          <w:bottom w:w="0" w:type="dxa"/>
          <w:right w:w="0" w:type="dxa"/>
        </w:tblCellMar>
      </w:tblPr>
      <w:tr>
        <w:trPr>
          <w:trHeight w:val="222"/>
        </w:trPr>
        <w:tc>
          <w:tcPr>
            <w:tcW w:w="7880" w:type="dxa"/>
            <w:vAlign w:val="bottom"/>
            <w:gridSpan w:val="8"/>
          </w:tcPr>
          <w:p>
            <w:pPr>
              <w:spacing w:after="0"/>
              <w:rPr>
                <w:sz w:val="20"/>
                <w:szCs w:val="20"/>
                <w:color w:val="auto"/>
              </w:rPr>
            </w:pPr>
            <w:r>
              <w:rPr>
                <w:rFonts w:ascii="Arial" w:cs="Arial" w:eastAsia="Arial" w:hAnsi="Arial"/>
                <w:sz w:val="18"/>
                <w:szCs w:val="18"/>
                <w:color w:val="auto"/>
                <w:w w:val="90"/>
              </w:rPr>
              <w:t>they reach the age of 65. We accrue the costs of such benefits during the employees’ active years of service.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6"/>
        </w:trPr>
        <w:tc>
          <w:tcPr>
            <w:tcW w:w="6620" w:type="dxa"/>
            <w:vAlign w:val="bottom"/>
            <w:gridSpan w:val="3"/>
          </w:tcPr>
          <w:p>
            <w:pPr>
              <w:spacing w:after="0"/>
              <w:rPr>
                <w:sz w:val="20"/>
                <w:szCs w:val="20"/>
                <w:color w:val="auto"/>
              </w:rPr>
            </w:pPr>
            <w:r>
              <w:rPr>
                <w:rFonts w:ascii="Arial" w:cs="Arial" w:eastAsia="Arial" w:hAnsi="Arial"/>
                <w:sz w:val="18"/>
                <w:szCs w:val="18"/>
                <w:color w:val="auto"/>
              </w:rPr>
              <w:t>Net periodic post-retirement costs for the years ended July 31, were as follows: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5"/>
        </w:trPr>
        <w:tc>
          <w:tcPr>
            <w:tcW w:w="2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rPr>
              <w:t>2006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91"/>
              <w:spacing w:after="0"/>
              <w:rPr>
                <w:sz w:val="20"/>
                <w:szCs w:val="20"/>
                <w:color w:val="auto"/>
              </w:rPr>
            </w:pPr>
            <w:r>
              <w:rPr>
                <w:rFonts w:ascii="Arial" w:cs="Arial" w:eastAsia="Arial" w:hAnsi="Arial"/>
                <w:sz w:val="18"/>
                <w:szCs w:val="18"/>
                <w:color w:val="auto"/>
              </w:rPr>
              <w:t>2004</w:t>
            </w:r>
          </w:p>
        </w:tc>
      </w:tr>
      <w:tr>
        <w:trPr>
          <w:trHeight w:val="228"/>
        </w:trPr>
        <w:tc>
          <w:tcPr>
            <w:tcW w:w="2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b w:val="1"/>
                <w:bCs w:val="1"/>
                <w:color w:val="auto"/>
                <w:w w:val="81"/>
              </w:rPr>
              <w:t>(in</w:t>
            </w: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76"/>
              </w:rPr>
              <w:t>thousands)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244"/>
        </w:trPr>
        <w:tc>
          <w:tcPr>
            <w:tcW w:w="2300" w:type="dxa"/>
            <w:vAlign w:val="bottom"/>
          </w:tcPr>
          <w:p>
            <w:pPr>
              <w:spacing w:after="0"/>
              <w:rPr>
                <w:sz w:val="21"/>
                <w:szCs w:val="21"/>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rPr>
              <w:t>Components of net periodic post-</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2300" w:type="dxa"/>
            <w:vAlign w:val="bottom"/>
          </w:tcPr>
          <w:p>
            <w:pPr>
              <w:spacing w:after="0"/>
              <w:rPr>
                <w:sz w:val="21"/>
                <w:szCs w:val="21"/>
                <w:color w:val="auto"/>
              </w:rPr>
            </w:pP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retirement cost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8"/>
        </w:trPr>
        <w:tc>
          <w:tcPr>
            <w:tcW w:w="2300" w:type="dxa"/>
            <w:vAlign w:val="bottom"/>
          </w:tcPr>
          <w:p>
            <w:pPr>
              <w:spacing w:after="0"/>
              <w:rPr>
                <w:sz w:val="19"/>
                <w:szCs w:val="19"/>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1"/>
              <w:spacing w:after="0"/>
              <w:rPr>
                <w:sz w:val="20"/>
                <w:szCs w:val="20"/>
                <w:color w:val="auto"/>
              </w:rPr>
            </w:pPr>
            <w:r>
              <w:rPr>
                <w:rFonts w:ascii="Arial" w:cs="Arial" w:eastAsia="Arial" w:hAnsi="Arial"/>
                <w:sz w:val="18"/>
                <w:szCs w:val="18"/>
                <w:b w:val="1"/>
                <w:bCs w:val="1"/>
                <w:color w:val="auto"/>
              </w:rPr>
              <w:t>73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2300" w:type="dxa"/>
            <w:vAlign w:val="bottom"/>
          </w:tcPr>
          <w:p>
            <w:pPr>
              <w:spacing w:after="0"/>
              <w:rPr>
                <w:sz w:val="21"/>
                <w:szCs w:val="21"/>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45"/>
        </w:trPr>
        <w:tc>
          <w:tcPr>
            <w:tcW w:w="2300" w:type="dxa"/>
            <w:vAlign w:val="bottom"/>
          </w:tcPr>
          <w:p>
            <w:pPr>
              <w:spacing w:after="0"/>
              <w:rPr>
                <w:sz w:val="21"/>
                <w:szCs w:val="21"/>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rPr>
              <w:t>Amortization of net transition obligation</w:t>
            </w:r>
          </w:p>
        </w:tc>
        <w:tc>
          <w:tcPr>
            <w:tcW w:w="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50"/>
        </w:trPr>
        <w:tc>
          <w:tcPr>
            <w:tcW w:w="2300" w:type="dxa"/>
            <w:vAlign w:val="bottom"/>
          </w:tcPr>
          <w:p>
            <w:pPr>
              <w:spacing w:after="0"/>
              <w:rPr>
                <w:sz w:val="21"/>
                <w:szCs w:val="21"/>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rPr>
              <w:t>Amortization of losses</w:t>
            </w:r>
          </w:p>
        </w:tc>
        <w:tc>
          <w:tcPr>
            <w:tcW w:w="26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64"/>
        </w:trPr>
        <w:tc>
          <w:tcPr>
            <w:tcW w:w="230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rPr>
              <w:t>Net periodic post-retirement benefit cost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r>
      <w:tr>
        <w:trPr>
          <w:trHeight w:val="673"/>
        </w:trPr>
        <w:tc>
          <w:tcPr>
            <w:tcW w:w="6620" w:type="dxa"/>
            <w:vAlign w:val="bottom"/>
            <w:gridSpan w:val="3"/>
          </w:tcPr>
          <w:p>
            <w:pPr>
              <w:spacing w:after="0"/>
              <w:rPr>
                <w:sz w:val="20"/>
                <w:szCs w:val="20"/>
                <w:color w:val="auto"/>
              </w:rPr>
            </w:pPr>
            <w:r>
              <w:rPr>
                <w:rFonts w:ascii="Arial" w:cs="Arial" w:eastAsia="Arial" w:hAnsi="Arial"/>
                <w:sz w:val="18"/>
                <w:szCs w:val="18"/>
                <w:color w:val="auto"/>
              </w:rPr>
              <w:t>The accumulated post-retirement benefit obligation assumptions were as follows:</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5"/>
        </w:trPr>
        <w:tc>
          <w:tcPr>
            <w:tcW w:w="2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2006</w:t>
            </w:r>
          </w:p>
        </w:tc>
        <w:tc>
          <w:tcPr>
            <w:tcW w:w="240" w:type="dxa"/>
            <w:vAlign w:val="bottom"/>
          </w:tcPr>
          <w:p>
            <w:pPr>
              <w:spacing w:after="0"/>
              <w:rPr>
                <w:sz w:val="24"/>
                <w:szCs w:val="24"/>
                <w:color w:val="auto"/>
              </w:rPr>
            </w:pPr>
          </w:p>
        </w:tc>
        <w:tc>
          <w:tcPr>
            <w:tcW w:w="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4"/>
              </w:rPr>
              <w:t>2005</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Discount rate for net periodic post-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5.25%</w:t>
            </w:r>
          </w:p>
        </w:tc>
        <w:tc>
          <w:tcPr>
            <w:tcW w:w="700" w:type="dxa"/>
            <w:vAlign w:val="bottom"/>
            <w:gridSpan w:val="5"/>
          </w:tcPr>
          <w:p>
            <w:pPr>
              <w:jc w:val="center"/>
              <w:ind w:left="111"/>
              <w:spacing w:after="0"/>
              <w:rPr>
                <w:sz w:val="20"/>
                <w:szCs w:val="20"/>
                <w:color w:val="auto"/>
              </w:rPr>
            </w:pPr>
            <w:r>
              <w:rPr>
                <w:rFonts w:ascii="Arial" w:cs="Arial" w:eastAsia="Arial" w:hAnsi="Arial"/>
                <w:sz w:val="18"/>
                <w:szCs w:val="18"/>
                <w:color w:val="auto"/>
                <w:w w:val="90"/>
              </w:rPr>
              <w:t>6.25%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2"/>
        </w:trPr>
        <w:tc>
          <w:tcPr>
            <w:tcW w:w="2300" w:type="dxa"/>
            <w:vAlign w:val="bottom"/>
          </w:tcPr>
          <w:p>
            <w:pPr>
              <w:spacing w:after="0"/>
              <w:rPr>
                <w:sz w:val="21"/>
                <w:szCs w:val="21"/>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retirement costs</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Discount rate for year-end obligations</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6.25%</w:t>
            </w:r>
          </w:p>
        </w:tc>
        <w:tc>
          <w:tcPr>
            <w:tcW w:w="700" w:type="dxa"/>
            <w:vAlign w:val="bottom"/>
            <w:gridSpan w:val="5"/>
          </w:tcPr>
          <w:p>
            <w:pPr>
              <w:jc w:val="center"/>
              <w:ind w:left="111"/>
              <w:spacing w:after="0"/>
              <w:rPr>
                <w:sz w:val="20"/>
                <w:szCs w:val="20"/>
                <w:color w:val="auto"/>
              </w:rPr>
            </w:pPr>
            <w:r>
              <w:rPr>
                <w:rFonts w:ascii="Arial" w:cs="Arial" w:eastAsia="Arial" w:hAnsi="Arial"/>
                <w:sz w:val="18"/>
                <w:szCs w:val="18"/>
                <w:color w:val="auto"/>
                <w:w w:val="90"/>
              </w:rPr>
              <w:t>5.25%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Medical trend</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6.00%</w:t>
            </w:r>
          </w:p>
        </w:tc>
        <w:tc>
          <w:tcPr>
            <w:tcW w:w="700" w:type="dxa"/>
            <w:vAlign w:val="bottom"/>
            <w:gridSpan w:val="5"/>
          </w:tcPr>
          <w:p>
            <w:pPr>
              <w:jc w:val="center"/>
              <w:ind w:left="111"/>
              <w:spacing w:after="0"/>
              <w:rPr>
                <w:sz w:val="20"/>
                <w:szCs w:val="20"/>
                <w:color w:val="auto"/>
              </w:rPr>
            </w:pPr>
            <w:r>
              <w:rPr>
                <w:rFonts w:ascii="Arial" w:cs="Arial" w:eastAsia="Arial" w:hAnsi="Arial"/>
                <w:sz w:val="18"/>
                <w:szCs w:val="18"/>
                <w:color w:val="auto"/>
                <w:w w:val="90"/>
              </w:rPr>
              <w:t>6.00%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flat medical trend assumption of 6% per year has been used in the valuation. Although using a graded trend assumption would also be a reasonable approach, a graded trend assumption implies greater precision in the ability to predict future medical costs than is the case. A graded trend assumption also generally needs to be reset every few years. The flat trend of 6% is approximately equivalent to a graded trend schedule of 10% decreasing to 4.5% over six years.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one-percentage point change in assumed health care cost trend would have had the following effects in the fiscal year ended July 31, 2006: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6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(in thousands)</w:t>
            </w:r>
          </w:p>
        </w:tc>
      </w:tr>
      <w:tr>
        <w:trPr>
          <w:trHeight w:val="228"/>
        </w:trPr>
        <w:tc>
          <w:tcPr>
            <w:tcW w:w="3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86"/>
              </w:rPr>
              <w:t>One-Percentage</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4"/>
              </w:rPr>
              <w:t>One-Percentage</w:t>
            </w:r>
          </w:p>
        </w:tc>
      </w:tr>
      <w:tr>
        <w:trPr>
          <w:trHeight w:val="252"/>
        </w:trPr>
        <w:tc>
          <w:tcPr>
            <w:tcW w:w="3620" w:type="dxa"/>
            <w:vAlign w:val="bottom"/>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Point Increase</w:t>
            </w:r>
          </w:p>
        </w:tc>
        <w:tc>
          <w:tcPr>
            <w:tcW w:w="24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Point Decrease</w:t>
            </w:r>
          </w:p>
        </w:tc>
      </w:tr>
      <w:tr>
        <w:trPr>
          <w:trHeight w:val="228"/>
        </w:trPr>
        <w:tc>
          <w:tcPr>
            <w:tcW w:w="3620" w:type="dxa"/>
            <w:vAlign w:val="bottom"/>
          </w:tcPr>
          <w:p>
            <w:pPr>
              <w:spacing w:after="0"/>
              <w:rPr>
                <w:sz w:val="20"/>
                <w:szCs w:val="20"/>
                <w:color w:val="auto"/>
              </w:rPr>
            </w:pPr>
            <w:r>
              <w:rPr>
                <w:rFonts w:ascii="Arial" w:cs="Arial" w:eastAsia="Arial" w:hAnsi="Arial"/>
                <w:sz w:val="18"/>
                <w:szCs w:val="18"/>
                <w:color w:val="auto"/>
              </w:rPr>
              <w:t>Effect on total service and interest costs</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ind w:right="332"/>
              <w:spacing w:after="0"/>
              <w:rPr>
                <w:sz w:val="20"/>
                <w:szCs w:val="20"/>
                <w:color w:val="auto"/>
              </w:rPr>
            </w:pPr>
            <w:r>
              <w:rPr>
                <w:rFonts w:ascii="Arial" w:cs="Arial" w:eastAsia="Arial" w:hAnsi="Arial"/>
                <w:sz w:val="18"/>
                <w:szCs w:val="18"/>
                <w:color w:val="auto"/>
              </w:rPr>
              <w:t>($19)</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for fiscal year ended July 31, 2006</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Effect on accumulated post-retirement</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$153</w:t>
            </w: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($130)</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benefit obligation as of July 31, 2006</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ectPr>
          <w:pgSz w:w="11900" w:h="16838" w:orient="portrait"/>
          <w:cols w:equalWidth="0" w:num="1">
            <w:col w:w="11420"/>
          </w:cols>
          <w:pgMar w:left="240" w:top="140" w:right="239" w:bottom="618"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POST-RETIREMENT HEALTH BENEFITS (CONTINUED)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are as follows: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6"/>
        </w:trPr>
        <w:tc>
          <w:tcPr>
            <w:tcW w:w="5100" w:type="dxa"/>
            <w:vAlign w:val="bottom"/>
          </w:tcPr>
          <w:p>
            <w:pPr>
              <w:spacing w:after="0"/>
              <w:rPr>
                <w:sz w:val="20"/>
                <w:szCs w:val="20"/>
                <w:color w:val="auto"/>
              </w:rPr>
            </w:pPr>
            <w:r>
              <w:rPr>
                <w:rFonts w:ascii="Arial" w:cs="Arial" w:eastAsia="Arial" w:hAnsi="Arial"/>
                <w:sz w:val="18"/>
                <w:szCs w:val="18"/>
                <w:color w:val="auto"/>
              </w:rPr>
              <w:t>Year ended July 31,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2008</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2009</w:t>
            </w:r>
          </w:p>
        </w:tc>
        <w:tc>
          <w:tcPr>
            <w:tcW w:w="22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2011</w:t>
            </w:r>
          </w:p>
        </w:tc>
        <w:tc>
          <w:tcPr>
            <w:tcW w:w="2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2012-16</w:t>
            </w:r>
          </w:p>
        </w:tc>
      </w:tr>
      <w:tr>
        <w:trPr>
          <w:trHeight w:val="258"/>
        </w:trPr>
        <w:tc>
          <w:tcPr>
            <w:tcW w:w="5100" w:type="dxa"/>
            <w:vAlign w:val="bottom"/>
          </w:tcPr>
          <w:p>
            <w:pPr>
              <w:spacing w:after="0"/>
              <w:rPr>
                <w:sz w:val="20"/>
                <w:szCs w:val="20"/>
                <w:color w:val="auto"/>
              </w:rPr>
            </w:pPr>
            <w:r>
              <w:rPr>
                <w:rFonts w:ascii="Arial" w:cs="Arial" w:eastAsia="Arial" w:hAnsi="Arial"/>
                <w:sz w:val="18"/>
                <w:szCs w:val="18"/>
                <w:color w:val="auto"/>
              </w:rPr>
              <w:t>Estimated benefit payments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$ 16</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$ 20</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w:t>
            </w:r>
          </w:p>
        </w:tc>
        <w:tc>
          <w:tcPr>
            <w:tcW w:w="22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$ 41</w:t>
            </w:r>
          </w:p>
        </w:tc>
        <w:tc>
          <w:tcPr>
            <w:tcW w:w="240" w:type="dxa"/>
            <w:vAlign w:val="bottom"/>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$ 65</w:t>
            </w:r>
          </w:p>
        </w:tc>
        <w:tc>
          <w:tcPr>
            <w:tcW w:w="240" w:type="dxa"/>
            <w:vAlign w:val="bottom"/>
          </w:tcPr>
          <w:p>
            <w:pPr>
              <w:spacing w:after="0"/>
              <w:rPr>
                <w:sz w:val="22"/>
                <w:szCs w:val="22"/>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$379</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policy is to pay insurance premiums and claims under the above-mentioned plan from our assets.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accrued post-retirement benefit liability and the change in benefit obligation as of July 31, 2006 and July 31, 2005 were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w w:val="87"/>
              </w:rPr>
              <w:t>July 31,</w:t>
            </w:r>
          </w:p>
        </w:tc>
        <w:tc>
          <w:tcPr>
            <w:tcW w:w="780" w:type="dxa"/>
            <w:vAlign w:val="bottom"/>
            <w:tcBorders>
              <w:bottom w:val="single" w:sz="8" w:color="auto"/>
            </w:tcBorders>
          </w:tcPr>
          <w:p>
            <w:pPr>
              <w:spacing w:after="0"/>
              <w:rPr>
                <w:sz w:val="20"/>
                <w:szCs w:val="20"/>
                <w:color w:val="auto"/>
              </w:rPr>
            </w:pPr>
          </w:p>
        </w:tc>
      </w:tr>
      <w:tr>
        <w:trPr>
          <w:trHeight w:val="237"/>
        </w:trPr>
        <w:tc>
          <w:tcPr>
            <w:tcW w:w="6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4"/>
              </w:rPr>
              <w:t>2005</w:t>
            </w:r>
          </w:p>
        </w:tc>
      </w:tr>
      <w:tr>
        <w:trPr>
          <w:trHeight w:val="228"/>
        </w:trPr>
        <w:tc>
          <w:tcPr>
            <w:tcW w:w="6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b w:val="1"/>
                <w:bCs w:val="1"/>
                <w:color w:val="auto"/>
              </w:rPr>
              <w:t>(in</w:t>
            </w: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780" w:type="dxa"/>
            <w:vAlign w:val="bottom"/>
          </w:tcPr>
          <w:p>
            <w:pPr>
              <w:spacing w:after="0"/>
              <w:rPr>
                <w:sz w:val="19"/>
                <w:szCs w:val="19"/>
                <w:color w:val="auto"/>
              </w:rPr>
            </w:pPr>
          </w:p>
        </w:tc>
      </w:tr>
      <w:tr>
        <w:trPr>
          <w:trHeight w:val="242"/>
        </w:trPr>
        <w:tc>
          <w:tcPr>
            <w:tcW w:w="654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8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777</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54</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47</w:t>
            </w:r>
          </w:p>
        </w:tc>
      </w:tr>
      <w:tr>
        <w:trPr>
          <w:trHeight w:val="245"/>
        </w:trPr>
        <w:tc>
          <w:tcPr>
            <w:tcW w:w="6540" w:type="dxa"/>
            <w:vAlign w:val="bottom"/>
          </w:tcPr>
          <w:p>
            <w:pPr>
              <w:spacing w:after="0"/>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265</w:t>
            </w:r>
          </w:p>
        </w:tc>
      </w:tr>
      <w:tr>
        <w:trPr>
          <w:trHeight w:val="256"/>
        </w:trPr>
        <w:tc>
          <w:tcPr>
            <w:tcW w:w="6540" w:type="dxa"/>
            <w:vAlign w:val="bottom"/>
          </w:tcPr>
          <w:p>
            <w:pPr>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w:t>
            </w:r>
          </w:p>
        </w:tc>
      </w:tr>
      <w:tr>
        <w:trPr>
          <w:trHeight w:val="258"/>
        </w:trPr>
        <w:tc>
          <w:tcPr>
            <w:tcW w:w="6540" w:type="dxa"/>
            <w:vAlign w:val="bottom"/>
          </w:tcPr>
          <w:p>
            <w:pPr>
              <w:ind w:left="36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1,029</w:t>
            </w:r>
          </w:p>
        </w:tc>
        <w:tc>
          <w:tcPr>
            <w:tcW w:w="8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1,066</w:t>
            </w:r>
          </w:p>
        </w:tc>
      </w:tr>
      <w:tr>
        <w:trPr>
          <w:trHeight w:val="471"/>
        </w:trPr>
        <w:tc>
          <w:tcPr>
            <w:tcW w:w="6540" w:type="dxa"/>
            <w:vAlign w:val="bottom"/>
          </w:tcPr>
          <w:p>
            <w:pPr>
              <w:spacing w:after="0"/>
              <w:rPr>
                <w:sz w:val="20"/>
                <w:szCs w:val="20"/>
                <w:color w:val="auto"/>
              </w:rPr>
            </w:pPr>
            <w:r>
              <w:rPr>
                <w:rFonts w:ascii="Arial" w:cs="Arial" w:eastAsia="Arial" w:hAnsi="Arial"/>
                <w:sz w:val="18"/>
                <w:szCs w:val="18"/>
                <w:color w:val="auto"/>
              </w:rPr>
              <w:t>Change in plan assets:</w:t>
            </w: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Employer contribution</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8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77</w:t>
            </w:r>
          </w:p>
        </w:tc>
      </w:tr>
      <w:tr>
        <w:trPr>
          <w:trHeight w:val="258"/>
        </w:trPr>
        <w:tc>
          <w:tcPr>
            <w:tcW w:w="6540" w:type="dxa"/>
            <w:vAlign w:val="bottom"/>
          </w:tcPr>
          <w:p>
            <w:pPr>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w:t>
            </w:r>
          </w:p>
        </w:tc>
      </w:tr>
      <w:tr>
        <w:trPr>
          <w:trHeight w:val="258"/>
        </w:trPr>
        <w:tc>
          <w:tcPr>
            <w:tcW w:w="6540" w:type="dxa"/>
            <w:vAlign w:val="bottom"/>
          </w:tcPr>
          <w:p>
            <w:pPr>
              <w:ind w:left="36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471"/>
        </w:trPr>
        <w:tc>
          <w:tcPr>
            <w:tcW w:w="6540" w:type="dxa"/>
            <w:vAlign w:val="bottom"/>
          </w:tcPr>
          <w:p>
            <w:pPr>
              <w:spacing w:after="0"/>
              <w:rPr>
                <w:sz w:val="20"/>
                <w:szCs w:val="20"/>
                <w:color w:val="auto"/>
              </w:rPr>
            </w:pPr>
            <w:r>
              <w:rPr>
                <w:rFonts w:ascii="Arial" w:cs="Arial" w:eastAsia="Arial" w:hAnsi="Arial"/>
                <w:sz w:val="18"/>
                <w:szCs w:val="18"/>
                <w:color w:val="auto"/>
              </w:rPr>
              <w:t>Reconciliation of funded status:</w:t>
            </w: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45"/>
        </w:trPr>
        <w:tc>
          <w:tcPr>
            <w:tcW w:w="6540" w:type="dxa"/>
            <w:vAlign w:val="bottom"/>
          </w:tcPr>
          <w:p>
            <w:pPr>
              <w:spacing w:after="0"/>
              <w:rPr>
                <w:sz w:val="20"/>
                <w:szCs w:val="20"/>
                <w:color w:val="auto"/>
              </w:rPr>
            </w:pPr>
            <w:r>
              <w:rPr>
                <w:rFonts w:ascii="Arial" w:cs="Arial" w:eastAsia="Arial" w:hAnsi="Arial"/>
                <w:sz w:val="18"/>
                <w:szCs w:val="18"/>
                <w:color w:val="auto"/>
              </w:rPr>
              <w:t>Funded status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(1,029)</w:t>
            </w:r>
          </w:p>
        </w:tc>
        <w:tc>
          <w:tcPr>
            <w:tcW w:w="8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4"/>
              </w:rPr>
              <w:t>(1,066)</w:t>
            </w:r>
          </w:p>
        </w:tc>
      </w:tr>
      <w:tr>
        <w:trPr>
          <w:trHeight w:val="241"/>
        </w:trPr>
        <w:tc>
          <w:tcPr>
            <w:tcW w:w="6540" w:type="dxa"/>
            <w:vAlign w:val="bottom"/>
          </w:tcPr>
          <w:p>
            <w:pPr>
              <w:spacing w:after="0"/>
              <w:rPr>
                <w:sz w:val="20"/>
                <w:szCs w:val="20"/>
                <w:color w:val="auto"/>
              </w:rPr>
            </w:pPr>
            <w:r>
              <w:rPr>
                <w:rFonts w:ascii="Arial" w:cs="Arial" w:eastAsia="Arial" w:hAnsi="Arial"/>
                <w:sz w:val="18"/>
                <w:szCs w:val="18"/>
                <w:color w:val="auto"/>
              </w:rPr>
              <w:t>Unrecognized net transition obligation</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141</w:t>
            </w:r>
          </w:p>
        </w:tc>
      </w:tr>
      <w:tr>
        <w:trPr>
          <w:trHeight w:val="258"/>
        </w:trPr>
        <w:tc>
          <w:tcPr>
            <w:tcW w:w="654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2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358</w:t>
            </w:r>
          </w:p>
        </w:tc>
      </w:tr>
      <w:tr>
        <w:trPr>
          <w:trHeight w:val="258"/>
        </w:trPr>
        <w:tc>
          <w:tcPr>
            <w:tcW w:w="6540" w:type="dxa"/>
            <w:vAlign w:val="bottom"/>
          </w:tcPr>
          <w:p>
            <w:pPr>
              <w:ind w:left="360"/>
              <w:spacing w:after="0"/>
              <w:rPr>
                <w:sz w:val="20"/>
                <w:szCs w:val="20"/>
                <w:color w:val="auto"/>
              </w:rPr>
            </w:pPr>
            <w:r>
              <w:rPr>
                <w:rFonts w:ascii="Arial" w:cs="Arial" w:eastAsia="Arial" w:hAnsi="Arial"/>
                <w:sz w:val="18"/>
                <w:szCs w:val="18"/>
                <w:color w:val="auto"/>
              </w:rPr>
              <w:t>Net amount recognized at end of year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w:t>
            </w:r>
          </w:p>
        </w:tc>
        <w:tc>
          <w:tcPr>
            <w:tcW w:w="2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(567)</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Medicare Prescription Drug, Improvement and Modernization Act of 2003 has a minimal effect on the accumulated post-retirement benefit liability or on the periodic post-retirement benefit cost.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INSTRUMENTS</w:t>
      </w:r>
    </w:p>
    <w:p>
      <w:pPr>
        <w:spacing w:after="0" w:line="249"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In 1998, we entered into two interest rate swap agreements. The notional amount of these agreements is $22,000,000 at July 31, 2006 and July 31, 2005. The swap agreements terminate on May 1, 2013. Changes in the fair value of the derivatives are recorded each period in current earnings or other comprehensive income, depending on whether a derivative is designated as part of a hedge transaction and, if it is, the type of hedge transaction. These derivatives do not qualify for hedge accounting and accordingly, we have recorded these derivative instruments and the associated assets or liabilities at their fair values with the related gains or losses recorded as other income or expense in the Consolidated Statements of Operations. We recognized additional interest expense of $13,000, $18,000 and $14,000 in fiscal years 2006, 2005 and 2004, respectively, as a result of these contracts.</w:t>
      </w:r>
    </w:p>
    <w:p>
      <w:pPr>
        <w:spacing w:after="0" w:line="201"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have contracted for a portion of our fuel needs for fiscal 2007 using forward purchase contracts. These contracts were entered into during the normal course of business and no contracts were entered into for speculative purposes; therefore, these contracts are not required to be accounted for as derivative instruments.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SELECTED QUARTERLY FINANCIAL DATA (UNAUDITED)</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selected information for 2006 and 2005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8"/>
              </w:rPr>
              <w:t>Fiscal 2006 Quarter Ended</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1"/>
        </w:trPr>
        <w:tc>
          <w:tcPr>
            <w:tcW w:w="6700" w:type="dxa"/>
            <w:vAlign w:val="bottom"/>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09"/>
        </w:trPr>
        <w:tc>
          <w:tcPr>
            <w:tcW w:w="67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October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January 31</w:t>
            </w:r>
          </w:p>
        </w:tc>
        <w:tc>
          <w:tcPr>
            <w:tcW w:w="100" w:type="dxa"/>
            <w:vAlign w:val="bottom"/>
          </w:tcPr>
          <w:p>
            <w:pPr>
              <w:spacing w:after="0"/>
              <w:rPr>
                <w:sz w:val="18"/>
                <w:szCs w:val="18"/>
                <w:color w:val="auto"/>
              </w:rPr>
            </w:pPr>
          </w:p>
        </w:tc>
        <w:tc>
          <w:tcPr>
            <w:tcW w:w="62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April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July 31</w:t>
            </w:r>
          </w:p>
        </w:tc>
        <w:tc>
          <w:tcPr>
            <w:tcW w:w="460" w:type="dxa"/>
            <w:vAlign w:val="bottom"/>
          </w:tcPr>
          <w:p>
            <w:pPr>
              <w:spacing w:after="0"/>
              <w:rPr>
                <w:sz w:val="18"/>
                <w:szCs w:val="18"/>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r>
      <w:tr>
        <w:trPr>
          <w:trHeight w:val="41"/>
        </w:trPr>
        <w:tc>
          <w:tcPr>
            <w:tcW w:w="67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6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6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0C0C0"/>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4"/>
              </w:rPr>
              <w:t>47,789</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53,963</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51,764</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51,694</w:t>
            </w:r>
          </w:p>
        </w:tc>
        <w:tc>
          <w:tcPr>
            <w:tcW w:w="4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205,210</w:t>
            </w: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8,427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10,022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9,057</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38,074</w:t>
            </w:r>
          </w:p>
        </w:tc>
      </w:tr>
      <w:tr>
        <w:trPr>
          <w:trHeight w:val="251"/>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0C0C0"/>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1,028</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1,223</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1,141</w:t>
            </w:r>
          </w:p>
        </w:tc>
        <w:tc>
          <w:tcPr>
            <w:tcW w:w="4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5,259</w:t>
            </w:r>
          </w:p>
        </w:tc>
      </w:tr>
    </w:tbl>
    <w:p>
      <w:pPr>
        <w:sectPr>
          <w:pgSz w:w="11900" w:h="16838" w:orient="portrait"/>
          <w:cols w:equalWidth="0" w:num="1">
            <w:col w:w="11420"/>
          </w:cols>
          <w:pgMar w:left="240" w:top="131"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Net Income Per Share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Basic Common</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0.18</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0.83</w:t>
            </w:r>
          </w:p>
        </w:tc>
      </w:tr>
      <w:tr>
        <w:trPr>
          <w:trHeight w:val="235"/>
        </w:trPr>
        <w:tc>
          <w:tcPr>
            <w:tcW w:w="3840" w:type="dxa"/>
            <w:vAlign w:val="bottom"/>
          </w:tcPr>
          <w:p>
            <w:pPr>
              <w:ind w:left="360"/>
              <w:spacing w:after="0"/>
              <w:rPr>
                <w:sz w:val="20"/>
                <w:szCs w:val="20"/>
                <w:color w:val="auto"/>
              </w:rPr>
            </w:pPr>
            <w:r>
              <w:rPr>
                <w:rFonts w:ascii="Arial" w:cs="Arial" w:eastAsia="Arial" w:hAnsi="Arial"/>
                <w:sz w:val="18"/>
                <w:szCs w:val="18"/>
                <w:color w:val="auto"/>
              </w:rPr>
              <w:t>Basic Class B Common</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Diluted</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0.73</w:t>
            </w: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Dividends Per Share</w:t>
            </w: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Common</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0.40</w:t>
            </w:r>
          </w:p>
        </w:tc>
      </w:tr>
      <w:tr>
        <w:trPr>
          <w:trHeight w:val="235"/>
        </w:trPr>
        <w:tc>
          <w:tcPr>
            <w:tcW w:w="3840" w:type="dxa"/>
            <w:vAlign w:val="bottom"/>
          </w:tcPr>
          <w:p>
            <w:pPr>
              <w:ind w:left="360"/>
              <w:spacing w:after="0"/>
              <w:rPr>
                <w:sz w:val="20"/>
                <w:szCs w:val="20"/>
                <w:color w:val="auto"/>
              </w:rPr>
            </w:pPr>
            <w:r>
              <w:rPr>
                <w:rFonts w:ascii="Arial" w:cs="Arial" w:eastAsia="Arial" w:hAnsi="Arial"/>
                <w:sz w:val="18"/>
                <w:szCs w:val="18"/>
                <w:color w:val="auto"/>
              </w:rPr>
              <w:t>Class B</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51"/>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Common Stock Price Range:</w:t>
            </w:r>
          </w:p>
        </w:tc>
        <w:tc>
          <w:tcPr>
            <w:tcW w:w="2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5"/>
        </w:trPr>
        <w:tc>
          <w:tcPr>
            <w:tcW w:w="3840" w:type="dxa"/>
            <w:vAlign w:val="bottom"/>
          </w:tcPr>
          <w:p>
            <w:pPr>
              <w:ind w:left="360"/>
              <w:spacing w:after="0"/>
              <w:rPr>
                <w:sz w:val="20"/>
                <w:szCs w:val="20"/>
                <w:color w:val="auto"/>
              </w:rPr>
            </w:pPr>
            <w:r>
              <w:rPr>
                <w:rFonts w:ascii="Arial" w:cs="Arial" w:eastAsia="Arial" w:hAnsi="Arial"/>
                <w:sz w:val="18"/>
                <w:szCs w:val="18"/>
                <w:color w:val="auto"/>
              </w:rPr>
              <w:t>High</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Low</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13.52</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14.00</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445"/>
        </w:trPr>
        <w:tc>
          <w:tcPr>
            <w:tcW w:w="3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8"/>
              </w:rPr>
              <w:t>Fiscal 2005 Quarter Ended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
        </w:trPr>
        <w:tc>
          <w:tcPr>
            <w:tcW w:w="38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9"/>
        </w:trPr>
        <w:tc>
          <w:tcPr>
            <w:tcW w:w="3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October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January 31</w:t>
            </w:r>
          </w:p>
        </w:tc>
        <w:tc>
          <w:tcPr>
            <w:tcW w:w="100" w:type="dxa"/>
            <w:vAlign w:val="bottom"/>
          </w:tcPr>
          <w:p>
            <w:pPr>
              <w:spacing w:after="0"/>
              <w:rPr>
                <w:sz w:val="18"/>
                <w:szCs w:val="18"/>
                <w:color w:val="auto"/>
              </w:rPr>
            </w:pPr>
          </w:p>
        </w:tc>
        <w:tc>
          <w:tcPr>
            <w:tcW w:w="62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April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July 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r>
      <w:tr>
        <w:trPr>
          <w:trHeight w:val="41"/>
        </w:trPr>
        <w:tc>
          <w:tcPr>
            <w:tcW w:w="38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38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3840" w:type="dxa"/>
            <w:vAlign w:val="bottom"/>
          </w:tcPr>
          <w:p>
            <w:pPr>
              <w:spacing w:after="0"/>
              <w:rPr>
                <w:sz w:val="3"/>
                <w:szCs w:val="3"/>
                <w:color w:val="auto"/>
              </w:rPr>
            </w:pPr>
          </w:p>
        </w:tc>
        <w:tc>
          <w:tcPr>
            <w:tcW w:w="302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640" w:type="dxa"/>
            <w:vAlign w:val="bottom"/>
          </w:tcPr>
          <w:p>
            <w:pPr>
              <w:spacing w:after="0"/>
              <w:rPr>
                <w:sz w:val="3"/>
                <w:szCs w:val="3"/>
                <w:color w:val="auto"/>
              </w:rPr>
            </w:pPr>
          </w:p>
        </w:tc>
      </w:tr>
      <w:tr>
        <w:trPr>
          <w:trHeight w:val="243"/>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4"/>
              </w:rPr>
              <w:t>44,121</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49,481</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48,249</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46,017</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187,868</w:t>
            </w: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Gross Profit</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9,668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11,579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9,759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9,349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40,355</w:t>
            </w:r>
          </w:p>
        </w:tc>
      </w:tr>
      <w:tr>
        <w:trPr>
          <w:trHeight w:val="251"/>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1,280</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1,972</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1,142</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6,540</w:t>
            </w: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Net Income Per Share</w:t>
            </w: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Basic Common</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0.20</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0.30</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0.18</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w:t>
            </w:r>
          </w:p>
        </w:tc>
      </w:tr>
      <w:tr>
        <w:trPr>
          <w:trHeight w:val="235"/>
        </w:trPr>
        <w:tc>
          <w:tcPr>
            <w:tcW w:w="3840" w:type="dxa"/>
            <w:vAlign w:val="bottom"/>
          </w:tcPr>
          <w:p>
            <w:pPr>
              <w:ind w:left="360"/>
              <w:spacing w:after="0"/>
              <w:rPr>
                <w:sz w:val="20"/>
                <w:szCs w:val="20"/>
                <w:color w:val="auto"/>
              </w:rPr>
            </w:pPr>
            <w:r>
              <w:rPr>
                <w:rFonts w:ascii="Arial" w:cs="Arial" w:eastAsia="Arial" w:hAnsi="Arial"/>
                <w:sz w:val="18"/>
                <w:szCs w:val="18"/>
                <w:color w:val="auto"/>
              </w:rPr>
              <w:t>Basic Class B Common</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Diluted</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0.88</w:t>
            </w: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Dividends Per Share</w:t>
            </w: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Common</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0.34</w:t>
            </w:r>
          </w:p>
        </w:tc>
      </w:tr>
      <w:tr>
        <w:trPr>
          <w:trHeight w:val="235"/>
        </w:trPr>
        <w:tc>
          <w:tcPr>
            <w:tcW w:w="3840" w:type="dxa"/>
            <w:vAlign w:val="bottom"/>
          </w:tcPr>
          <w:p>
            <w:pPr>
              <w:ind w:left="360"/>
              <w:spacing w:after="0"/>
              <w:rPr>
                <w:sz w:val="20"/>
                <w:szCs w:val="20"/>
                <w:color w:val="auto"/>
              </w:rPr>
            </w:pPr>
            <w:r>
              <w:rPr>
                <w:rFonts w:ascii="Arial" w:cs="Arial" w:eastAsia="Arial" w:hAnsi="Arial"/>
                <w:sz w:val="18"/>
                <w:szCs w:val="18"/>
                <w:color w:val="auto"/>
              </w:rPr>
              <w:t>Class B</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51"/>
        </w:trPr>
        <w:tc>
          <w:tcPr>
            <w:tcW w:w="3840" w:type="dxa"/>
            <w:vAlign w:val="bottom"/>
            <w:shd w:val="clear" w:color="auto" w:fill="C0C0C0"/>
          </w:tcPr>
          <w:p>
            <w:pPr>
              <w:spacing w:after="0"/>
              <w:rPr>
                <w:sz w:val="20"/>
                <w:szCs w:val="20"/>
                <w:color w:val="auto"/>
              </w:rPr>
            </w:pPr>
            <w:r>
              <w:rPr>
                <w:rFonts w:ascii="Arial" w:cs="Arial" w:eastAsia="Arial" w:hAnsi="Arial"/>
                <w:sz w:val="18"/>
                <w:szCs w:val="18"/>
                <w:color w:val="auto"/>
              </w:rPr>
              <w:t>Common Stock Price Range:</w:t>
            </w:r>
          </w:p>
        </w:tc>
        <w:tc>
          <w:tcPr>
            <w:tcW w:w="2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5"/>
        </w:trPr>
        <w:tc>
          <w:tcPr>
            <w:tcW w:w="3840" w:type="dxa"/>
            <w:vAlign w:val="bottom"/>
          </w:tcPr>
          <w:p>
            <w:pPr>
              <w:ind w:left="360"/>
              <w:spacing w:after="0"/>
              <w:rPr>
                <w:sz w:val="20"/>
                <w:szCs w:val="20"/>
                <w:color w:val="auto"/>
              </w:rPr>
            </w:pPr>
            <w:r>
              <w:rPr>
                <w:rFonts w:ascii="Arial" w:cs="Arial" w:eastAsia="Arial" w:hAnsi="Arial"/>
                <w:sz w:val="18"/>
                <w:szCs w:val="18"/>
                <w:color w:val="auto"/>
              </w:rPr>
              <w:t>High</w:t>
            </w:r>
          </w:p>
        </w:tc>
        <w:tc>
          <w:tcPr>
            <w:tcW w:w="3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3840" w:type="dxa"/>
            <w:vAlign w:val="bottom"/>
            <w:shd w:val="clear" w:color="auto" w:fill="C0C0C0"/>
          </w:tcPr>
          <w:p>
            <w:pPr>
              <w:ind w:left="360"/>
              <w:spacing w:after="0"/>
              <w:rPr>
                <w:sz w:val="20"/>
                <w:szCs w:val="20"/>
                <w:color w:val="auto"/>
              </w:rPr>
            </w:pPr>
            <w:r>
              <w:rPr>
                <w:rFonts w:ascii="Arial" w:cs="Arial" w:eastAsia="Arial" w:hAnsi="Arial"/>
                <w:sz w:val="18"/>
                <w:szCs w:val="18"/>
                <w:color w:val="auto"/>
              </w:rPr>
              <w:t>Low</w:t>
            </w:r>
          </w:p>
        </w:tc>
        <w:tc>
          <w:tcPr>
            <w:tcW w:w="3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10.09</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4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13.92</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673"/>
        </w:trPr>
        <w:tc>
          <w:tcPr>
            <w:tcW w:w="3840" w:type="dxa"/>
            <w:vAlign w:val="bottom"/>
          </w:tcPr>
          <w:p>
            <w:pPr>
              <w:spacing w:after="0"/>
              <w:rPr>
                <w:sz w:val="24"/>
                <w:szCs w:val="24"/>
                <w:color w:val="auto"/>
              </w:rPr>
            </w:pPr>
          </w:p>
        </w:tc>
        <w:tc>
          <w:tcPr>
            <w:tcW w:w="2860" w:type="dxa"/>
            <w:vAlign w:val="bottom"/>
          </w:tcPr>
          <w:p>
            <w:pPr>
              <w:jc w:val="right"/>
              <w:ind w:right="812"/>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Oil-Dri Corporation of America:</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stockholders’ equity, and cash flows present fairly, in all material respects, the financial position of Oil-Dri Corporation of America at July 31, 2006 and 2005, and the results of their operations and their cash flows for each of the three years in the period ended July 31,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13, 2006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8" w:lineRule="exact"/>
        <w:rPr>
          <w:sz w:val="20"/>
          <w:szCs w:val="20"/>
          <w:color w:val="auto"/>
        </w:rPr>
      </w:pPr>
    </w:p>
    <w:p>
      <w:pPr>
        <w:jc w:val="both"/>
        <w:ind w:firstLine="311"/>
        <w:spacing w:after="0" w:line="314" w:lineRule="auto"/>
        <w:rPr>
          <w:sz w:val="20"/>
          <w:szCs w:val="20"/>
          <w:color w:val="auto"/>
        </w:rPr>
      </w:pPr>
      <w:r>
        <w:rPr>
          <w:rFonts w:ascii="Arial" w:cs="Arial" w:eastAsia="Arial" w:hAnsi="Arial"/>
          <w:sz w:val="15"/>
          <w:szCs w:val="15"/>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material information relating to us and our consolidated subsidiaries is made known to management, including the CEO and CFO, during the period when our periodic reports are being prepared.</w:t>
      </w:r>
    </w:p>
    <w:p>
      <w:pPr>
        <w:sectPr>
          <w:pgSz w:w="11900" w:h="16838" w:orient="portrait"/>
          <w:cols w:equalWidth="0" w:num="1">
            <w:col w:w="11420"/>
          </w:cols>
          <w:pgMar w:left="240" w:top="145"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8" w:lineRule="exact"/>
        <w:rPr>
          <w:sz w:val="20"/>
          <w:szCs w:val="20"/>
          <w:color w:val="auto"/>
        </w:rPr>
      </w:pPr>
    </w:p>
    <w:p>
      <w:pPr>
        <w:jc w:val="both"/>
        <w:ind w:firstLine="284"/>
        <w:spacing w:after="0" w:line="308" w:lineRule="auto"/>
        <w:rPr>
          <w:sz w:val="20"/>
          <w:szCs w:val="20"/>
          <w:color w:val="auto"/>
        </w:rPr>
      </w:pPr>
      <w:r>
        <w:rPr>
          <w:rFonts w:ascii="Arial" w:cs="Arial" w:eastAsia="Arial" w:hAnsi="Arial"/>
          <w:sz w:val="15"/>
          <w:szCs w:val="15"/>
          <w:color w:val="auto"/>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AND EXECUTIVE OFFICERS OF OIL-DRI</w:t>
      </w:r>
    </w:p>
    <w:p>
      <w:pPr>
        <w:spacing w:after="0" w:line="249"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The information called for by Item 401 of Regulation S-K relating to the Executive Officers is furnished in Part I of this Form 10-K under the caption “Executive Officers of the Registrant” and is incorporated herein by reference. The other information required by this Item (except as set forth below) is contained in Oil-Dri’s Proxy Statement for its 2006 annual meeting of stockholders (“Proxy Statement”) under the captions “1. Election of Directors”, “Section 16(a) Beneficial Ownership Reporting Compliance” and “Corporate Governance Matters” and is incorporated herein by this reference.</w:t>
      </w:r>
    </w:p>
    <w:p>
      <w:pPr>
        <w:spacing w:after="0" w:line="194"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 xml:space="preserve">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w:t>
      </w:r>
      <w:r>
        <w:rPr>
          <w:rFonts w:ascii="Arial" w:cs="Arial" w:eastAsia="Arial" w:hAnsi="Arial"/>
          <w:sz w:val="16"/>
          <w:szCs w:val="16"/>
          <w:u w:val="single" w:color="auto"/>
          <w:color w:val="auto"/>
        </w:rPr>
        <w:t>www.oildri.com</w:t>
      </w:r>
      <w:r>
        <w:rPr>
          <w:rFonts w:ascii="Arial" w:cs="Arial" w:eastAsia="Arial" w:hAnsi="Arial"/>
          <w:sz w:val="16"/>
          <w:szCs w:val="16"/>
          <w:color w:val="auto"/>
        </w:rPr>
        <w:t xml:space="preserve"> and are available in print to any person upon request to Investor Relations, Oil-Dri Corporation of America, 410 North Michigan Avenue, Suite 400, Chicago, Illinois 60611-4213, telephone (312) 706-3232. Any amendment to, or waiver of, a provision of the Code which applies to the Company’s Chief Executive Officer or senior financial officers and relates to the elements of a “code of ethics” as defined by the Securities and Exchange Commission will also be posted on the Company’s website. As allowed by the controlled company exemption to certain New York Stock Exchange rules, the Company does not have a nominating/corporate governance committee and its compensation committee does not have a charter.</w:t>
      </w:r>
    </w:p>
    <w:p>
      <w:pPr>
        <w:spacing w:after="0" w:line="199"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On January 3, 2006, we filed with the New York Stock Exchange, or NYSE, the Annual CEO Certification regarding our compliance with the NYSE's corporate governance listing standards as required by Section 303A.12(a) of the NYSE Listed Company Manual. In addition, we have filed as exhibits to this annual report the applicable certifications of our Chief Executive Officer and our Chief Financial Officer required under Section 302 of the Sarbanes-Oxley Act of 2002, regarding the quality of our public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49"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information required by this Item is contained in Oil-Dri’s Proxy Statement under the captions “Executive Compensation,” “Report of the Compensation and the Stock Option Committees of Oil-Dri Corporation of America on Executive Compensation,” “Compensation Committee Interlocks and Insider Participation” and “Performance Graph” and is incorporated herein by this reference.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 SECURITY OWNERSHIP OF CERTAIN BENEFICIAL OWNERS AND MANAGEMENT AND RELATED STOCKHOLDER MATTERS</w:t>
      </w:r>
    </w:p>
    <w:p>
      <w:pPr>
        <w:spacing w:after="0" w:line="27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The information required by this Item is contained in Oil-Dri’s Proxy Statement under the captions “General-Principal Stockholders” and “Security Ownership of Management” and is incorporated herein by this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w:t>
      </w:r>
    </w:p>
    <w:p>
      <w:pPr>
        <w:spacing w:after="0" w:line="249"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The information required by this Item is contained in Oil-Dri’s Proxy Statement under the caption “Compensation Committee Interlocks and Insider Participation” and is incorporated herein by this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ACCOUNTANTS FEES AND SERVICES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information required by this Item is contained in Oil-Dri’s Proxy Statement under the caption “Audit Fees” and is incorporated herein by this reference.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222" w:lineRule="exact"/>
        <w:rPr>
          <w:sz w:val="20"/>
          <w:szCs w:val="20"/>
          <w:color w:val="auto"/>
        </w:rPr>
      </w:pPr>
    </w:p>
    <w:p>
      <w:pPr>
        <w:ind w:left="280"/>
        <w:spacing w:after="0"/>
        <w:tabs>
          <w:tab w:leader="none" w:pos="9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ectPr>
          <w:pgSz w:w="11900" w:h="16838" w:orient="portrait"/>
          <w:cols w:equalWidth="0" w:num="1">
            <w:col w:w="11420"/>
          </w:cols>
          <w:pgMar w:left="240" w:top="125" w:right="239" w:bottom="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Consolidated Balance Sheets as of July 31, 2006 and July 31, 2005.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Statements of Operations for the fiscal years ended July 31, 2006, July 31, 2005 and July 31, 2004.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Consolidated Statements of Stockholders' Equity for the fiscal years ended July 31, 2006, July 31, 2005 and July 31, 2004.</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Statements of Cash Flows for the fiscal years ended July 31, 2006, July 31, 2005 and July 31, 2004.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260"/>
        <w:spacing w:after="0"/>
        <w:tabs>
          <w:tab w:leader="none" w:pos="9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to Financial Statements, as follows:</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Schedule II--Valuation and Qualifying Accounts, years ended July 31, 2006, July 31, 2005 and July 31, 2004.</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(a)(3)The following documents are exhibits to this Report:</w:t>
      </w:r>
    </w:p>
    <w:p>
      <w:pPr>
        <w:sectPr>
          <w:pgSz w:w="11900" w:h="16838" w:orient="portrait"/>
          <w:cols w:equalWidth="0" w:num="1">
            <w:col w:w="11400"/>
          </w:cols>
          <w:pgMar w:left="260" w:top="131" w:right="239" w:bottom="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Exhibit</w:t>
            </w: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w:t>
            </w: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7"/>
              </w:rPr>
              <w:t>Description</w:t>
            </w:r>
          </w:p>
        </w:tc>
        <w:tc>
          <w:tcPr>
            <w:tcW w:w="800" w:type="dxa"/>
            <w:vAlign w:val="bottom"/>
          </w:tcPr>
          <w:p>
            <w:pPr>
              <w:spacing w:after="0"/>
              <w:rPr>
                <w:sz w:val="17"/>
                <w:szCs w:val="17"/>
                <w:color w:val="auto"/>
              </w:rPr>
            </w:pPr>
          </w:p>
        </w:tc>
      </w:tr>
      <w:tr>
        <w:trPr>
          <w:trHeight w:val="237"/>
        </w:trPr>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40" w:type="dxa"/>
            <w:vAlign w:val="bottom"/>
            <w:gridSpan w:val="3"/>
          </w:tcPr>
          <w:p>
            <w:pPr>
              <w:ind w:left="220"/>
              <w:spacing w:after="0"/>
              <w:rPr>
                <w:sz w:val="20"/>
                <w:szCs w:val="20"/>
                <w:color w:val="auto"/>
              </w:rPr>
            </w:pPr>
            <w:r>
              <w:rPr>
                <w:rFonts w:ascii="Arial" w:cs="Arial" w:eastAsia="Arial" w:hAnsi="Arial"/>
                <w:sz w:val="18"/>
                <w:szCs w:val="18"/>
                <w:color w:val="auto"/>
                <w:w w:val="92"/>
              </w:rPr>
              <w:t>Certificate of Incorporation of Oil-Dri, as amended.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Oil-Dri, as amended June 16, 1995.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960" w:hanging="814"/>
        <w:spacing w:after="0" w:line="271" w:lineRule="auto"/>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Letter of Credit Agreement, dated as of October 1, 1988 between Harris Trust and Savings Bank and Blue Mountain Production Company in the amount of $2,634,590 in connection with the issuance by Town of Blue Mountain, Mississippi of Variable/Fixed Rate Industrial Development Revenue Bonds, Series 1988 B (Blue Mountain Production Company Project) in the aggregate principal amount of $2,500,000 and related Indenture of Trust, Lease Agreement, Remarketing Agreement and Guaranties.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 Document Reference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Incorporated by reference to Exhibit 4.1 to Oil Dri’s Registration Statement on Form S-8 (Registration No. 333-57625), filed on June 24, 1998.</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3(b) to Oil Dri’s (File No. 001-12622) Annual Report on Form 10-K for the fiscal year ended July 31, 1995.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Debt instruments under which the total amount authorized does not exceed 10 percent of our total consolidated assets. Pursuant to paragraph 4(iii)(A) of Item 601(b) of Regulation S-K, Oil-Dri agrees to furnish these agreements upon the request of the Commission.</w:t>
      </w:r>
    </w:p>
    <w:p>
      <w:pPr>
        <w:spacing w:after="0" w:line="1056" w:lineRule="exact"/>
        <w:rPr>
          <w:sz w:val="20"/>
          <w:szCs w:val="20"/>
          <w:color w:val="auto"/>
        </w:rPr>
      </w:pPr>
    </w:p>
    <w:p>
      <w:pPr>
        <w:sectPr>
          <w:pgSz w:w="11900" w:h="16838" w:orient="portrait"/>
          <w:cols w:equalWidth="0" w:num="2">
            <w:col w:w="5900" w:space="440"/>
            <w:col w:w="5060"/>
          </w:cols>
          <w:pgMar w:left="260" w:top="131" w:right="239" w:bottom="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60" w:top="131" w:right="2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Exhibit</w:t>
            </w: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6"/>
        </w:trPr>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w:t>
            </w: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7"/>
              </w:rPr>
              <w:t>Description</w:t>
            </w:r>
          </w:p>
        </w:tc>
        <w:tc>
          <w:tcPr>
            <w:tcW w:w="2020" w:type="dxa"/>
            <w:vAlign w:val="bottom"/>
          </w:tcPr>
          <w:p>
            <w:pPr>
              <w:spacing w:after="0"/>
              <w:rPr>
                <w:sz w:val="17"/>
                <w:szCs w:val="17"/>
                <w:color w:val="auto"/>
              </w:rPr>
            </w:pPr>
          </w:p>
        </w:tc>
      </w:tr>
      <w:tr>
        <w:trPr>
          <w:trHeight w:val="228"/>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9"/>
                <w:szCs w:val="19"/>
                <w:color w:val="auto"/>
              </w:rPr>
            </w:pPr>
          </w:p>
        </w:tc>
        <w:tc>
          <w:tcPr>
            <w:tcW w:w="5160" w:type="dxa"/>
            <w:vAlign w:val="bottom"/>
            <w:gridSpan w:val="3"/>
          </w:tcPr>
          <w:p>
            <w:pPr>
              <w:ind w:left="220"/>
              <w:spacing w:after="0"/>
              <w:rPr>
                <w:sz w:val="20"/>
                <w:szCs w:val="20"/>
                <w:color w:val="auto"/>
              </w:rPr>
            </w:pPr>
            <w:r>
              <w:rPr>
                <w:rFonts w:ascii="Arial" w:cs="Arial" w:eastAsia="Arial" w:hAnsi="Arial"/>
                <w:sz w:val="18"/>
                <w:szCs w:val="18"/>
                <w:color w:val="auto"/>
                <w:w w:val="99"/>
              </w:rPr>
              <w:t>Memorandum of Agreement #1450 “Fresh Step”</w:t>
            </w:r>
            <w:r>
              <w:rPr>
                <w:rFonts w:ascii="Arial" w:cs="Arial" w:eastAsia="Arial" w:hAnsi="Arial"/>
                <w:sz w:val="17"/>
                <w:szCs w:val="17"/>
                <w:color w:val="auto"/>
                <w:w w:val="99"/>
              </w:rPr>
              <w:t>™, dated as of</w:t>
            </w: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gridSpan w:val="3"/>
          </w:tcPr>
          <w:p>
            <w:pPr>
              <w:ind w:left="220"/>
              <w:spacing w:after="0"/>
              <w:rPr>
                <w:sz w:val="20"/>
                <w:szCs w:val="20"/>
                <w:color w:val="auto"/>
              </w:rPr>
            </w:pPr>
            <w:r>
              <w:rPr>
                <w:rFonts w:ascii="Arial" w:cs="Arial" w:eastAsia="Arial" w:hAnsi="Arial"/>
                <w:sz w:val="18"/>
                <w:szCs w:val="18"/>
                <w:color w:val="auto"/>
                <w:w w:val="94"/>
              </w:rPr>
              <w:t>March 12, 2001 between A&amp;M Products Manufacturing Company</w:t>
            </w: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gridSpan w:val="3"/>
          </w:tcPr>
          <w:p>
            <w:pPr>
              <w:ind w:left="220"/>
              <w:spacing w:after="0"/>
              <w:rPr>
                <w:sz w:val="20"/>
                <w:szCs w:val="20"/>
                <w:color w:val="auto"/>
              </w:rPr>
            </w:pPr>
            <w:r>
              <w:rPr>
                <w:rFonts w:ascii="Arial" w:cs="Arial" w:eastAsia="Arial" w:hAnsi="Arial"/>
                <w:sz w:val="18"/>
                <w:szCs w:val="18"/>
                <w:color w:val="auto"/>
                <w:w w:val="93"/>
              </w:rPr>
              <w:t>and Oil-Dri (confidential treatment of certain portions of this exhibit</w:t>
            </w:r>
          </w:p>
        </w:tc>
      </w:tr>
      <w:tr>
        <w:trPr>
          <w:trHeight w:val="222"/>
        </w:trPr>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
          </w:tcPr>
          <w:p>
            <w:pPr>
              <w:ind w:left="220"/>
              <w:spacing w:after="0"/>
              <w:rPr>
                <w:sz w:val="20"/>
                <w:szCs w:val="20"/>
                <w:color w:val="auto"/>
              </w:rPr>
            </w:pPr>
            <w:r>
              <w:rPr>
                <w:rFonts w:ascii="Arial" w:cs="Arial" w:eastAsia="Arial" w:hAnsi="Arial"/>
                <w:sz w:val="18"/>
                <w:szCs w:val="18"/>
                <w:color w:val="auto"/>
              </w:rPr>
              <w:t>has been granted).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 Document Reference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12" w:lineRule="exact"/>
        <w:rPr>
          <w:sz w:val="20"/>
          <w:szCs w:val="20"/>
          <w:color w:val="auto"/>
        </w:rPr>
      </w:pPr>
    </w:p>
    <w:p>
      <w:pPr>
        <w:sectPr>
          <w:pgSz w:w="11900" w:h="16838" w:orient="portrait"/>
          <w:cols w:equalWidth="0" w:num="2">
            <w:col w:w="5900" w:space="440"/>
            <w:col w:w="5060"/>
          </w:cols>
          <w:pgMar w:left="260" w:top="131" w:right="239" w:bottom="0" w:gutter="0" w:footer="0" w:header="0"/>
          <w:type w:val="continuous"/>
        </w:sectPr>
      </w:pPr>
    </w:p>
    <w:p>
      <w:pPr>
        <w:spacing w:after="0" w:line="4"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Exclusive Supply Agreement dated May 19, 1999 between Church</w:t>
      </w:r>
    </w:p>
    <w:p>
      <w:pPr>
        <w:spacing w:after="0" w:line="23" w:lineRule="exact"/>
        <w:rPr>
          <w:sz w:val="20"/>
          <w:szCs w:val="20"/>
          <w:color w:val="auto"/>
        </w:rPr>
      </w:pPr>
    </w:p>
    <w:p>
      <w:pPr>
        <w:ind w:left="960"/>
        <w:spacing w:after="0" w:line="261" w:lineRule="auto"/>
        <w:tabs>
          <w:tab w:leader="none" w:pos="11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Dwight Co., Inc. and Oil-Dri (confidential treatment of certain portions of this exhibit has been granted).</w:t>
      </w:r>
    </w:p>
    <w:p>
      <w:pPr>
        <w:spacing w:after="0" w:line="184" w:lineRule="exact"/>
        <w:rPr>
          <w:sz w:val="20"/>
          <w:szCs w:val="20"/>
          <w:color w:val="auto"/>
        </w:rPr>
      </w:pPr>
    </w:p>
    <w:p>
      <w:pPr>
        <w:jc w:val="both"/>
        <w:ind w:left="960" w:hanging="859"/>
        <w:spacing w:after="0" w:line="264"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$25,000,000 Note Purchase Agreement dated as of April 15, 1998 between Oil-Dri and Teachers Insurance and Annuity Association of America and Cigna Investments, Inc.</w:t>
      </w:r>
    </w:p>
    <w:p>
      <w:pPr>
        <w:spacing w:after="0" w:line="181" w:lineRule="exact"/>
        <w:rPr>
          <w:sz w:val="20"/>
          <w:szCs w:val="20"/>
          <w:color w:val="auto"/>
        </w:rPr>
      </w:pPr>
    </w:p>
    <w:p>
      <w:pPr>
        <w:jc w:val="both"/>
        <w:ind w:left="960" w:hanging="859"/>
        <w:spacing w:after="0" w:line="277" w:lineRule="auto"/>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First Amendment, dated as of January 15, 2001 to the Note Purchase Agreement dated as of April 15, 1998.</w:t>
      </w:r>
    </w:p>
    <w:p>
      <w:pPr>
        <w:spacing w:after="0" w:line="387" w:lineRule="exact"/>
        <w:rPr>
          <w:sz w:val="20"/>
          <w:szCs w:val="20"/>
          <w:color w:val="auto"/>
        </w:rPr>
      </w:pPr>
    </w:p>
    <w:p>
      <w:pPr>
        <w:jc w:val="both"/>
        <w:ind w:left="960" w:hanging="859"/>
        <w:spacing w:after="0" w:line="277" w:lineRule="auto"/>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Amendment, dated as of July 15, 2002 to Note Purchase Agreement dated as of April 15, 1998.</w:t>
      </w:r>
    </w:p>
    <w:p>
      <w:pPr>
        <w:spacing w:after="0" w:line="387" w:lineRule="exact"/>
        <w:rPr>
          <w:sz w:val="20"/>
          <w:szCs w:val="20"/>
          <w:color w:val="auto"/>
        </w:rPr>
      </w:pPr>
    </w:p>
    <w:p>
      <w:pPr>
        <w:jc w:val="both"/>
        <w:ind w:left="960" w:hanging="859"/>
        <w:spacing w:after="0" w:line="277" w:lineRule="auto"/>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Third Amendment, dated as of January 27, 2006 to Note Purchase Agreement dated as of April 15, 1998.</w:t>
      </w:r>
    </w:p>
    <w:p>
      <w:pPr>
        <w:spacing w:after="0" w:line="170" w:lineRule="exact"/>
        <w:rPr>
          <w:sz w:val="20"/>
          <w:szCs w:val="20"/>
          <w:color w:val="auto"/>
        </w:rPr>
      </w:pPr>
    </w:p>
    <w:p>
      <w:pPr>
        <w:jc w:val="both"/>
        <w:ind w:left="960" w:hanging="859"/>
        <w:spacing w:after="0" w:line="342" w:lineRule="auto"/>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$15,000,000 Credit Agreement, dated January 27, 2006 among the Company, certain subsidiaries of the Company and Harris N.A.</w:t>
      </w:r>
    </w:p>
    <w:p>
      <w:pPr>
        <w:spacing w:after="0" w:line="124" w:lineRule="exact"/>
        <w:rPr>
          <w:sz w:val="20"/>
          <w:szCs w:val="20"/>
          <w:color w:val="auto"/>
        </w:rPr>
      </w:pPr>
    </w:p>
    <w:p>
      <w:pPr>
        <w:jc w:val="both"/>
        <w:ind w:left="960" w:hanging="859"/>
        <w:spacing w:after="0" w:line="277"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 to Oil-Dri’s (File No. 001-12622) Quarterly Report on Form 10-Q for the quarter ended April 30, 1998.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(10)(m)(5) to Oil-Dri’s (File No. 001-12622) Quarterly Report on Form 10-Q for the quarter ended January 31, 2001.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10(m)(6) to Oil-Dri’s (File No. 001-12622) Annual Report on Form 10-K for the fiscal year ended July 31, 2002.</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February 1, 2006.</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ectPr>
          <w:pgSz w:w="11900" w:h="16838" w:orient="portrait"/>
          <w:cols w:equalWidth="0" w:num="2">
            <w:col w:w="5900" w:space="440"/>
            <w:col w:w="5060"/>
          </w:cols>
          <w:pgMar w:left="260" w:top="131" w:right="239" w:bottom="0" w:gutter="0" w:footer="0" w:header="0"/>
          <w:type w:val="continuous"/>
        </w:sectPr>
      </w:pPr>
    </w:p>
    <w:bookmarkStart w:id="45" w:name="page46"/>
    <w:bookmarkEnd w:id="45"/>
    <w:p>
      <w:pPr>
        <w:ind w:left="980"/>
        <w:spacing w:after="0"/>
        <w:tabs>
          <w:tab w:leader="none" w:pos="1740" w:val="left"/>
          <w:tab w:leader="none" w:pos="2160" w:val="left"/>
          <w:tab w:leader="none" w:pos="3060" w:val="left"/>
          <w:tab w:leader="none" w:pos="4020" w:val="left"/>
          <w:tab w:leader="none" w:pos="4880" w:val="left"/>
          <w:tab w:leader="none" w:pos="5320" w:val="left"/>
        </w:tabs>
        <w:rPr>
          <w:sz w:val="20"/>
          <w:szCs w:val="20"/>
          <w:color w:val="auto"/>
        </w:rPr>
      </w:pPr>
      <w:r>
        <w:rPr>
          <w:rFonts w:ascii="Arial" w:cs="Arial" w:eastAsia="Arial" w:hAnsi="Arial"/>
          <w:sz w:val="18"/>
          <w:szCs w:val="18"/>
          <w:color w:val="auto"/>
        </w:rPr>
        <w:t>America</w:t>
        <w:tab/>
        <w:t>and</w:t>
        <w:tab/>
        <w:t>Prudential</w:t>
        <w:tab/>
        <w:t>Retirement</w:t>
        <w:tab/>
        <w:t>Insurance</w:t>
        <w:tab/>
        <w:t>and</w:t>
      </w:r>
      <w:r>
        <w:rPr>
          <w:sz w:val="20"/>
          <w:szCs w:val="20"/>
          <w:color w:val="auto"/>
        </w:rPr>
        <w:tab/>
      </w:r>
      <w:r>
        <w:rPr>
          <w:rFonts w:ascii="Arial" w:cs="Arial" w:eastAsia="Arial" w:hAnsi="Arial"/>
          <w:sz w:val="17"/>
          <w:szCs w:val="17"/>
          <w:color w:val="auto"/>
        </w:rPr>
        <w:t>Annuity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10.9</w:t>
            </w:r>
          </w:p>
        </w:tc>
        <w:tc>
          <w:tcPr>
            <w:tcW w:w="5400" w:type="dxa"/>
            <w:vAlign w:val="bottom"/>
          </w:tcPr>
          <w:p>
            <w:pPr>
              <w:ind w:left="240"/>
              <w:spacing w:after="0"/>
              <w:rPr>
                <w:sz w:val="20"/>
                <w:szCs w:val="20"/>
                <w:color w:val="auto"/>
              </w:rPr>
            </w:pPr>
            <w:r>
              <w:rPr>
                <w:rFonts w:ascii="Arial" w:cs="Arial" w:eastAsia="Arial" w:hAnsi="Arial"/>
                <w:sz w:val="18"/>
                <w:szCs w:val="18"/>
                <w:color w:val="auto"/>
              </w:rPr>
              <w:t>First Amendment, dated as of July 12, 2006  to Note Agreement</w:t>
            </w:r>
          </w:p>
        </w:tc>
        <w:tc>
          <w:tcPr>
            <w:tcW w:w="528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230"/>
        </w:trPr>
        <w:tc>
          <w:tcPr>
            <w:tcW w:w="66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dated as of December 16, 2005.</w:t>
            </w:r>
          </w:p>
        </w:tc>
        <w:tc>
          <w:tcPr>
            <w:tcW w:w="5280" w:type="dxa"/>
            <w:vAlign w:val="bottom"/>
          </w:tcPr>
          <w:p>
            <w:pPr>
              <w:spacing w:after="0"/>
              <w:rPr>
                <w:sz w:val="20"/>
                <w:szCs w:val="20"/>
                <w:color w:val="auto"/>
              </w:rPr>
            </w:pPr>
          </w:p>
        </w:tc>
      </w:tr>
      <w:tr>
        <w:trPr>
          <w:trHeight w:val="418"/>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10.10</w:t>
            </w:r>
          </w:p>
        </w:tc>
        <w:tc>
          <w:tcPr>
            <w:tcW w:w="5400" w:type="dxa"/>
            <w:vAlign w:val="bottom"/>
          </w:tcPr>
          <w:p>
            <w:pPr>
              <w:ind w:left="240"/>
              <w:spacing w:after="0"/>
              <w:rPr>
                <w:sz w:val="20"/>
                <w:szCs w:val="20"/>
                <w:color w:val="auto"/>
              </w:rPr>
            </w:pPr>
            <w:r>
              <w:rPr>
                <w:rFonts w:ascii="Arial" w:cs="Arial" w:eastAsia="Arial" w:hAnsi="Arial"/>
                <w:sz w:val="18"/>
                <w:szCs w:val="18"/>
                <w:color w:val="auto"/>
                <w:w w:val="98"/>
              </w:rPr>
              <w:t>Description of 1987 Executive Deferred Compensation Program.*</w:t>
            </w:r>
          </w:p>
        </w:tc>
        <w:tc>
          <w:tcPr>
            <w:tcW w:w="528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(10)(f) to Oil-Dri’s (File No.</w:t>
            </w:r>
          </w:p>
        </w:tc>
      </w:tr>
      <w:tr>
        <w:trPr>
          <w:trHeight w:val="216"/>
        </w:trPr>
        <w:tc>
          <w:tcPr>
            <w:tcW w:w="6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w w:val="96"/>
              </w:rPr>
              <w:t>001-12622) Annual Report on Form 10-K for the fiscal year ended</w:t>
            </w:r>
          </w:p>
        </w:tc>
      </w:tr>
      <w:tr>
        <w:trPr>
          <w:trHeight w:val="230"/>
        </w:trPr>
        <w:tc>
          <w:tcPr>
            <w:tcW w:w="6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rPr>
              <w:t>July 31, 1988.</w:t>
            </w:r>
          </w:p>
        </w:tc>
      </w:tr>
    </w:tbl>
    <w:p>
      <w:pPr>
        <w:spacing w:after="0" w:line="200" w:lineRule="exact"/>
        <w:rPr>
          <w:sz w:val="20"/>
          <w:szCs w:val="20"/>
          <w:color w:val="auto"/>
        </w:rPr>
      </w:pPr>
    </w:p>
    <w:p>
      <w:pPr>
        <w:sectPr>
          <w:pgSz w:w="11900" w:h="16838" w:orient="portrait"/>
          <w:cols w:equalWidth="0" w:num="1">
            <w:col w:w="11420"/>
          </w:cols>
          <w:pgMar w:left="240" w:top="125" w:right="239" w:bottom="184" w:gutter="0" w:footer="0" w:header="0"/>
        </w:sectPr>
      </w:pPr>
    </w:p>
    <w:p>
      <w:pPr>
        <w:spacing w:after="0" w:line="2" w:lineRule="exact"/>
        <w:rPr>
          <w:sz w:val="20"/>
          <w:szCs w:val="20"/>
          <w:color w:val="auto"/>
        </w:rPr>
      </w:pPr>
    </w:p>
    <w:p>
      <w:pPr>
        <w:ind w:left="980" w:hanging="900"/>
        <w:spacing w:after="0" w:line="277" w:lineRule="auto"/>
        <w:tabs>
          <w:tab w:leader="none" w:pos="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Salary Continuation Agreement dated August 1, l989 between Richard M. Jaffee and Oil-Dri (“1989 Agreement”).*</w:t>
      </w:r>
    </w:p>
    <w:p>
      <w:pPr>
        <w:spacing w:after="0" w:line="387" w:lineRule="exact"/>
        <w:rPr>
          <w:sz w:val="20"/>
          <w:szCs w:val="20"/>
          <w:color w:val="auto"/>
        </w:rPr>
      </w:pPr>
    </w:p>
    <w:p>
      <w:pPr>
        <w:ind w:left="980" w:hanging="904"/>
        <w:spacing w:after="0" w:line="277" w:lineRule="auto"/>
        <w:tabs>
          <w:tab w:leader="none" w:pos="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Extension and Amendment, dated October 9, 1998, to the 1989 Agreement.*</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854" w:lineRule="exact"/>
        <w:rPr>
          <w:sz w:val="20"/>
          <w:szCs w:val="20"/>
          <w:color w:val="auto"/>
        </w:rPr>
      </w:pPr>
    </w:p>
    <w:p>
      <w:pPr>
        <w:sectPr>
          <w:pgSz w:w="11900" w:h="16838" w:orient="portrait"/>
          <w:cols w:equalWidth="0" w:num="2">
            <w:col w:w="5920" w:space="440"/>
            <w:col w:w="5060"/>
          </w:cols>
          <w:pgMar w:left="240" w:top="125" w:right="239" w:bottom="184" w:gutter="0" w:footer="0" w:header="0"/>
          <w:type w:val="continuous"/>
        </w:sect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Exhibit</w:t>
            </w:r>
          </w:p>
        </w:tc>
        <w:tc>
          <w:tcPr>
            <w:tcW w:w="2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No.</w:t>
            </w: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3"/>
          </w:tcPr>
          <w:p>
            <w:pPr>
              <w:ind w:left="2260"/>
              <w:spacing w:after="0" w:line="196" w:lineRule="exact"/>
              <w:rPr>
                <w:sz w:val="20"/>
                <w:szCs w:val="20"/>
                <w:color w:val="auto"/>
              </w:rPr>
            </w:pPr>
            <w:r>
              <w:rPr>
                <w:rFonts w:ascii="Arial" w:cs="Arial" w:eastAsia="Arial" w:hAnsi="Arial"/>
                <w:sz w:val="18"/>
                <w:szCs w:val="18"/>
                <w:color w:val="auto"/>
              </w:rPr>
              <w:t>Description</w:t>
            </w:r>
          </w:p>
        </w:tc>
      </w:tr>
      <w:tr>
        <w:trPr>
          <w:trHeight w:val="20"/>
        </w:trPr>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8"/>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10.13</w:t>
            </w:r>
          </w:p>
        </w:tc>
        <w:tc>
          <w:tcPr>
            <w:tcW w:w="240" w:type="dxa"/>
            <w:vAlign w:val="bottom"/>
          </w:tcPr>
          <w:p>
            <w:pPr>
              <w:spacing w:after="0"/>
              <w:rPr>
                <w:sz w:val="19"/>
                <w:szCs w:val="19"/>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w w:val="93"/>
              </w:rPr>
              <w:t>Second  Amendment,  effective  October  31,  2000,  to  the  1989</w:t>
            </w:r>
          </w:p>
        </w:tc>
      </w:tr>
      <w:tr>
        <w:trPr>
          <w:trHeight w:val="222"/>
        </w:trPr>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Agreement.*</w:t>
            </w:r>
          </w:p>
        </w:tc>
      </w:tr>
      <w:tr>
        <w:trPr>
          <w:trHeight w:val="420"/>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10.14</w:t>
            </w:r>
          </w:p>
        </w:tc>
        <w:tc>
          <w:tcPr>
            <w:tcW w:w="24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Third Amendment, dated as of January 31, 2006, to the 1989</w:t>
            </w:r>
          </w:p>
        </w:tc>
      </w:tr>
      <w:tr>
        <w:trPr>
          <w:trHeight w:val="230"/>
        </w:trPr>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Agreement.*</w:t>
            </w:r>
          </w:p>
        </w:tc>
      </w:tr>
      <w:tr>
        <w:trPr>
          <w:trHeight w:val="418"/>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10.15</w:t>
            </w:r>
          </w:p>
        </w:tc>
        <w:tc>
          <w:tcPr>
            <w:tcW w:w="24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w w:val="96"/>
              </w:rPr>
              <w:t>Oil-Dri Corporation of America Deferred Compensation Plan, as</w:t>
            </w:r>
          </w:p>
        </w:tc>
      </w:tr>
      <w:tr>
        <w:trPr>
          <w:trHeight w:val="230"/>
        </w:trPr>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amended and restated effective April 1, 2003.*</w:t>
            </w:r>
          </w:p>
        </w:tc>
      </w:tr>
      <w:tr>
        <w:trPr>
          <w:trHeight w:val="634"/>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10.16</w:t>
            </w:r>
          </w:p>
        </w:tc>
        <w:tc>
          <w:tcPr>
            <w:tcW w:w="24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w w:val="93"/>
              </w:rPr>
              <w:t>Oil-Dri Corporation of America 1995 Long Term Incentive Plan as</w:t>
            </w:r>
          </w:p>
        </w:tc>
      </w:tr>
      <w:tr>
        <w:trPr>
          <w:trHeight w:val="230"/>
        </w:trPr>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amended and restated effective June 9, 2000.*</w:t>
            </w:r>
          </w:p>
        </w:tc>
      </w:tr>
      <w:tr>
        <w:trPr>
          <w:trHeight w:val="648"/>
        </w:trPr>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10.17</w:t>
            </w:r>
          </w:p>
        </w:tc>
        <w:tc>
          <w:tcPr>
            <w:tcW w:w="24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w w:val="98"/>
              </w:rPr>
              <w:t>Supplemental Executive Retirement Plan dated April 1, 2003.*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 Document Reference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181" w:lineRule="exact"/>
        <w:rPr>
          <w:sz w:val="20"/>
          <w:szCs w:val="20"/>
          <w:color w:val="auto"/>
        </w:rPr>
      </w:pPr>
    </w:p>
    <w:p>
      <w:pPr>
        <w:sectPr>
          <w:pgSz w:w="11900" w:h="16838" w:orient="portrait"/>
          <w:cols w:equalWidth="0" w:num="2">
            <w:col w:w="5940" w:space="440"/>
            <w:col w:w="5040"/>
          </w:cols>
          <w:pgMar w:left="240" w:top="125" w:right="239" w:bottom="184"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10.18</w:t>
            </w:r>
          </w:p>
        </w:tc>
        <w:tc>
          <w:tcPr>
            <w:tcW w:w="5160" w:type="dxa"/>
            <w:vAlign w:val="bottom"/>
          </w:tcPr>
          <w:p>
            <w:pPr>
              <w:ind w:left="260"/>
              <w:spacing w:after="0"/>
              <w:rPr>
                <w:sz w:val="20"/>
                <w:szCs w:val="20"/>
                <w:color w:val="auto"/>
              </w:rPr>
            </w:pPr>
            <w:r>
              <w:rPr>
                <w:rFonts w:ascii="Arial" w:cs="Arial" w:eastAsia="Arial" w:hAnsi="Arial"/>
                <w:sz w:val="18"/>
                <w:szCs w:val="18"/>
                <w:color w:val="auto"/>
                <w:w w:val="99"/>
              </w:rPr>
              <w:t>Oil-Dri Corporation of America Outside Director Stock Plan as</w:t>
            </w:r>
          </w:p>
        </w:tc>
      </w:tr>
      <w:tr>
        <w:trPr>
          <w:trHeight w:val="230"/>
        </w:trPr>
        <w:tc>
          <w:tcPr>
            <w:tcW w:w="680" w:type="dxa"/>
            <w:vAlign w:val="bottom"/>
          </w:tcPr>
          <w:p>
            <w:pPr>
              <w:spacing w:after="0"/>
              <w:rPr>
                <w:sz w:val="20"/>
                <w:szCs w:val="20"/>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amended and restated effective October 16, 1999.*</w:t>
            </w:r>
          </w:p>
        </w:tc>
      </w:tr>
      <w:tr>
        <w:trPr>
          <w:trHeight w:val="634"/>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5160" w:type="dxa"/>
            <w:vAlign w:val="bottom"/>
          </w:tcPr>
          <w:p>
            <w:pPr>
              <w:ind w:left="260"/>
              <w:spacing w:after="0"/>
              <w:rPr>
                <w:sz w:val="20"/>
                <w:szCs w:val="20"/>
                <w:color w:val="auto"/>
              </w:rPr>
            </w:pPr>
            <w:r>
              <w:rPr>
                <w:rFonts w:ascii="Arial" w:cs="Arial" w:eastAsia="Arial" w:hAnsi="Arial"/>
                <w:sz w:val="18"/>
                <w:szCs w:val="18"/>
                <w:color w:val="auto"/>
                <w:w w:val="92"/>
              </w:rPr>
              <w:t>Oil-Dri Corporation of America Annual Incentive Plan (as amended</w:t>
            </w:r>
          </w:p>
        </w:tc>
      </w:tr>
      <w:tr>
        <w:trPr>
          <w:trHeight w:val="230"/>
        </w:trPr>
        <w:tc>
          <w:tcPr>
            <w:tcW w:w="680" w:type="dxa"/>
            <w:vAlign w:val="bottom"/>
          </w:tcPr>
          <w:p>
            <w:pPr>
              <w:spacing w:after="0"/>
              <w:rPr>
                <w:sz w:val="20"/>
                <w:szCs w:val="20"/>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and restated effective August 1, 2006).*</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5160" w:type="dxa"/>
            <w:vAlign w:val="bottom"/>
          </w:tcPr>
          <w:p>
            <w:pPr>
              <w:ind w:left="260"/>
              <w:spacing w:after="0"/>
              <w:rPr>
                <w:sz w:val="20"/>
                <w:szCs w:val="20"/>
                <w:color w:val="auto"/>
              </w:rPr>
            </w:pPr>
            <w:r>
              <w:rPr>
                <w:rFonts w:ascii="Arial" w:cs="Arial" w:eastAsia="Arial" w:hAnsi="Arial"/>
                <w:sz w:val="18"/>
                <w:szCs w:val="18"/>
                <w:color w:val="auto"/>
                <w:w w:val="91"/>
              </w:rPr>
              <w:t>Restricted Stock Agreement, dated as of March 14, 2006, between</w:t>
            </w:r>
          </w:p>
        </w:tc>
      </w:tr>
      <w:tr>
        <w:trPr>
          <w:trHeight w:val="230"/>
        </w:trPr>
        <w:tc>
          <w:tcPr>
            <w:tcW w:w="680" w:type="dxa"/>
            <w:vAlign w:val="bottom"/>
          </w:tcPr>
          <w:p>
            <w:pPr>
              <w:spacing w:after="0"/>
              <w:rPr>
                <w:sz w:val="20"/>
                <w:szCs w:val="20"/>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Oil-Dri Corporation of America and Daniel S. Jaffee.*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5160" w:type="dxa"/>
            <w:vAlign w:val="bottom"/>
          </w:tcPr>
          <w:p>
            <w:pPr>
              <w:ind w:left="260"/>
              <w:spacing w:after="0"/>
              <w:rPr>
                <w:sz w:val="20"/>
                <w:szCs w:val="20"/>
                <w:color w:val="auto"/>
              </w:rPr>
            </w:pPr>
            <w:r>
              <w:rPr>
                <w:rFonts w:ascii="Arial" w:cs="Arial" w:eastAsia="Arial" w:hAnsi="Arial"/>
                <w:sz w:val="18"/>
                <w:szCs w:val="18"/>
                <w:color w:val="auto"/>
                <w:w w:val="95"/>
              </w:rPr>
              <w:t>Oil-Dri Corporation of America 2006 Long-Term Incentive Plan.*</w:t>
            </w:r>
          </w:p>
        </w:tc>
      </w:tr>
      <w:tr>
        <w:trPr>
          <w:trHeight w:val="648"/>
        </w:trPr>
        <w:tc>
          <w:tcPr>
            <w:tcW w:w="680" w:type="dxa"/>
            <w:vAlign w:val="bottom"/>
          </w:tcPr>
          <w:p>
            <w:pPr>
              <w:ind w:left="20"/>
              <w:spacing w:after="0"/>
              <w:rPr>
                <w:sz w:val="20"/>
                <w:szCs w:val="20"/>
                <w:color w:val="auto"/>
              </w:rPr>
            </w:pPr>
            <w:r>
              <w:rPr>
                <w:rFonts w:ascii="Arial" w:cs="Arial" w:eastAsia="Arial" w:hAnsi="Arial"/>
                <w:sz w:val="18"/>
                <w:szCs w:val="18"/>
                <w:color w:val="auto"/>
              </w:rPr>
              <w:t>11.1</w:t>
            </w:r>
          </w:p>
        </w:tc>
        <w:tc>
          <w:tcPr>
            <w:tcW w:w="5160" w:type="dxa"/>
            <w:vAlign w:val="bottom"/>
          </w:tcPr>
          <w:p>
            <w:pPr>
              <w:ind w:left="260"/>
              <w:spacing w:after="0"/>
              <w:rPr>
                <w:sz w:val="20"/>
                <w:szCs w:val="20"/>
                <w:color w:val="auto"/>
              </w:rPr>
            </w:pPr>
            <w:r>
              <w:rPr>
                <w:rFonts w:ascii="Arial" w:cs="Arial" w:eastAsia="Arial" w:hAnsi="Arial"/>
                <w:sz w:val="18"/>
                <w:szCs w:val="18"/>
                <w:color w:val="auto"/>
              </w:rPr>
              <w:t>Statement re: Computation of Income per Share.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14.1</w:t>
            </w:r>
          </w:p>
        </w:tc>
        <w:tc>
          <w:tcPr>
            <w:tcW w:w="5160" w:type="dxa"/>
            <w:vAlign w:val="bottom"/>
          </w:tcPr>
          <w:p>
            <w:pPr>
              <w:ind w:left="26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October 13, 2006.</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March 20, 2006.</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March 20,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Available at Oil-Dri’s website </w:t>
      </w:r>
      <w:r>
        <w:rPr>
          <w:rFonts w:ascii="Arial" w:cs="Arial" w:eastAsia="Arial" w:hAnsi="Arial"/>
          <w:sz w:val="18"/>
          <w:szCs w:val="18"/>
          <w:u w:val="single" w:color="auto"/>
          <w:color w:val="auto"/>
        </w:rPr>
        <w:t>www.oildri.com</w:t>
      </w:r>
      <w:r>
        <w:rPr>
          <w:rFonts w:ascii="Arial" w:cs="Arial" w:eastAsia="Arial" w:hAnsi="Arial"/>
          <w:sz w:val="18"/>
          <w:szCs w:val="18"/>
          <w:color w:val="auto"/>
        </w:rPr>
        <w:t xml:space="preserve"> or in print upon request to Investor Relations, Oil-Dri Corporation of America, 410 North Michigan Avenue, Suite 400, Chicago, IL 60611-4213, telephone (312) 706-3232.</w:t>
      </w:r>
    </w:p>
    <w:p>
      <w:pPr>
        <w:spacing w:after="0" w:line="187" w:lineRule="exact"/>
        <w:rPr>
          <w:sz w:val="20"/>
          <w:szCs w:val="20"/>
          <w:color w:val="auto"/>
        </w:rPr>
      </w:pPr>
    </w:p>
    <w:p>
      <w:pPr>
        <w:sectPr>
          <w:pgSz w:w="11900" w:h="16838" w:orient="portrait"/>
          <w:cols w:equalWidth="0" w:num="2">
            <w:col w:w="5940" w:space="440"/>
            <w:col w:w="5040"/>
          </w:cols>
          <w:pgMar w:left="240" w:top="125" w:right="239" w:bottom="184" w:gutter="0" w:footer="0" w:header="0"/>
          <w:type w:val="continuous"/>
        </w:sectPr>
      </w:pPr>
    </w:p>
    <w:tbl>
      <w:tblPr>
        <w:tblLayout w:type="fixed"/>
        <w:tblInd w:w="10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21.1</w:t>
            </w:r>
          </w:p>
        </w:tc>
        <w:tc>
          <w:tcPr>
            <w:tcW w:w="5440" w:type="dxa"/>
            <w:vAlign w:val="bottom"/>
          </w:tcPr>
          <w:p>
            <w:pPr>
              <w:ind w:left="320"/>
              <w:spacing w:after="0"/>
              <w:rPr>
                <w:sz w:val="20"/>
                <w:szCs w:val="20"/>
                <w:color w:val="auto"/>
              </w:rPr>
            </w:pPr>
            <w:r>
              <w:rPr>
                <w:rFonts w:ascii="Arial" w:cs="Arial" w:eastAsia="Arial" w:hAnsi="Arial"/>
                <w:sz w:val="18"/>
                <w:szCs w:val="18"/>
                <w:color w:val="auto"/>
              </w:rPr>
              <w:t>Subsidiaries of Oil-Dri.</w:t>
            </w:r>
          </w:p>
        </w:tc>
        <w:tc>
          <w:tcPr>
            <w:tcW w:w="166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23.1</w:t>
            </w:r>
          </w:p>
        </w:tc>
        <w:tc>
          <w:tcPr>
            <w:tcW w:w="5440" w:type="dxa"/>
            <w:vAlign w:val="bottom"/>
          </w:tcPr>
          <w:p>
            <w:pPr>
              <w:ind w:left="320"/>
              <w:spacing w:after="0"/>
              <w:rPr>
                <w:sz w:val="20"/>
                <w:szCs w:val="20"/>
                <w:color w:val="auto"/>
              </w:rPr>
            </w:pPr>
            <w:r>
              <w:rPr>
                <w:rFonts w:ascii="Arial" w:cs="Arial" w:eastAsia="Arial" w:hAnsi="Arial"/>
                <w:sz w:val="18"/>
                <w:szCs w:val="18"/>
                <w:color w:val="auto"/>
              </w:rPr>
              <w:t>Consent of PricewaterhouseCoopers LLP.</w:t>
            </w:r>
          </w:p>
        </w:tc>
        <w:tc>
          <w:tcPr>
            <w:tcW w:w="166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5440" w:type="dxa"/>
            <w:vAlign w:val="bottom"/>
          </w:tcPr>
          <w:p>
            <w:pPr>
              <w:ind w:left="320"/>
              <w:spacing w:after="0"/>
              <w:rPr>
                <w:sz w:val="20"/>
                <w:szCs w:val="20"/>
                <w:color w:val="auto"/>
              </w:rPr>
            </w:pPr>
            <w:r>
              <w:rPr>
                <w:rFonts w:ascii="Arial" w:cs="Arial" w:eastAsia="Arial" w:hAnsi="Arial"/>
                <w:sz w:val="18"/>
                <w:szCs w:val="18"/>
                <w:color w:val="auto"/>
              </w:rPr>
              <w:t>Certifications pursuant to Rule 13a – 14(a).</w:t>
            </w:r>
          </w:p>
        </w:tc>
        <w:tc>
          <w:tcPr>
            <w:tcW w:w="166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5440" w:type="dxa"/>
            <w:vAlign w:val="bottom"/>
          </w:tcPr>
          <w:p>
            <w:pPr>
              <w:ind w:left="320"/>
              <w:spacing w:after="0"/>
              <w:rPr>
                <w:sz w:val="20"/>
                <w:szCs w:val="20"/>
                <w:color w:val="auto"/>
              </w:rPr>
            </w:pPr>
            <w:r>
              <w:rPr>
                <w:rFonts w:ascii="Arial" w:cs="Arial" w:eastAsia="Arial" w:hAnsi="Arial"/>
                <w:sz w:val="18"/>
                <w:szCs w:val="18"/>
                <w:color w:val="auto"/>
                <w:w w:val="97"/>
              </w:rPr>
              <w:t>Certifications pursuant to Section 1350 of the Sarbanes-Oxley Act</w:t>
            </w:r>
          </w:p>
        </w:tc>
        <w:tc>
          <w:tcPr>
            <w:tcW w:w="1660" w:type="dxa"/>
            <w:vAlign w:val="bottom"/>
          </w:tcPr>
          <w:p>
            <w:pPr>
              <w:ind w:left="220"/>
              <w:spacing w:after="0"/>
              <w:rPr>
                <w:sz w:val="20"/>
                <w:szCs w:val="20"/>
                <w:color w:val="auto"/>
              </w:rPr>
            </w:pPr>
            <w:r>
              <w:rPr>
                <w:rFonts w:ascii="Arial" w:cs="Arial" w:eastAsia="Arial" w:hAnsi="Arial"/>
                <w:sz w:val="18"/>
                <w:szCs w:val="18"/>
                <w:color w:val="auto"/>
                <w:w w:val="89"/>
              </w:rPr>
              <w:t>Furnished herewith.</w:t>
            </w:r>
          </w:p>
        </w:tc>
      </w:tr>
      <w:tr>
        <w:trPr>
          <w:trHeight w:val="227"/>
        </w:trPr>
        <w:tc>
          <w:tcPr>
            <w:tcW w:w="620" w:type="dxa"/>
            <w:vAlign w:val="bottom"/>
          </w:tcPr>
          <w:p>
            <w:pPr>
              <w:spacing w:after="0"/>
              <w:rPr>
                <w:sz w:val="19"/>
                <w:szCs w:val="19"/>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of 2002.</w:t>
            </w:r>
          </w:p>
        </w:tc>
        <w:tc>
          <w:tcPr>
            <w:tcW w:w="1660" w:type="dxa"/>
            <w:vAlign w:val="bottom"/>
          </w:tcPr>
          <w:p>
            <w:pPr>
              <w:spacing w:after="0"/>
              <w:rPr>
                <w:sz w:val="19"/>
                <w:szCs w:val="19"/>
                <w:color w:val="auto"/>
              </w:rPr>
            </w:pPr>
          </w:p>
        </w:tc>
      </w:tr>
    </w:tbl>
    <w:p>
      <w:pPr>
        <w:spacing w:after="0" w:line="235" w:lineRule="auto"/>
        <w:rPr>
          <w:sz w:val="20"/>
          <w:szCs w:val="20"/>
          <w:color w:val="auto"/>
        </w:rPr>
      </w:pPr>
      <w:r>
        <w:rPr>
          <w:rFonts w:ascii="Arial" w:cs="Arial" w:eastAsia="Arial" w:hAnsi="Arial"/>
          <w:sz w:val="22"/>
          <w:szCs w:val="22"/>
          <w:color w:val="auto"/>
        </w:rPr>
        <w:t>____________________</w:t>
      </w:r>
    </w:p>
    <w:p>
      <w:pPr>
        <w:spacing w:after="0" w:line="1" w:lineRule="exact"/>
        <w:rPr>
          <w:sz w:val="20"/>
          <w:szCs w:val="20"/>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420"/>
          </w:cols>
          <w:pgMar w:left="240" w:top="125" w:right="239" w:bottom="184"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84" w:gutter="0" w:footer="0" w:header="0"/>
          <w:type w:val="continuous"/>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49" w:lineRule="exact"/>
        <w:rPr>
          <w:sz w:val="20"/>
          <w:szCs w:val="20"/>
          <w:color w:val="auto"/>
        </w:rPr>
      </w:pPr>
    </w:p>
    <w:p>
      <w:pPr>
        <w:ind w:right="40" w:firstLine="297"/>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21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OIL-DRI CORPORATION OF AMERICA</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(Registrant)</w:t>
      </w:r>
    </w:p>
    <w:p>
      <w:pPr>
        <w:spacing w:after="0" w:line="259" w:lineRule="exact"/>
        <w:rPr>
          <w:sz w:val="20"/>
          <w:szCs w:val="20"/>
          <w:color w:val="auto"/>
        </w:rPr>
      </w:pPr>
    </w:p>
    <w:p>
      <w:pPr>
        <w:ind w:left="5300"/>
        <w:spacing w:after="0"/>
        <w:tabs>
          <w:tab w:leader="none" w:pos="5680" w:val="left"/>
        </w:tabs>
        <w:rPr>
          <w:sz w:val="20"/>
          <w:szCs w:val="20"/>
          <w:color w:val="auto"/>
        </w:rPr>
      </w:pPr>
      <w:r>
        <w:rPr>
          <w:rFonts w:ascii="Arial" w:cs="Arial" w:eastAsia="Arial" w:hAnsi="Arial"/>
          <w:sz w:val="18"/>
          <w:szCs w:val="18"/>
          <w:color w:val="auto"/>
        </w:rPr>
        <w:t>By</w:t>
        <w:tab/>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10795</wp:posOffset>
            </wp:positionV>
            <wp:extent cx="10375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Daniel S. Jaffee</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2006</w:t>
      </w:r>
    </w:p>
    <w:p>
      <w:pPr>
        <w:spacing w:after="0" w:line="252" w:lineRule="exact"/>
        <w:rPr>
          <w:sz w:val="20"/>
          <w:szCs w:val="20"/>
          <w:color w:val="auto"/>
        </w:rPr>
      </w:pPr>
    </w:p>
    <w:p>
      <w:pPr>
        <w:ind w:right="20" w:firstLine="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Richard M. Jaffee</w:t>
            </w:r>
          </w:p>
        </w:tc>
        <w:tc>
          <w:tcPr>
            <w:tcW w:w="700" w:type="dxa"/>
            <w:vAlign w:val="bottom"/>
            <w:tcBorders>
              <w:bottom w:val="single" w:sz="8" w:color="auto"/>
            </w:tcBorders>
          </w:tcPr>
          <w:p>
            <w:pPr>
              <w:spacing w:after="0"/>
              <w:rPr>
                <w:sz w:val="19"/>
                <w:szCs w:val="19"/>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89"/>
              </w:rPr>
              <w:t>Richard M. Jaffee</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89"/>
              </w:rPr>
              <w:t>Chairman of the Board of Directors</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S. Jaffee</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88"/>
              </w:rPr>
              <w:t>Daniel S. Jaffee</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89"/>
              </w:rPr>
              <w:t>President and Chief Executive Officer, 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91"/>
              </w:rPr>
              <w:t>(Principal Executive Officer)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Andrew N. Peterson</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ind w:left="2240"/>
              <w:spacing w:after="0"/>
              <w:rPr>
                <w:sz w:val="20"/>
                <w:szCs w:val="20"/>
                <w:color w:val="auto"/>
              </w:rPr>
            </w:pPr>
            <w:r>
              <w:rPr>
                <w:rFonts w:ascii="Arial" w:cs="Arial" w:eastAsia="Arial" w:hAnsi="Arial"/>
                <w:sz w:val="18"/>
                <w:szCs w:val="18"/>
                <w:color w:val="auto"/>
              </w:rPr>
              <w:t>Andrew N. Peterson</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90"/>
              </w:rPr>
              <w:t>Vice President and Chief Financial Officer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92"/>
              </w:rPr>
              <w:t>(Principal Financial Officer)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Daniel T. Smith</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90"/>
              </w:rPr>
              <w:t>Daniel T. Smith</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88"/>
              </w:rPr>
              <w:t>Vice President and Controller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92"/>
              </w:rPr>
              <w:t>(Principal Accounting Officer)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 Steven Cole</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87"/>
              </w:rPr>
              <w:t>J. Steven Cole</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Arnold W. Donald</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2"/>
              </w:rPr>
              <w:t>Arnold W. Donald</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Ronald B. Gordon</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0"/>
              </w:rPr>
              <w:t>Ronald B. Gordon</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Joseph C. Miller</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89"/>
              </w:rPr>
              <w:t>Joseph C. Miller</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89"/>
              </w:rPr>
              <w:t>Vice Chairman of the Board of Directors</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Michael A. Nemeroff</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93"/>
              </w:rPr>
              <w:t>Michael A. Nemeroff</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675"/>
        </w:trPr>
        <w:tc>
          <w:tcPr>
            <w:tcW w:w="5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5600" w:type="dxa"/>
            <w:vAlign w:val="bottom"/>
          </w:tcPr>
          <w:p>
            <w:pPr>
              <w:spacing w:after="0"/>
              <w:rPr>
                <w:sz w:val="24"/>
                <w:szCs w:val="24"/>
                <w:color w:val="auto"/>
              </w:rPr>
            </w:pPr>
          </w:p>
        </w:tc>
      </w:tr>
      <w:tr>
        <w:trPr>
          <w:trHeight w:val="228"/>
        </w:trPr>
        <w:tc>
          <w:tcPr>
            <w:tcW w:w="5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r>
      <w:tr>
        <w:trPr>
          <w:trHeight w:val="591"/>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Allan H. Selig</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4"/>
              </w:rPr>
              <w:t>Allan H. Selig</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488"/>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Paul Suckow</w:t>
            </w:r>
          </w:p>
        </w:tc>
        <w:tc>
          <w:tcPr>
            <w:tcW w:w="700" w:type="dxa"/>
            <w:vAlign w:val="bottom"/>
            <w:tcBorders>
              <w:bottom w:val="single" w:sz="8" w:color="auto"/>
            </w:tcBorders>
          </w:tcPr>
          <w:p>
            <w:pPr>
              <w:spacing w:after="0"/>
              <w:rPr>
                <w:sz w:val="24"/>
                <w:szCs w:val="24"/>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October 20, 2006</w:t>
            </w:r>
          </w:p>
        </w:tc>
      </w:tr>
      <w:tr>
        <w:trPr>
          <w:trHeight w:val="235"/>
        </w:trPr>
        <w:tc>
          <w:tcPr>
            <w:tcW w:w="5140" w:type="dxa"/>
            <w:vAlign w:val="bottom"/>
          </w:tcPr>
          <w:p>
            <w:pPr>
              <w:jc w:val="center"/>
              <w:ind w:left="732"/>
              <w:spacing w:after="0"/>
              <w:rPr>
                <w:sz w:val="20"/>
                <w:szCs w:val="20"/>
                <w:color w:val="auto"/>
              </w:rPr>
            </w:pPr>
            <w:r>
              <w:rPr>
                <w:rFonts w:ascii="Arial" w:cs="Arial" w:eastAsia="Arial" w:hAnsi="Arial"/>
                <w:sz w:val="18"/>
                <w:szCs w:val="18"/>
                <w:color w:val="auto"/>
                <w:w w:val="88"/>
              </w:rPr>
              <w:t>Paul Suckow</w:t>
            </w: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43"/>
        </w:trPr>
        <w:tc>
          <w:tcPr>
            <w:tcW w:w="514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-1331595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5500"/>
        <w:spacing w:after="0" w:line="264" w:lineRule="auto"/>
        <w:rPr>
          <w:sz w:val="20"/>
          <w:szCs w:val="20"/>
          <w:color w:val="auto"/>
        </w:rPr>
      </w:pPr>
      <w:r>
        <w:rPr>
          <w:rFonts w:ascii="Arial" w:cs="Arial" w:eastAsia="Arial" w:hAnsi="Arial"/>
          <w:sz w:val="18"/>
          <w:szCs w:val="18"/>
          <w:b w:val="1"/>
          <w:bCs w:val="1"/>
          <w:color w:val="auto"/>
        </w:rPr>
        <w:t>REPORT OF INDEPENDENT REGISTERED PUBLIC ACCOUNTING FIRM ON FINANCIAL STATEMENT SCHEDULE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Oil-Dri Corporation of America:</w:t>
      </w:r>
    </w:p>
    <w:p>
      <w:pPr>
        <w:spacing w:after="0" w:line="219"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Our audits of the consolidated financial statements referred to in our report dated October 13, 2006 appearing in the 2006 Annual Report to Shareholders of Oil-Dri Corporation of America (which report and consolidated financial statements are incorporated by reference in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13, 2006</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SCHEDULE II</w:t>
            </w:r>
          </w:p>
        </w:tc>
      </w:tr>
      <w:tr>
        <w:trPr>
          <w:trHeight w:val="419"/>
        </w:trPr>
        <w:tc>
          <w:tcPr>
            <w:tcW w:w="700" w:type="dxa"/>
            <w:vAlign w:val="bottom"/>
          </w:tcPr>
          <w:p>
            <w:pPr>
              <w:spacing w:after="0"/>
              <w:rPr>
                <w:sz w:val="24"/>
                <w:szCs w:val="24"/>
                <w:color w:val="auto"/>
              </w:rPr>
            </w:pPr>
          </w:p>
        </w:tc>
        <w:tc>
          <w:tcPr>
            <w:tcW w:w="7700" w:type="dxa"/>
            <w:vAlign w:val="bottom"/>
          </w:tcPr>
          <w:p>
            <w:pPr>
              <w:jc w:val="center"/>
              <w:ind w:left="2252"/>
              <w:spacing w:after="0"/>
              <w:rPr>
                <w:sz w:val="20"/>
                <w:szCs w:val="20"/>
                <w:color w:val="auto"/>
              </w:rPr>
            </w:pPr>
            <w:r>
              <w:rPr>
                <w:rFonts w:ascii="Arial" w:cs="Arial" w:eastAsia="Arial" w:hAnsi="Arial"/>
                <w:sz w:val="18"/>
                <w:szCs w:val="18"/>
                <w:b w:val="1"/>
                <w:bCs w:val="1"/>
                <w:color w:val="auto"/>
                <w:w w:val="98"/>
              </w:rPr>
              <w:t>OIL-DRI CORPORATION OF AMERICA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7700" w:type="dxa"/>
            <w:vAlign w:val="bottom"/>
          </w:tcPr>
          <w:p>
            <w:pPr>
              <w:jc w:val="center"/>
              <w:ind w:left="2252"/>
              <w:spacing w:after="0"/>
              <w:rPr>
                <w:sz w:val="20"/>
                <w:szCs w:val="20"/>
                <w:color w:val="auto"/>
              </w:rPr>
            </w:pPr>
            <w:r>
              <w:rPr>
                <w:rFonts w:ascii="Arial" w:cs="Arial" w:eastAsia="Arial" w:hAnsi="Arial"/>
                <w:sz w:val="18"/>
                <w:szCs w:val="18"/>
                <w:b w:val="1"/>
                <w:bCs w:val="1"/>
                <w:color w:val="auto"/>
                <w:w w:val="98"/>
              </w:rPr>
              <w:t>VALUATION AND QUALIFYING ACCOUNTS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8"/>
        </w:trPr>
        <w:tc>
          <w:tcPr>
            <w:tcW w:w="7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July 31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0"/>
                <w:szCs w:val="20"/>
                <w:color w:val="auto"/>
              </w:rPr>
            </w:pPr>
          </w:p>
        </w:tc>
      </w:tr>
      <w:tr>
        <w:trPr>
          <w:trHeight w:val="242"/>
        </w:trPr>
        <w:tc>
          <w:tcPr>
            <w:tcW w:w="70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(in thousand</w:t>
            </w:r>
            <w:r>
              <w:rPr>
                <w:rFonts w:ascii="Arial" w:cs="Arial" w:eastAsia="Arial" w:hAnsi="Arial"/>
                <w:sz w:val="17"/>
                <w:szCs w:val="17"/>
                <w:color w:val="auto"/>
                <w:w w:val="85"/>
              </w:rPr>
              <w: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840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700" w:type="dxa"/>
            <w:vAlign w:val="bottom"/>
          </w:tcPr>
          <w:p>
            <w:pPr>
              <w:spacing w:after="0"/>
              <w:rPr>
                <w:sz w:val="21"/>
                <w:szCs w:val="21"/>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609</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608</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r>
      <w:tr>
        <w:trPr>
          <w:trHeight w:val="244"/>
        </w:trPr>
        <w:tc>
          <w:tcPr>
            <w:tcW w:w="700" w:type="dxa"/>
            <w:vAlign w:val="bottom"/>
            <w:shd w:val="clear" w:color="auto" w:fill="C0C0C0"/>
          </w:tcPr>
          <w:p>
            <w:pPr>
              <w:spacing w:after="0"/>
              <w:rPr>
                <w:sz w:val="21"/>
                <w:szCs w:val="21"/>
                <w:color w:val="auto"/>
              </w:rPr>
            </w:pPr>
          </w:p>
        </w:tc>
        <w:tc>
          <w:tcPr>
            <w:tcW w:w="7700" w:type="dxa"/>
            <w:vAlign w:val="bottom"/>
            <w:shd w:val="clear" w:color="auto" w:fill="C0C0C0"/>
          </w:tcPr>
          <w:p>
            <w:pPr>
              <w:ind w:left="20"/>
              <w:spacing w:after="0"/>
              <w:rPr>
                <w:sz w:val="20"/>
                <w:szCs w:val="20"/>
                <w:color w:val="auto"/>
              </w:rPr>
            </w:pPr>
            <w:r>
              <w:rPr>
                <w:rFonts w:ascii="Arial" w:cs="Arial" w:eastAsia="Arial" w:hAnsi="Arial"/>
                <w:sz w:val="18"/>
                <w:szCs w:val="18"/>
                <w:color w:val="auto"/>
              </w:rPr>
              <w:t>Additions charged to expense</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700" w:type="dxa"/>
            <w:vAlign w:val="bottom"/>
            <w:tcBorders>
              <w:bottom w:val="single" w:sz="8" w:color="C0C0C0"/>
            </w:tcBorders>
            <w:shd w:val="clear" w:color="auto" w:fill="C0C0C0"/>
          </w:tcPr>
          <w:p>
            <w:pPr>
              <w:spacing w:after="0"/>
              <w:rPr>
                <w:sz w:val="20"/>
                <w:szCs w:val="20"/>
                <w:color w:val="auto"/>
              </w:rPr>
            </w:pPr>
          </w:p>
        </w:tc>
        <w:tc>
          <w:tcPr>
            <w:tcW w:w="77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top w:val="single" w:sz="8" w:color="auto"/>
              <w:bottom w:val="single" w:sz="8" w:color="auto"/>
            </w:tcBorders>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Borders>
              <w:bottom w:val="single" w:sz="8" w:color="C0C0C0"/>
            </w:tcBorders>
            <w:shd w:val="clear" w:color="auto" w:fill="C0C0C0"/>
          </w:tcPr>
          <w:p>
            <w:pPr>
              <w:spacing w:after="0"/>
              <w:rPr>
                <w:sz w:val="20"/>
                <w:szCs w:val="20"/>
                <w:color w:val="auto"/>
              </w:rPr>
            </w:pPr>
          </w:p>
        </w:tc>
        <w:tc>
          <w:tcPr>
            <w:tcW w:w="2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20"/>
                <w:szCs w:val="20"/>
                <w:color w:val="auto"/>
              </w:rPr>
            </w:pPr>
          </w:p>
        </w:tc>
      </w:tr>
      <w:tr>
        <w:trPr>
          <w:trHeight w:val="243"/>
        </w:trPr>
        <w:tc>
          <w:tcPr>
            <w:tcW w:w="84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  Net of recoveries.</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4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40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Valuation reserve for income taxes:</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700" w:type="dxa"/>
            <w:vAlign w:val="bottom"/>
          </w:tcPr>
          <w:p>
            <w:pPr>
              <w:spacing w:after="0"/>
              <w:rPr>
                <w:sz w:val="21"/>
                <w:szCs w:val="21"/>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1,784</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1,273</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44"/>
        </w:trPr>
        <w:tc>
          <w:tcPr>
            <w:tcW w:w="700" w:type="dxa"/>
            <w:vAlign w:val="bottom"/>
            <w:tcBorders>
              <w:bottom w:val="single" w:sz="8" w:color="C0C0C0"/>
            </w:tcBorders>
            <w:shd w:val="clear" w:color="auto" w:fill="C0C0C0"/>
          </w:tcPr>
          <w:p>
            <w:pPr>
              <w:spacing w:after="0"/>
              <w:rPr>
                <w:sz w:val="21"/>
                <w:szCs w:val="21"/>
                <w:color w:val="auto"/>
              </w:rPr>
            </w:pPr>
          </w:p>
        </w:tc>
        <w:tc>
          <w:tcPr>
            <w:tcW w:w="770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8"/>
                <w:szCs w:val="18"/>
                <w:color w:val="auto"/>
              </w:rPr>
              <w:t>Additions (Deductions) charged to expense</w:t>
            </w:r>
          </w:p>
        </w:tc>
        <w:tc>
          <w:tcPr>
            <w:tcW w:w="18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Borders>
              <w:bottom w:val="single" w:sz="8" w:color="C0C0C0"/>
            </w:tcBorders>
            <w:shd w:val="clear" w:color="auto" w:fill="C0C0C0"/>
          </w:tcPr>
          <w:p>
            <w:pPr>
              <w:spacing w:after="0"/>
              <w:rPr>
                <w:sz w:val="21"/>
                <w:szCs w:val="21"/>
                <w:color w:val="auto"/>
              </w:rPr>
            </w:pPr>
          </w:p>
        </w:tc>
        <w:tc>
          <w:tcPr>
            <w:tcW w:w="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21"/>
                <w:szCs w:val="21"/>
                <w:color w:val="auto"/>
              </w:rPr>
            </w:pPr>
          </w:p>
        </w:tc>
      </w:tr>
      <w:tr>
        <w:trPr>
          <w:trHeight w:val="230"/>
        </w:trPr>
        <w:tc>
          <w:tcPr>
            <w:tcW w:w="700" w:type="dxa"/>
            <w:vAlign w:val="bottom"/>
          </w:tcPr>
          <w:p>
            <w:pPr>
              <w:spacing w:after="0"/>
              <w:rPr>
                <w:sz w:val="20"/>
                <w:szCs w:val="20"/>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1,831</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1,784</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20"/>
                <w:szCs w:val="20"/>
                <w:color w:val="auto"/>
              </w:rPr>
            </w:pPr>
          </w:p>
        </w:tc>
      </w:tr>
      <w:tr>
        <w:trPr>
          <w:trHeight w:val="673"/>
        </w:trPr>
        <w:tc>
          <w:tcPr>
            <w:tcW w:w="700" w:type="dxa"/>
            <w:vAlign w:val="bottom"/>
          </w:tcPr>
          <w:p>
            <w:pPr>
              <w:spacing w:after="0"/>
              <w:rPr>
                <w:sz w:val="24"/>
                <w:szCs w:val="24"/>
                <w:color w:val="auto"/>
              </w:rPr>
            </w:pPr>
          </w:p>
        </w:tc>
        <w:tc>
          <w:tcPr>
            <w:tcW w:w="7700" w:type="dxa"/>
            <w:vAlign w:val="bottom"/>
          </w:tcPr>
          <w:p>
            <w:pPr>
              <w:jc w:val="center"/>
              <w:ind w:left="2232"/>
              <w:spacing w:after="0"/>
              <w:rPr>
                <w:sz w:val="20"/>
                <w:szCs w:val="20"/>
                <w:color w:val="auto"/>
              </w:rPr>
            </w:pPr>
            <w:r>
              <w:rPr>
                <w:rFonts w:ascii="Arial" w:cs="Arial" w:eastAsia="Arial" w:hAnsi="Arial"/>
                <w:sz w:val="18"/>
                <w:szCs w:val="18"/>
                <w:color w:val="auto"/>
                <w:w w:val="89"/>
              </w:rPr>
              <w:t>75</w:t>
            </w: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62"/>
        </w:trPr>
        <w:tc>
          <w:tcPr>
            <w:tcW w:w="700" w:type="dxa"/>
            <w:vAlign w:val="bottom"/>
          </w:tcPr>
          <w:p>
            <w:pPr>
              <w:spacing w:after="0"/>
              <w:rPr>
                <w:sz w:val="24"/>
                <w:szCs w:val="24"/>
                <w:color w:val="auto"/>
              </w:rPr>
            </w:pPr>
          </w:p>
        </w:tc>
        <w:tc>
          <w:tcPr>
            <w:tcW w:w="7700" w:type="dxa"/>
            <w:vAlign w:val="bottom"/>
          </w:tcPr>
          <w:p>
            <w:pPr>
              <w:jc w:val="center"/>
              <w:ind w:left="2232"/>
              <w:spacing w:after="0"/>
              <w:rPr>
                <w:sz w:val="20"/>
                <w:szCs w:val="20"/>
                <w:color w:val="auto"/>
              </w:rPr>
            </w:pPr>
            <w:r>
              <w:rPr>
                <w:rFonts w:ascii="Arial" w:cs="Arial" w:eastAsia="Arial" w:hAnsi="Arial"/>
                <w:sz w:val="18"/>
                <w:szCs w:val="18"/>
                <w:b w:val="1"/>
                <w:bCs w:val="1"/>
                <w:color w:val="auto"/>
                <w:w w:val="98"/>
              </w:rPr>
              <w:t>EXHIBITS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7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700" w:type="dxa"/>
            <w:vAlign w:val="bottom"/>
          </w:tcPr>
          <w:p>
            <w:pPr>
              <w:spacing w:after="0"/>
              <w:rPr>
                <w:sz w:val="20"/>
                <w:szCs w:val="20"/>
                <w:color w:val="auto"/>
              </w:rPr>
            </w:pPr>
            <w:r>
              <w:rPr>
                <w:rFonts w:ascii="Arial" w:cs="Arial" w:eastAsia="Arial" w:hAnsi="Arial"/>
                <w:sz w:val="18"/>
                <w:szCs w:val="18"/>
                <w:b w:val="1"/>
                <w:bCs w:val="1"/>
                <w:color w:val="auto"/>
                <w:w w:val="95"/>
              </w:rPr>
              <w:t>EXHIBIT</w:t>
            </w:r>
          </w:p>
        </w:tc>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7700" w:type="dxa"/>
            <w:vAlign w:val="bottom"/>
          </w:tcPr>
          <w:p>
            <w:pPr>
              <w:ind w:left="780"/>
              <w:spacing w:after="0"/>
              <w:rPr>
                <w:sz w:val="20"/>
                <w:szCs w:val="20"/>
                <w:color w:val="auto"/>
              </w:rPr>
            </w:pPr>
            <w:r>
              <w:rPr>
                <w:rFonts w:ascii="Arial" w:cs="Arial" w:eastAsia="Arial" w:hAnsi="Arial"/>
                <w:sz w:val="18"/>
                <w:szCs w:val="18"/>
                <w:color w:val="auto"/>
                <w:w w:val="90"/>
              </w:rPr>
              <w:t>First Amendment, dated as of July 12, 2006 to Note Agreement dated as of December 16, 2005.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7700" w:type="dxa"/>
            <w:vAlign w:val="bottom"/>
          </w:tcPr>
          <w:p>
            <w:pPr>
              <w:ind w:left="780"/>
              <w:spacing w:after="0"/>
              <w:rPr>
                <w:sz w:val="20"/>
                <w:szCs w:val="20"/>
                <w:color w:val="auto"/>
              </w:rPr>
            </w:pPr>
            <w:r>
              <w:rPr>
                <w:rFonts w:ascii="Arial" w:cs="Arial" w:eastAsia="Arial" w:hAnsi="Arial"/>
                <w:sz w:val="18"/>
                <w:szCs w:val="18"/>
                <w:color w:val="auto"/>
              </w:rPr>
              <w:t>Extension and Amendment, dated October 9, 1998, to the 1989 Agreement.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11.1</w:t>
            </w:r>
          </w:p>
        </w:tc>
        <w:tc>
          <w:tcPr>
            <w:tcW w:w="7700" w:type="dxa"/>
            <w:vAlign w:val="bottom"/>
          </w:tcPr>
          <w:p>
            <w:pPr>
              <w:ind w:left="780"/>
              <w:spacing w:after="0"/>
              <w:rPr>
                <w:sz w:val="20"/>
                <w:szCs w:val="20"/>
                <w:color w:val="auto"/>
              </w:rPr>
            </w:pPr>
            <w:r>
              <w:rPr>
                <w:rFonts w:ascii="Arial" w:cs="Arial" w:eastAsia="Arial" w:hAnsi="Arial"/>
                <w:sz w:val="18"/>
                <w:szCs w:val="18"/>
                <w:color w:val="auto"/>
              </w:rPr>
              <w:t>Statement Re: Computation of per share earnings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7700" w:type="dxa"/>
            <w:vAlign w:val="bottom"/>
          </w:tcPr>
          <w:p>
            <w:pPr>
              <w:ind w:left="780"/>
              <w:spacing w:after="0"/>
              <w:rPr>
                <w:sz w:val="20"/>
                <w:szCs w:val="20"/>
                <w:color w:val="auto"/>
              </w:rPr>
            </w:pPr>
            <w:r>
              <w:rPr>
                <w:rFonts w:ascii="Arial" w:cs="Arial" w:eastAsia="Arial" w:hAnsi="Arial"/>
                <w:sz w:val="18"/>
                <w:szCs w:val="18"/>
                <w:color w:val="auto"/>
              </w:rPr>
              <w:t>Subsidiaries of Oil-Dri</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7700" w:type="dxa"/>
            <w:vAlign w:val="bottom"/>
          </w:tcPr>
          <w:p>
            <w:pPr>
              <w:ind w:left="780"/>
              <w:spacing w:after="0"/>
              <w:rPr>
                <w:sz w:val="20"/>
                <w:szCs w:val="20"/>
                <w:color w:val="auto"/>
              </w:rPr>
            </w:pPr>
            <w:r>
              <w:rPr>
                <w:rFonts w:ascii="Arial" w:cs="Arial" w:eastAsia="Arial" w:hAnsi="Arial"/>
                <w:sz w:val="18"/>
                <w:szCs w:val="18"/>
                <w:color w:val="auto"/>
              </w:rPr>
              <w:t>Consent of PricewaterhouseCoopers LLP</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40" w:type="dxa"/>
            <w:vAlign w:val="bottom"/>
            <w:gridSpan w:val="12"/>
          </w:tcPr>
          <w:p>
            <w:pPr>
              <w:ind w:left="780"/>
              <w:spacing w:after="0"/>
              <w:rPr>
                <w:sz w:val="20"/>
                <w:szCs w:val="20"/>
                <w:color w:val="auto"/>
              </w:rPr>
            </w:pPr>
            <w:r>
              <w:rPr>
                <w:rFonts w:ascii="Arial" w:cs="Arial" w:eastAsia="Arial" w:hAnsi="Arial"/>
                <w:sz w:val="18"/>
                <w:szCs w:val="18"/>
                <w:color w:val="auto"/>
                <w:w w:val="89"/>
              </w:rPr>
              <w:t>Certifications by Daniel S. Jaffee, President and Chief Executive Officer, and Andrew N. Peterson, Chief Financial Officer, required by Rule</w:t>
            </w:r>
          </w:p>
        </w:tc>
      </w:tr>
      <w:tr>
        <w:trPr>
          <w:trHeight w:val="222"/>
        </w:trPr>
        <w:tc>
          <w:tcPr>
            <w:tcW w:w="700" w:type="dxa"/>
            <w:vAlign w:val="bottom"/>
          </w:tcPr>
          <w:p>
            <w:pPr>
              <w:spacing w:after="0"/>
              <w:rPr>
                <w:sz w:val="19"/>
                <w:szCs w:val="19"/>
                <w:color w:val="auto"/>
              </w:rPr>
            </w:pPr>
          </w:p>
        </w:tc>
        <w:tc>
          <w:tcPr>
            <w:tcW w:w="7700" w:type="dxa"/>
            <w:vAlign w:val="bottom"/>
          </w:tcPr>
          <w:p>
            <w:pPr>
              <w:ind w:left="780"/>
              <w:spacing w:after="0"/>
              <w:rPr>
                <w:sz w:val="20"/>
                <w:szCs w:val="20"/>
                <w:color w:val="auto"/>
              </w:rPr>
            </w:pPr>
            <w:r>
              <w:rPr>
                <w:rFonts w:ascii="Arial" w:cs="Arial" w:eastAsia="Arial" w:hAnsi="Arial"/>
                <w:sz w:val="18"/>
                <w:szCs w:val="18"/>
                <w:color w:val="auto"/>
              </w:rPr>
              <w:t>13a-14(a)</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7700" w:type="dxa"/>
            <w:vAlign w:val="bottom"/>
          </w:tcPr>
          <w:p>
            <w:pPr>
              <w:ind w:left="780"/>
              <w:spacing w:after="0"/>
              <w:rPr>
                <w:sz w:val="20"/>
                <w:szCs w:val="20"/>
                <w:color w:val="auto"/>
              </w:rPr>
            </w:pPr>
            <w:r>
              <w:rPr>
                <w:rFonts w:ascii="Arial" w:cs="Arial" w:eastAsia="Arial" w:hAnsi="Arial"/>
                <w:sz w:val="18"/>
                <w:szCs w:val="18"/>
                <w:color w:val="auto"/>
              </w:rPr>
              <w:t>Certifications pursuant to Section 1350 of the Sarbanes-Oxley Act of 2002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Note:</w:t>
            </w:r>
          </w:p>
        </w:tc>
        <w:tc>
          <w:tcPr>
            <w:tcW w:w="10740" w:type="dxa"/>
            <w:vAlign w:val="bottom"/>
            <w:gridSpan w:val="12"/>
          </w:tcPr>
          <w:p>
            <w:pPr>
              <w:ind w:left="780"/>
              <w:spacing w:after="0"/>
              <w:rPr>
                <w:sz w:val="20"/>
                <w:szCs w:val="20"/>
                <w:color w:val="auto"/>
              </w:rPr>
            </w:pPr>
            <w:r>
              <w:rPr>
                <w:rFonts w:ascii="Arial" w:cs="Arial" w:eastAsia="Arial" w:hAnsi="Arial"/>
                <w:sz w:val="18"/>
                <w:szCs w:val="18"/>
                <w:color w:val="auto"/>
                <w:w w:val="92"/>
              </w:rPr>
              <w:t>Stockholders may receive copies of the above listed exhibits, without fee, by written request to Investor Relations, Oil-Dri Corporation of</w:t>
            </w:r>
          </w:p>
        </w:tc>
      </w:tr>
      <w:tr>
        <w:trPr>
          <w:trHeight w:val="222"/>
        </w:trPr>
        <w:tc>
          <w:tcPr>
            <w:tcW w:w="700" w:type="dxa"/>
            <w:vAlign w:val="bottom"/>
          </w:tcPr>
          <w:p>
            <w:pPr>
              <w:spacing w:after="0"/>
              <w:rPr>
                <w:sz w:val="19"/>
                <w:szCs w:val="19"/>
                <w:color w:val="auto"/>
              </w:rPr>
            </w:pPr>
          </w:p>
        </w:tc>
        <w:tc>
          <w:tcPr>
            <w:tcW w:w="7700" w:type="dxa"/>
            <w:vAlign w:val="bottom"/>
          </w:tcPr>
          <w:p>
            <w:pPr>
              <w:ind w:left="780"/>
              <w:spacing w:after="0"/>
              <w:rPr>
                <w:sz w:val="20"/>
                <w:szCs w:val="20"/>
                <w:color w:val="auto"/>
              </w:rPr>
            </w:pPr>
            <w:r>
              <w:rPr>
                <w:rFonts w:ascii="Arial" w:cs="Arial" w:eastAsia="Arial" w:hAnsi="Arial"/>
                <w:sz w:val="18"/>
                <w:szCs w:val="18"/>
                <w:color w:val="auto"/>
              </w:rPr>
              <w:t>America, 410 North Michigan Avenue, Suite 400, Chicago, Illinois 60611-4213.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-3441065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-3441065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38"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10.9: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July 12,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410 North Michigan Avenue,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60611</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 First Amendment to Note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6" w:lineRule="exact"/>
        <w:rPr>
          <w:sz w:val="20"/>
          <w:szCs w:val="20"/>
          <w:color w:val="auto"/>
        </w:rPr>
      </w:pPr>
    </w:p>
    <w:p>
      <w:pPr>
        <w:jc w:val="both"/>
        <w:ind w:firstLine="284"/>
        <w:spacing w:after="0" w:line="310" w:lineRule="auto"/>
        <w:rPr>
          <w:sz w:val="20"/>
          <w:szCs w:val="20"/>
          <w:color w:val="auto"/>
        </w:rPr>
      </w:pPr>
      <w:r>
        <w:rPr>
          <w:rFonts w:ascii="Arial" w:cs="Arial" w:eastAsia="Arial" w:hAnsi="Arial"/>
          <w:sz w:val="16"/>
          <w:szCs w:val="16"/>
          <w:color w:val="auto"/>
        </w:rPr>
        <w:t xml:space="preserve">Reference is made to the Note Agreement (the </w:t>
      </w:r>
      <w:r>
        <w:rPr>
          <w:rFonts w:ascii="Arial" w:cs="Arial" w:eastAsia="Arial" w:hAnsi="Arial"/>
          <w:sz w:val="16"/>
          <w:szCs w:val="16"/>
          <w:b w:val="1"/>
          <w:bCs w:val="1"/>
          <w:color w:val="auto"/>
        </w:rPr>
        <w:t>“Note Agreement”</w:t>
      </w:r>
      <w:r>
        <w:rPr>
          <w:rFonts w:ascii="Arial" w:cs="Arial" w:eastAsia="Arial" w:hAnsi="Arial"/>
          <w:sz w:val="16"/>
          <w:szCs w:val="16"/>
          <w:color w:val="auto"/>
        </w:rPr>
        <w:t>), dated as of December 16, 2005, among you, on one hand, and The Prudential Insurance Company of America (“</w:t>
      </w:r>
      <w:r>
        <w:rPr>
          <w:rFonts w:ascii="Arial" w:cs="Arial" w:eastAsia="Arial" w:hAnsi="Arial"/>
          <w:sz w:val="16"/>
          <w:szCs w:val="16"/>
          <w:b w:val="1"/>
          <w:bCs w:val="1"/>
          <w:color w:val="auto"/>
        </w:rPr>
        <w:t>PICA</w:t>
      </w:r>
      <w:r>
        <w:rPr>
          <w:rFonts w:ascii="Arial" w:cs="Arial" w:eastAsia="Arial" w:hAnsi="Arial"/>
          <w:sz w:val="16"/>
          <w:szCs w:val="16"/>
          <w:color w:val="auto"/>
        </w:rPr>
        <w:t>”) and Prudential Retirement Insurance and Annuity Company (“</w:t>
      </w:r>
      <w:r>
        <w:rPr>
          <w:rFonts w:ascii="Arial" w:cs="Arial" w:eastAsia="Arial" w:hAnsi="Arial"/>
          <w:sz w:val="16"/>
          <w:szCs w:val="16"/>
          <w:b w:val="1"/>
          <w:bCs w:val="1"/>
          <w:color w:val="auto"/>
        </w:rPr>
        <w:t>PRIAC</w:t>
      </w:r>
      <w:r>
        <w:rPr>
          <w:rFonts w:ascii="Arial" w:cs="Arial" w:eastAsia="Arial" w:hAnsi="Arial"/>
          <w:sz w:val="16"/>
          <w:szCs w:val="16"/>
          <w:color w:val="auto"/>
        </w:rPr>
        <w:t xml:space="preserve">” and, collectively with PICA, the </w:t>
      </w:r>
      <w:r>
        <w:rPr>
          <w:rFonts w:ascii="Arial" w:cs="Arial" w:eastAsia="Arial" w:hAnsi="Arial"/>
          <w:sz w:val="16"/>
          <w:szCs w:val="16"/>
          <w:b w:val="1"/>
          <w:bCs w:val="1"/>
          <w:color w:val="auto"/>
        </w:rPr>
        <w:t>“Prudential Parties”</w:t>
      </w:r>
      <w:r>
        <w:rPr>
          <w:rFonts w:ascii="Arial" w:cs="Arial" w:eastAsia="Arial" w:hAnsi="Arial"/>
          <w:sz w:val="16"/>
          <w:szCs w:val="16"/>
          <w:color w:val="auto"/>
        </w:rPr>
        <w:t>) on the other hand. Capitalized terms used herein that are not otherwise defined herein shall have the meaning specified in the Note Agreement.</w:t>
      </w:r>
    </w:p>
    <w:p>
      <w:pPr>
        <w:spacing w:after="0" w:line="184" w:lineRule="exact"/>
        <w:rPr>
          <w:sz w:val="20"/>
          <w:szCs w:val="20"/>
          <w:color w:val="auto"/>
        </w:rPr>
      </w:pPr>
    </w:p>
    <w:p>
      <w:pPr>
        <w:jc w:val="both"/>
        <w:ind w:right="20" w:firstLine="338"/>
        <w:spacing w:after="0" w:line="332" w:lineRule="auto"/>
        <w:rPr>
          <w:sz w:val="20"/>
          <w:szCs w:val="20"/>
          <w:color w:val="auto"/>
        </w:rPr>
      </w:pPr>
      <w:r>
        <w:rPr>
          <w:rFonts w:ascii="Arial" w:cs="Arial" w:eastAsia="Arial" w:hAnsi="Arial"/>
          <w:sz w:val="16"/>
          <w:szCs w:val="16"/>
          <w:color w:val="auto"/>
        </w:rPr>
        <w:t>The Company has requested certain modifications to the Note Agreement, and the Prudential Parties have agreed to such modifications on the terms and conditions set forth herein. Accordingly, and in accordance with the provisions of paragraph 11C of the Note Agreement, the parties hereto agree as follows: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From and after the Effective Date (as defined in Section 2 hereof), the Note Agreement is amended as follows: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1.1  Clause (xi) of paragraph 6C of the Note Agreement is hereby amended and restated in its entirety as follows:</w:t>
      </w:r>
    </w:p>
    <w:p>
      <w:pPr>
        <w:spacing w:after="0" w:line="252" w:lineRule="exact"/>
        <w:rPr>
          <w:sz w:val="20"/>
          <w:szCs w:val="20"/>
          <w:color w:val="auto"/>
        </w:rPr>
      </w:pPr>
    </w:p>
    <w:p>
      <w:pPr>
        <w:jc w:val="both"/>
        <w:ind w:left="240" w:firstLine="284"/>
        <w:spacing w:after="0" w:line="253" w:lineRule="auto"/>
        <w:rPr>
          <w:sz w:val="20"/>
          <w:szCs w:val="20"/>
          <w:color w:val="auto"/>
        </w:rPr>
      </w:pPr>
      <w:r>
        <w:rPr>
          <w:rFonts w:ascii="Arial" w:cs="Arial" w:eastAsia="Arial" w:hAnsi="Arial"/>
          <w:sz w:val="18"/>
          <w:szCs w:val="18"/>
          <w:color w:val="auto"/>
        </w:rPr>
        <w:t>“(xi) other Liens securing the Debt of the Company or any Restricted Subsidiary not otherwise permitted by paragraphs (i) through (x), provided that at the time the Company or such Restricted Subsidiary incurs or otherwise becomes liable for such Debt, Priority Debt does not exceed 20% of Consolidated Total Capitalization, provided further that Debt of Restricted Subsidiaries in respect of industrial revenue bonds secured by Liens permitted by paragraph 6C(viii) and guaranteed by the Company shall not be included in Priority Debt for purposes of determining compliance with this paragraph 6C(xi). Notwithstanding the foregoing, at no time shall any Lien otherwise permitted under this paragraph 6C(xi) secure any obligations under the Credit Agreement or any other working capital credit facility of the Company. Further, Priority Debt outstanding solely under the Canadian Credit Agreement in an aggregate amount not to exceed 1,500,000 Canadian Dollars, which otherwise would be permitted under this paragraph 6C(xi), may be secured by Liens solely in the assets of the Canadian Borrower.”</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1.2  Paragraph 10B of the Note Agreement is hereby amended by adding the following new definition in alphabetical order:</w:t>
      </w:r>
    </w:p>
    <w:p>
      <w:pPr>
        <w:spacing w:after="0" w:line="273" w:lineRule="exact"/>
        <w:rPr>
          <w:sz w:val="20"/>
          <w:szCs w:val="20"/>
          <w:color w:val="auto"/>
        </w:rPr>
      </w:pPr>
    </w:p>
    <w:p>
      <w:pPr>
        <w:jc w:val="both"/>
        <w:ind w:left="240" w:firstLine="324"/>
        <w:spacing w:after="0" w:line="275" w:lineRule="auto"/>
        <w:rPr>
          <w:sz w:val="20"/>
          <w:szCs w:val="20"/>
          <w:color w:val="auto"/>
        </w:rPr>
      </w:pPr>
      <w:r>
        <w:rPr>
          <w:rFonts w:ascii="Arial" w:cs="Arial" w:eastAsia="Arial" w:hAnsi="Arial"/>
          <w:sz w:val="18"/>
          <w:szCs w:val="18"/>
          <w:b w:val="1"/>
          <w:bCs w:val="1"/>
          <w:color w:val="auto"/>
        </w:rPr>
        <w:t xml:space="preserve">“Canadian Borrower” </w:t>
      </w:r>
      <w:r>
        <w:rPr>
          <w:rFonts w:ascii="Arial" w:cs="Arial" w:eastAsia="Arial" w:hAnsi="Arial"/>
          <w:sz w:val="18"/>
          <w:szCs w:val="18"/>
          <w:color w:val="auto"/>
        </w:rPr>
        <w:t>shall mean Favorite Products Company Limited (La Compagnie de Produits Favorite Limitée), a company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Province of Québec.</w:t>
      </w:r>
    </w:p>
    <w:p>
      <w:pPr>
        <w:spacing w:after="0" w:line="228" w:lineRule="exact"/>
        <w:rPr>
          <w:sz w:val="20"/>
          <w:szCs w:val="20"/>
          <w:color w:val="auto"/>
        </w:rPr>
      </w:pPr>
    </w:p>
    <w:p>
      <w:pPr>
        <w:jc w:val="both"/>
        <w:ind w:left="240" w:right="20" w:firstLine="270"/>
        <w:spacing w:after="0" w:line="275" w:lineRule="auto"/>
        <w:rPr>
          <w:sz w:val="20"/>
          <w:szCs w:val="20"/>
          <w:color w:val="auto"/>
        </w:rPr>
      </w:pPr>
      <w:r>
        <w:rPr>
          <w:rFonts w:ascii="Arial" w:cs="Arial" w:eastAsia="Arial" w:hAnsi="Arial"/>
          <w:sz w:val="18"/>
          <w:szCs w:val="18"/>
          <w:b w:val="1"/>
          <w:bCs w:val="1"/>
          <w:color w:val="auto"/>
        </w:rPr>
        <w:t xml:space="preserve">“Canadian Credit Agreement” </w:t>
      </w:r>
      <w:r>
        <w:rPr>
          <w:rFonts w:ascii="Arial" w:cs="Arial" w:eastAsia="Arial" w:hAnsi="Arial"/>
          <w:sz w:val="18"/>
          <w:szCs w:val="18"/>
          <w:color w:val="auto"/>
        </w:rPr>
        <w:t>shall mean that certain Acknowledgement of Debt/Revolving Term Credit Agreement, dated as of or about July 12, 2006,</w:t>
      </w:r>
      <w:r>
        <w:rPr>
          <w:rFonts w:ascii="Arial" w:cs="Arial" w:eastAsia="Arial" w:hAnsi="Arial"/>
          <w:sz w:val="18"/>
          <w:szCs w:val="18"/>
          <w:b w:val="1"/>
          <w:bCs w:val="1"/>
          <w:color w:val="auto"/>
        </w:rPr>
        <w:t xml:space="preserve"> </w:t>
      </w:r>
      <w:r>
        <w:rPr>
          <w:rFonts w:ascii="Arial" w:cs="Arial" w:eastAsia="Arial" w:hAnsi="Arial"/>
          <w:sz w:val="18"/>
          <w:szCs w:val="18"/>
          <w:color w:val="auto"/>
        </w:rPr>
        <w:t>and related security agreements by and between the Canadian Borrower and National Bank of Canada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each Guarantor represents and warrants that (a) each representation and warranty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paragraph 8 of the Note Agreement and the other Transaction Documents to which it is a party, is true and correct as of the date of execution and delivery of this letter by the Company or such Guarantor with the same effect as if made on such date (except to the extent such representations and warranties expressly refer to an earlier date, in which case they were true and correct as of such earlier date and except that the representations and warranties contained in paragraph 8B of the Note Agreement shall be deemed to refer to the most recent statements furnished pursuant to clauses (i) and (ii), respectively, of paragraph 5A of the Note Agreement); (b) both before and after giving effect to the amendments set forth in Section 1 hereof, no Event of Default or Default exists or has occurred and is continuing on the date hereof; and (c) neither the Company nor any Guarantor has paid or agreed to pay, and neither the Company nor any Guarantor will pay or agree to pay, any fees or other consideration to any Person in connection with the amendments referenced in Sections 3(ii) and 3(iii) hereof. The Prudential Parties hereby confirm to the Company that they have received actual notice and copies of the Existing Note Agreement Amendment contemplated by the Note Agreement, and the related Guaranty.</w:t>
      </w:r>
    </w:p>
    <w:p>
      <w:pPr>
        <w:spacing w:after="0" w:line="19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Precedent</w:t>
      </w:r>
      <w:r>
        <w:rPr>
          <w:rFonts w:ascii="Arial" w:cs="Arial" w:eastAsia="Arial" w:hAnsi="Arial"/>
          <w:sz w:val="18"/>
          <w:szCs w:val="18"/>
          <w:color w:val="auto"/>
        </w:rPr>
        <w:t>. This amendments in Section 1 of this letter shall become effective as of the date (the “</w:t>
      </w:r>
      <w:r>
        <w:rPr>
          <w:rFonts w:ascii="Arial" w:cs="Arial" w:eastAsia="Arial" w:hAnsi="Arial"/>
          <w:sz w:val="18"/>
          <w:szCs w:val="18"/>
          <w:b w:val="1"/>
          <w:bCs w:val="1"/>
          <w:color w:val="auto"/>
        </w:rPr>
        <w:t>Effective Date</w:t>
      </w:r>
      <w:r>
        <w:rPr>
          <w:rFonts w:ascii="Arial" w:cs="Arial" w:eastAsia="Arial" w:hAnsi="Arial"/>
          <w:sz w:val="18"/>
          <w:szCs w:val="18"/>
          <w:color w:val="auto"/>
        </w:rPr>
        <w:t>”) upon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each Prudential Party shall have received original counterparts or, if satisfactory to such Prudential Party, certified or other copies of all of the following, each duly executed and delivered by the party or parties thereto, in form and substance satisfactory to such Prudential Party, dated the date hereof unless otherwise indicated, and on the date hereof in full force and effect:</w:t>
      </w:r>
    </w:p>
    <w:p>
      <w:pPr>
        <w:spacing w:after="0" w:line="223" w:lineRule="exact"/>
        <w:rPr>
          <w:sz w:val="20"/>
          <w:szCs w:val="20"/>
          <w:color w:val="auto"/>
        </w:rPr>
      </w:pPr>
    </w:p>
    <w:p>
      <w:pPr>
        <w:ind w:left="940" w:hanging="4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letter executed by the Company each of the Loan Parties;</w:t>
      </w:r>
    </w:p>
    <w:p>
      <w:pPr>
        <w:spacing w:after="0" w:line="279" w:lineRule="exact"/>
        <w:rPr>
          <w:rFonts w:ascii="Arial" w:cs="Arial" w:eastAsia="Arial" w:hAnsi="Arial"/>
          <w:sz w:val="18"/>
          <w:szCs w:val="18"/>
          <w:color w:val="auto"/>
        </w:rPr>
      </w:pPr>
    </w:p>
    <w:p>
      <w:pPr>
        <w:ind w:left="940" w:hanging="43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written waiver or consent of Harris, N. A. with respect to the Canadian Credit Agreement; and</w:t>
      </w:r>
    </w:p>
    <w:p>
      <w:pPr>
        <w:spacing w:after="0" w:line="279" w:lineRule="exact"/>
        <w:rPr>
          <w:rFonts w:ascii="Arial" w:cs="Arial" w:eastAsia="Arial" w:hAnsi="Arial"/>
          <w:sz w:val="18"/>
          <w:szCs w:val="18"/>
          <w:color w:val="auto"/>
        </w:rPr>
      </w:pPr>
    </w:p>
    <w:p>
      <w:pPr>
        <w:ind w:left="240" w:firstLine="295"/>
        <w:spacing w:after="0" w:line="26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Company’s certification that the Purchasers under the Existing Note Agreement have received actual notice of the Canadian Credit Agreement and have confirmed that no waiver or consent from them is required under the Existing Note Agreement.</w:t>
      </w:r>
    </w:p>
    <w:p>
      <w:pPr>
        <w:sectPr>
          <w:pgSz w:w="11900" w:h="16838" w:orient="portrait"/>
          <w:cols w:equalWidth="0" w:num="1">
            <w:col w:w="11420"/>
          </w:cols>
          <w:pgMar w:left="240" w:top="121" w:right="239" w:bottom="190" w:gutter="0" w:footer="0" w:header="0"/>
        </w:sectPr>
      </w:pPr>
    </w:p>
    <w:bookmarkStart w:id="50" w:name="page51"/>
    <w:bookmarkEnd w:id="50"/>
    <w:p>
      <w:pPr>
        <w:jc w:val="both"/>
        <w:ind w:right="20" w:firstLine="351"/>
        <w:spacing w:after="0" w:line="26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Covenant</w:t>
      </w:r>
      <w:r>
        <w:rPr>
          <w:rFonts w:ascii="Arial" w:cs="Arial" w:eastAsia="Arial" w:hAnsi="Arial"/>
          <w:sz w:val="18"/>
          <w:szCs w:val="18"/>
          <w:color w:val="auto"/>
        </w:rPr>
        <w:t>. Promptly upon conclusion of the Canadian Credit Agreement, Company shall deliver to the Purchaser a copy of the Canadian</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together with copies of all instruments, documents and agreements delivered in connection therewith, certified by an Officer’s Certificate as correct and complete; and</w:t>
      </w:r>
    </w:p>
    <w:p>
      <w:pPr>
        <w:spacing w:after="0" w:line="213" w:lineRule="exact"/>
        <w:rPr>
          <w:sz w:val="20"/>
          <w:szCs w:val="20"/>
          <w:color w:val="auto"/>
        </w:rPr>
      </w:pPr>
    </w:p>
    <w:p>
      <w:pPr>
        <w:jc w:val="both"/>
        <w:ind w:right="20" w:firstLine="378"/>
        <w:spacing w:after="0" w:line="289"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Reference to and Effect on Note Agreement</w:t>
      </w:r>
      <w:r>
        <w:rPr>
          <w:rFonts w:ascii="Arial" w:cs="Arial" w:eastAsia="Arial" w:hAnsi="Arial"/>
          <w:sz w:val="16"/>
          <w:szCs w:val="16"/>
          <w:color w:val="auto"/>
        </w:rPr>
        <w:t>. As of the Effective Date, each reference to the Note Agreement in any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or agreement shall mean and be a reference to the Note Agreement as modified by this letter. Except as specifically set forth in Section 1 hereof, the Note Agreement shall remain in full force and effect and is hereby ratified and confirmed in all respects. The Company hereby represents and warrants that all necessary or required consents to this letter have been obtained and are in full force and effect. Except as specifically stated in this letter, the execution, delivery and effectiveness of this letter shall not (a) amend the Note Agreement, any Note or any of the other Transaction Documents, (b) operate as a waiver of any right, power or remedy of the holder of any Note, (c) constitute a waiver of, or consent to any departure from, any provision of the Note Agreement, any Note or any of the other Transaction Documents at any time or (d) be construed as a course of dealing or other implication that any holder of any Note has agreed to or is prepared to grant any consents or agree to any amendments to the Note Agreement, any Note or any of the other Transaction Documents in the future, whether or not under similar circumstances.</w:t>
      </w:r>
    </w:p>
    <w:p>
      <w:pPr>
        <w:spacing w:after="0" w:line="194" w:lineRule="exact"/>
        <w:rPr>
          <w:sz w:val="20"/>
          <w:szCs w:val="20"/>
          <w:color w:val="auto"/>
        </w:rPr>
      </w:pPr>
    </w:p>
    <w:p>
      <w:pPr>
        <w:jc w:val="both"/>
        <w:ind w:right="20" w:firstLine="297"/>
        <w:spacing w:after="0" w:line="296"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confirms its obligations under the Note Agreement, whether or not the transactions hereby contemplated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to pay, promptly after request by the holders of the Notes, all reasonable out-of-pocket costs and expenses, including attorneys’ fees and expenses, incurred by any holder of the Notes in connection with this letter or the transactions contemplated hereby, in enforcing any rights under this letter, or in responding to any subpoena or other legal process or informal investigative demand issued in connection with this letter or the transactions contemplated hereby. The obligations of the Company under this Section 6 shall survive transfer by any holder of a Note of any Note and payment of any Note.</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right="20" w:firstLine="311"/>
        <w:spacing w:after="0" w:line="301"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Reaffirmation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Guarantor hereby ratifies and reaffirms all of its payment and performance obligations, contingent or otherwise,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Guaranty Agreement and each of the other Transaction Documents to which it is a party. Each Guarantor hereby consents to the terms and conditions of this letter and reaffirms its obligations and liabilities under or with respect to the Note Agreement as amended by this letter (including, without limitation, any additional Guaranteed Obligations (as defined in the Guaranty Agreement) resulting from this letter.</w:t>
      </w:r>
    </w:p>
    <w:p>
      <w:pPr>
        <w:spacing w:after="0" w:line="184"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LETTER SHALL BE CONSTRUED AND ENFORCED IN ACCORDANCE WITH THE INTERNAL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OF ILLINOIS, WITHOUT REGARD TO PRINCIPLES OF CONFLICT OF LAWS OF SUCH STATE WHICH WOULD OTHERWISE CAUSE THIS LETTER TO BE CONSTRUED OR ENFORCED OTHER THAN IN ACCORDANCE WITH THE LAWS OF THE STATE OF ILLINOIS.</w:t>
      </w:r>
    </w:p>
    <w:p>
      <w:pPr>
        <w:spacing w:after="0" w:line="178" w:lineRule="exact"/>
        <w:rPr>
          <w:sz w:val="20"/>
          <w:szCs w:val="20"/>
          <w:color w:val="auto"/>
        </w:rPr>
      </w:pPr>
    </w:p>
    <w:p>
      <w:pPr>
        <w:jc w:val="both"/>
        <w:ind w:right="20" w:firstLine="419"/>
        <w:spacing w:after="0" w:line="25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Counterparts; Section Titles</w:t>
      </w:r>
      <w:r>
        <w:rPr>
          <w:rFonts w:ascii="Arial" w:cs="Arial" w:eastAsia="Arial" w:hAnsi="Arial"/>
          <w:sz w:val="18"/>
          <w:szCs w:val="18"/>
          <w:b w:val="1"/>
          <w:bCs w:val="1"/>
          <w:color w:val="auto"/>
        </w:rPr>
        <w:t xml:space="preserve">. </w:t>
      </w:r>
      <w:r>
        <w:rPr>
          <w:rFonts w:ascii="Arial" w:cs="Arial" w:eastAsia="Arial" w:hAnsi="Arial"/>
          <w:sz w:val="18"/>
          <w:szCs w:val="18"/>
          <w:color w:val="auto"/>
        </w:rPr>
        <w:t>This letter may be executed in any number of counterparts and by different parties hereto in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deemed to be an original and all of which taken together shall constitute but one and the same instrument. Delivery of an executed counterpart of a signature page to this letter by facsimile shall be effective as delivery of a manually executed counterpart of this letter. The section titles contained in this letter are and shall be without substance, meaning or content of any kind whatsoever and are not a part of the agreement between the parties hereto.</w:t>
      </w:r>
    </w:p>
    <w:p>
      <w:pPr>
        <w:spacing w:after="0" w:line="22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THE PRUDENTIAL INSURANCE COMPANY</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OF AMERICA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10795</wp:posOffset>
            </wp:positionV>
            <wp:extent cx="23412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31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PRUDENTIAL RETIREMENT INSURANCE</w:t>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AND ANNUITY COMPANY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ind w:left="462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0"/>
                <w:szCs w:val="20"/>
                <w:color w:val="auto"/>
              </w:rPr>
            </w:pPr>
            <w:r>
              <w:rPr>
                <w:rFonts w:ascii="Arial" w:cs="Arial" w:eastAsia="Arial" w:hAnsi="Arial"/>
                <w:sz w:val="18"/>
                <w:szCs w:val="18"/>
                <w:color w:val="auto"/>
              </w:rPr>
              <w:t>Prudential Investment Management, Inc.,</w:t>
            </w:r>
          </w:p>
        </w:tc>
        <w:tc>
          <w:tcPr>
            <w:tcW w:w="2560" w:type="dxa"/>
            <w:vAlign w:val="bottom"/>
          </w:tcPr>
          <w:p>
            <w:pPr>
              <w:spacing w:after="0"/>
              <w:rPr>
                <w:sz w:val="19"/>
                <w:szCs w:val="19"/>
                <w:color w:val="auto"/>
              </w:rPr>
            </w:pPr>
          </w:p>
        </w:tc>
      </w:tr>
      <w:tr>
        <w:trPr>
          <w:trHeight w:val="243"/>
        </w:trPr>
        <w:tc>
          <w:tcPr>
            <w:tcW w:w="520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as investment manager</w:t>
            </w:r>
          </w:p>
        </w:tc>
        <w:tc>
          <w:tcPr>
            <w:tcW w:w="2560" w:type="dxa"/>
            <w:vAlign w:val="bottom"/>
          </w:tcPr>
          <w:p>
            <w:pPr>
              <w:spacing w:after="0"/>
              <w:rPr>
                <w:sz w:val="21"/>
                <w:szCs w:val="21"/>
                <w:color w:val="auto"/>
              </w:rPr>
            </w:pPr>
          </w:p>
        </w:tc>
      </w:tr>
      <w:tr>
        <w:trPr>
          <w:trHeight w:val="731"/>
        </w:trPr>
        <w:tc>
          <w:tcPr>
            <w:tcW w:w="5200" w:type="dxa"/>
            <w:vAlign w:val="bottom"/>
          </w:tcPr>
          <w:p>
            <w:pPr>
              <w:ind w:left="46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Coletta</w:t>
            </w:r>
          </w:p>
        </w:tc>
        <w:tc>
          <w:tcPr>
            <w:tcW w:w="2560" w:type="dxa"/>
            <w:vAlign w:val="bottom"/>
          </w:tcPr>
          <w:p>
            <w:pPr>
              <w:spacing w:after="0"/>
              <w:rPr>
                <w:sz w:val="24"/>
                <w:szCs w:val="24"/>
                <w:color w:val="auto"/>
              </w:rPr>
            </w:pPr>
          </w:p>
        </w:tc>
      </w:tr>
      <w:tr>
        <w:trPr>
          <w:trHeight w:val="235"/>
        </w:trPr>
        <w:tc>
          <w:tcPr>
            <w:tcW w:w="52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Vice President</w:t>
            </w:r>
          </w:p>
        </w:tc>
        <w:tc>
          <w:tcPr>
            <w:tcW w:w="2560" w:type="dxa"/>
            <w:vAlign w:val="bottom"/>
          </w:tcPr>
          <w:p>
            <w:pPr>
              <w:spacing w:after="0"/>
              <w:rPr>
                <w:sz w:val="20"/>
                <w:szCs w:val="20"/>
                <w:color w:val="auto"/>
              </w:rPr>
            </w:pPr>
          </w:p>
        </w:tc>
      </w:tr>
      <w:tr>
        <w:trPr>
          <w:trHeight w:val="675"/>
        </w:trPr>
        <w:tc>
          <w:tcPr>
            <w:tcW w:w="520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79</w:t>
            </w:r>
          </w:p>
        </w:tc>
        <w:tc>
          <w:tcPr>
            <w:tcW w:w="2560" w:type="dxa"/>
            <w:vAlign w:val="bottom"/>
          </w:tcPr>
          <w:p>
            <w:pPr>
              <w:spacing w:after="0"/>
              <w:rPr>
                <w:sz w:val="24"/>
                <w:szCs w:val="24"/>
                <w:color w:val="auto"/>
              </w:rPr>
            </w:pPr>
          </w:p>
        </w:tc>
      </w:tr>
      <w:tr>
        <w:trPr>
          <w:trHeight w:val="228"/>
        </w:trPr>
        <w:tc>
          <w:tcPr>
            <w:tcW w:w="52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OIL-DRI CORPORATION OF AMERICA</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ectPr>
          <w:pgSz w:w="11900" w:h="16838" w:orient="portrait"/>
          <w:cols w:equalWidth="0" w:num="1">
            <w:col w:w="11440"/>
          </w:cols>
          <w:pgMar w:left="240" w:top="152" w:right="219" w:bottom="0" w:gutter="0" w:footer="0" w:header="0"/>
        </w:sectPr>
      </w:pPr>
    </w:p>
    <w:bookmarkStart w:id="51" w:name="page52"/>
    <w:bookmarkEnd w:id="51"/>
    <w:p>
      <w:pPr>
        <w:spacing w:after="0" w:line="2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 Finance, and Treasurer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OIL-DRI CORPORATION OF GEORGIA,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a Georgia corporation</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OIL-DRI PRODUCTION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a Mississippi corporation</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OIL-DRI CORPORATION OF NEVADA,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a Nevada corporation</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MOUNDS PRODUCTION COMPANY,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an Illinois limited liability company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By: MOUNDS MANAGEMENT,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Its Managing Member</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MOUNDS MANAGEMENT,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a Delaware corporation</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BLUE MOUNTAIN PRODUCTION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a Mississippi corporation</w:t>
      </w:r>
    </w:p>
    <w:p>
      <w:pPr>
        <w:spacing w:after="0" w:line="200" w:lineRule="exact"/>
        <w:rPr>
          <w:sz w:val="20"/>
          <w:szCs w:val="20"/>
          <w:color w:val="auto"/>
        </w:rPr>
      </w:pPr>
    </w:p>
    <w:p>
      <w:pPr>
        <w:spacing w:after="0" w:line="3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TAFT PRODUCTION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10795</wp:posOffset>
            </wp:positionV>
            <wp:extent cx="17494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Jeffrey M. Libert</w:t>
      </w:r>
    </w:p>
    <w:p>
      <w:pPr>
        <w:spacing w:after="0" w:line="3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ectPr>
          <w:pgSz w:w="11900" w:h="16866" w:orient="portrait"/>
          <w:cols w:equalWidth="0" w:num="1">
            <w:col w:w="10219"/>
          </w:cols>
          <w:pgMar w:left="240" w:top="158" w:right="1440" w:bottom="0"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3"/>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 10.12</w:t>
            </w: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19"/>
        </w:trPr>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Arial" w:cs="Arial" w:eastAsia="Arial" w:hAnsi="Arial"/>
                <w:sz w:val="18"/>
                <w:szCs w:val="18"/>
                <w:color w:val="auto"/>
              </w:rPr>
              <w:t>OIL-DRI CORPORATION OF AMERICA</w:t>
            </w:r>
          </w:p>
        </w:tc>
      </w:tr>
      <w:tr>
        <w:trPr>
          <w:trHeight w:val="394"/>
        </w:trPr>
        <w:tc>
          <w:tcPr>
            <w:tcW w:w="1340" w:type="dxa"/>
            <w:vAlign w:val="bottom"/>
          </w:tcPr>
          <w:p>
            <w:pPr>
              <w:ind w:left="680"/>
              <w:spacing w:after="0"/>
              <w:rPr>
                <w:sz w:val="20"/>
                <w:szCs w:val="20"/>
                <w:color w:val="auto"/>
              </w:rPr>
            </w:pPr>
            <w:r>
              <w:rPr>
                <w:rFonts w:ascii="Arial" w:cs="Arial" w:eastAsia="Arial" w:hAnsi="Arial"/>
                <w:sz w:val="18"/>
                <w:szCs w:val="18"/>
                <w:color w:val="auto"/>
              </w:rPr>
              <w:t>Re:</w:t>
            </w:r>
          </w:p>
        </w:tc>
        <w:tc>
          <w:tcPr>
            <w:tcW w:w="10060" w:type="dxa"/>
            <w:vAlign w:val="bottom"/>
            <w:gridSpan w:val="4"/>
          </w:tcPr>
          <w:p>
            <w:pPr>
              <w:ind w:left="160"/>
              <w:spacing w:after="0"/>
              <w:rPr>
                <w:sz w:val="20"/>
                <w:szCs w:val="20"/>
                <w:color w:val="auto"/>
              </w:rPr>
            </w:pPr>
            <w:r>
              <w:rPr>
                <w:rFonts w:ascii="Arial" w:cs="Arial" w:eastAsia="Arial" w:hAnsi="Arial"/>
                <w:sz w:val="18"/>
                <w:szCs w:val="18"/>
                <w:color w:val="auto"/>
                <w:w w:val="90"/>
              </w:rPr>
              <w:t>Extension and Amendment of Agreement made August 1, 1989, between Oil-Dri Corporation of America (“Oil- Dri”) and Richard M. Jaffee</w:t>
            </w:r>
          </w:p>
        </w:tc>
      </w:tr>
      <w:tr>
        <w:trPr>
          <w:trHeight w:val="196"/>
        </w:trPr>
        <w:tc>
          <w:tcPr>
            <w:tcW w:w="1340" w:type="dxa"/>
            <w:vAlign w:val="bottom"/>
          </w:tcPr>
          <w:p>
            <w:pPr>
              <w:spacing w:after="0"/>
              <w:rPr>
                <w:sz w:val="17"/>
                <w:szCs w:val="17"/>
                <w:color w:val="auto"/>
              </w:rPr>
            </w:pPr>
          </w:p>
        </w:tc>
        <w:tc>
          <w:tcPr>
            <w:tcW w:w="810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(“Jaffee”) (“1989 Agreement”)</w:t>
            </w:r>
          </w:p>
        </w:tc>
        <w:tc>
          <w:tcPr>
            <w:tcW w:w="1960" w:type="dxa"/>
            <w:vAlign w:val="bottom"/>
            <w:tcBorders>
              <w:top w:val="single" w:sz="8" w:color="auto"/>
            </w:tcBorders>
          </w:tcPr>
          <w:p>
            <w:pPr>
              <w:spacing w:after="0"/>
              <w:rPr>
                <w:sz w:val="17"/>
                <w:szCs w:val="17"/>
                <w:color w:val="auto"/>
              </w:rPr>
            </w:pPr>
          </w:p>
        </w:tc>
      </w:tr>
      <w:tr>
        <w:trPr>
          <w:trHeight w:val="505"/>
        </w:trPr>
        <w:tc>
          <w:tcPr>
            <w:tcW w:w="1340" w:type="dxa"/>
            <w:vAlign w:val="bottom"/>
          </w:tcPr>
          <w:p>
            <w:pPr>
              <w:spacing w:after="0"/>
              <w:rPr>
                <w:sz w:val="20"/>
                <w:szCs w:val="20"/>
                <w:color w:val="auto"/>
              </w:rPr>
            </w:pPr>
            <w:r>
              <w:rPr>
                <w:rFonts w:ascii="Arial" w:cs="Arial" w:eastAsia="Arial" w:hAnsi="Arial"/>
                <w:sz w:val="18"/>
                <w:szCs w:val="18"/>
                <w:color w:val="auto"/>
              </w:rPr>
              <w:t>Is agreed that</w:t>
            </w:r>
          </w:p>
        </w:tc>
        <w:tc>
          <w:tcPr>
            <w:tcW w:w="16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37" w:lineRule="exact"/>
        <w:rPr>
          <w:sz w:val="20"/>
          <w:szCs w:val="20"/>
          <w:color w:val="auto"/>
        </w:rPr>
      </w:pPr>
    </w:p>
    <w:p>
      <w:pPr>
        <w:ind w:left="1160" w:right="440" w:hanging="477"/>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the 1989 Agreement is extended so as to expire July 31, 2009, and, to that end, Paragraph 19 is amended to substitute “July 31, 2009” for July 31, 1999.”</w:t>
      </w:r>
    </w:p>
    <w:p>
      <w:pPr>
        <w:spacing w:after="0" w:line="212" w:lineRule="exact"/>
        <w:rPr>
          <w:rFonts w:ascii="Arial" w:cs="Arial" w:eastAsia="Arial" w:hAnsi="Arial"/>
          <w:sz w:val="18"/>
          <w:szCs w:val="18"/>
          <w:color w:val="auto"/>
        </w:rPr>
      </w:pPr>
    </w:p>
    <w:p>
      <w:pPr>
        <w:ind w:left="1160" w:hanging="4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August 1, 1999, Paragraph 2 (b) of the 1989 Agreement is deleted.</w:t>
      </w:r>
    </w:p>
    <w:p>
      <w:pPr>
        <w:spacing w:after="0" w:line="252" w:lineRule="exact"/>
        <w:rPr>
          <w:rFonts w:ascii="Arial" w:cs="Arial" w:eastAsia="Arial" w:hAnsi="Arial"/>
          <w:sz w:val="18"/>
          <w:szCs w:val="18"/>
          <w:color w:val="auto"/>
        </w:rPr>
      </w:pPr>
    </w:p>
    <w:p>
      <w:pPr>
        <w:ind w:left="1160" w:hanging="4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all other respects, the 1989 Agreement shall remain in full force and effect.</w:t>
      </w:r>
    </w:p>
    <w:p>
      <w:pPr>
        <w:spacing w:after="0" w:line="27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OIL-DRI CORPORATION OF AMERICA</w:t>
      </w:r>
    </w:p>
    <w:p>
      <w:pPr>
        <w:spacing w:after="0" w:line="15" w:lineRule="exact"/>
        <w:rPr>
          <w:sz w:val="20"/>
          <w:szCs w:val="20"/>
          <w:color w:val="auto"/>
        </w:rPr>
      </w:pPr>
    </w:p>
    <w:p>
      <w:pPr>
        <w:ind w:left="7780"/>
        <w:spacing w:after="0"/>
        <w:tabs>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6985</wp:posOffset>
            </wp:positionV>
            <wp:extent cx="21012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30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Richard M.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10795</wp:posOffset>
            </wp:positionV>
            <wp:extent cx="21012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0"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Richard M. Jaffee</w:t>
      </w:r>
    </w:p>
    <w:p>
      <w:pPr>
        <w:spacing w:after="0" w:line="279"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Dated: 10/9/98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3"/>
        </w:trPr>
        <w:tc>
          <w:tcPr>
            <w:tcW w:w="3920" w:type="dxa"/>
            <w:vAlign w:val="bottom"/>
          </w:tcPr>
          <w:p>
            <w:pPr>
              <w:spacing w:after="0"/>
              <w:rPr>
                <w:sz w:val="20"/>
                <w:szCs w:val="20"/>
                <w:color w:val="auto"/>
              </w:rPr>
            </w:pPr>
            <w:r>
              <w:rPr>
                <w:rFonts w:ascii="Arial" w:cs="Arial" w:eastAsia="Arial" w:hAnsi="Arial"/>
                <w:sz w:val="18"/>
                <w:szCs w:val="18"/>
                <w:b w:val="1"/>
                <w:bCs w:val="1"/>
                <w:color w:val="auto"/>
              </w:rPr>
              <w:t>EXHIBIT 11.1:</w:t>
            </w:r>
          </w:p>
        </w:tc>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3920" w:type="dxa"/>
            <w:vAlign w:val="bottom"/>
          </w:tcPr>
          <w:p>
            <w:pPr>
              <w:spacing w:after="0"/>
              <w:rPr>
                <w:sz w:val="24"/>
                <w:szCs w:val="24"/>
                <w:color w:val="auto"/>
              </w:rPr>
            </w:pPr>
          </w:p>
        </w:tc>
        <w:tc>
          <w:tcPr>
            <w:tcW w:w="4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OIL-DRI CORPORATION OF AMERICA</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Computation of Net Income Per Share</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4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(in thousands except for per share amounts)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3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2006</w:t>
            </w:r>
          </w:p>
        </w:tc>
        <w:tc>
          <w:tcPr>
            <w:tcW w:w="44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2005</w:t>
            </w:r>
          </w:p>
        </w:tc>
        <w:tc>
          <w:tcPr>
            <w:tcW w:w="44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2004</w:t>
            </w:r>
          </w:p>
        </w:tc>
        <w:tc>
          <w:tcPr>
            <w:tcW w:w="0" w:type="dxa"/>
            <w:vAlign w:val="bottom"/>
          </w:tcPr>
          <w:p>
            <w:pPr>
              <w:spacing w:after="0"/>
              <w:rPr>
                <w:sz w:val="1"/>
                <w:szCs w:val="1"/>
                <w:color w:val="auto"/>
              </w:rPr>
            </w:pPr>
          </w:p>
        </w:tc>
      </w:tr>
      <w:tr>
        <w:trPr>
          <w:trHeight w:val="474"/>
        </w:trPr>
        <w:tc>
          <w:tcPr>
            <w:tcW w:w="3920" w:type="dxa"/>
            <w:vAlign w:val="bottom"/>
          </w:tcPr>
          <w:p>
            <w:pPr>
              <w:ind w:left="1140"/>
              <w:spacing w:after="0"/>
              <w:rPr>
                <w:sz w:val="20"/>
                <w:szCs w:val="20"/>
                <w:color w:val="auto"/>
              </w:rPr>
            </w:pPr>
            <w:r>
              <w:rPr>
                <w:rFonts w:ascii="Arial" w:cs="Arial" w:eastAsia="Arial" w:hAnsi="Arial"/>
                <w:sz w:val="18"/>
                <w:szCs w:val="18"/>
                <w:color w:val="auto"/>
                <w:w w:val="94"/>
              </w:rPr>
              <w:t>Net income available to stockholders</w:t>
            </w: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5,259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6,540</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5,033</w:t>
            </w:r>
          </w:p>
        </w:tc>
        <w:tc>
          <w:tcPr>
            <w:tcW w:w="0" w:type="dxa"/>
            <w:vAlign w:val="bottom"/>
          </w:tcPr>
          <w:p>
            <w:pPr>
              <w:spacing w:after="0"/>
              <w:rPr>
                <w:sz w:val="1"/>
                <w:szCs w:val="1"/>
                <w:color w:val="auto"/>
              </w:rPr>
            </w:pPr>
          </w:p>
        </w:tc>
      </w:tr>
      <w:tr>
        <w:trPr>
          <w:trHeight w:val="241"/>
        </w:trPr>
        <w:tc>
          <w:tcPr>
            <w:tcW w:w="3920" w:type="dxa"/>
            <w:vAlign w:val="bottom"/>
          </w:tcPr>
          <w:p>
            <w:pPr>
              <w:ind w:left="1320"/>
              <w:spacing w:after="0"/>
              <w:rPr>
                <w:sz w:val="20"/>
                <w:szCs w:val="20"/>
                <w:color w:val="auto"/>
              </w:rPr>
            </w:pPr>
            <w:r>
              <w:rPr>
                <w:rFonts w:ascii="Arial" w:cs="Arial" w:eastAsia="Arial" w:hAnsi="Arial"/>
                <w:sz w:val="18"/>
                <w:szCs w:val="18"/>
                <w:color w:val="auto"/>
              </w:rPr>
              <w:t>(numerator)</w:t>
            </w:r>
          </w:p>
        </w:tc>
        <w:tc>
          <w:tcPr>
            <w:tcW w:w="39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920" w:type="dxa"/>
            <w:vAlign w:val="bottom"/>
          </w:tcPr>
          <w:p>
            <w:pPr>
              <w:ind w:left="1140"/>
              <w:spacing w:after="0"/>
              <w:rPr>
                <w:sz w:val="20"/>
                <w:szCs w:val="20"/>
                <w:color w:val="auto"/>
              </w:rPr>
            </w:pPr>
            <w:r>
              <w:rPr>
                <w:rFonts w:ascii="Arial" w:cs="Arial" w:eastAsia="Arial" w:hAnsi="Arial"/>
                <w:sz w:val="18"/>
                <w:szCs w:val="18"/>
                <w:color w:val="auto"/>
              </w:rPr>
              <w:t>Shares Calculation</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320"/>
              <w:spacing w:after="0"/>
              <w:rPr>
                <w:sz w:val="20"/>
                <w:szCs w:val="20"/>
                <w:color w:val="auto"/>
              </w:rPr>
            </w:pPr>
            <w:r>
              <w:rPr>
                <w:rFonts w:ascii="Arial" w:cs="Arial" w:eastAsia="Arial" w:hAnsi="Arial"/>
                <w:sz w:val="18"/>
                <w:szCs w:val="18"/>
                <w:color w:val="auto"/>
              </w:rPr>
              <w:t>(denominator)</w:t>
            </w:r>
          </w:p>
        </w:tc>
        <w:tc>
          <w:tcPr>
            <w:tcW w:w="3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920" w:type="dxa"/>
            <w:vAlign w:val="bottom"/>
          </w:tcPr>
          <w:p>
            <w:pPr>
              <w:ind w:left="1140"/>
              <w:spacing w:after="0"/>
              <w:rPr>
                <w:sz w:val="20"/>
                <w:szCs w:val="20"/>
                <w:color w:val="auto"/>
              </w:rPr>
            </w:pPr>
            <w:r>
              <w:rPr>
                <w:rFonts w:ascii="Arial" w:cs="Arial" w:eastAsia="Arial" w:hAnsi="Arial"/>
                <w:sz w:val="18"/>
                <w:szCs w:val="18"/>
                <w:color w:val="auto"/>
              </w:rPr>
              <w:t>Average shares outstanding –</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320"/>
              <w:spacing w:after="0"/>
              <w:rPr>
                <w:sz w:val="20"/>
                <w:szCs w:val="20"/>
                <w:color w:val="auto"/>
              </w:rPr>
            </w:pPr>
            <w:r>
              <w:rPr>
                <w:rFonts w:ascii="Arial" w:cs="Arial" w:eastAsia="Arial" w:hAnsi="Arial"/>
                <w:sz w:val="18"/>
                <w:szCs w:val="18"/>
                <w:color w:val="auto"/>
              </w:rPr>
              <w:t>Basic Common</w:t>
            </w:r>
          </w:p>
        </w:tc>
        <w:tc>
          <w:tcPr>
            <w:tcW w:w="3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5,005</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5,047</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5,050</w:t>
            </w:r>
          </w:p>
        </w:tc>
        <w:tc>
          <w:tcPr>
            <w:tcW w:w="0" w:type="dxa"/>
            <w:vAlign w:val="bottom"/>
          </w:tcPr>
          <w:p>
            <w:pPr>
              <w:spacing w:after="0"/>
              <w:rPr>
                <w:sz w:val="1"/>
                <w:szCs w:val="1"/>
                <w:color w:val="auto"/>
              </w:rPr>
            </w:pPr>
          </w:p>
        </w:tc>
      </w:tr>
      <w:tr>
        <w:trPr>
          <w:trHeight w:val="486"/>
        </w:trPr>
        <w:tc>
          <w:tcPr>
            <w:tcW w:w="3920" w:type="dxa"/>
            <w:vAlign w:val="bottom"/>
          </w:tcPr>
          <w:p>
            <w:pPr>
              <w:ind w:left="1140"/>
              <w:spacing w:after="0"/>
              <w:rPr>
                <w:sz w:val="20"/>
                <w:szCs w:val="20"/>
                <w:color w:val="auto"/>
              </w:rPr>
            </w:pPr>
            <w:r>
              <w:rPr>
                <w:rFonts w:ascii="Arial" w:cs="Arial" w:eastAsia="Arial" w:hAnsi="Arial"/>
                <w:sz w:val="18"/>
                <w:szCs w:val="18"/>
                <w:color w:val="auto"/>
              </w:rPr>
              <w:t>Average shares outstanding –</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320"/>
              <w:spacing w:after="0"/>
              <w:rPr>
                <w:sz w:val="20"/>
                <w:szCs w:val="20"/>
                <w:color w:val="auto"/>
              </w:rPr>
            </w:pPr>
            <w:r>
              <w:rPr>
                <w:rFonts w:ascii="Arial" w:cs="Arial" w:eastAsia="Arial" w:hAnsi="Arial"/>
                <w:sz w:val="18"/>
                <w:szCs w:val="18"/>
                <w:color w:val="auto"/>
              </w:rPr>
              <w:t>Basic Class B Common</w:t>
            </w:r>
          </w:p>
        </w:tc>
        <w:tc>
          <w:tcPr>
            <w:tcW w:w="3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1,822</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1,818</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1,796</w:t>
            </w:r>
          </w:p>
        </w:tc>
        <w:tc>
          <w:tcPr>
            <w:tcW w:w="0" w:type="dxa"/>
            <w:vAlign w:val="bottom"/>
          </w:tcPr>
          <w:p>
            <w:pPr>
              <w:spacing w:after="0"/>
              <w:rPr>
                <w:sz w:val="1"/>
                <w:szCs w:val="1"/>
                <w:color w:val="auto"/>
              </w:rPr>
            </w:pPr>
          </w:p>
        </w:tc>
      </w:tr>
      <w:tr>
        <w:trPr>
          <w:trHeight w:val="486"/>
        </w:trPr>
        <w:tc>
          <w:tcPr>
            <w:tcW w:w="3920" w:type="dxa"/>
            <w:vAlign w:val="bottom"/>
          </w:tcPr>
          <w:p>
            <w:pPr>
              <w:ind w:left="1140"/>
              <w:spacing w:after="0"/>
              <w:rPr>
                <w:sz w:val="20"/>
                <w:szCs w:val="20"/>
                <w:color w:val="auto"/>
              </w:rPr>
            </w:pPr>
            <w:r>
              <w:rPr>
                <w:rFonts w:ascii="Arial" w:cs="Arial" w:eastAsia="Arial" w:hAnsi="Arial"/>
                <w:sz w:val="18"/>
                <w:szCs w:val="18"/>
                <w:color w:val="auto"/>
              </w:rPr>
              <w:t>Effect of Dilutive Securities:</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20" w:type="dxa"/>
            <w:vAlign w:val="bottom"/>
          </w:tcPr>
          <w:p>
            <w:pPr>
              <w:ind w:left="1140"/>
              <w:spacing w:after="0"/>
              <w:rPr>
                <w:sz w:val="20"/>
                <w:szCs w:val="20"/>
                <w:color w:val="auto"/>
              </w:rPr>
            </w:pPr>
            <w:r>
              <w:rPr>
                <w:rFonts w:ascii="Arial" w:cs="Arial" w:eastAsia="Arial" w:hAnsi="Arial"/>
                <w:sz w:val="18"/>
                <w:szCs w:val="18"/>
                <w:color w:val="auto"/>
              </w:rPr>
              <w:t>Potential Common Stock relating</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1320"/>
              <w:spacing w:after="0"/>
              <w:rPr>
                <w:sz w:val="20"/>
                <w:szCs w:val="20"/>
                <w:color w:val="auto"/>
              </w:rPr>
            </w:pPr>
            <w:r>
              <w:rPr>
                <w:rFonts w:ascii="Arial" w:cs="Arial" w:eastAsia="Arial" w:hAnsi="Arial"/>
                <w:sz w:val="18"/>
                <w:szCs w:val="18"/>
                <w:color w:val="auto"/>
              </w:rPr>
              <w:t>To stock options</w:t>
            </w:r>
          </w:p>
        </w:tc>
        <w:tc>
          <w:tcPr>
            <w:tcW w:w="3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478"/>
        </w:trPr>
        <w:tc>
          <w:tcPr>
            <w:tcW w:w="3920" w:type="dxa"/>
            <w:vAlign w:val="bottom"/>
          </w:tcPr>
          <w:p>
            <w:pPr>
              <w:ind w:left="1140"/>
              <w:spacing w:after="0"/>
              <w:rPr>
                <w:sz w:val="20"/>
                <w:szCs w:val="20"/>
                <w:color w:val="auto"/>
              </w:rPr>
            </w:pPr>
            <w:r>
              <w:rPr>
                <w:rFonts w:ascii="Arial" w:cs="Arial" w:eastAsia="Arial" w:hAnsi="Arial"/>
                <w:sz w:val="18"/>
                <w:szCs w:val="18"/>
                <w:color w:val="auto"/>
              </w:rPr>
              <w:t>Average shares outstanding –</w:t>
            </w: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7,219</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7,455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7,452</w:t>
            </w:r>
          </w:p>
        </w:tc>
        <w:tc>
          <w:tcPr>
            <w:tcW w:w="0" w:type="dxa"/>
            <w:vAlign w:val="bottom"/>
          </w:tcPr>
          <w:p>
            <w:pPr>
              <w:spacing w:after="0"/>
              <w:rPr>
                <w:sz w:val="1"/>
                <w:szCs w:val="1"/>
                <w:color w:val="auto"/>
              </w:rPr>
            </w:pPr>
          </w:p>
        </w:tc>
      </w:tr>
      <w:tr>
        <w:trPr>
          <w:trHeight w:val="239"/>
        </w:trPr>
        <w:tc>
          <w:tcPr>
            <w:tcW w:w="3920" w:type="dxa"/>
            <w:vAlign w:val="bottom"/>
          </w:tcPr>
          <w:p>
            <w:pPr>
              <w:ind w:left="1320"/>
              <w:spacing w:after="0"/>
              <w:rPr>
                <w:sz w:val="20"/>
                <w:szCs w:val="20"/>
                <w:color w:val="auto"/>
              </w:rPr>
            </w:pPr>
            <w:r>
              <w:rPr>
                <w:rFonts w:ascii="Arial" w:cs="Arial" w:eastAsia="Arial" w:hAnsi="Arial"/>
                <w:sz w:val="18"/>
                <w:szCs w:val="18"/>
                <w:color w:val="auto"/>
              </w:rPr>
              <w:t>Assuming dilution</w:t>
            </w:r>
          </w:p>
        </w:tc>
        <w:tc>
          <w:tcPr>
            <w:tcW w:w="3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3920" w:type="dxa"/>
            <w:vAlign w:val="bottom"/>
          </w:tcPr>
          <w:p>
            <w:pPr>
              <w:ind w:left="1140"/>
              <w:spacing w:after="0"/>
              <w:rPr>
                <w:sz w:val="20"/>
                <w:szCs w:val="20"/>
                <w:color w:val="auto"/>
              </w:rPr>
            </w:pPr>
            <w:r>
              <w:rPr>
                <w:rFonts w:ascii="Arial" w:cs="Arial" w:eastAsia="Arial" w:hAnsi="Arial"/>
                <w:sz w:val="18"/>
                <w:szCs w:val="18"/>
                <w:color w:val="auto"/>
              </w:rPr>
              <w:t>Net Income Per Share:</w:t>
            </w:r>
          </w:p>
        </w:tc>
        <w:tc>
          <w:tcPr>
            <w:tcW w:w="4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0.83</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9"/>
        </w:trPr>
        <w:tc>
          <w:tcPr>
            <w:tcW w:w="3920" w:type="dxa"/>
            <w:vAlign w:val="bottom"/>
          </w:tcPr>
          <w:p>
            <w:pPr>
              <w:ind w:left="1320"/>
              <w:spacing w:after="0"/>
              <w:rPr>
                <w:sz w:val="20"/>
                <w:szCs w:val="20"/>
                <w:color w:val="auto"/>
              </w:rPr>
            </w:pPr>
            <w:r>
              <w:rPr>
                <w:rFonts w:ascii="Arial" w:cs="Arial" w:eastAsia="Arial" w:hAnsi="Arial"/>
                <w:sz w:val="18"/>
                <w:szCs w:val="18"/>
                <w:color w:val="auto"/>
              </w:rPr>
              <w:t>Basic Common</w:t>
            </w:r>
          </w:p>
        </w:tc>
        <w:tc>
          <w:tcPr>
            <w:tcW w:w="4060" w:type="dxa"/>
            <w:vAlign w:val="bottom"/>
            <w:gridSpan w:val="2"/>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920" w:type="dxa"/>
            <w:vAlign w:val="bottom"/>
          </w:tcPr>
          <w:p>
            <w:pPr>
              <w:ind w:left="1140"/>
              <w:spacing w:after="0"/>
              <w:rPr>
                <w:sz w:val="20"/>
                <w:szCs w:val="20"/>
                <w:color w:val="auto"/>
              </w:rPr>
            </w:pPr>
            <w:r>
              <w:rPr>
                <w:rFonts w:ascii="Arial" w:cs="Arial" w:eastAsia="Arial" w:hAnsi="Arial"/>
                <w:sz w:val="18"/>
                <w:szCs w:val="18"/>
                <w:color w:val="auto"/>
              </w:rPr>
              <w:t>Net Income Per Share:</w:t>
            </w:r>
          </w:p>
        </w:tc>
        <w:tc>
          <w:tcPr>
            <w:tcW w:w="39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320"/>
              <w:spacing w:after="0"/>
              <w:rPr>
                <w:sz w:val="20"/>
                <w:szCs w:val="20"/>
                <w:color w:val="auto"/>
              </w:rPr>
            </w:pPr>
            <w:r>
              <w:rPr>
                <w:rFonts w:ascii="Arial" w:cs="Arial" w:eastAsia="Arial" w:hAnsi="Arial"/>
                <w:sz w:val="18"/>
                <w:szCs w:val="18"/>
                <w:color w:val="auto"/>
              </w:rPr>
              <w:t>Basic Class B Common</w:t>
            </w:r>
          </w:p>
        </w:tc>
        <w:tc>
          <w:tcPr>
            <w:tcW w:w="3980" w:type="dxa"/>
            <w:vAlign w:val="bottom"/>
            <w:vMerge w:val="restart"/>
          </w:tcPr>
          <w:p>
            <w:pPr>
              <w:spacing w:after="0"/>
              <w:rPr>
                <w:sz w:val="21"/>
                <w:szCs w:val="2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0.61</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0.76</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920" w:type="dxa"/>
            <w:vAlign w:val="bottom"/>
          </w:tcPr>
          <w:p>
            <w:pPr>
              <w:spacing w:after="0"/>
              <w:rPr>
                <w:sz w:val="3"/>
                <w:szCs w:val="3"/>
                <w:color w:val="auto"/>
              </w:rPr>
            </w:pPr>
          </w:p>
        </w:tc>
        <w:tc>
          <w:tcPr>
            <w:tcW w:w="3980" w:type="dxa"/>
            <w:vAlign w:val="bottom"/>
            <w:tcBorders>
              <w:righ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459"/>
        </w:trPr>
        <w:tc>
          <w:tcPr>
            <w:tcW w:w="3920" w:type="dxa"/>
            <w:vAlign w:val="bottom"/>
          </w:tcPr>
          <w:p>
            <w:pPr>
              <w:ind w:left="1140"/>
              <w:spacing w:after="0"/>
              <w:rPr>
                <w:sz w:val="20"/>
                <w:szCs w:val="20"/>
                <w:color w:val="auto"/>
              </w:rPr>
            </w:pPr>
            <w:r>
              <w:rPr>
                <w:rFonts w:ascii="Arial" w:cs="Arial" w:eastAsia="Arial" w:hAnsi="Arial"/>
                <w:sz w:val="18"/>
                <w:szCs w:val="18"/>
                <w:color w:val="auto"/>
              </w:rPr>
              <w:t>Diluted</w:t>
            </w:r>
          </w:p>
        </w:tc>
        <w:tc>
          <w:tcPr>
            <w:tcW w:w="39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3"/>
                <w:szCs w:val="3"/>
                <w:color w:val="auto"/>
              </w:rPr>
            </w:pPr>
          </w:p>
        </w:tc>
        <w:tc>
          <w:tcPr>
            <w:tcW w:w="3980" w:type="dxa"/>
            <w:vAlign w:val="bottom"/>
            <w:tcBorders>
              <w:righ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Note: Net income per share for the current and prior years have been adjusted to give effect to the five-for-four stock split to be effected by a stock dividend. The stock dividend was declared on June 6, 2006 and was paid on September 8, 2006 to stockholders of record at the close of business on August 4, 2006.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b w:val="1"/>
                <w:bCs w:val="1"/>
                <w:color w:val="auto"/>
              </w:rPr>
              <w:t>SUBSIDIARIES OF OIL-DRI</w:t>
            </w:r>
          </w:p>
        </w:tc>
        <w:tc>
          <w:tcPr>
            <w:tcW w:w="1660" w:type="dxa"/>
            <w:vAlign w:val="bottom"/>
          </w:tcPr>
          <w:p>
            <w:pPr>
              <w:spacing w:after="0"/>
              <w:rPr>
                <w:sz w:val="19"/>
                <w:szCs w:val="19"/>
                <w:color w:val="auto"/>
              </w:rPr>
            </w:pPr>
          </w:p>
        </w:tc>
      </w:tr>
      <w:tr>
        <w:trPr>
          <w:trHeight w:val="459"/>
        </w:trPr>
        <w:tc>
          <w:tcPr>
            <w:tcW w:w="166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5360" w:type="dxa"/>
            <w:vAlign w:val="bottom"/>
          </w:tcPr>
          <w:p>
            <w:pPr>
              <w:ind w:left="1340"/>
              <w:spacing w:after="0"/>
              <w:rPr>
                <w:sz w:val="20"/>
                <w:szCs w:val="20"/>
                <w:color w:val="auto"/>
              </w:rPr>
            </w:pPr>
            <w:r>
              <w:rPr>
                <w:rFonts w:ascii="Arial" w:cs="Arial" w:eastAsia="Arial" w:hAnsi="Arial"/>
                <w:sz w:val="18"/>
                <w:szCs w:val="18"/>
                <w:b w:val="1"/>
                <w:bCs w:val="1"/>
                <w:color w:val="auto"/>
              </w:rPr>
              <w:t>State or Country of Organization</w:t>
            </w:r>
          </w:p>
        </w:tc>
        <w:tc>
          <w:tcPr>
            <w:tcW w:w="1660" w:type="dxa"/>
            <w:vAlign w:val="bottom"/>
          </w:tcPr>
          <w:p>
            <w:pPr>
              <w:spacing w:after="0"/>
              <w:rPr>
                <w:sz w:val="24"/>
                <w:szCs w:val="24"/>
                <w:color w:val="auto"/>
              </w:rPr>
            </w:pPr>
          </w:p>
        </w:tc>
      </w:tr>
      <w:tr>
        <w:trPr>
          <w:trHeight w:val="245"/>
        </w:trPr>
        <w:tc>
          <w:tcPr>
            <w:tcW w:w="1660" w:type="dxa"/>
            <w:vAlign w:val="bottom"/>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5360" w:type="dxa"/>
            <w:vAlign w:val="bottom"/>
            <w:tcBorders>
              <w:bottom w:val="single" w:sz="8" w:color="auto"/>
            </w:tcBorders>
          </w:tcPr>
          <w:p>
            <w:pPr>
              <w:spacing w:after="0"/>
              <w:rPr>
                <w:sz w:val="21"/>
                <w:szCs w:val="21"/>
                <w:color w:val="auto"/>
              </w:rPr>
            </w:pPr>
          </w:p>
        </w:tc>
        <w:tc>
          <w:tcPr>
            <w:tcW w:w="1660" w:type="dxa"/>
            <w:vAlign w:val="bottom"/>
          </w:tcPr>
          <w:p>
            <w:pPr>
              <w:spacing w:after="0"/>
              <w:rPr>
                <w:sz w:val="21"/>
                <w:szCs w:val="21"/>
                <w:color w:val="auto"/>
              </w:rPr>
            </w:pPr>
          </w:p>
        </w:tc>
      </w:tr>
      <w:tr>
        <w:trPr>
          <w:trHeight w:val="237"/>
        </w:trPr>
        <w:tc>
          <w:tcPr>
            <w:tcW w:w="1660" w:type="dxa"/>
            <w:vAlign w:val="bottom"/>
          </w:tcPr>
          <w:p>
            <w:pPr>
              <w:spacing w:after="0"/>
              <w:rPr>
                <w:sz w:val="20"/>
                <w:szCs w:val="20"/>
                <w:color w:val="auto"/>
              </w:rPr>
            </w:pPr>
          </w:p>
        </w:tc>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w w:val="95"/>
              </w:rPr>
              <w:t>Blue Mountain Production Company</w:t>
            </w:r>
          </w:p>
        </w:tc>
        <w:tc>
          <w:tcPr>
            <w:tcW w:w="5360" w:type="dxa"/>
            <w:vAlign w:val="bottom"/>
            <w:shd w:val="clear" w:color="auto" w:fill="C0C0C0"/>
          </w:tcPr>
          <w:p>
            <w:pPr>
              <w:ind w:left="1340"/>
              <w:spacing w:after="0"/>
              <w:rPr>
                <w:sz w:val="20"/>
                <w:szCs w:val="20"/>
                <w:color w:val="auto"/>
              </w:rPr>
            </w:pPr>
            <w:r>
              <w:rPr>
                <w:rFonts w:ascii="Arial" w:cs="Arial" w:eastAsia="Arial" w:hAnsi="Arial"/>
                <w:sz w:val="18"/>
                <w:szCs w:val="18"/>
                <w:color w:val="auto"/>
              </w:rPr>
              <w:t>Mississippi</w:t>
            </w:r>
          </w:p>
        </w:tc>
        <w:tc>
          <w:tcPr>
            <w:tcW w:w="1660" w:type="dxa"/>
            <w:vAlign w:val="bottom"/>
          </w:tcPr>
          <w:p>
            <w:pPr>
              <w:spacing w:after="0"/>
              <w:rPr>
                <w:sz w:val="20"/>
                <w:szCs w:val="20"/>
                <w:color w:val="auto"/>
              </w:rPr>
            </w:pPr>
          </w:p>
        </w:tc>
      </w:tr>
      <w:tr>
        <w:trPr>
          <w:trHeight w:val="242"/>
        </w:trPr>
        <w:tc>
          <w:tcPr>
            <w:tcW w:w="166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Favorite Products Company, Ltd.</w:t>
            </w:r>
          </w:p>
        </w:tc>
        <w:tc>
          <w:tcPr>
            <w:tcW w:w="5360" w:type="dxa"/>
            <w:vAlign w:val="bottom"/>
          </w:tcPr>
          <w:p>
            <w:pPr>
              <w:ind w:left="1340"/>
              <w:spacing w:after="0"/>
              <w:rPr>
                <w:sz w:val="20"/>
                <w:szCs w:val="20"/>
                <w:color w:val="auto"/>
              </w:rPr>
            </w:pPr>
            <w:r>
              <w:rPr>
                <w:rFonts w:ascii="Arial" w:cs="Arial" w:eastAsia="Arial" w:hAnsi="Arial"/>
                <w:sz w:val="18"/>
                <w:szCs w:val="18"/>
                <w:color w:val="auto"/>
              </w:rPr>
              <w:t>Canada</w:t>
            </w:r>
          </w:p>
        </w:tc>
        <w:tc>
          <w:tcPr>
            <w:tcW w:w="1660" w:type="dxa"/>
            <w:vAlign w:val="bottom"/>
          </w:tcPr>
          <w:p>
            <w:pPr>
              <w:spacing w:after="0"/>
              <w:rPr>
                <w:sz w:val="21"/>
                <w:szCs w:val="21"/>
                <w:color w:val="auto"/>
              </w:rPr>
            </w:pPr>
          </w:p>
        </w:tc>
      </w:tr>
      <w:tr>
        <w:trPr>
          <w:trHeight w:val="244"/>
        </w:trPr>
        <w:tc>
          <w:tcPr>
            <w:tcW w:w="1660" w:type="dxa"/>
            <w:vAlign w:val="bottom"/>
          </w:tcPr>
          <w:p>
            <w:pPr>
              <w:spacing w:after="0"/>
              <w:rPr>
                <w:sz w:val="21"/>
                <w:szCs w:val="21"/>
                <w:color w:val="auto"/>
              </w:rPr>
            </w:pPr>
          </w:p>
        </w:tc>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Mounds Management, Inc.</w:t>
            </w:r>
          </w:p>
        </w:tc>
        <w:tc>
          <w:tcPr>
            <w:tcW w:w="5360" w:type="dxa"/>
            <w:vAlign w:val="bottom"/>
            <w:shd w:val="clear" w:color="auto" w:fill="C0C0C0"/>
          </w:tcPr>
          <w:p>
            <w:pPr>
              <w:ind w:left="1340"/>
              <w:spacing w:after="0"/>
              <w:rPr>
                <w:sz w:val="20"/>
                <w:szCs w:val="20"/>
                <w:color w:val="auto"/>
              </w:rPr>
            </w:pPr>
            <w:r>
              <w:rPr>
                <w:rFonts w:ascii="Arial" w:cs="Arial" w:eastAsia="Arial" w:hAnsi="Arial"/>
                <w:sz w:val="18"/>
                <w:szCs w:val="18"/>
                <w:color w:val="auto"/>
              </w:rPr>
              <w:t>Delaware</w:t>
            </w:r>
          </w:p>
        </w:tc>
        <w:tc>
          <w:tcPr>
            <w:tcW w:w="1660" w:type="dxa"/>
            <w:vAlign w:val="bottom"/>
          </w:tcPr>
          <w:p>
            <w:pPr>
              <w:spacing w:after="0"/>
              <w:rPr>
                <w:sz w:val="21"/>
                <w:szCs w:val="21"/>
                <w:color w:val="auto"/>
              </w:rPr>
            </w:pPr>
          </w:p>
        </w:tc>
      </w:tr>
      <w:tr>
        <w:trPr>
          <w:trHeight w:val="242"/>
        </w:trPr>
        <w:tc>
          <w:tcPr>
            <w:tcW w:w="166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Mounds Production Company, LLC</w:t>
            </w:r>
          </w:p>
        </w:tc>
        <w:tc>
          <w:tcPr>
            <w:tcW w:w="5360" w:type="dxa"/>
            <w:vAlign w:val="bottom"/>
          </w:tcPr>
          <w:p>
            <w:pPr>
              <w:ind w:left="1340"/>
              <w:spacing w:after="0"/>
              <w:rPr>
                <w:sz w:val="20"/>
                <w:szCs w:val="20"/>
                <w:color w:val="auto"/>
              </w:rPr>
            </w:pPr>
            <w:r>
              <w:rPr>
                <w:rFonts w:ascii="Arial" w:cs="Arial" w:eastAsia="Arial" w:hAnsi="Arial"/>
                <w:sz w:val="18"/>
                <w:szCs w:val="18"/>
                <w:color w:val="auto"/>
              </w:rPr>
              <w:t>Illinois</w:t>
            </w:r>
          </w:p>
        </w:tc>
        <w:tc>
          <w:tcPr>
            <w:tcW w:w="1660" w:type="dxa"/>
            <w:vAlign w:val="bottom"/>
          </w:tcPr>
          <w:p>
            <w:pPr>
              <w:spacing w:after="0"/>
              <w:rPr>
                <w:sz w:val="21"/>
                <w:szCs w:val="21"/>
                <w:color w:val="auto"/>
              </w:rPr>
            </w:pPr>
          </w:p>
        </w:tc>
      </w:tr>
      <w:tr>
        <w:trPr>
          <w:trHeight w:val="244"/>
        </w:trPr>
        <w:tc>
          <w:tcPr>
            <w:tcW w:w="1660" w:type="dxa"/>
            <w:vAlign w:val="bottom"/>
          </w:tcPr>
          <w:p>
            <w:pPr>
              <w:spacing w:after="0"/>
              <w:rPr>
                <w:sz w:val="21"/>
                <w:szCs w:val="21"/>
                <w:color w:val="auto"/>
              </w:rPr>
            </w:pPr>
          </w:p>
        </w:tc>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ODC Acquisition Corp.</w:t>
            </w:r>
          </w:p>
        </w:tc>
        <w:tc>
          <w:tcPr>
            <w:tcW w:w="5360" w:type="dxa"/>
            <w:vAlign w:val="bottom"/>
            <w:shd w:val="clear" w:color="auto" w:fill="C0C0C0"/>
          </w:tcPr>
          <w:p>
            <w:pPr>
              <w:ind w:left="1340"/>
              <w:spacing w:after="0"/>
              <w:rPr>
                <w:sz w:val="20"/>
                <w:szCs w:val="20"/>
                <w:color w:val="auto"/>
              </w:rPr>
            </w:pPr>
            <w:r>
              <w:rPr>
                <w:rFonts w:ascii="Arial" w:cs="Arial" w:eastAsia="Arial" w:hAnsi="Arial"/>
                <w:sz w:val="18"/>
                <w:szCs w:val="18"/>
                <w:color w:val="auto"/>
              </w:rPr>
              <w:t>Illinois</w:t>
            </w:r>
          </w:p>
        </w:tc>
        <w:tc>
          <w:tcPr>
            <w:tcW w:w="1660" w:type="dxa"/>
            <w:vAlign w:val="bottom"/>
          </w:tcPr>
          <w:p>
            <w:pPr>
              <w:spacing w:after="0"/>
              <w:rPr>
                <w:sz w:val="21"/>
                <w:szCs w:val="21"/>
                <w:color w:val="auto"/>
              </w:rPr>
            </w:pPr>
          </w:p>
        </w:tc>
      </w:tr>
      <w:tr>
        <w:trPr>
          <w:trHeight w:val="242"/>
        </w:trPr>
        <w:tc>
          <w:tcPr>
            <w:tcW w:w="166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Oil-Dri Corporation of Georgia</w:t>
            </w:r>
          </w:p>
        </w:tc>
        <w:tc>
          <w:tcPr>
            <w:tcW w:w="5360" w:type="dxa"/>
            <w:vAlign w:val="bottom"/>
          </w:tcPr>
          <w:p>
            <w:pPr>
              <w:ind w:left="1340"/>
              <w:spacing w:after="0"/>
              <w:rPr>
                <w:sz w:val="20"/>
                <w:szCs w:val="20"/>
                <w:color w:val="auto"/>
              </w:rPr>
            </w:pPr>
            <w:r>
              <w:rPr>
                <w:rFonts w:ascii="Arial" w:cs="Arial" w:eastAsia="Arial" w:hAnsi="Arial"/>
                <w:sz w:val="18"/>
                <w:szCs w:val="18"/>
                <w:color w:val="auto"/>
              </w:rPr>
              <w:t>Georgia</w:t>
            </w:r>
          </w:p>
        </w:tc>
        <w:tc>
          <w:tcPr>
            <w:tcW w:w="1660" w:type="dxa"/>
            <w:vAlign w:val="bottom"/>
          </w:tcPr>
          <w:p>
            <w:pPr>
              <w:spacing w:after="0"/>
              <w:rPr>
                <w:sz w:val="21"/>
                <w:szCs w:val="21"/>
                <w:color w:val="auto"/>
              </w:rPr>
            </w:pPr>
          </w:p>
        </w:tc>
      </w:tr>
      <w:tr>
        <w:trPr>
          <w:trHeight w:val="244"/>
        </w:trPr>
        <w:tc>
          <w:tcPr>
            <w:tcW w:w="1660" w:type="dxa"/>
            <w:vAlign w:val="bottom"/>
          </w:tcPr>
          <w:p>
            <w:pPr>
              <w:spacing w:after="0"/>
              <w:rPr>
                <w:sz w:val="21"/>
                <w:szCs w:val="21"/>
                <w:color w:val="auto"/>
              </w:rPr>
            </w:pPr>
          </w:p>
        </w:tc>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Oil-Dri Corporation of Nevada</w:t>
            </w:r>
          </w:p>
        </w:tc>
        <w:tc>
          <w:tcPr>
            <w:tcW w:w="5360" w:type="dxa"/>
            <w:vAlign w:val="bottom"/>
            <w:shd w:val="clear" w:color="auto" w:fill="C0C0C0"/>
          </w:tcPr>
          <w:p>
            <w:pPr>
              <w:ind w:left="1340"/>
              <w:spacing w:after="0"/>
              <w:rPr>
                <w:sz w:val="20"/>
                <w:szCs w:val="20"/>
                <w:color w:val="auto"/>
              </w:rPr>
            </w:pPr>
            <w:r>
              <w:rPr>
                <w:rFonts w:ascii="Arial" w:cs="Arial" w:eastAsia="Arial" w:hAnsi="Arial"/>
                <w:sz w:val="18"/>
                <w:szCs w:val="18"/>
                <w:color w:val="auto"/>
              </w:rPr>
              <w:t>Nevada</w:t>
            </w:r>
          </w:p>
        </w:tc>
        <w:tc>
          <w:tcPr>
            <w:tcW w:w="1660" w:type="dxa"/>
            <w:vAlign w:val="bottom"/>
          </w:tcPr>
          <w:p>
            <w:pPr>
              <w:spacing w:after="0"/>
              <w:rPr>
                <w:sz w:val="21"/>
                <w:szCs w:val="21"/>
                <w:color w:val="auto"/>
              </w:rPr>
            </w:pPr>
          </w:p>
        </w:tc>
      </w:tr>
      <w:tr>
        <w:trPr>
          <w:trHeight w:val="242"/>
        </w:trPr>
        <w:tc>
          <w:tcPr>
            <w:tcW w:w="166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Oil-Dri Production Company</w:t>
            </w:r>
          </w:p>
        </w:tc>
        <w:tc>
          <w:tcPr>
            <w:tcW w:w="5360" w:type="dxa"/>
            <w:vAlign w:val="bottom"/>
          </w:tcPr>
          <w:p>
            <w:pPr>
              <w:ind w:left="1340"/>
              <w:spacing w:after="0"/>
              <w:rPr>
                <w:sz w:val="20"/>
                <w:szCs w:val="20"/>
                <w:color w:val="auto"/>
              </w:rPr>
            </w:pPr>
            <w:r>
              <w:rPr>
                <w:rFonts w:ascii="Arial" w:cs="Arial" w:eastAsia="Arial" w:hAnsi="Arial"/>
                <w:sz w:val="18"/>
                <w:szCs w:val="18"/>
                <w:color w:val="auto"/>
              </w:rPr>
              <w:t>Mississippi</w:t>
            </w:r>
          </w:p>
        </w:tc>
        <w:tc>
          <w:tcPr>
            <w:tcW w:w="1660" w:type="dxa"/>
            <w:vAlign w:val="bottom"/>
          </w:tcPr>
          <w:p>
            <w:pPr>
              <w:spacing w:after="0"/>
              <w:rPr>
                <w:sz w:val="21"/>
                <w:szCs w:val="21"/>
                <w:color w:val="auto"/>
              </w:rPr>
            </w:pPr>
          </w:p>
        </w:tc>
      </w:tr>
      <w:tr>
        <w:trPr>
          <w:trHeight w:val="244"/>
        </w:trPr>
        <w:tc>
          <w:tcPr>
            <w:tcW w:w="1660" w:type="dxa"/>
            <w:vAlign w:val="bottom"/>
          </w:tcPr>
          <w:p>
            <w:pPr>
              <w:spacing w:after="0"/>
              <w:rPr>
                <w:sz w:val="21"/>
                <w:szCs w:val="21"/>
                <w:color w:val="auto"/>
              </w:rPr>
            </w:pPr>
          </w:p>
        </w:tc>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Oil-Dri, S.A.</w:t>
            </w:r>
          </w:p>
        </w:tc>
        <w:tc>
          <w:tcPr>
            <w:tcW w:w="5360" w:type="dxa"/>
            <w:vAlign w:val="bottom"/>
            <w:shd w:val="clear" w:color="auto" w:fill="C0C0C0"/>
          </w:tcPr>
          <w:p>
            <w:pPr>
              <w:ind w:left="1340"/>
              <w:spacing w:after="0"/>
              <w:rPr>
                <w:sz w:val="20"/>
                <w:szCs w:val="20"/>
                <w:color w:val="auto"/>
              </w:rPr>
            </w:pPr>
            <w:r>
              <w:rPr>
                <w:rFonts w:ascii="Arial" w:cs="Arial" w:eastAsia="Arial" w:hAnsi="Arial"/>
                <w:sz w:val="18"/>
                <w:szCs w:val="18"/>
                <w:color w:val="auto"/>
              </w:rPr>
              <w:t>Switzerland</w:t>
            </w:r>
          </w:p>
        </w:tc>
        <w:tc>
          <w:tcPr>
            <w:tcW w:w="1660" w:type="dxa"/>
            <w:vAlign w:val="bottom"/>
          </w:tcPr>
          <w:p>
            <w:pPr>
              <w:spacing w:after="0"/>
              <w:rPr>
                <w:sz w:val="21"/>
                <w:szCs w:val="21"/>
                <w:color w:val="auto"/>
              </w:rPr>
            </w:pPr>
          </w:p>
        </w:tc>
      </w:tr>
      <w:tr>
        <w:trPr>
          <w:trHeight w:val="242"/>
        </w:trPr>
        <w:tc>
          <w:tcPr>
            <w:tcW w:w="166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Oil-Dri (U.K.) Limited</w:t>
            </w:r>
          </w:p>
        </w:tc>
        <w:tc>
          <w:tcPr>
            <w:tcW w:w="5360" w:type="dxa"/>
            <w:vAlign w:val="bottom"/>
          </w:tcPr>
          <w:p>
            <w:pPr>
              <w:ind w:left="1340"/>
              <w:spacing w:after="0"/>
              <w:rPr>
                <w:sz w:val="20"/>
                <w:szCs w:val="20"/>
                <w:color w:val="auto"/>
              </w:rPr>
            </w:pPr>
            <w:r>
              <w:rPr>
                <w:rFonts w:ascii="Arial" w:cs="Arial" w:eastAsia="Arial" w:hAnsi="Arial"/>
                <w:sz w:val="18"/>
                <w:szCs w:val="18"/>
                <w:color w:val="auto"/>
              </w:rPr>
              <w:t>United Kingdom</w:t>
            </w:r>
          </w:p>
        </w:tc>
        <w:tc>
          <w:tcPr>
            <w:tcW w:w="1660" w:type="dxa"/>
            <w:vAlign w:val="bottom"/>
          </w:tcPr>
          <w:p>
            <w:pPr>
              <w:spacing w:after="0"/>
              <w:rPr>
                <w:sz w:val="21"/>
                <w:szCs w:val="21"/>
                <w:color w:val="auto"/>
              </w:rPr>
            </w:pPr>
          </w:p>
        </w:tc>
      </w:tr>
      <w:tr>
        <w:trPr>
          <w:trHeight w:val="244"/>
        </w:trPr>
        <w:tc>
          <w:tcPr>
            <w:tcW w:w="1660" w:type="dxa"/>
            <w:vAlign w:val="bottom"/>
          </w:tcPr>
          <w:p>
            <w:pPr>
              <w:spacing w:after="0"/>
              <w:rPr>
                <w:sz w:val="21"/>
                <w:szCs w:val="21"/>
                <w:color w:val="auto"/>
              </w:rPr>
            </w:pPr>
          </w:p>
        </w:tc>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Taft Production Company</w:t>
            </w:r>
          </w:p>
        </w:tc>
        <w:tc>
          <w:tcPr>
            <w:tcW w:w="5360" w:type="dxa"/>
            <w:vAlign w:val="bottom"/>
            <w:shd w:val="clear" w:color="auto" w:fill="C0C0C0"/>
          </w:tcPr>
          <w:p>
            <w:pPr>
              <w:ind w:left="1340"/>
              <w:spacing w:after="0"/>
              <w:rPr>
                <w:sz w:val="20"/>
                <w:szCs w:val="20"/>
                <w:color w:val="auto"/>
              </w:rPr>
            </w:pPr>
            <w:r>
              <w:rPr>
                <w:rFonts w:ascii="Arial" w:cs="Arial" w:eastAsia="Arial" w:hAnsi="Arial"/>
                <w:sz w:val="18"/>
                <w:szCs w:val="18"/>
                <w:color w:val="auto"/>
              </w:rPr>
              <w:t>Delaware</w:t>
            </w:r>
          </w:p>
        </w:tc>
        <w:tc>
          <w:tcPr>
            <w:tcW w:w="1660" w:type="dxa"/>
            <w:vAlign w:val="bottom"/>
          </w:tcPr>
          <w:p>
            <w:pPr>
              <w:spacing w:after="0"/>
              <w:rPr>
                <w:sz w:val="21"/>
                <w:szCs w:val="21"/>
                <w:color w:val="auto"/>
              </w:rPr>
            </w:pPr>
          </w:p>
        </w:tc>
      </w:tr>
      <w:tr>
        <w:trPr>
          <w:trHeight w:val="673"/>
        </w:trPr>
        <w:tc>
          <w:tcPr>
            <w:tcW w:w="1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360" w:type="dxa"/>
            <w:vAlign w:val="bottom"/>
          </w:tcPr>
          <w:p>
            <w:pPr>
              <w:ind w:left="1200"/>
              <w:spacing w:after="0"/>
              <w:rPr>
                <w:sz w:val="20"/>
                <w:szCs w:val="20"/>
                <w:color w:val="auto"/>
              </w:rPr>
            </w:pPr>
            <w:r>
              <w:rPr>
                <w:rFonts w:ascii="Arial" w:cs="Arial" w:eastAsia="Arial" w:hAnsi="Arial"/>
                <w:sz w:val="18"/>
                <w:szCs w:val="18"/>
                <w:color w:val="auto"/>
              </w:rPr>
              <w:t>84</w:t>
            </w:r>
          </w:p>
        </w:tc>
        <w:tc>
          <w:tcPr>
            <w:tcW w:w="1660" w:type="dxa"/>
            <w:vAlign w:val="bottom"/>
          </w:tcPr>
          <w:p>
            <w:pPr>
              <w:spacing w:after="0"/>
              <w:rPr>
                <w:sz w:val="24"/>
                <w:szCs w:val="24"/>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333-87008 and No. 333-87010) of Oil-Dri Corporation of America of our report dated October 13, 2006 relating to the financial statements and financial statement schedule, which appears in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18,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1934, AS AMENDED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S. Jaffee, certify that:</w:t>
      </w:r>
    </w:p>
    <w:p>
      <w:pPr>
        <w:spacing w:after="0" w:line="239"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65"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hanging="412"/>
        <w:spacing w:after="0" w:line="268"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jc w:val="both"/>
        <w:ind w:left="820" w:hanging="407"/>
        <w:spacing w:after="0" w:line="25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20" w:hanging="407"/>
        <w:spacing w:after="0" w:line="332" w:lineRule="auto"/>
        <w:tabs>
          <w:tab w:leader="none" w:pos="8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20" w:hanging="407"/>
        <w:spacing w:after="0" w:line="259"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hanging="407"/>
        <w:spacing w:after="0" w:line="268"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hanging="407"/>
        <w:spacing w:after="0" w:line="268" w:lineRule="auto"/>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1826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1826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Daniel S. Jaffee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 (CONTINUED):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Andrew N. Peterson, certify that:</w:t>
      </w:r>
    </w:p>
    <w:p>
      <w:pPr>
        <w:spacing w:after="0" w:line="239"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65" w:lineRule="exact"/>
        <w:rPr>
          <w:rFonts w:ascii="Arial" w:cs="Arial" w:eastAsia="Arial" w:hAnsi="Arial"/>
          <w:sz w:val="18"/>
          <w:szCs w:val="18"/>
          <w:color w:val="auto"/>
        </w:rPr>
      </w:pPr>
    </w:p>
    <w:p>
      <w:pPr>
        <w:jc w:val="both"/>
        <w:ind w:left="680" w:hanging="672"/>
        <w:spacing w:after="0" w:line="370" w:lineRule="auto"/>
        <w:tabs>
          <w:tab w:leader="none" w:pos="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680" w:hanging="672"/>
        <w:spacing w:after="0" w:line="332"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80" w:hanging="672"/>
        <w:spacing w:after="0" w:line="268"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jc w:val="both"/>
        <w:ind w:left="1080" w:hanging="397"/>
        <w:spacing w:after="0" w:line="332"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w:t>
      </w:r>
    </w:p>
    <w:p>
      <w:pPr>
        <w:sectPr>
          <w:pgSz w:w="11900" w:h="16838" w:orient="portrait"/>
          <w:cols w:equalWidth="0" w:num="1">
            <w:col w:w="11420"/>
          </w:cols>
          <w:pgMar w:left="240" w:top="121" w:right="239" w:bottom="0" w:gutter="0" w:footer="0" w:header="0"/>
        </w:sectPr>
      </w:pPr>
    </w:p>
    <w:bookmarkStart w:id="58" w:name="page59"/>
    <w:bookmarkEnd w:id="58"/>
    <w:p>
      <w:pPr>
        <w:ind w:left="1080"/>
        <w:spacing w:after="0"/>
        <w:rPr>
          <w:sz w:val="20"/>
          <w:szCs w:val="20"/>
          <w:color w:val="auto"/>
        </w:rPr>
      </w:pPr>
      <w:r>
        <w:rPr>
          <w:rFonts w:ascii="Arial" w:cs="Arial" w:eastAsia="Arial" w:hAnsi="Arial"/>
          <w:sz w:val="18"/>
          <w:szCs w:val="18"/>
          <w:color w:val="auto"/>
        </w:rPr>
        <w:t>entities, particularly during the period in which this report is being prepared;</w:t>
      </w:r>
    </w:p>
    <w:p>
      <w:pPr>
        <w:spacing w:after="0" w:line="252" w:lineRule="exact"/>
        <w:rPr>
          <w:sz w:val="20"/>
          <w:szCs w:val="20"/>
          <w:color w:val="auto"/>
        </w:rPr>
      </w:pPr>
    </w:p>
    <w:p>
      <w:pPr>
        <w:ind w:left="1080" w:hanging="397"/>
        <w:spacing w:after="0" w:line="33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080" w:hanging="397"/>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680" w:hanging="672"/>
        <w:spacing w:after="0" w:line="332"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080" w:hanging="397"/>
        <w:spacing w:after="0" w:line="268"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1080" w:hanging="397"/>
        <w:spacing w:after="0" w:line="268"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1826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Andrew 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1826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N. Peterson</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ind w:right="4040"/>
        <w:spacing w:after="0" w:line="264" w:lineRule="auto"/>
        <w:rPr>
          <w:sz w:val="20"/>
          <w:szCs w:val="20"/>
          <w:color w:val="auto"/>
        </w:rPr>
      </w:pPr>
      <w:r>
        <w:rPr>
          <w:rFonts w:ascii="Arial" w:cs="Arial" w:eastAsia="Arial" w:hAnsi="Arial"/>
          <w:sz w:val="18"/>
          <w:szCs w:val="18"/>
          <w:b w:val="1"/>
          <w:bCs w:val="1"/>
          <w:color w:val="auto"/>
        </w:rPr>
        <w:t>CERTIFICATIONS PURSUANT TO 18 U.S.C. SECTION 1350 AS ADOPTED PURSUANT TO THE SARBANES-OXLEY ACT OF 2002 CERTIFICATION</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2006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S. Jaffee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Daniel S. Jaffee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quarter ended July 31, 2006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N. Peterson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Andrew N. Peterson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5"/>
    </w:lvl>
  </w:abstractNum>
  <w:abstractNum w:abstractNumId="1">
    <w:nsid w:val="3352255A"/>
    <w:multiLevelType w:val="hybridMultilevel"/>
    <w:lvl w:ilvl="0">
      <w:lvlJc w:val="left"/>
      <w:lvlText w:val="%1."/>
      <w:numFmt w:val="decimal"/>
      <w:start w:val="7"/>
    </w:lvl>
  </w:abstractNum>
  <w:abstractNum w:abstractNumId="2">
    <w:nsid w:val="109CF92E"/>
    <w:multiLevelType w:val="hybridMultilevel"/>
    <w:lvl w:ilvl="0">
      <w:lvlJc w:val="left"/>
      <w:lvlText w:val="%1."/>
      <w:numFmt w:val="decimal"/>
      <w:start w:val="9"/>
    </w:lvl>
  </w:abstractNum>
  <w:abstractNum w:abstractNumId="3">
    <w:nsid w:val="DED7263"/>
    <w:multiLevelType w:val="hybridMultilevel"/>
    <w:lvl w:ilvl="0">
      <w:lvlJc w:val="left"/>
      <w:lvlText w:val="%1."/>
      <w:numFmt w:val="decimal"/>
      <w:start w:val="12"/>
    </w:lvl>
  </w:abstractNum>
  <w:abstractNum w:abstractNumId="4">
    <w:nsid w:val="7FDCC233"/>
    <w:multiLevelType w:val="hybridMultilevel"/>
    <w:lvl w:ilvl="0">
      <w:lvlJc w:val="left"/>
      <w:lvlText w:val="1"/>
      <w:numFmt w:val="bullet"/>
      <w:start w:val="1"/>
    </w:lvl>
  </w:abstractNum>
  <w:abstractNum w:abstractNumId="5">
    <w:nsid w:val="1BEFD79F"/>
    <w:multiLevelType w:val="hybridMultilevel"/>
    <w:lvl w:ilvl="0">
      <w:lvlJc w:val="left"/>
      <w:lvlText w:val="2"/>
      <w:numFmt w:val="bullet"/>
      <w:start w:val="1"/>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716"/>
    </w:lvl>
  </w:abstractNum>
  <w:abstractNum w:abstractNumId="12">
    <w:nsid w:val="3F2DBA31"/>
    <w:multiLevelType w:val="hybridMultilevel"/>
    <w:lvl w:ilvl="0">
      <w:lvlJc w:val="left"/>
      <w:lvlText w:val="%1"/>
      <w:numFmt w:val="decimal"/>
      <w:start w:val="223"/>
    </w:lvl>
  </w:abstractNum>
  <w:abstractNum w:abstractNumId="13">
    <w:nsid w:val="7C83E458"/>
    <w:multiLevelType w:val="hybridMultilevel"/>
    <w:lvl w:ilvl="0">
      <w:lvlJc w:val="left"/>
      <w:lvlText w:val="%1"/>
      <w:numFmt w:val="decimal"/>
      <w:start w:val="46"/>
    </w:lvl>
  </w:abstractNum>
  <w:abstractNum w:abstractNumId="14">
    <w:nsid w:val="257130A3"/>
    <w:multiLevelType w:val="hybridMultilevel"/>
    <w:lvl w:ilvl="0">
      <w:lvlJc w:val="left"/>
      <w:lvlText w:val="%1"/>
      <w:numFmt w:val="decimal"/>
      <w:start w:val="179"/>
    </w:lvl>
  </w:abstractNum>
  <w:abstractNum w:abstractNumId="15">
    <w:nsid w:val="62BBD95A"/>
    <w:multiLevelType w:val="hybridMultilevel"/>
    <w:lvl w:ilvl="0">
      <w:lvlJc w:val="left"/>
      <w:lvlText w:val="1"/>
      <w:numFmt w:val="bullet"/>
      <w:start w:val="1"/>
    </w:lvl>
  </w:abstractNum>
  <w:abstractNum w:abstractNumId="16">
    <w:nsid w:val="436C6125"/>
    <w:multiLevelType w:val="hybridMultilevel"/>
    <w:lvl w:ilvl="0">
      <w:lvlJc w:val="left"/>
      <w:lvlText w:val="&amp;"/>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Roman"/>
      <w:start w:val="1"/>
    </w:lvl>
    <w:lvl w:ilvl="1">
      <w:lvlJc w:val="left"/>
      <w:lvlText w:val="(%2)"/>
      <w:numFmt w:val="lowerRoman"/>
      <w:start w:val="3"/>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2"/>
    </w:lvl>
  </w:abstractNum>
  <w:abstractNum w:abstractNumId="23">
    <w:nsid w:val="75A2A8D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2020-02-13T07:15:53Z</dcterms:created>
  <dcterms:modified xsi:type="dcterms:W3CDTF">2020-02-13T07:15:53Z</dcterms:modified>
</cp:coreProperties>
</file>