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2740" w:right="3039" w:hanging="2732"/>
        <w:spacing w:after="0" w:line="235" w:lineRule="auto"/>
        <w:tabs>
          <w:tab w:leader="none" w:pos="137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October 31, 2004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852"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Transition Report Pursuant to Section 13 or 15(d) of the</w:t>
      </w:r>
    </w:p>
    <w:p>
      <w:pPr>
        <w:ind w:left="148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440" w:space="720"/>
            <w:col w:w="9059"/>
          </w:cols>
          <w:pgMar w:left="240" w:top="852" w:right="1440" w:bottom="0" w:gutter="0" w:footer="0" w:header="0"/>
          <w:type w:val="continuous"/>
        </w:sectPr>
      </w:pPr>
    </w:p>
    <w:p>
      <w:pPr>
        <w:spacing w:after="0" w:line="1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0-8675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OIL-DRI CORPORATION OF AMERICA</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the registrant as specified in its charter)</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36-2048898</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3920" w:space="720"/>
            <w:col w:w="5579"/>
          </w:cols>
          <w:pgMar w:left="240" w:top="852" w:right="1440"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410 North Michigan Avenue, Suite 400</w:t>
      </w:r>
    </w:p>
    <w:p>
      <w:pPr>
        <w:jc w:val="center"/>
        <w:ind w:left="300"/>
        <w:spacing w:after="0" w:line="238" w:lineRule="auto"/>
        <w:rPr>
          <w:sz w:val="20"/>
          <w:szCs w:val="20"/>
          <w:color w:val="auto"/>
        </w:rPr>
      </w:pPr>
      <w:r>
        <w:rPr>
          <w:rFonts w:ascii="Courier New" w:cs="Courier New" w:eastAsia="Courier New" w:hAnsi="Courier New"/>
          <w:sz w:val="18"/>
          <w:szCs w:val="18"/>
          <w:color w:val="auto"/>
        </w:rPr>
        <w:t>CHICAGO, ILLINOIS</w:t>
      </w:r>
    </w:p>
    <w:p>
      <w:pPr>
        <w:jc w:val="center"/>
        <w:ind w:left="10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60611-4213</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38" w:orient="portrait"/>
          <w:cols w:equalWidth="0" w:num="2">
            <w:col w:w="4240" w:space="720"/>
            <w:col w:w="5259"/>
          </w:cols>
          <w:pgMar w:left="240" w:top="852"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Registrant's telephone number, including area code: (312) 321-1515</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202" w:lineRule="exact"/>
        <w:rPr>
          <w:sz w:val="24"/>
          <w:szCs w:val="24"/>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640"/>
        <w:spacing w:after="0" w:line="238" w:lineRule="auto"/>
        <w:tabs>
          <w:tab w:leader="none" w:pos="2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 is an accelerated filer:</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320" w:space="320"/>
            <w:col w:w="740" w:space="320"/>
            <w:col w:w="200" w:space="320"/>
            <w:col w:w="7999"/>
          </w:cols>
          <w:pgMar w:left="240" w:top="852" w:right="1440" w:bottom="0" w:gutter="0" w:footer="0" w:header="0"/>
          <w:type w:val="continuous"/>
        </w:sectPr>
      </w:pPr>
    </w:p>
    <w:p>
      <w:pPr>
        <w:spacing w:after="0" w:line="24"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aggregate market value of the Registrant's Common Stock owned by non-affiliates as of January 31, 2004 for accelerated filer purposes was $66,598,000.</w:t>
      </w: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close of the period covered by this report.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- 5,700,085 Shares (Including 1,653,971 Treasury Shares)</w:t>
      </w:r>
    </w:p>
    <w:p>
      <w:pPr>
        <w:spacing w:after="0" w:line="238" w:lineRule="auto"/>
        <w:rPr>
          <w:sz w:val="20"/>
          <w:szCs w:val="20"/>
          <w:color w:val="auto"/>
        </w:rPr>
      </w:pPr>
      <w:r>
        <w:rPr>
          <w:rFonts w:ascii="Courier New" w:cs="Courier New" w:eastAsia="Courier New" w:hAnsi="Courier New"/>
          <w:sz w:val="18"/>
          <w:szCs w:val="18"/>
          <w:color w:val="auto"/>
        </w:rPr>
        <w:t>Class B Stock - 1,792,583 Shares (Including 342,241 Treasury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600" w:type="dxa"/>
            <w:vAlign w:val="bottom"/>
          </w:tcPr>
          <w:p>
            <w:pPr>
              <w:spacing w:after="0"/>
              <w:rPr>
                <w:sz w:val="20"/>
                <w:szCs w:val="20"/>
                <w:color w:val="auto"/>
              </w:rPr>
            </w:pPr>
            <w:r>
              <w:rPr>
                <w:rFonts w:ascii="Courier New" w:cs="Courier New" w:eastAsia="Courier New" w:hAnsi="Courier New"/>
                <w:sz w:val="18"/>
                <w:szCs w:val="18"/>
                <w:color w:val="auto"/>
              </w:rPr>
              <w:t>CONTENTS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60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PART I</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7600" w:type="dxa"/>
            <w:vAlign w:val="bottom"/>
          </w:tcPr>
          <w:p>
            <w:pPr>
              <w:spacing w:after="0"/>
              <w:rPr>
                <w:sz w:val="20"/>
                <w:szCs w:val="20"/>
                <w:color w:val="auto"/>
              </w:rPr>
            </w:pPr>
            <w:r>
              <w:rPr>
                <w:rFonts w:ascii="Courier New" w:cs="Courier New" w:eastAsia="Courier New" w:hAnsi="Courier New"/>
                <w:sz w:val="18"/>
                <w:szCs w:val="18"/>
                <w:color w:val="auto"/>
                <w:w w:val="96"/>
              </w:rPr>
              <w:t>ITEM 1: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- 11</w:t>
            </w:r>
          </w:p>
        </w:tc>
      </w:tr>
      <w:tr>
        <w:trPr>
          <w:trHeight w:val="608"/>
        </w:trPr>
        <w:tc>
          <w:tcPr>
            <w:tcW w:w="7600" w:type="dxa"/>
            <w:vAlign w:val="bottom"/>
          </w:tcPr>
          <w:p>
            <w:pPr>
              <w:spacing w:after="0"/>
              <w:rPr>
                <w:sz w:val="20"/>
                <w:szCs w:val="20"/>
                <w:color w:val="auto"/>
              </w:rPr>
            </w:pPr>
            <w:r>
              <w:rPr>
                <w:rFonts w:ascii="Courier New" w:cs="Courier New" w:eastAsia="Courier New" w:hAnsi="Courier New"/>
                <w:sz w:val="18"/>
                <w:szCs w:val="18"/>
                <w:color w:val="auto"/>
              </w:rPr>
              <w:t>ITEM 2: Management's Discussion and Analysis Of Financial Condition</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760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And Results Of Operations.......................................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dot" w:pos="8100" w:val="left"/>
        </w:tabs>
        <w:rPr>
          <w:sz w:val="20"/>
          <w:szCs w:val="20"/>
          <w:color w:val="auto"/>
        </w:rPr>
      </w:pPr>
      <w:r>
        <w:rPr>
          <w:rFonts w:ascii="Courier New" w:cs="Courier New" w:eastAsia="Courier New" w:hAnsi="Courier New"/>
          <w:sz w:val="18"/>
          <w:szCs w:val="18"/>
          <w:color w:val="auto"/>
        </w:rPr>
        <w:t>ITEM 3: Quantitative And Qualitative Disclosures About Market Risk</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ITEM 4: Controls And Procedures</w:t>
      </w:r>
      <w:r>
        <w:rPr>
          <w:sz w:val="20"/>
          <w:szCs w:val="20"/>
          <w:color w:val="auto"/>
        </w:rPr>
        <w:tab/>
      </w: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ITEM 6: Exhibits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dot" w:pos="7580" w:val="left"/>
        </w:tabs>
        <w:rPr>
          <w:sz w:val="20"/>
          <w:szCs w:val="20"/>
          <w:color w:val="auto"/>
        </w:rPr>
      </w:pPr>
      <w:r>
        <w:rPr>
          <w:rFonts w:ascii="Courier New" w:cs="Courier New" w:eastAsia="Courier New" w:hAnsi="Courier New"/>
          <w:sz w:val="18"/>
          <w:szCs w:val="18"/>
          <w:color w:val="auto"/>
        </w:rPr>
        <w:t>EXHIBITS</w:t>
      </w:r>
      <w:r>
        <w:rPr>
          <w:sz w:val="20"/>
          <w:szCs w:val="20"/>
          <w:color w:val="auto"/>
        </w:rPr>
        <w:tab/>
      </w:r>
      <w:r>
        <w:rPr>
          <w:rFonts w:ascii="Courier New" w:cs="Courier New" w:eastAsia="Courier New" w:hAnsi="Courier New"/>
          <w:sz w:val="16"/>
          <w:szCs w:val="16"/>
          <w:color w:val="auto"/>
        </w:rPr>
        <w:t>19 - 23</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OIL-DRI CORPORATION OF AMERICA &amp; SUBSIDIARIES</w:t>
      </w:r>
    </w:p>
    <w:p>
      <w:pPr>
        <w:ind w:left="26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740"/>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OCTOBER 31,</w:t>
            </w:r>
          </w:p>
        </w:tc>
        <w:tc>
          <w:tcPr>
            <w:tcW w:w="11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5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5380" w:type="dxa"/>
            <w:vAlign w:val="bottom"/>
          </w:tcPr>
          <w:p>
            <w:pPr>
              <w:spacing w:after="0"/>
              <w:rPr>
                <w:sz w:val="17"/>
                <w:szCs w:val="17"/>
                <w:color w:val="auto"/>
              </w:rPr>
            </w:pPr>
          </w:p>
        </w:tc>
        <w:tc>
          <w:tcPr>
            <w:tcW w:w="2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4,616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6,348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treasury securities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12,438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13,942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debt securities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1,887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 of</w:t>
            </w:r>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$584 and $608 at October 31, 2004 and July</w:t>
            </w:r>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 2004, respectively</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23,870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24,169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12,958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12,399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overburden removal expense</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2,330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4,184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64,486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67,981</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1060"/>
              <w:spacing w:after="0"/>
              <w:rPr>
                <w:sz w:val="20"/>
                <w:szCs w:val="20"/>
                <w:color w:val="auto"/>
              </w:rPr>
            </w:pPr>
            <w:r>
              <w:rPr>
                <w:rFonts w:ascii="Courier New" w:cs="Courier New" w:eastAsia="Courier New" w:hAnsi="Courier New"/>
                <w:sz w:val="18"/>
                <w:szCs w:val="18"/>
                <w:color w:val="auto"/>
              </w:rPr>
              <w:t>PROPERTY, PLANT AND EQUIPMENT</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146,930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145,498</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(99,294)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(97,696)</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PROPERTY, PLANT AND EQUIPMENT, NET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47,636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47,802</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5,162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5,162</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Intangibles, net of accumulated amortization of</w:t>
            </w:r>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$2,722 and $2,611 at October 31, 2004 and</w:t>
            </w:r>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31, 2004, respectively</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2,282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1,556</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3,885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3,985</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12,885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13,092</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$125,007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$128,875</w:t>
            </w:r>
          </w:p>
        </w:tc>
      </w:tr>
      <w:tr>
        <w:trPr>
          <w:trHeight w:val="203"/>
        </w:trPr>
        <w:tc>
          <w:tcPr>
            <w:tcW w:w="538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231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319"/>
        <w:spacing w:after="0"/>
        <w:rPr>
          <w:sz w:val="20"/>
          <w:szCs w:val="20"/>
          <w:color w:val="auto"/>
        </w:rPr>
      </w:pPr>
      <w:r>
        <w:rPr>
          <w:rFonts w:ascii="Courier New" w:cs="Courier New" w:eastAsia="Courier New" w:hAnsi="Courier New"/>
          <w:sz w:val="18"/>
          <w:szCs w:val="18"/>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LIABILITIES &amp; STOCKHOLDERS' EQUITY</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OCTOBER 31,</w:t>
            </w:r>
          </w:p>
        </w:tc>
        <w:tc>
          <w:tcPr>
            <w:tcW w:w="122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96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notes payable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1,580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4,080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4,898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wages and commissions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4,747</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promotions and advertising</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5,742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4,715</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Freight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1,088</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5,749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6,192</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22,330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27,036</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NONCURRENT LIABILITIES</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23,240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23,320</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3,066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2,806</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29,581</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ind w:left="640"/>
              <w:spacing w:after="0"/>
              <w:rPr>
                <w:sz w:val="20"/>
                <w:szCs w:val="20"/>
                <w:color w:val="auto"/>
              </w:rPr>
            </w:pPr>
            <w:r>
              <w:rPr>
                <w:rFonts w:ascii="Courier New" w:cs="Courier New" w:eastAsia="Courier New" w:hAnsi="Courier New"/>
                <w:sz w:val="18"/>
                <w:szCs w:val="18"/>
                <w:color w:val="auto"/>
              </w:rPr>
              <w:t>TOTAL LIABILITIES</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52,339</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56,617</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 per share,</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5,700,085 shares at October 31,</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2004 and  5,583,960 shares at July 31, 2004</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Stock, par value $.10 per share,</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1,792,583 shares at October 31,</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2004 and 1,792,583 shares at July 31, 2004</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10,709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9,301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91,700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90,985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unearned stock compensation</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(663)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(694)</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102,493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100,321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 (1,653,971</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and 342,241 Class B shares at</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31, 2004 and 1,538,571 Common and</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342,241 Class B shares at July 31, 2004)</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(29,825)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(28,063)</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72,668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72,258</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TOTAL LIABILITIES &amp; STOCKHOLDERS' EQUITY</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$125,007</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$128,875</w:t>
            </w:r>
          </w:p>
        </w:tc>
      </w:tr>
      <w:tr>
        <w:trPr>
          <w:trHeight w:val="203"/>
        </w:trPr>
        <w:tc>
          <w:tcPr>
            <w:tcW w:w="49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9579"/>
          </w:cols>
          <w:pgMar w:left="880" w:top="1122" w:right="1440" w:bottom="1440"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4"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CONSOLIDATED STATEMENTS OF INCOME AND RETAINED EARNINGS (IN THOUSANDS, EXCEPT FOR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3320" w:type="dxa"/>
            <w:vAlign w:val="bottom"/>
            <w:gridSpan w:val="4"/>
          </w:tcPr>
          <w:p>
            <w:pPr>
              <w:ind w:left="580"/>
              <w:spacing w:after="0"/>
              <w:rPr>
                <w:sz w:val="20"/>
                <w:szCs w:val="20"/>
                <w:color w:val="auto"/>
              </w:rPr>
            </w:pPr>
            <w:r>
              <w:rPr>
                <w:rFonts w:ascii="Courier New" w:cs="Courier New" w:eastAsia="Courier New" w:hAnsi="Courier New"/>
                <w:sz w:val="18"/>
                <w:szCs w:val="18"/>
                <w:color w:val="auto"/>
                <w:w w:val="96"/>
              </w:rPr>
              <w:t>FOR THE THREE MONTHS ENDED</w:t>
            </w:r>
          </w:p>
        </w:tc>
      </w:tr>
      <w:tr>
        <w:trPr>
          <w:trHeight w:val="203"/>
        </w:trPr>
        <w:tc>
          <w:tcPr>
            <w:tcW w:w="3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31</w:t>
            </w:r>
          </w:p>
        </w:tc>
        <w:tc>
          <w:tcPr>
            <w:tcW w:w="9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2004</w:t>
            </w:r>
          </w:p>
        </w:tc>
        <w:tc>
          <w:tcPr>
            <w:tcW w:w="36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$ 44,121</w:t>
            </w: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$ 46,292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34,453</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35,414</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9,668</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10,878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94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(7,643)</w:t>
            </w:r>
          </w:p>
        </w:tc>
        <w:tc>
          <w:tcPr>
            <w:tcW w:w="3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(8,109)</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2,025</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4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(442)</w:t>
            </w:r>
          </w:p>
        </w:tc>
        <w:tc>
          <w:tcPr>
            <w:tcW w:w="3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EXPENSE, NET</w:t>
            </w:r>
          </w:p>
        </w:tc>
        <w:tc>
          <w:tcPr>
            <w:tcW w:w="94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w:t>
            </w:r>
          </w:p>
        </w:tc>
        <w:tc>
          <w:tcPr>
            <w:tcW w:w="3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(349)</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94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1,718</w:t>
            </w:r>
          </w:p>
        </w:tc>
        <w:tc>
          <w:tcPr>
            <w:tcW w:w="36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1,280</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1,718</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RETAINED EARNINGS</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90,985</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88,002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cash dividends declared</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565</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508</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 OCTOBER 31</w:t>
            </w:r>
          </w:p>
        </w:tc>
        <w:tc>
          <w:tcPr>
            <w:tcW w:w="2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$ 91,700</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$ 89,212</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BASIC COMMON</w:t>
            </w:r>
          </w:p>
        </w:tc>
        <w:tc>
          <w:tcPr>
            <w:tcW w:w="94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0.25</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0.34</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BASIC COMMON</w:t>
            </w:r>
          </w:p>
        </w:tc>
        <w:tc>
          <w:tcPr>
            <w:tcW w:w="94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4,053</w:t>
            </w:r>
          </w:p>
        </w:tc>
        <w:tc>
          <w:tcPr>
            <w:tcW w:w="36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4,038</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1,450</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1,423</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94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5,949</w:t>
            </w:r>
          </w:p>
        </w:tc>
        <w:tc>
          <w:tcPr>
            <w:tcW w:w="3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5,744</w:t>
            </w:r>
          </w:p>
        </w:tc>
      </w:tr>
      <w:tr>
        <w:trPr>
          <w:trHeight w:val="203"/>
        </w:trPr>
        <w:tc>
          <w:tcPr>
            <w:tcW w:w="3740" w:type="dxa"/>
            <w:vAlign w:val="bottom"/>
          </w:tcPr>
          <w:p>
            <w:pPr>
              <w:spacing w:after="0"/>
              <w:rPr>
                <w:sz w:val="17"/>
                <w:szCs w:val="17"/>
                <w:color w:val="auto"/>
              </w:rPr>
            </w:pPr>
          </w:p>
        </w:tc>
        <w:tc>
          <w:tcPr>
            <w:tcW w:w="2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9579"/>
          </w:cols>
          <w:pgMar w:left="880" w:top="514"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6"/>
          <w:szCs w:val="16"/>
          <w:color w:val="auto"/>
        </w:rPr>
        <w:t>OIL-DRI CORPORATION OF AMERICA &amp; SUBSIDIARIES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STATEMENTS OF CONSOLIDATED INCOME</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 THOUSANDS OF DOLLARS)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FOR THE THREE MONTHS ENDED</w:t>
      </w:r>
    </w:p>
    <w:p>
      <w:pPr>
        <w:ind w:left="5700"/>
        <w:spacing w:after="0" w:line="238" w:lineRule="auto"/>
        <w:rPr>
          <w:sz w:val="20"/>
          <w:szCs w:val="20"/>
          <w:color w:val="auto"/>
        </w:rPr>
      </w:pPr>
      <w:r>
        <w:rPr>
          <w:rFonts w:ascii="Courier New" w:cs="Courier New" w:eastAsia="Courier New" w:hAnsi="Courier New"/>
          <w:sz w:val="18"/>
          <w:szCs w:val="18"/>
          <w:color w:val="auto"/>
        </w:rPr>
        <w:t>OCTOBER 31</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694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p>
    <w:p>
      <w:pPr>
        <w:spacing w:after="0" w:line="4" w:lineRule="exact"/>
        <w:rPr>
          <w:sz w:val="20"/>
          <w:szCs w:val="20"/>
          <w:color w:val="auto"/>
        </w:rPr>
      </w:pPr>
    </w:p>
    <w:p>
      <w:pPr>
        <w:ind w:left="4740"/>
        <w:spacing w:after="0"/>
        <w:tabs>
          <w:tab w:leader="none" w:pos="6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$1,718</w:t>
      </w:r>
    </w:p>
    <w:p>
      <w:pPr>
        <w:spacing w:after="0" w:line="200" w:lineRule="exact"/>
        <w:rPr>
          <w:sz w:val="20"/>
          <w:szCs w:val="20"/>
          <w:color w:val="auto"/>
        </w:rPr>
      </w:pPr>
    </w:p>
    <w:p>
      <w:pPr>
        <w:sectPr>
          <w:pgSz w:w="11900" w:h="16838" w:orient="portrait"/>
          <w:cols w:equalWidth="0" w:num="3">
            <w:col w:w="4340" w:space="720"/>
            <w:col w:w="1080" w:space="720"/>
            <w:col w:w="3359"/>
          </w:cols>
          <w:pgMar w:left="240" w:top="1128"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Other Comprehensive Income:</w:t>
      </w:r>
    </w:p>
    <w:p>
      <w:pPr>
        <w:sectPr>
          <w:pgSz w:w="11900" w:h="16838" w:orient="portrait"/>
          <w:cols w:equalWidth="0" w:num="1">
            <w:col w:w="10219"/>
          </w:cols>
          <w:pgMar w:left="240" w:top="1128"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Cumulative Translation Adjustments</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440" w:space="300"/>
            <w:col w:w="1480" w:space="320"/>
            <w:col w:w="3679"/>
          </w:cols>
          <w:pgMar w:left="240" w:top="1128"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TOTAL COMPREHENSIVE INCOME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$1,311</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$1,803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20" w:space="720"/>
            <w:col w:w="1480" w:space="220"/>
            <w:col w:w="377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8" w:right="1440" w:bottom="1440" w:gutter="0" w:footer="0" w:header="0"/>
          <w:type w:val="continuous"/>
        </w:sectPr>
      </w:pPr>
    </w:p>
    <w:bookmarkStart w:id="6" w:name="page7"/>
    <w:bookmarkEnd w:id="6"/>
    <w:p>
      <w:pPr>
        <w:jc w:val="center"/>
        <w:ind w:right="229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2299"/>
        <w:spacing w:after="0"/>
        <w:rPr>
          <w:sz w:val="20"/>
          <w:szCs w:val="20"/>
          <w:color w:val="auto"/>
        </w:rPr>
      </w:pPr>
      <w:r>
        <w:rPr>
          <w:rFonts w:ascii="Courier New" w:cs="Courier New" w:eastAsia="Courier New" w:hAnsi="Courier New"/>
          <w:sz w:val="18"/>
          <w:szCs w:val="18"/>
          <w:color w:val="auto"/>
        </w:rPr>
        <w:t>(IN THOUSANDS OF DOLLARS)</w:t>
      </w:r>
    </w:p>
    <w:tbl>
      <w:tblPr>
        <w:tblLayout w:type="fixed"/>
        <w:tblInd w:w="0" w:type="dxa"/>
        <w:tblCellMar>
          <w:top w:w="0" w:type="dxa"/>
          <w:left w:w="0" w:type="dxa"/>
          <w:bottom w:w="0" w:type="dxa"/>
          <w:right w:w="0" w:type="dxa"/>
        </w:tblCellMar>
      </w:tblPr>
      <w:tr>
        <w:trPr>
          <w:trHeight w:val="202"/>
        </w:trPr>
        <w:tc>
          <w:tcPr>
            <w:tcW w:w="4740" w:type="dxa"/>
            <w:vAlign w:val="bottom"/>
          </w:tcPr>
          <w:p>
            <w:pPr>
              <w:ind w:left="3060"/>
              <w:spacing w:after="0" w:line="202" w:lineRule="exact"/>
              <w:rPr>
                <w:sz w:val="20"/>
                <w:szCs w:val="20"/>
                <w:color w:val="auto"/>
              </w:rPr>
            </w:pPr>
            <w:r>
              <w:rPr>
                <w:rFonts w:ascii="Courier New" w:cs="Courier New" w:eastAsia="Courier New" w:hAnsi="Courier New"/>
                <w:sz w:val="18"/>
                <w:szCs w:val="18"/>
                <w:color w:val="auto"/>
              </w:rPr>
              <w:t>(UNAUDITED)</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474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6"/>
              </w:rPr>
              <w:t>FOR THE THREE MONTHS ENDED</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OCTOBER 31</w:t>
            </w:r>
          </w:p>
        </w:tc>
      </w:tr>
      <w:tr>
        <w:trPr>
          <w:trHeight w:val="203"/>
        </w:trPr>
        <w:tc>
          <w:tcPr>
            <w:tcW w:w="4740" w:type="dxa"/>
            <w:vAlign w:val="bottom"/>
          </w:tcPr>
          <w:p>
            <w:pPr>
              <w:spacing w:after="0"/>
              <w:rPr>
                <w:sz w:val="17"/>
                <w:szCs w:val="17"/>
                <w:color w:val="auto"/>
              </w:rPr>
            </w:pP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54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40" w:type="dxa"/>
            <w:vAlign w:val="bottom"/>
          </w:tcPr>
          <w:p>
            <w:pPr>
              <w:ind w:left="440"/>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1,280</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$ 1,718</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2,082</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Amortization of investment discount</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Loss (Gain) on the sale of property,</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(1,815)</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(560)</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Prepaid overburden removal expense</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(2,729)</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assets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2,134</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(1,471)</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(1,455)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(1,232)</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(3,446)</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CASH PROVIDED BY (USED IN)</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(1,728)</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(1,748)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Proceeds from sale of property,</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Purchases of investments in debt</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securities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Maturities of investments in debt</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securities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Purchases of treasury securities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(7,799)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Dispositions of treasury securities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9,341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14,428</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CASH PROVIDED BY INVESTING ACTIVITIES</w:t>
            </w:r>
          </w:p>
        </w:tc>
        <w:tc>
          <w:tcPr>
            <w:tcW w:w="54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809</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1,513</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(2,580)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Dividends paid</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(461)</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(1,762)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1,261</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Other, net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5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(3,569)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(3,348)</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5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(1,732)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(3,563)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BEGINNING OF YEAR</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6,348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4,753</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OCTOBER 31</w:t>
            </w:r>
          </w:p>
        </w:tc>
        <w:tc>
          <w:tcPr>
            <w:tcW w:w="5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4,616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$ 1,190</w:t>
            </w:r>
          </w:p>
        </w:tc>
      </w:tr>
      <w:tr>
        <w:trPr>
          <w:trHeight w:val="203"/>
        </w:trPr>
        <w:tc>
          <w:tcPr>
            <w:tcW w:w="4740" w:type="dxa"/>
            <w:vAlign w:val="bottom"/>
          </w:tcPr>
          <w:p>
            <w:pPr>
              <w:spacing w:after="0"/>
              <w:rPr>
                <w:sz w:val="17"/>
                <w:szCs w:val="17"/>
                <w:color w:val="auto"/>
              </w:rPr>
            </w:pP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9799"/>
          </w:cols>
          <w:pgMar w:left="660" w:top="514" w:right="1440" w:bottom="161"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8"/>
          <w:szCs w:val="18"/>
          <w:color w:val="auto"/>
        </w:rPr>
        <w:t>OIL-DRI CORPORATION OF AMERICA &amp; SUBSIDIARIES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jc w:val="center"/>
        <w:ind w:right="20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STATEMENT PRESENTATION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financial statements and the related notes are condensed and should be read in conjunction with the consolidated financial statements and related notes for the year ended July 31, 2004, included in the Company's Annual Report on Form 10-K filed with the Securities and Exchange Commission.</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subsidiaries. All significant intercompany transactions are eliminated.</w:t>
      </w:r>
    </w:p>
    <w:p>
      <w:pPr>
        <w:spacing w:after="0" w:line="17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unaudited financial information reflects all adjustments which are, in the opinion of management, necessary for a fair presentation of the statements contained herein.</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Under the terms of its sales agreements with customers, the Company recognizes revenue when title is transferred. Upon shipment an invoice is generated that sets the fixed and determinable price. Sales returns and allowances, which have historically not been material, are reviewed to determine if any additional reserve is necessary. Allowance for doubtful accounts are evaluated by the Company utilizing a combination of a historical percentage of sales by division and specific customer account analysis. The Company maintains and monitors a list of customers whose creditworthiness has diminished. This list is used as part of the specific customer account analysis.</w:t>
      </w:r>
    </w:p>
    <w:p>
      <w:pPr>
        <w:spacing w:after="0" w:line="38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As of October 31, 2004, the Company had $2,203,000 of prepaid overburden removal expense recorded on its consolidated balance sheet. During the first three months of fiscal 2005, the Company amortized to current expense approximately $740,000 of previously recorded prepaid expense.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composition of inventories is as follows (in thousands of dollars):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0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OCTOBER 31</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2160" w:type="dxa"/>
            <w:vAlign w:val="bottom"/>
          </w:tcPr>
          <w:p>
            <w:pPr>
              <w:spacing w:after="0"/>
              <w:rPr>
                <w:sz w:val="17"/>
                <w:szCs w:val="17"/>
                <w:color w:val="auto"/>
              </w:rPr>
            </w:pP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2004</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160" w:type="dxa"/>
            <w:vAlign w:val="bottom"/>
          </w:tcPr>
          <w:p>
            <w:pPr>
              <w:spacing w:after="0"/>
              <w:rPr>
                <w:sz w:val="17"/>
                <w:szCs w:val="17"/>
                <w:color w:val="auto"/>
              </w:rPr>
            </w:pP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7,972</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$ 7,529</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10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3,228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1,740</w:t>
            </w:r>
          </w:p>
        </w:tc>
      </w:tr>
      <w:tr>
        <w:trPr>
          <w:trHeight w:val="203"/>
        </w:trPr>
        <w:tc>
          <w:tcPr>
            <w:tcW w:w="2160" w:type="dxa"/>
            <w:vAlign w:val="bottom"/>
          </w:tcPr>
          <w:p>
            <w:pPr>
              <w:spacing w:after="0"/>
              <w:rPr>
                <w:sz w:val="17"/>
                <w:szCs w:val="17"/>
                <w:color w:val="auto"/>
              </w:rPr>
            </w:pPr>
          </w:p>
        </w:tc>
        <w:tc>
          <w:tcPr>
            <w:tcW w:w="2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12,958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$12,399</w:t>
            </w:r>
          </w:p>
        </w:tc>
      </w:tr>
    </w:tbl>
    <w:p>
      <w:pPr>
        <w:sectPr>
          <w:pgSz w:w="11900" w:h="16838" w:orient="portrait"/>
          <w:cols w:equalWidth="0" w:num="1">
            <w:col w:w="10219"/>
          </w:cols>
          <w:pgMar w:left="240" w:top="1122" w:right="1440" w:bottom="0" w:gutter="0" w:footer="0" w:header="0"/>
        </w:sectPr>
      </w:pPr>
    </w:p>
    <w:bookmarkStart w:id="8" w:name="page9"/>
    <w:bookmarkEnd w:id="8"/>
    <w:p>
      <w:pPr>
        <w:ind w:left="1660"/>
        <w:spacing w:after="0"/>
        <w:tabs>
          <w:tab w:leader="none" w:pos="3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019"/>
          </w:cols>
          <w:pgMar w:left="1440" w:top="142" w:right="1440" w:bottom="144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Inventories are valued at the lower of cost (first-in, first-out) or market. Inventory costs include the cost of raw materials, packaging supplies, labor and other overhead costs. The Company performs a detailed review of its inventory items to determine if an obsolescence reserve adjustment is necessary. The review surveys all of the Company's operating facilities and sales divisions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2004 and July 31, 2004 were $494,000 and $641,000, respectively.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PENSION AND OTHER POST RETIREMENT BENEFITS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December 2003, the FASB issued a revision to Statement of Financial Accounting Standards ("SFAS") No. 132 (revised 2003), "Employers' Disclosures about Pensions and Other Postretirement Benefits," effective for fiscal periods beginning after December 15, 2003. This revised statement requires additional annual disclosures regarding types of plan assets, investment strategy, future plan contributions, expected benefit payments and other items. The statement also requires quarterly disclosure of the components of net periodic benefit cost and plan contributions. The Company has adopted SFAS No. 132 (revised 2003) for the quarter ending October 31, 2004 and has presented below the required disclosure.</w:t>
      </w:r>
    </w:p>
    <w:p>
      <w:pPr>
        <w:spacing w:after="0" w:line="21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components of net periodic pension benefits cost of the Company sponsored defined benefit plans were as follows:</w:t>
      </w:r>
    </w:p>
    <w:p>
      <w:pPr>
        <w:sectPr>
          <w:pgSz w:w="11900" w:h="16838" w:orient="portrait"/>
          <w:cols w:equalWidth="0" w:num="1">
            <w:col w:w="10219"/>
          </w:cols>
          <w:pgMar w:left="240" w:top="5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 of net periodic pension benefit cost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cost</w:t>
      </w:r>
    </w:p>
    <w:p>
      <w:pPr>
        <w:spacing w:after="0" w:line="238" w:lineRule="auto"/>
        <w:rPr>
          <w:sz w:val="20"/>
          <w:szCs w:val="20"/>
          <w:color w:val="auto"/>
        </w:rPr>
      </w:pPr>
      <w:r>
        <w:rPr>
          <w:rFonts w:ascii="Courier New" w:cs="Courier New" w:eastAsia="Courier New" w:hAnsi="Courier New"/>
          <w:sz w:val="18"/>
          <w:szCs w:val="18"/>
          <w:color w:val="auto"/>
        </w:rPr>
        <w:t>Interest cost</w:t>
      </w:r>
    </w:p>
    <w:p>
      <w:pPr>
        <w:spacing w:after="0"/>
        <w:rPr>
          <w:sz w:val="20"/>
          <w:szCs w:val="20"/>
          <w:color w:val="auto"/>
        </w:rPr>
      </w:pPr>
      <w:r>
        <w:rPr>
          <w:rFonts w:ascii="Courier New" w:cs="Courier New" w:eastAsia="Courier New" w:hAnsi="Courier New"/>
          <w:sz w:val="18"/>
          <w:szCs w:val="18"/>
          <w:color w:val="auto"/>
        </w:rPr>
        <w:t>Expected return on plan assets</w:t>
      </w:r>
    </w:p>
    <w:p>
      <w:pPr>
        <w:spacing w:after="0" w:line="237" w:lineRule="auto"/>
        <w:rPr>
          <w:sz w:val="20"/>
          <w:szCs w:val="20"/>
          <w:color w:val="auto"/>
        </w:rPr>
      </w:pPr>
      <w:r>
        <w:rPr>
          <w:rFonts w:ascii="Courier New" w:cs="Courier New" w:eastAsia="Courier New" w:hAnsi="Courier New"/>
          <w:sz w:val="18"/>
          <w:szCs w:val="18"/>
          <w:color w:val="auto"/>
        </w:rPr>
        <w:t>Net amortization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PENSION PLANS</w:t>
      </w:r>
    </w:p>
    <w:p>
      <w:pPr>
        <w:ind w:left="320"/>
        <w:spacing w:after="0" w:line="238" w:lineRule="auto"/>
        <w:rPr>
          <w:sz w:val="20"/>
          <w:szCs w:val="20"/>
          <w:color w:val="auto"/>
        </w:rPr>
      </w:pPr>
      <w:r>
        <w:rPr>
          <w:rFonts w:ascii="Courier New" w:cs="Courier New" w:eastAsia="Courier New" w:hAnsi="Courier New"/>
          <w:sz w:val="18"/>
          <w:szCs w:val="18"/>
          <w:color w:val="auto"/>
        </w:rPr>
        <w:t>Three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October 31,</w:t>
      </w:r>
      <w:r>
        <w:rPr>
          <w:sz w:val="20"/>
          <w:szCs w:val="20"/>
          <w:color w:val="auto"/>
        </w:rPr>
        <w:tab/>
      </w:r>
      <w:r>
        <w:rPr>
          <w:rFonts w:ascii="Courier New" w:cs="Courier New" w:eastAsia="Courier New" w:hAnsi="Courier New"/>
          <w:sz w:val="16"/>
          <w:szCs w:val="16"/>
          <w:color w:val="auto"/>
        </w:rPr>
        <w:t>October 31,</w:t>
      </w:r>
    </w:p>
    <w:p>
      <w:pPr>
        <w:ind w:left="320"/>
        <w:spacing w:after="0" w:line="238" w:lineRule="auto"/>
        <w:tabs>
          <w:tab w:leader="none" w:pos="178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(dollars 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660" w:val="left"/>
        </w:tabs>
        <w:rPr>
          <w:sz w:val="20"/>
          <w:szCs w:val="20"/>
          <w:color w:val="auto"/>
        </w:rPr>
      </w:pPr>
      <w:r>
        <w:rPr>
          <w:rFonts w:ascii="Courier New" w:cs="Courier New" w:eastAsia="Courier New" w:hAnsi="Courier New"/>
          <w:sz w:val="18"/>
          <w:szCs w:val="18"/>
          <w:color w:val="auto"/>
        </w:rPr>
        <w:t>$ 197</w:t>
      </w:r>
      <w:r>
        <w:rPr>
          <w:sz w:val="20"/>
          <w:szCs w:val="20"/>
          <w:color w:val="auto"/>
        </w:rPr>
        <w:tab/>
      </w:r>
      <w:r>
        <w:rPr>
          <w:rFonts w:ascii="Courier New" w:cs="Courier New" w:eastAsia="Courier New" w:hAnsi="Courier New"/>
          <w:sz w:val="16"/>
          <w:szCs w:val="16"/>
          <w:color w:val="auto"/>
        </w:rPr>
        <w:t>$ 194</w:t>
      </w:r>
    </w:p>
    <w:p>
      <w:pPr>
        <w:ind w:left="4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239</w:t>
      </w:r>
      <w:r>
        <w:rPr>
          <w:sz w:val="20"/>
          <w:szCs w:val="20"/>
          <w:color w:val="auto"/>
        </w:rPr>
        <w:tab/>
      </w:r>
      <w:r>
        <w:rPr>
          <w:rFonts w:ascii="Courier New" w:cs="Courier New" w:eastAsia="Courier New" w:hAnsi="Courier New"/>
          <w:sz w:val="18"/>
          <w:szCs w:val="18"/>
          <w:color w:val="auto"/>
        </w:rPr>
        <w:t>227</w:t>
      </w:r>
    </w:p>
    <w:p>
      <w:pPr>
        <w:ind w:left="320"/>
        <w:spacing w:after="0"/>
        <w:tabs>
          <w:tab w:leader="none" w:pos="178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(204)</w:t>
      </w:r>
    </w:p>
    <w:p>
      <w:pPr>
        <w:ind w:left="520"/>
        <w:spacing w:after="0" w:line="237" w:lineRule="auto"/>
        <w:tabs>
          <w:tab w:leader="none" w:pos="19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660" w:val="left"/>
        </w:tabs>
        <w:rPr>
          <w:sz w:val="20"/>
          <w:szCs w:val="20"/>
          <w:color w:val="auto"/>
        </w:rPr>
      </w:pPr>
      <w:r>
        <w:rPr>
          <w:rFonts w:ascii="Courier New" w:cs="Courier New" w:eastAsia="Courier New" w:hAnsi="Courier New"/>
          <w:sz w:val="18"/>
          <w:szCs w:val="18"/>
          <w:color w:val="auto"/>
        </w:rPr>
        <w:t>$ 216</w:t>
      </w:r>
      <w:r>
        <w:rPr>
          <w:sz w:val="20"/>
          <w:szCs w:val="20"/>
          <w:color w:val="auto"/>
        </w:rPr>
        <w:tab/>
      </w:r>
      <w:r>
        <w:rPr>
          <w:rFonts w:ascii="Courier New" w:cs="Courier New" w:eastAsia="Courier New" w:hAnsi="Courier New"/>
          <w:sz w:val="16"/>
          <w:szCs w:val="16"/>
          <w:color w:val="auto"/>
        </w:rPr>
        <w:t>$ 238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60" w:space="420"/>
            <w:col w:w="4839"/>
          </w:cols>
          <w:pgMar w:left="240" w:top="520" w:right="1440" w:bottom="0" w:gutter="0" w:footer="0" w:header="0"/>
          <w:type w:val="continuous"/>
        </w:sectPr>
      </w:pPr>
    </w:p>
    <w:p>
      <w:pPr>
        <w:spacing w:after="0" w:line="22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did not make a contribution to its pension plan during the first quarter of fiscal year ending July 31, 2005. The Company intends to make a contribution to the pension plan during the third quarter of the current fiscal year equal to the annual cost. The Company estimates the annual cost to be $500,000.</w:t>
      </w:r>
    </w:p>
    <w:p>
      <w:pPr>
        <w:sectPr>
          <w:pgSz w:w="11900" w:h="16838" w:orient="portrait"/>
          <w:cols w:equalWidth="0" w:num="1">
            <w:col w:w="10219"/>
          </w:cols>
          <w:pgMar w:left="240" w:top="52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Components of net periodic</w:t>
      </w:r>
    </w:p>
    <w:p>
      <w:pPr>
        <w:ind w:left="220"/>
        <w:spacing w:after="0" w:line="238" w:lineRule="auto"/>
        <w:rPr>
          <w:sz w:val="20"/>
          <w:szCs w:val="20"/>
          <w:color w:val="auto"/>
        </w:rPr>
      </w:pPr>
      <w:r>
        <w:rPr>
          <w:rFonts w:ascii="Courier New" w:cs="Courier New" w:eastAsia="Courier New" w:hAnsi="Courier New"/>
          <w:sz w:val="18"/>
          <w:szCs w:val="18"/>
          <w:color w:val="auto"/>
        </w:rPr>
        <w:t>postretirement benefit cost</w:t>
      </w:r>
    </w:p>
    <w:p>
      <w:pPr>
        <w:spacing w:after="0"/>
        <w:rPr>
          <w:sz w:val="20"/>
          <w:szCs w:val="20"/>
          <w:color w:val="auto"/>
        </w:rPr>
      </w:pPr>
      <w:r>
        <w:rPr>
          <w:rFonts w:ascii="Courier New" w:cs="Courier New" w:eastAsia="Courier New" w:hAnsi="Courier New"/>
          <w:sz w:val="18"/>
          <w:szCs w:val="18"/>
          <w:color w:val="auto"/>
        </w:rPr>
        <w:t>Service cost</w:t>
      </w:r>
    </w:p>
    <w:p>
      <w:pPr>
        <w:spacing w:after="0" w:line="237" w:lineRule="auto"/>
        <w:rPr>
          <w:sz w:val="20"/>
          <w:szCs w:val="20"/>
          <w:color w:val="auto"/>
        </w:rPr>
      </w:pPr>
      <w:r>
        <w:rPr>
          <w:rFonts w:ascii="Courier New" w:cs="Courier New" w:eastAsia="Courier New" w:hAnsi="Courier New"/>
          <w:sz w:val="18"/>
          <w:szCs w:val="18"/>
          <w:color w:val="auto"/>
        </w:rPr>
        <w:t>Interest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of net transition obligation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actuarial loss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Recognized actuarial loss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POST RETIREMENT</w:t>
      </w:r>
    </w:p>
    <w:p>
      <w:pPr>
        <w:ind w:left="520"/>
        <w:spacing w:after="0" w:line="238" w:lineRule="auto"/>
        <w:rPr>
          <w:sz w:val="20"/>
          <w:szCs w:val="20"/>
          <w:color w:val="auto"/>
        </w:rPr>
      </w:pPr>
      <w:r>
        <w:rPr>
          <w:rFonts w:ascii="Courier New" w:cs="Courier New" w:eastAsia="Courier New" w:hAnsi="Courier New"/>
          <w:sz w:val="18"/>
          <w:szCs w:val="18"/>
          <w:color w:val="auto"/>
        </w:rPr>
        <w:t>HEALTH BENEFITS</w:t>
      </w:r>
    </w:p>
    <w:p>
      <w:pPr>
        <w:ind w:left="320"/>
        <w:spacing w:after="0"/>
        <w:rPr>
          <w:sz w:val="20"/>
          <w:szCs w:val="20"/>
          <w:color w:val="auto"/>
        </w:rPr>
      </w:pPr>
      <w:r>
        <w:rPr>
          <w:rFonts w:ascii="Courier New" w:cs="Courier New" w:eastAsia="Courier New" w:hAnsi="Courier New"/>
          <w:sz w:val="18"/>
          <w:szCs w:val="18"/>
          <w:color w:val="auto"/>
        </w:rPr>
        <w:t>Three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October 31,</w:t>
      </w:r>
      <w:r>
        <w:rPr>
          <w:sz w:val="20"/>
          <w:szCs w:val="20"/>
          <w:color w:val="auto"/>
        </w:rPr>
        <w:tab/>
      </w:r>
      <w:r>
        <w:rPr>
          <w:rFonts w:ascii="Courier New" w:cs="Courier New" w:eastAsia="Courier New" w:hAnsi="Courier New"/>
          <w:sz w:val="16"/>
          <w:szCs w:val="16"/>
          <w:color w:val="auto"/>
        </w:rPr>
        <w:t>October 31,</w:t>
      </w:r>
    </w:p>
    <w:p>
      <w:pPr>
        <w:ind w:left="320"/>
        <w:spacing w:after="0" w:line="238" w:lineRule="auto"/>
        <w:tabs>
          <w:tab w:leader="none" w:pos="178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(dollars 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$14</w:t>
      </w:r>
    </w:p>
    <w:p>
      <w:pPr>
        <w:ind w:left="520"/>
        <w:spacing w:after="0" w:line="238" w:lineRule="auto"/>
        <w:tabs>
          <w:tab w:leader="none" w:pos="19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11</w:t>
      </w:r>
    </w:p>
    <w:p>
      <w:pPr>
        <w:ind w:left="640"/>
        <w:spacing w:after="0"/>
        <w:tabs>
          <w:tab w:leader="none" w:pos="20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4</w:t>
      </w:r>
    </w:p>
    <w:p>
      <w:pPr>
        <w:ind w:left="520"/>
        <w:spacing w:after="0" w:line="237" w:lineRule="auto"/>
        <w:tabs>
          <w:tab w:leader="none" w:pos="20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20" w:space="320"/>
            <w:col w:w="5579"/>
          </w:cols>
          <w:pgMar w:left="240" w:top="520"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The Company's plan covering postretirement health benefits is an unfunded plan.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RECENTLY ISSUED ACCOUNTING STANDARDS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November 2004, the FASB issued Statement of Financial Accounting Standards ("SFAS") No. 151, "Inventory Costs," effective for fiscal years beginning after June 15, 2005. This statement amends the guidance in ARB 43, Chapter 4, "Inventory Pricing", to clarify the accounting for abnormal amounts of idle facility expense, freight, handling costs and wasted material (spoilage). The</w:t>
      </w:r>
    </w:p>
    <w:p>
      <w:pPr>
        <w:sectPr>
          <w:pgSz w:w="11900" w:h="16838" w:orient="portrait"/>
          <w:cols w:equalWidth="0" w:num="1">
            <w:col w:w="10219"/>
          </w:cols>
          <w:pgMar w:left="240" w:top="520" w:right="1440" w:bottom="0" w:gutter="0" w:footer="0" w:header="0"/>
          <w:type w:val="continuous"/>
        </w:sectPr>
      </w:pPr>
    </w:p>
    <w:bookmarkStart w:id="10" w:name="page11"/>
    <w:bookmarkEnd w:id="10"/>
    <w:p>
      <w:pPr>
        <w:ind w:right="2519"/>
        <w:spacing w:after="0" w:line="290" w:lineRule="auto"/>
        <w:rPr>
          <w:sz w:val="20"/>
          <w:szCs w:val="20"/>
          <w:color w:val="auto"/>
        </w:rPr>
      </w:pPr>
      <w:r>
        <w:rPr>
          <w:rFonts w:ascii="Courier New" w:cs="Courier New" w:eastAsia="Courier New" w:hAnsi="Courier New"/>
          <w:sz w:val="16"/>
          <w:szCs w:val="16"/>
          <w:color w:val="auto"/>
        </w:rPr>
        <w:t>Company is currently reviewing this pronouncement, but does not currently believe it will have a material impact to the financial statements.</w:t>
      </w:r>
    </w:p>
    <w:p>
      <w:pPr>
        <w:sectPr>
          <w:pgSz w:w="11900" w:h="16838" w:orient="portrait"/>
          <w:cols w:equalWidth="0" w:num="1">
            <w:col w:w="10219"/>
          </w:cols>
          <w:pgMar w:left="240" w:top="142"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In March 2004, the Emerging Issues Task Force ("EITF") reached a consensus on Issue 03-06, "Participating Securities and the Two-Class Method under SFAS 128 on EPS" ("EITF 03-06"). EITF 03-06 provided guidance in determining when the "Two-Class" method, as defined in SFAS No. 128 "Earnings per Share" is to be utilized in calculating earnings per share. The Company was required to adopt EITF 03-06 for the quarter and year ended July 31, 2004. The Common Stock of the Company has a 33.3% dividend preference to the Class B Stock. The Class B Stock, which has ten votes per share as opposed to one vote per share for the Common Stock, may be converted at any time on a one for one basis for the Common Stock at the option of the holder of the Class B Stock. EITF 03-06 requires the income per share for each class of common stock to be calculated assuming 100% of the Company's earnings are distributed as dividends to each class of common stock. The effective result of EITF 03-06 has been that the basic earnings per share for the Common Stock will be approximately 33% greater than the basic earnings per share of the Class B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SEGMENT REPORTING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four reportable operating segments: Consumer Products Group, Specialty Products Group, Crop Production and Horticultural Products Group, and Industrial and Automotive Products Group. These segments are managed separately because each business has different economic characteristics.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Note 1 of the consolidated financial statements included in the Company's Annual Report on Form 10-K for the fiscal year ended July 31, 2004 filed with the Securities and Exchange Commission.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Management does not rely on any segment asset allocations and does not consider them meaningful because of the shared nature of the Company's production facilities. However the Company has estimated the segment asset allocations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258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5640" w:type="dxa"/>
            <w:vAlign w:val="bottom"/>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OCTOBER 31,</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JULY 31,</w:t>
            </w:r>
          </w:p>
        </w:tc>
      </w:tr>
      <w:tr>
        <w:trPr>
          <w:trHeight w:val="203"/>
        </w:trPr>
        <w:tc>
          <w:tcPr>
            <w:tcW w:w="5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2004</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5640" w:type="dxa"/>
            <w:vAlign w:val="bottom"/>
          </w:tcPr>
          <w:p>
            <w:pPr>
              <w:spacing w:after="0"/>
              <w:rPr>
                <w:sz w:val="17"/>
                <w:szCs w:val="17"/>
                <w:color w:val="auto"/>
              </w:rPr>
            </w:pPr>
          </w:p>
        </w:tc>
        <w:tc>
          <w:tcPr>
            <w:tcW w:w="2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ASSETS</w:t>
            </w:r>
          </w:p>
        </w:tc>
        <w:tc>
          <w:tcPr>
            <w:tcW w:w="94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25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(in thousands)</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Consumer Products Group............................</w:t>
            </w:r>
          </w:p>
        </w:tc>
        <w:tc>
          <w:tcPr>
            <w:tcW w:w="3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53,159</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$ 55,240</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Specialty Products Group...........................</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15,594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$ 14,594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Crop Production and Horticultural Products Group...</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11,376</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$ 11,452</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Industrial and Automotive Products Group...........</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8,506</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  8,646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Unallocated Assets.................................</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36,372</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$ 38,943</w:t>
            </w:r>
          </w:p>
        </w:tc>
      </w:tr>
      <w:tr>
        <w:trPr>
          <w:trHeight w:val="203"/>
        </w:trPr>
        <w:tc>
          <w:tcPr>
            <w:tcW w:w="5640" w:type="dxa"/>
            <w:vAlign w:val="bottom"/>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125,007</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$128,875</w:t>
            </w:r>
          </w:p>
        </w:tc>
      </w:tr>
      <w:tr>
        <w:trPr>
          <w:trHeight w:val="203"/>
        </w:trPr>
        <w:tc>
          <w:tcPr>
            <w:tcW w:w="5640" w:type="dxa"/>
            <w:vAlign w:val="bottom"/>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rPr>
                <w:sz w:val="17"/>
                <w:szCs w:val="17"/>
                <w:color w:val="auto"/>
              </w:rPr>
            </w:pPr>
          </w:p>
        </w:tc>
        <w:tc>
          <w:tcPr>
            <w:tcW w:w="39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Three Months Ended October 31,</w:t>
            </w:r>
          </w:p>
        </w:tc>
      </w:tr>
      <w:tr>
        <w:trPr>
          <w:trHeight w:val="203"/>
        </w:trPr>
        <w:tc>
          <w:tcPr>
            <w:tcW w:w="4440" w:type="dxa"/>
            <w:vAlign w:val="bottom"/>
          </w:tcPr>
          <w:p>
            <w:pPr>
              <w:spacing w:after="0"/>
              <w:rPr>
                <w:sz w:val="17"/>
                <w:szCs w:val="17"/>
                <w:color w:val="auto"/>
              </w:rPr>
            </w:pPr>
          </w:p>
        </w:tc>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rPr>
                <w:sz w:val="17"/>
                <w:szCs w:val="17"/>
                <w:color w:val="auto"/>
              </w:rPr>
            </w:pP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Net Sales</w:t>
            </w: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4440" w:type="dxa"/>
            <w:vAlign w:val="bottom"/>
          </w:tcPr>
          <w:p>
            <w:pPr>
              <w:spacing w:after="0"/>
              <w:rPr>
                <w:sz w:val="17"/>
                <w:szCs w:val="17"/>
                <w:color w:val="auto"/>
              </w:rPr>
            </w:pPr>
          </w:p>
        </w:tc>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w w:val="99"/>
              </w:rPr>
              <w:t>Consumer Products Group..................</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$27,914</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$28,619</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$ 3,782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$ 4,559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Specialty Products Group.................</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7,866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Crop Production and Horticultural</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Products Group.........................</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Industrial and Automotive Products Group.</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5,747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SALES/OPERATING INCOME.............</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$44,121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$46,292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6,948</w:t>
            </w:r>
          </w:p>
        </w:tc>
      </w:tr>
      <w:tr>
        <w:trPr>
          <w:trHeight w:val="203"/>
        </w:trPr>
        <w:tc>
          <w:tcPr>
            <w:tcW w:w="44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83"/>
              </w:rPr>
              <w:t>Corporate Expenses........................................</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3,387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4,037</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Interest Expense, net of Interest Income</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4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INCOME BEFORE INCOME TAXES..................................</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2,420</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Income Taxes................................................</w:t>
            </w:r>
          </w:p>
        </w:tc>
        <w:tc>
          <w:tcPr>
            <w:tcW w:w="9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r>
    </w:tbl>
    <w:p>
      <w:pPr>
        <w:sectPr>
          <w:pgSz w:w="11900" w:h="16838" w:orient="portrait"/>
          <w:cols w:equalWidth="0" w:num="1">
            <w:col w:w="10219"/>
          </w:cols>
          <w:pgMar w:left="240" w:top="520" w:right="1440" w:bottom="0" w:gutter="0" w:footer="0" w:header="0"/>
        </w:sectPr>
      </w:pPr>
    </w:p>
    <w:bookmarkStart w:id="12" w:name="page13"/>
    <w:bookmarkEnd w:id="12"/>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jc w:val="right"/>
        <w:ind w:right="1879"/>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right"/>
        <w:ind w:right="1879"/>
        <w:spacing w:after="0"/>
        <w:tabs>
          <w:tab w:leader="none" w:pos="620" w:val="left"/>
        </w:tabs>
        <w:rPr>
          <w:sz w:val="20"/>
          <w:szCs w:val="20"/>
          <w:color w:val="auto"/>
        </w:rPr>
      </w:pPr>
      <w:r>
        <w:rPr>
          <w:rFonts w:ascii="Courier New" w:cs="Courier New" w:eastAsia="Courier New" w:hAnsi="Courier New"/>
          <w:sz w:val="18"/>
          <w:szCs w:val="18"/>
          <w:color w:val="auto"/>
        </w:rPr>
        <w:t>$1,280</w:t>
      </w:r>
      <w:r>
        <w:rPr>
          <w:sz w:val="20"/>
          <w:szCs w:val="20"/>
          <w:color w:val="auto"/>
        </w:rPr>
        <w:tab/>
      </w:r>
      <w:r>
        <w:rPr>
          <w:rFonts w:ascii="Courier New" w:cs="Courier New" w:eastAsia="Courier New" w:hAnsi="Courier New"/>
          <w:sz w:val="16"/>
          <w:szCs w:val="16"/>
          <w:color w:val="auto"/>
        </w:rPr>
        <w:t>$1,718</w:t>
      </w:r>
    </w:p>
    <w:p>
      <w:pPr>
        <w:spacing w:after="0" w:line="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6320" w:space="220"/>
            <w:col w:w="3679"/>
          </w:cols>
          <w:pgMar w:left="240" w:top="14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STOCK-BASED COMPENSATION DISCLOSURE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applies the intrinsic value method under Accounting Principles Board Opinion ("APB") No. 25, "Accounting for Stock Issued to Employees", and related other interpretations to account for its stock option plans. All the outstanding options issued under the plans have had exercise prices equal to the market value on the day of issue. Accordingly, the Company has not recorded any compensation expense associated with its issuance of stock options. The Company has recorded as expense the fair market value on the date of issue of any</w:t>
      </w:r>
    </w:p>
    <w:p>
      <w:pPr>
        <w:sectPr>
          <w:pgSz w:w="11900" w:h="16838" w:orient="portrait"/>
          <w:cols w:equalWidth="0" w:num="1">
            <w:col w:w="10219"/>
          </w:cols>
          <w:pgMar w:left="240" w:top="142" w:right="1440" w:bottom="1440" w:gutter="0" w:footer="0" w:header="0"/>
          <w:type w:val="continuous"/>
        </w:sectPr>
      </w:pPr>
    </w:p>
    <w:bookmarkStart w:id="13" w:name="page14"/>
    <w:bookmarkEnd w:id="13"/>
    <w:p>
      <w:pPr>
        <w:jc w:val="both"/>
        <w:ind w:right="1999"/>
        <w:spacing w:after="0" w:line="268" w:lineRule="auto"/>
        <w:rPr>
          <w:sz w:val="20"/>
          <w:szCs w:val="20"/>
          <w:color w:val="auto"/>
        </w:rPr>
      </w:pPr>
      <w:r>
        <w:rPr>
          <w:rFonts w:ascii="Courier New" w:cs="Courier New" w:eastAsia="Courier New" w:hAnsi="Courier New"/>
          <w:sz w:val="16"/>
          <w:szCs w:val="16"/>
          <w:color w:val="auto"/>
        </w:rPr>
        <w:t>restricted stock awards granted. The fair value of the issued stock options is estimated on the grant date using the Black-Scholes Option Pricing Method. Had the Company accounted for stock-based compensation in accordance with SFAS No.</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123, "Accounting for Stock-Based Compensation," the Company would have reported in the first three months of fiscal 2005 and 2004 additional employee compensation expense (net of related tax effect) of approximately $62,000 and $78,000 respectively.</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table details the effect on net income and earnings per share if compensation expense for the stock plans had been recorded based on the fair value method under SFAS 123, "Accounting for Stock Based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Three Months Ended</w:t>
      </w:r>
    </w:p>
    <w:p>
      <w:pPr>
        <w:ind w:left="4860"/>
        <w:spacing w:after="0"/>
        <w:rPr>
          <w:sz w:val="20"/>
          <w:szCs w:val="20"/>
          <w:color w:val="auto"/>
        </w:rPr>
      </w:pPr>
      <w:r>
        <w:rPr>
          <w:rFonts w:ascii="Courier New" w:cs="Courier New" w:eastAsia="Courier New" w:hAnsi="Courier New"/>
          <w:sz w:val="18"/>
          <w:szCs w:val="18"/>
          <w:color w:val="auto"/>
        </w:rPr>
        <w:t>October 31,</w:t>
      </w:r>
    </w:p>
    <w:p>
      <w:pPr>
        <w:ind w:left="54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03"/>
        </w:trPr>
        <w:tc>
          <w:tcPr>
            <w:tcW w:w="3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 THOUSANDS,</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 PER SHARE DATA)</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Reported net income</w:t>
            </w:r>
          </w:p>
        </w:tc>
        <w:tc>
          <w:tcPr>
            <w:tcW w:w="1300" w:type="dxa"/>
            <w:vAlign w:val="bottom"/>
          </w:tcPr>
          <w:p>
            <w:pPr>
              <w:spacing w:after="0"/>
              <w:rPr>
                <w:sz w:val="17"/>
                <w:szCs w:val="17"/>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$1,280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$1,718</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Add:  Total stock-based</w:t>
            </w:r>
          </w:p>
        </w:tc>
        <w:tc>
          <w:tcPr>
            <w:tcW w:w="13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employee compensation</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7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included in reported net income,</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of</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related tax effects</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Total stock-based</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employee compensation</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determined under fair</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method</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all awards</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of</w:t>
            </w: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related tax effects</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4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Courier New" w:cs="Courier New" w:eastAsia="Courier New" w:hAnsi="Courier New"/>
                <w:sz w:val="18"/>
                <w:szCs w:val="18"/>
                <w:color w:val="auto"/>
              </w:rPr>
              <w:t>Pro forma net income</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$1,218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$1,640</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40" w:type="dxa"/>
        <w:tblCellMar>
          <w:top w:w="0" w:type="dxa"/>
          <w:left w:w="0" w:type="dxa"/>
          <w:bottom w:w="0" w:type="dxa"/>
          <w:right w:w="0" w:type="dxa"/>
        </w:tblCellMar>
      </w:tblPr>
      <w:tr>
        <w:trPr>
          <w:trHeight w:val="203"/>
        </w:trPr>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Earnings per share:</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as</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reported</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pro forma</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860" w:type="dxa"/>
        <w:tblCellMar>
          <w:top w:w="0" w:type="dxa"/>
          <w:left w:w="0" w:type="dxa"/>
          <w:bottom w:w="0" w:type="dxa"/>
          <w:right w:w="0" w:type="dxa"/>
        </w:tblCellMar>
      </w:tblPr>
      <w:tr>
        <w:trPr>
          <w:trHeight w:val="203"/>
        </w:trPr>
        <w:tc>
          <w:tcPr>
            <w:tcW w:w="58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Common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as reported</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$0.19</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$0.25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86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rPr>
              <w:t>as reported</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$0.22</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$0.30</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 forma</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r>
    </w:tbl>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20" w:right="1440" w:bottom="1440" w:gutter="0" w:footer="0" w:header="0"/>
        </w:sectPr>
      </w:pPr>
    </w:p>
    <w:bookmarkStart w:id="14" w:name="page15"/>
    <w:bookmarkEnd w:id="14"/>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ind w:left="960"/>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OCTOBER 31, 2004 COMPARED TO</w:t>
      </w:r>
    </w:p>
    <w:p>
      <w:pPr>
        <w:spacing w:after="0" w:line="238" w:lineRule="auto"/>
        <w:rPr>
          <w:sz w:val="20"/>
          <w:szCs w:val="20"/>
          <w:color w:val="auto"/>
        </w:rPr>
      </w:pPr>
      <w:r>
        <w:rPr>
          <w:rFonts w:ascii="Courier New" w:cs="Courier New" w:eastAsia="Courier New" w:hAnsi="Courier New"/>
          <w:sz w:val="18"/>
          <w:szCs w:val="18"/>
          <w:color w:val="auto"/>
        </w:rPr>
        <w:t>THREE MONTHS ENDED OCTOBER 31,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net sales for the three months ended October 31, 2004 were</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$44,121,000, a decrease of 4.7% from net sales of $46,292,000 in the first three months of fiscal 2004. Net income for the first three months of fiscal 2005 was $1,280,000 a decrease of 25.5% from $1,718,000 earned in the first three months of fiscal 2004. Fiscal 2005's net income was positively impacted by improved sales and income from the Specialty Products Group, but negatively impacted by sales and income reductions seen in the Consumer and Crop Production and Horticultural Products Groups. Volume declines were experienced by all Groups except Specialty Products. General price increases helped to offset some of the volume declines, however the substantial sales decline experienced by the Crop Production and Horticultural Products Group, which is discussed below, more than offset the price increases. Diluted net income per share for the first three months of fiscal 2005 was $0.22 versus $0.30 diluted net income per share reported for the first three months of fiscal 2004. While sales and earnings performance for the first quarter were lower than the first quarter of fiscal 2004, they were in line with our budgeted plan for the year.</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Net sales of the Consumer Products Group for the first three months of fiscal 2005 were $27,914,000, a decrease of 2.5% from net sales of $28,619,000 in the first three months of fiscal 2004. This segment's operating income decreased 17.0% from $4,559,000 in the first three months of fiscal 2004 to $3,782,000 in the first three months of fiscal 2005. Contributing to the sales and profit decline was heavy promotional spending associated with the Jonny Cat scoopable cat litter rollout. Overall, branded product sales were up, but private label sales were down. Scoopable cat litter showed sales growth, but coarse litter experienced a sales decline. Price increases helped to mitigate cost increases in freight, packaging and materials. However, the Group saw a small negative volume change for the quarter as compared to last year.</w:t>
      </w:r>
    </w:p>
    <w:p>
      <w:pPr>
        <w:spacing w:after="0" w:line="392"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Net sales of the Specialty Products Group for the first three months of fiscal 2005 were $7,866,000, an increase of 17.3% from net sales of $6,704,000 in the first three months of fiscal 2004. This segment's operating income increased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13.6% from $1,687,000 in the first three months of fiscal 2004 to $1,916,000 in the first three months of fiscal 2005. Sales growth was seen in the bleaching earth sector, with Perform, PureFlo and UltraClear products achieving solid growth in the quarter. Price increases along with volume growth to new customers have enhanced both sales and profits for the Group. Offsetting some of the positive factors were freight cost increases due to fuel surcharges and temporary animal health and nutrition market weakness in Asia due to the bird flu concerns.</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of the Crop Production and Horticultural Products Group for the first three months of fiscal 2005 were $2,594,000, a decrease of 52.7% from net sales of $5,486,000 in the first three months of fiscal 2004. The net sales decrease resulted from production delays at major agricultural chemical formulators, primarily those formulating chemicals to combat corn rootworm. These formulators delayed their production start-ups due to inventory carryover from last season and the beginning effects of genetically modified ("GMO") seed in the market. These formulators have also been conservative in their ordering patterns this year as they are unsure of how much GMO seed will affect their overall volume. This volume reduction adversely impacted the Group's gross profit, which translated into an operating loss for the quarter. The significant decrease in agricultural carrier production also reduced the product availability of the Group's Flo-Fre product line, which in turn caused a further reduction of net sales. The segment's operating income decreased from a $702,000 profit in the first quarter of fiscal 2004 to a loss of $249,000 in the first quarter of fiscal 2005. The decrease in operating income was driven by the reduction in sales described above.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of the Industrial and Automotive Products Group for the first three months of fiscal 2005 were $5,747,000, an increase of 4.8% from net sales of $5,483,000 in the first three months of fiscal 2004. The segment reported operating income of $13,000 for the first three months of fiscal 2005 compared to essentially breakeven results for the first three months of fiscal 2004. Price increases were the key factor that allowed the Group to report increased sales in the quarter. Volume, customers and product lines were relatively flat for the first quarter as compared to last year. However, freight and resin costs have continued to increase for the Group. Fuel surcharges and resin price increases associated with the increased cost of oil offset some of the sales</w:t>
      </w:r>
    </w:p>
    <w:p>
      <w:pPr>
        <w:sectPr>
          <w:pgSz w:w="11900" w:h="16838" w:orient="portrait"/>
          <w:cols w:equalWidth="0" w:num="1">
            <w:col w:w="10219"/>
          </w:cols>
          <w:pgMar w:left="240" w:top="919"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price increases that the Group was able to generate.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rPr>
              <w:t>Consolidated gross profit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as a</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percentage of net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sales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first</w:t>
            </w:r>
          </w:p>
        </w:tc>
        <w:tc>
          <w:tcPr>
            <w:tcW w:w="12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fiscal 2005</w:t>
            </w:r>
          </w:p>
        </w:tc>
        <w:tc>
          <w:tcPr>
            <w:tcW w:w="3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decreased to 21.9% from 23.5% in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first three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of</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2004. As discussed</w:t>
            </w: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above, the heavy promotional</w:t>
            </w:r>
          </w:p>
        </w:tc>
        <w:tc>
          <w:tcPr>
            <w:tcW w:w="1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spending in the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Consumer</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Products Group, along</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with</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significant sales</w:t>
            </w:r>
          </w:p>
        </w:tc>
        <w:tc>
          <w:tcPr>
            <w:tcW w:w="2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decline in the Crop</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Production</w:t>
            </w: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and Horticultural Products</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Group, had a negative</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impact on</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8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quarter's gross</w:t>
            </w:r>
          </w:p>
        </w:tc>
      </w:tr>
    </w:tbl>
    <w:p>
      <w:pPr>
        <w:sectPr>
          <w:pgSz w:w="11900" w:h="16838" w:orient="portrait"/>
          <w:cols w:equalWidth="0" w:num="1">
            <w:col w:w="10219"/>
          </w:cols>
          <w:pgMar w:left="240" w:top="136" w:right="1440" w:bottom="144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profit. Most of the groups also saw increased freight costs associated with the increase in oil prices. Non-fuel manufacturing costs rose 10.6%, which had a negative impact on gross profit. Much of the non-fuel manufacturing cost increase was caused by decreased fixed cost coverage associated with the reduced demand. The cost of fuel used in the manufacturing processes remained relatively flat due to the Company's forward purchase program. General price increases positively impacted the results.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expenses as a percentage of net sales for the first three months of fiscal 2005 decreased to 17.3% compared to the 17.5% for the first three months of fiscal 2004. The reduction was consistent with the results for the first quarter.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Interest expense was down during the time period due to the reduction in debt. Interest income increased $45,000 from the first three months of fiscal 2004 due to the change in the investment portfolio of the Company.</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Company's effective tax rate was 25.5% of pre-tax income in the first three months of fiscal 2005 versus 29% in the first three months of fiscal 2004. The decrease in the effective tax rate for fiscal 2005 was due to a change in estimate in calculating the Company's depletion deduction and by the Company's decision to change from a separate company federal tax filing (e.g. each subsidiary filing individually) to a consolidated company federal tax filing, which has allowed the Company to better utilize its various tax attributes.</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assets of the Company decreased $3,868,000 or 3.0% during the first three months of fiscal 2005. Current assets decreased $3,495,000 or 5.1% from fiscal 2004 year-end balances, primarily due to decreases in cash and investment securities and prepaid overburden removal expense. Offsetting these decreases were increases in accounts receivable, inventory and other prepaid assets. Much of the decline in cash and investments was due to a payment of the current portion of the long-term notes payable and the payment of the fiscal 2004 discretionary bonus.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 net of accumulated depreciation, decreased</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$166,000 or 0.3% during the first three months of fiscal 2005. The decrease was a result of normal depreciation expense exceeding capital expenditures.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liabilities decreased $4,278,000 or 7.6% during the first three months of fiscal 2005. Current liabilities decreased $4,706,000 or 17.4% during the first three months of fiscal 2005. The decrease in current liabilities was driven by a decrease in the current maturities of notes payable, accounts payable, salary and wages payable and other payables. Increases were seen in trade promotions payable, freight payable and dividends payable. The increase in trade promotions payable was consistent with the previously discussed increase in trade spending in the Consumer Products Group. The decrease in current notes payable and salaries payable was consistent with the reduction in cash and investments discussed above. Noncurrent liabilities increased $428,000 largely due to an increase in deferred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believes based on the first three month actual results, that consolidated net sales for fiscal 2005 will be flat to slightly above fiscal 2004. The Crop Production and Horticultural Products Group anticipates regaining some of the first quarter sales shortfall in the second and third quarters of fiscal 2005. The Consumer Products Group should see some positive results from the trade promotions for the new Jonny Cat Scoop business in upcoming quarters. The Specialty Products Group expects to continue to see positive trends in its markets. Unfortunately, the Company expects to incur further price increases in packaging, freight and other commodities. The Company believes that improvements in manufacturing efficiencies will help offset these anticipated cost increases. The Company continues to believe that its previous earnings guidance of $1.20 to $1.30 per diluted share is still appropriate.</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Given the Company's July 31, 2005 compliance deadline, the Company expects to devote significant internal and external resources to its Sarbanes-Oxley Section 404 readiness effort. Because the Company is geographically dispersed and operates in a decentralized manner, this process may prove to be more costly, challenging and time consuming compared to similarly-sized public companies without these characteristics.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Working capital increased $1,211,000 during the first three months of fiscal 2005 to $42,156,000, primarily due to increases in inventories and prepaid expenses and decreases in current maturities of notes payable, accrued expenses and accounts payable.</w:t>
      </w:r>
    </w:p>
    <w:p>
      <w:pPr>
        <w:sectPr>
          <w:pgSz w:w="11900" w:h="16838" w:orient="portrait"/>
          <w:cols w:equalWidth="0" w:num="1">
            <w:col w:w="10219"/>
          </w:cols>
          <w:pgMar w:left="240" w:top="520" w:right="1440" w:bottom="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Cash was used during the three months ended October 31, 2004 to fund capital expenditures of $1,748,000, to make payments on long-term debt of $2,580,000, to purchase treasury stock of $1,762,000 and to make dividend payments of $514,000. Cash and investment securities decreased $4,128,000 during the first three months of fiscal 2005. Most of the cash and investment decline was attributable to debt and interest payments and the payment in September 2004 of the fiscal 2004 discretionary bonus.</w:t>
      </w:r>
    </w:p>
    <w:p>
      <w:pPr>
        <w:sectPr>
          <w:pgSz w:w="11900" w:h="16838" w:orient="portrait"/>
          <w:cols w:equalWidth="0" w:num="1">
            <w:col w:w="10219"/>
          </w:cols>
          <w:pgMar w:left="240" w:top="142" w:right="1440" w:bottom="1440" w:gutter="0" w:footer="0" w:header="0"/>
        </w:sectPr>
      </w:pPr>
    </w:p>
    <w:bookmarkStart w:id="18" w:name="page19"/>
    <w:bookmarkEnd w:id="18"/>
    <w:p>
      <w:pPr>
        <w:ind w:right="1779"/>
        <w:spacing w:after="0" w:line="275" w:lineRule="auto"/>
        <w:rPr>
          <w:sz w:val="20"/>
          <w:szCs w:val="20"/>
          <w:color w:val="auto"/>
        </w:rPr>
      </w:pPr>
      <w:r>
        <w:rPr>
          <w:rFonts w:ascii="Courier New" w:cs="Courier New" w:eastAsia="Courier New" w:hAnsi="Courier New"/>
          <w:sz w:val="16"/>
          <w:szCs w:val="16"/>
          <w:color w:val="auto"/>
        </w:rPr>
        <w:t>Total cash and investment balances held by the Company's foreign subsidiaries at October 31, 2004 and July 31, 2004 were $4,220,000 and $3,633,000, respectively. The improved cash position at the Company's foreign subsidiaries was driven by the improved operating performance in the Company's Canadian subsidiary.</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less allowance for doubtful accounts, decreased 1.2% during the first three months of fiscal 2005. The Company maintains policies and practices to monitor the creditworthiness of its customers. These policies include maintaining and monitoring a list of customers whose creditworthiness has diminished. The total balance of accounts receivable for accounts on that list represents approximately 1.5% of the Company's outstanding receivables at October 31, 2004.</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table listed below depicts the Company's Contractual Obligations and</w:t>
      </w:r>
    </w:p>
    <w:p>
      <w:pPr>
        <w:spacing w:after="0" w:line="238" w:lineRule="auto"/>
        <w:rPr>
          <w:sz w:val="20"/>
          <w:szCs w:val="20"/>
          <w:color w:val="auto"/>
        </w:rPr>
      </w:pPr>
      <w:r>
        <w:rPr>
          <w:rFonts w:ascii="Courier New" w:cs="Courier New" w:eastAsia="Courier New" w:hAnsi="Courier New"/>
          <w:sz w:val="18"/>
          <w:szCs w:val="18"/>
          <w:color w:val="auto"/>
        </w:rPr>
        <w:t>Commercial Commitments at October 31, 2004 for the timeframes listed: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96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rPr>
              <w:t>PAYMENTS DUE BY PERIOD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680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CONTRACTUAL</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TOTAL</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LESS THAN</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1 - 3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4 - 5</w:t>
            </w:r>
          </w:p>
        </w:tc>
        <w:tc>
          <w:tcPr>
            <w:tcW w:w="16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AFTER 5</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142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 YEAR</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YEARS</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YEARS</w:t>
            </w:r>
          </w:p>
        </w:tc>
        <w:tc>
          <w:tcPr>
            <w:tcW w:w="16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$24,820,000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$ 1,580,000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$ 7,160,000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$ 8,080,000</w:t>
            </w:r>
          </w:p>
        </w:tc>
        <w:tc>
          <w:tcPr>
            <w:tcW w:w="16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$8,000,000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Leases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13,470,000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1,980,000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2,110,000</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6,180,000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Unconditional</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3,048,000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2,964,000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Contractual</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Obligations $41,338,000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$ 6,524,000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$10,428,000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$10,206,000</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$14,180,000</w:t>
            </w:r>
          </w:p>
        </w:tc>
      </w:tr>
      <w:tr>
        <w:trPr>
          <w:trHeight w:val="203"/>
        </w:trPr>
        <w:tc>
          <w:tcPr>
            <w:tcW w:w="174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OTHER COMMERCIAL COMMITMENTS</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5440" w:type="dxa"/>
            <w:vAlign w:val="bottom"/>
            <w:gridSpan w:val="5"/>
          </w:tcPr>
          <w:p>
            <w:pPr>
              <w:jc w:val="right"/>
              <w:ind w:right="32"/>
              <w:spacing w:after="0"/>
              <w:rPr>
                <w:sz w:val="20"/>
                <w:szCs w:val="20"/>
                <w:color w:val="auto"/>
              </w:rPr>
            </w:pPr>
            <w:r>
              <w:rPr>
                <w:rFonts w:ascii="Courier New" w:cs="Courier New" w:eastAsia="Courier New" w:hAnsi="Courier New"/>
                <w:sz w:val="18"/>
                <w:szCs w:val="18"/>
                <w:color w:val="auto"/>
              </w:rPr>
              <w:t>AMOUNT OF COMMITMENT EXPIRATION PER PERIOD</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66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TOTAL</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AMOUNTS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LESS THAN</w:t>
            </w: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1 - 3</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4 - 5</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AFTER 5</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COMMITMENTS</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COMMITTED</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 YEAR</w:t>
            </w: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YEARS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YEARS</w:t>
            </w:r>
          </w:p>
        </w:tc>
        <w:tc>
          <w:tcPr>
            <w:tcW w:w="2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1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Standby Letters</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of Credit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$ 3,270,000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$ 3,270,000</w:t>
            </w:r>
          </w:p>
        </w:tc>
        <w:tc>
          <w:tcPr>
            <w:tcW w:w="3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Guarantees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500,000</w:t>
            </w:r>
          </w:p>
        </w:tc>
        <w:tc>
          <w:tcPr>
            <w:tcW w:w="3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Commercial</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6,406,000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3,906,000</w:t>
            </w:r>
          </w:p>
        </w:tc>
        <w:tc>
          <w:tcPr>
            <w:tcW w:w="3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Commercial</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$10,176,000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$ 7,676,000</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$ 2,500,000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2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liquidity needs have been, and are expected to be, met through internally generated funds and, to the extent needed, borrowings under the Company's revolving credit facility with Harris Trust and Savings Bank. During the second quarter of fiscal 2004 the Company extended this agreement to January 2005. As of October 31, 2004, the Company had $7,500,000 available under the credit facility. The agreement, as amended, contains restrictive covenants that, among other things and under various conditions (including a limitation on capital expenditures), limit the Company's ability to incur additional indebtedness or to acquire or dispose of assets and to pay dividends.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believes that cash flow from operations, availability under</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its revolving credit facility and current cash and investment balances will provide adequate cash funds for foreseeable working capital needs, capital expenditures at existing facilities and debt service obligations. The Company's</w:t>
      </w:r>
    </w:p>
    <w:p>
      <w:pPr>
        <w:sectPr>
          <w:pgSz w:w="11900" w:h="16838" w:orient="portrait"/>
          <w:cols w:equalWidth="0" w:num="1">
            <w:col w:w="10219"/>
          </w:cols>
          <w:pgMar w:left="240" w:top="723"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ability to fund operations, to make planned capital expenditures, to make scheduled debt payments and to remain in compliance with all of the financial covenants under debt agreements, including, but not limited to, the Harris Trust and Savings Bank credit agreement, depends on its future operating performance, which, in turn, is subject to prevailing economic conditions and to financial, business and other factors.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as part of its normal course of business, guarantees certain debts and trade payables of its wholly owned subsidiaries. These arrangements are made at the request of the subsidiaries creditors, as separate financial statements are not distributed for the wholly owned subsidiaries. As of October 31, 2004, the value of these guarantees was $500,000 of short-term liabilities and $2,500,000 of long-term debt.</w:t>
      </w:r>
    </w:p>
    <w:p>
      <w:pPr>
        <w:sectPr>
          <w:pgSz w:w="11900" w:h="16838" w:orient="portrait"/>
          <w:cols w:equalWidth="0" w:num="1">
            <w:col w:w="10219"/>
          </w:cols>
          <w:pgMar w:left="240" w:top="1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FOREIGN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by the Company's foreign subsidiaries during the three months ended October 31, 2004 were $3,489,000 or 7.9% of total Company sales. This represents an increase of 3.4% from the first three months of fiscal 2004, in which foreign subsidiary sales were $3,374,000 or 7.3% of total Company sales. This increase in sales was seen largely in the Company's Canadian subsidiary where positive currency movements of the Canadian dollar and price increases have driven the improvement. For the three months ended October 31, 2004, the foreign subsidiaries reported net income of $133,000, a reduction of $118,000 from the $251,000 income reported in the first three months of fiscal 2004.</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Identifiable assets of the Company's foreign subsidiaries as of October 31, 2004 were $11,637,000 compared to $10,136,000 as of October 31, 2003. Most of the increase was reported in cash and investments.</w:t>
      </w:r>
    </w:p>
    <w:p>
      <w:pPr>
        <w:spacing w:after="0" w:line="20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PURCHASE OF EQUITY SECURITIES BY THE ISSUER AND AFFILIATED PURCHASERS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chart summarizes Common Stock repurchases for the three months ended October 31, 2004.</w:t>
      </w:r>
    </w:p>
    <w:p>
      <w:pPr>
        <w:spacing w:after="0" w:line="203"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ISSUER PURCHASES OF EQUITY SECURITIES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Total Number of</w:t>
            </w: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 Maximum</w:t>
            </w:r>
          </w:p>
        </w:tc>
      </w:tr>
      <w:tr>
        <w:trPr>
          <w:trHeight w:val="203"/>
        </w:trPr>
        <w:tc>
          <w:tcPr>
            <w:tcW w:w="184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 Total</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Purchased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Number of</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Average</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Part of</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that may</w:t>
            </w: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yet be</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Ended</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 Paid</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Announced Plans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Purchased</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31, 2004</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Purchased</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Programs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Plans or</w:t>
            </w: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Programs</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August</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1, 2004 to</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31, 2004</w:t>
            </w: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182,504</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September</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1, 2004 to</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30, 2004</w:t>
            </w:r>
          </w:p>
        </w:tc>
        <w:tc>
          <w:tcPr>
            <w:tcW w:w="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182,504</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October</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1, 2004 to</w:t>
            </w: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31, 2004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115,400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$15.26</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115,400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67,104</w:t>
            </w:r>
          </w:p>
        </w:tc>
      </w:tr>
    </w:tbl>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Certain statements in this report, including, but not limited to, those under the heading "Expectations" and those statements elsewhere in this report that use forward-looking terminology such as "expect," "would," "should,"</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"estimates," "anticipates," and "believes" are "forward-looking statements" within the meaning of that term in the Securities Exchange Act of 1934, as amended. Actual results may differ materially from those reflected in these forward-looking statements, due to uncertainties such as continued vigorous competition in the grocery, mass merchandiser and club markets and specialty product markets, the level of success of new products, and the cost of product introductions and promotions in the consumer market. Forward-looking statements are also subject to the risk of changes in market conditions in the overall economy, energy prices, the risk of war or international instability and, for the fluids purification and agricultural markets, changes in planting activity, crop quality and overall agricultural demand, including export demand, increasing regulation of the food chain and foreign exchange rate fluctuations. Other factors affecting these forward-looking statements may be detailed from time to time in other reports filed by the Company with the 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NOTICE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Oil-Dri, Agsorb, Cat's Pride, Jonny Cat, ConditionAde and Pro's Choice are all registered trademarks of Oil-Dri Corporation of America. PelUnite Plus is a trademark of Oil-Dri Corporation of America.</w:t>
      </w:r>
    </w:p>
    <w:p>
      <w:pPr>
        <w:sectPr>
          <w:pgSz w:w="11900" w:h="16838" w:orient="portrait"/>
          <w:cols w:equalWidth="0" w:num="1">
            <w:col w:w="10219"/>
          </w:cols>
          <w:pgMar w:left="240" w:top="717" w:right="1440" w:bottom="1440" w:gutter="0" w:footer="0" w:header="0"/>
        </w:sectPr>
      </w:pPr>
    </w:p>
    <w:bookmarkStart w:id="21" w:name="page22"/>
    <w:bookmarkEnd w:id="21"/>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exposed to interest rate risk and employs policies and procedures to manage its exposure to changes in the market risk of its cash equivalents and short-term investments. The Company had two interest rate swap agreements as of October 31, 2004. The Company believes that the market risk arising from holdings of its financial instruments is not material.</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 is exposed to currency risk as it relates to certain accounts receivables and the Company's foreign operations. The Company has always determined that the currency risk is immaterial to the overall presentation of the financial statements. However, the Company began a program in fiscal 2004 of hedging certain receivable balances in a further attempt to minimize the risk.</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is exposed to regulatory risk in the fluid purification, animal health and agricultural markets, principally as a result of the risk of increasing regulation of the food chain in the United States and Europe. The Company actively monitors developments in this area, both directly and through trade organizations of which it is a member.</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is exposed to commodity price risk with respect to natural gas. As of October 31, 2004, the Company had contracted for a portion of its fuel needs for fiscal 2005 using forward purchase contracts to manage the volatility related to this exposure. The weighted average cost of the 2005 contracts has been estimated to be approximately 11.5% higher than the contracts for fiscal 2004. These contracts were entered into during the normal course of business and no contracts were entered into for speculative purposes.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tables below provide information about the Company's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2005. The Fair Value was determined using the "Most Recent Settle" price for the "Henry Hub Natural Gas" option contract prices as listed by the New York Mercantile Exchange on November 16, 2004.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120"/>
        <w:spacing w:after="0" w:line="238" w:lineRule="auto"/>
        <w:rPr>
          <w:sz w:val="20"/>
          <w:szCs w:val="20"/>
          <w:color w:val="auto"/>
        </w:rPr>
      </w:pPr>
      <w:r>
        <w:rPr>
          <w:rFonts w:ascii="Courier New" w:cs="Courier New" w:eastAsia="Courier New" w:hAnsi="Courier New"/>
          <w:sz w:val="18"/>
          <w:szCs w:val="18"/>
          <w:color w:val="auto"/>
        </w:rPr>
        <w:t>COMMODITY PRICE SENSITIVITY</w:t>
      </w:r>
    </w:p>
    <w:p>
      <w:pPr>
        <w:ind w:left="2120"/>
        <w:spacing w:after="0"/>
        <w:rPr>
          <w:sz w:val="20"/>
          <w:szCs w:val="20"/>
          <w:color w:val="auto"/>
        </w:rPr>
      </w:pPr>
      <w:r>
        <w:rPr>
          <w:rFonts w:ascii="Courier New" w:cs="Courier New" w:eastAsia="Courier New" w:hAnsi="Courier New"/>
          <w:sz w:val="18"/>
          <w:szCs w:val="18"/>
          <w:color w:val="auto"/>
        </w:rPr>
        <w:t>NATURAL GAS FUTURE CONTRACTS</w:t>
      </w:r>
    </w:p>
    <w:p>
      <w:pPr>
        <w:ind w:left="1800"/>
        <w:spacing w:after="0" w:line="237" w:lineRule="auto"/>
        <w:rPr>
          <w:sz w:val="20"/>
          <w:szCs w:val="20"/>
          <w:color w:val="auto"/>
        </w:rPr>
      </w:pPr>
      <w:r>
        <w:rPr>
          <w:rFonts w:ascii="Courier New" w:cs="Courier New" w:eastAsia="Courier New" w:hAnsi="Courier New"/>
          <w:sz w:val="18"/>
          <w:szCs w:val="18"/>
          <w:color w:val="auto"/>
        </w:rPr>
        <w:t>FOR THE YEAR ENDING JULY 31, 2005</w:t>
      </w:r>
    </w:p>
    <w:p>
      <w:pPr>
        <w:spacing w:after="0" w:line="238" w:lineRule="auto"/>
        <w:rPr>
          <w:sz w:val="20"/>
          <w:szCs w:val="20"/>
          <w:color w:val="auto"/>
        </w:rPr>
      </w:pPr>
      <w:r>
        <w:rPr>
          <w:rFonts w:ascii="Courier New" w:cs="Courier New" w:eastAsia="Courier New" w:hAnsi="Courier New"/>
          <w:sz w:val="18"/>
          <w:szCs w:val="18"/>
          <w:color w:val="auto"/>
        </w:rPr>
        <w:t>- ---------------------------------------------------------------</w:t>
      </w:r>
    </w:p>
    <w:p>
      <w:pPr>
        <w:ind w:left="3800"/>
        <w:spacing w:after="0"/>
        <w:tabs>
          <w:tab w:leader="none" w:pos="5780" w:val="left"/>
        </w:tabs>
        <w:rPr>
          <w:sz w:val="20"/>
          <w:szCs w:val="20"/>
          <w:color w:val="auto"/>
        </w:rPr>
      </w:pPr>
      <w:r>
        <w:rPr>
          <w:rFonts w:ascii="Courier New" w:cs="Courier New" w:eastAsia="Courier New" w:hAnsi="Courier New"/>
          <w:sz w:val="18"/>
          <w:szCs w:val="18"/>
          <w:color w:val="auto"/>
        </w:rPr>
        <w:t>Expected 2005</w:t>
      </w:r>
      <w:r>
        <w:rPr>
          <w:sz w:val="20"/>
          <w:szCs w:val="20"/>
          <w:color w:val="auto"/>
        </w:rPr>
        <w:tab/>
      </w:r>
      <w:r>
        <w:rPr>
          <w:rFonts w:ascii="Courier New" w:cs="Courier New" w:eastAsia="Courier New" w:hAnsi="Courier New"/>
          <w:sz w:val="16"/>
          <w:szCs w:val="16"/>
          <w:color w:val="auto"/>
        </w:rPr>
        <w:t>Fair</w:t>
      </w:r>
    </w:p>
    <w:p>
      <w:pPr>
        <w:ind w:left="4120"/>
        <w:spacing w:after="0" w:line="237" w:lineRule="auto"/>
        <w:tabs>
          <w:tab w:leader="none" w:pos="578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Value</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70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Natural Gas Future</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Volumes (MMBtu)</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464,400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Average Price (Per MMBtu)</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6.31</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Contract</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U.S. in thousands)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2,932.5</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$3,234.5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7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Factors that could influence the fair value of the natural gas contracts, include, but are not limited to, the creditworthiness of the Company's natural gas suppliers, the overall general economy, developments in world events, and the general demand for natural gas by the manufacturing sector, seasonality and the weather patterns throughout the United States and the world. Some of these same events have allowed the Company to mitigate the impact of the natural gas contracts by the continued and in some cases expanded use of recycled oil in our manufacturing processes. Accurate estimates of the impact that these contracts may have on the Company's fiscal 2005 financial results are difficult to make due to the inherent uncertainty of future fluctuations in option contract prices in the natural gas options market.</w:t>
      </w: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left="860" w:right="3039" w:hanging="852"/>
        <w:spacing w:after="0" w:line="237"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their evaluation within 90 days prior to the filing date of this Quarterly Report on Form 10-Q, the Company's Chief Executive Officer and Chief Financial Officer have concluded that the Company's disclosure controls and procedures as defined in Rule 13a-14(c) under the Securities Exchange Act of 1934, as amended, are effective for gathering, analyzing, and disclosing the information the Company is required to disclose in reports filed under the Act.</w:t>
      </w:r>
    </w:p>
    <w:p>
      <w:pPr>
        <w:spacing w:after="0" w:line="21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significant changes in the Company's internal controls or</w:t>
      </w:r>
    </w:p>
    <w:p>
      <w:pPr>
        <w:sectPr>
          <w:pgSz w:w="11900" w:h="16838" w:orient="portrait"/>
          <w:cols w:equalWidth="0" w:num="1">
            <w:col w:w="10219"/>
          </w:cols>
          <w:pgMar w:left="240" w:top="717" w:right="1440" w:bottom="0" w:gutter="0" w:footer="0" w:header="0"/>
        </w:sectPr>
      </w:pPr>
    </w:p>
    <w:bookmarkStart w:id="22" w:name="page23"/>
    <w:bookmarkEnd w:id="22"/>
    <w:p>
      <w:pPr>
        <w:ind w:right="2099"/>
        <w:spacing w:after="0" w:line="235" w:lineRule="auto"/>
        <w:rPr>
          <w:sz w:val="20"/>
          <w:szCs w:val="20"/>
          <w:color w:val="auto"/>
        </w:rPr>
      </w:pPr>
      <w:r>
        <w:rPr>
          <w:rFonts w:ascii="Courier New" w:cs="Courier New" w:eastAsia="Courier New" w:hAnsi="Courier New"/>
          <w:sz w:val="18"/>
          <w:szCs w:val="18"/>
          <w:color w:val="auto"/>
        </w:rPr>
        <w:t>in other factors that could significantly affect those controls since the date of last evaluation of those internal controls.</w:t>
      </w:r>
    </w:p>
    <w:p>
      <w:pPr>
        <w:sectPr>
          <w:pgSz w:w="11900" w:h="16838" w:orient="portrait"/>
          <w:cols w:equalWidth="0" w:num="1">
            <w:col w:w="9359"/>
          </w:cols>
          <w:pgMar w:left="110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Exhibit 11:  Statement Re:  Computation of per share earnings</w:t>
      </w:r>
    </w:p>
    <w:p>
      <w:pPr>
        <w:spacing w:after="0" w:line="218"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31:  Rule 13a - 14(a) Certifications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32:  Section 1350 Certifications</w:t>
      </w:r>
    </w:p>
    <w:p>
      <w:pPr>
        <w:sectPr>
          <w:pgSz w:w="11900" w:h="16838" w:orient="portrait"/>
          <w:cols w:equalWidth="0" w:num="1">
            <w:col w:w="10219"/>
          </w:cols>
          <w:pgMar w:left="240" w:top="11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CORPORATION OF AMERICA</w:t>
      </w:r>
    </w:p>
    <w:p>
      <w:pPr>
        <w:ind w:left="2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ANDREW N. PETERSON</w:t>
      </w:r>
    </w:p>
    <w:p>
      <w:pPr>
        <w:ind w:left="320"/>
        <w:spacing w:after="0" w:line="238" w:lineRule="auto"/>
        <w:rPr>
          <w:sz w:val="20"/>
          <w:szCs w:val="20"/>
          <w:color w:val="auto"/>
        </w:rPr>
      </w:pPr>
      <w:r>
        <w:rPr>
          <w:rFonts w:ascii="Courier New" w:cs="Courier New" w:eastAsia="Courier New" w:hAnsi="Courier New"/>
          <w:sz w:val="18"/>
          <w:szCs w:val="18"/>
          <w:color w:val="auto"/>
        </w:rPr>
        <w:t>Andrew N. Peterson</w:t>
      </w:r>
    </w:p>
    <w:p>
      <w:pPr>
        <w:ind w:left="320"/>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DANIEL S. JAFFEE</w:t>
      </w:r>
    </w:p>
    <w:p>
      <w:pPr>
        <w:ind w:left="320"/>
        <w:spacing w:after="0" w:line="238" w:lineRule="auto"/>
        <w:rPr>
          <w:sz w:val="20"/>
          <w:szCs w:val="20"/>
          <w:color w:val="auto"/>
        </w:rPr>
      </w:pPr>
      <w:r>
        <w:rPr>
          <w:rFonts w:ascii="Courier New" w:cs="Courier New" w:eastAsia="Courier New" w:hAnsi="Courier New"/>
          <w:sz w:val="18"/>
          <w:szCs w:val="18"/>
          <w:color w:val="auto"/>
        </w:rPr>
        <w:t>Daniel S. Jaffee</w:t>
      </w:r>
    </w:p>
    <w:p>
      <w:pPr>
        <w:ind w:left="3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December 9, 2004</w:t>
      </w:r>
    </w:p>
    <w:p>
      <w:pPr>
        <w:sectPr>
          <w:pgSz w:w="11900" w:h="16838" w:orient="portrait"/>
          <w:cols w:equalWidth="0" w:num="1">
            <w:col w:w="9899"/>
          </w:cols>
          <w:pgMar w:left="560" w:top="1325" w:right="1440" w:bottom="1440" w:gutter="0" w:footer="0" w:header="0"/>
        </w:sectPr>
      </w:pPr>
    </w:p>
    <w:bookmarkStart w:id="25" w:name="page26"/>
    <w:bookmarkEnd w:id="25"/>
    <w:p>
      <w:pPr>
        <w:spacing w:after="0" w:line="2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2200" w:val="left"/>
          <w:tab w:leader="none" w:pos="378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8"/>
          <w:szCs w:val="18"/>
          <w:color w:val="auto"/>
        </w:rPr>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Exhibit 31:</w:t>
      </w:r>
      <w:r>
        <w:rPr>
          <w:sz w:val="20"/>
          <w:szCs w:val="20"/>
          <w:color w:val="auto"/>
        </w:rPr>
        <w:tab/>
      </w:r>
      <w:r>
        <w:rPr>
          <w:rFonts w:ascii="Courier New" w:cs="Courier New" w:eastAsia="Courier New" w:hAnsi="Courier New"/>
          <w:sz w:val="16"/>
          <w:szCs w:val="16"/>
          <w:color w:val="auto"/>
        </w:rPr>
        <w:t>Rule 13a - 14(a) Certifications</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Exhibit 32:</w:t>
      </w:r>
      <w:r>
        <w:rPr>
          <w:sz w:val="20"/>
          <w:szCs w:val="20"/>
          <w:color w:val="auto"/>
        </w:rPr>
        <w:tab/>
      </w:r>
      <w:r>
        <w:rPr>
          <w:rFonts w:ascii="Courier New" w:cs="Courier New" w:eastAsia="Courier New" w:hAnsi="Courier New"/>
          <w:sz w:val="16"/>
          <w:szCs w:val="16"/>
          <w:color w:val="auto"/>
        </w:rPr>
        <w:t>Section 1350 Certifications</w:t>
      </w:r>
    </w:p>
    <w:p>
      <w:pPr>
        <w:sectPr>
          <w:pgSz w:w="11900" w:h="16838" w:orient="portrait"/>
          <w:cols w:equalWidth="0" w:num="1">
            <w:col w:w="10219"/>
          </w:cols>
          <w:pgMar w:left="240" w:top="144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3"/>
          </w:tcPr>
          <w:p>
            <w:pPr>
              <w:jc w:val="center"/>
              <w:ind w:left="1712"/>
              <w:spacing w:after="0"/>
              <w:rPr>
                <w:sz w:val="20"/>
                <w:szCs w:val="20"/>
                <w:color w:val="auto"/>
              </w:rPr>
            </w:pPr>
            <w:r>
              <w:rPr>
                <w:rFonts w:ascii="Courier New" w:cs="Courier New" w:eastAsia="Courier New" w:hAnsi="Courier New"/>
                <w:sz w:val="18"/>
                <w:szCs w:val="18"/>
                <w:color w:val="auto"/>
                <w:w w:val="97"/>
              </w:rPr>
              <w:t>OIL-DRI CORPORATION OF AMERICA AND SUBSIDIARIES</w:t>
            </w:r>
          </w:p>
        </w:tc>
      </w:tr>
      <w:tr>
        <w:trPr>
          <w:trHeight w:val="203"/>
        </w:trPr>
        <w:tc>
          <w:tcPr>
            <w:tcW w:w="6020" w:type="dxa"/>
            <w:vAlign w:val="bottom"/>
            <w:gridSpan w:val="2"/>
          </w:tcPr>
          <w:p>
            <w:pPr>
              <w:jc w:val="center"/>
              <w:ind w:left="2452"/>
              <w:spacing w:after="0" w:line="203" w:lineRule="exact"/>
              <w:rPr>
                <w:sz w:val="20"/>
                <w:szCs w:val="20"/>
                <w:color w:val="auto"/>
              </w:rPr>
            </w:pPr>
            <w:r>
              <w:rPr>
                <w:rFonts w:ascii="Courier New" w:cs="Courier New" w:eastAsia="Courier New" w:hAnsi="Courier New"/>
                <w:sz w:val="18"/>
                <w:szCs w:val="18"/>
                <w:color w:val="auto"/>
                <w:w w:val="97"/>
              </w:rPr>
              <w:t>COMPUTATION OF EARNINGS PER SHARE</w:t>
            </w:r>
          </w:p>
        </w:tc>
        <w:tc>
          <w:tcPr>
            <w:tcW w:w="720" w:type="dxa"/>
            <w:vAlign w:val="bottom"/>
          </w:tcPr>
          <w:p>
            <w:pPr>
              <w:spacing w:after="0"/>
              <w:rPr>
                <w:sz w:val="17"/>
                <w:szCs w:val="17"/>
                <w:color w:val="auto"/>
              </w:rPr>
            </w:pPr>
          </w:p>
        </w:tc>
      </w:tr>
      <w:tr>
        <w:trPr>
          <w:trHeight w:val="203"/>
        </w:trPr>
        <w:tc>
          <w:tcPr>
            <w:tcW w:w="6740" w:type="dxa"/>
            <w:vAlign w:val="bottom"/>
            <w:gridSpan w:val="3"/>
          </w:tcPr>
          <w:p>
            <w:pPr>
              <w:jc w:val="center"/>
              <w:ind w:left="1712"/>
              <w:spacing w:after="0" w:line="203" w:lineRule="exact"/>
              <w:rPr>
                <w:sz w:val="20"/>
                <w:szCs w:val="20"/>
                <w:color w:val="auto"/>
              </w:rPr>
            </w:pPr>
            <w:r>
              <w:rPr>
                <w:rFonts w:ascii="Courier New" w:cs="Courier New" w:eastAsia="Courier New" w:hAnsi="Courier New"/>
                <w:sz w:val="18"/>
                <w:szCs w:val="18"/>
                <w:color w:val="auto"/>
                <w:w w:val="97"/>
              </w:rPr>
              <w:t>(IN THOUSANDS EXCEPT FOR PER SHARE AMOUNTS)</w:t>
            </w:r>
          </w:p>
        </w:tc>
      </w:tr>
      <w:tr>
        <w:trPr>
          <w:trHeight w:val="810"/>
        </w:trPr>
        <w:tc>
          <w:tcPr>
            <w:tcW w:w="3960" w:type="dxa"/>
            <w:vAlign w:val="bottom"/>
          </w:tcPr>
          <w:p>
            <w:pPr>
              <w:spacing w:after="0"/>
              <w:rPr>
                <w:sz w:val="24"/>
                <w:szCs w:val="24"/>
                <w:color w:val="auto"/>
              </w:rPr>
            </w:pPr>
          </w:p>
        </w:tc>
        <w:tc>
          <w:tcPr>
            <w:tcW w:w="27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96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31</w:t>
            </w:r>
          </w:p>
        </w:tc>
        <w:tc>
          <w:tcPr>
            <w:tcW w:w="72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20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2004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960" w:type="dxa"/>
            <w:vAlign w:val="bottom"/>
          </w:tcPr>
          <w:p>
            <w:pPr>
              <w:spacing w:after="0"/>
              <w:rPr>
                <w:sz w:val="17"/>
                <w:szCs w:val="17"/>
                <w:color w:val="auto"/>
              </w:rPr>
            </w:pPr>
          </w:p>
        </w:tc>
        <w:tc>
          <w:tcPr>
            <w:tcW w:w="20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 available to stockholders</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$ 1,280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$ 1,718</w:t>
            </w: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(numerator)</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Shares Calculation</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(denominator)</w:t>
            </w:r>
          </w:p>
        </w:tc>
        <w:tc>
          <w:tcPr>
            <w:tcW w:w="2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Common</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4,053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4,038</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1,450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1,423</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Effect of Dilutive Securities:</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Potential Common Stock relating</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stock options</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446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w:t>
            </w:r>
          </w:p>
        </w:tc>
      </w:tr>
      <w:tr>
        <w:trPr>
          <w:trHeight w:val="203"/>
        </w:trPr>
        <w:tc>
          <w:tcPr>
            <w:tcW w:w="3960" w:type="dxa"/>
            <w:vAlign w:val="bottom"/>
          </w:tcPr>
          <w:p>
            <w:pPr>
              <w:spacing w:after="0"/>
              <w:rPr>
                <w:sz w:val="17"/>
                <w:szCs w:val="17"/>
                <w:color w:val="auto"/>
              </w:rPr>
            </w:pP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Assuming dilution</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5,949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5,744</w:t>
            </w:r>
          </w:p>
        </w:tc>
      </w:tr>
      <w:tr>
        <w:trPr>
          <w:trHeight w:val="203"/>
        </w:trPr>
        <w:tc>
          <w:tcPr>
            <w:tcW w:w="3960" w:type="dxa"/>
            <w:vAlign w:val="bottom"/>
          </w:tcPr>
          <w:p>
            <w:pPr>
              <w:spacing w:after="0"/>
              <w:rPr>
                <w:sz w:val="17"/>
                <w:szCs w:val="17"/>
                <w:color w:val="auto"/>
              </w:rPr>
            </w:pP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Common</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$0.25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3960" w:type="dxa"/>
            <w:vAlign w:val="bottom"/>
          </w:tcPr>
          <w:p>
            <w:pPr>
              <w:spacing w:after="0"/>
              <w:rPr>
                <w:sz w:val="17"/>
                <w:szCs w:val="17"/>
                <w:color w:val="auto"/>
              </w:rPr>
            </w:pP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2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$0.19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3960" w:type="dxa"/>
            <w:vAlign w:val="bottom"/>
          </w:tcPr>
          <w:p>
            <w:pPr>
              <w:spacing w:after="0"/>
              <w:rPr>
                <w:sz w:val="17"/>
                <w:szCs w:val="17"/>
                <w:color w:val="auto"/>
              </w:rPr>
            </w:pPr>
          </w:p>
        </w:tc>
        <w:tc>
          <w:tcPr>
            <w:tcW w:w="20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$0.22</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$0.30</w:t>
            </w:r>
          </w:p>
        </w:tc>
      </w:tr>
      <w:tr>
        <w:trPr>
          <w:trHeight w:val="405"/>
        </w:trPr>
        <w:tc>
          <w:tcPr>
            <w:tcW w:w="3960" w:type="dxa"/>
            <w:vAlign w:val="bottom"/>
          </w:tcPr>
          <w:p>
            <w:pPr>
              <w:spacing w:after="0"/>
              <w:rPr>
                <w:sz w:val="24"/>
                <w:szCs w:val="24"/>
                <w:color w:val="auto"/>
              </w:rPr>
            </w:pPr>
          </w:p>
        </w:tc>
        <w:tc>
          <w:tcPr>
            <w:tcW w:w="20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r>
    </w:tbl>
    <w:p>
      <w:pPr>
        <w:sectPr>
          <w:pgSz w:w="11900" w:h="16838" w:orient="portrait"/>
          <w:cols w:equalWidth="0" w:num="1">
            <w:col w:w="10219"/>
          </w:cols>
          <w:pgMar w:left="240" w:top="112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Exhibit 31:</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CERTIFICATIONS PURSUANT TO RULE 13A -14(A) UNDER THE SECURITIES EXCHANGE ACT OF 1934, AS AMENDED</w:t>
      </w:r>
    </w:p>
    <w:p>
      <w:pPr>
        <w:spacing w:after="0" w:line="208" w:lineRule="exact"/>
        <w:rPr>
          <w:sz w:val="20"/>
          <w:szCs w:val="20"/>
          <w:color w:val="auto"/>
        </w:rPr>
      </w:pPr>
    </w:p>
    <w:p>
      <w:pPr>
        <w:ind w:left="740" w:right="209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Daniel S. Jaffee, Chief Executive Officer of Oil-Dri Corporation of America, certify that:</w:t>
      </w:r>
    </w:p>
    <w:p>
      <w:pPr>
        <w:spacing w:after="0" w:line="208" w:lineRule="exact"/>
        <w:rPr>
          <w:rFonts w:ascii="Courier New" w:cs="Courier New" w:eastAsia="Courier New" w:hAnsi="Courier New"/>
          <w:sz w:val="18"/>
          <w:szCs w:val="18"/>
          <w:color w:val="auto"/>
        </w:rPr>
      </w:pPr>
    </w:p>
    <w:p>
      <w:pPr>
        <w:ind w:left="1160" w:right="2619" w:hanging="415"/>
        <w:spacing w:after="0" w:line="235"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Oil-Dri Corporation of America ("Oil-Dri");</w:t>
      </w:r>
    </w:p>
    <w:p>
      <w:pPr>
        <w:spacing w:after="0" w:line="208" w:lineRule="exact"/>
        <w:rPr>
          <w:rFonts w:ascii="Courier New" w:cs="Courier New" w:eastAsia="Courier New" w:hAnsi="Courier New"/>
          <w:sz w:val="18"/>
          <w:szCs w:val="18"/>
          <w:color w:val="auto"/>
        </w:rPr>
      </w:pPr>
    </w:p>
    <w:p>
      <w:pPr>
        <w:ind w:left="1160" w:right="1779" w:hanging="415"/>
        <w:spacing w:after="0" w:line="237"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160" w:right="1879" w:hanging="415"/>
        <w:spacing w:after="0" w:line="237"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Oil-Dri as of, and for, the periods presented in this report;</w:t>
      </w:r>
    </w:p>
    <w:p>
      <w:pPr>
        <w:spacing w:after="0" w:line="208" w:lineRule="exact"/>
        <w:rPr>
          <w:rFonts w:ascii="Courier New" w:cs="Courier New" w:eastAsia="Courier New" w:hAnsi="Courier New"/>
          <w:sz w:val="18"/>
          <w:szCs w:val="18"/>
          <w:color w:val="auto"/>
        </w:rPr>
      </w:pPr>
    </w:p>
    <w:p>
      <w:pPr>
        <w:ind w:left="1160" w:right="1999" w:hanging="415"/>
        <w:spacing w:after="0" w:line="268" w:lineRule="auto"/>
        <w:tabs>
          <w:tab w:leader="none" w:pos="11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Oil-Dri's other certifying officer and I are responsible for establishing and maintaining disclosure controls and procedures (as defined in Exchange Act Rules 13a-15(e) and 15d-15(e)) and internal control over financial reporting (as defined in Exchange Act Rules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Oil-Dri and we have:</w:t>
      </w:r>
    </w:p>
    <w:p>
      <w:pPr>
        <w:spacing w:after="0" w:line="207" w:lineRule="exact"/>
        <w:rPr>
          <w:rFonts w:ascii="Courier New" w:cs="Courier New" w:eastAsia="Courier New" w:hAnsi="Courier New"/>
          <w:sz w:val="16"/>
          <w:szCs w:val="16"/>
          <w:color w:val="auto"/>
        </w:rPr>
      </w:pPr>
    </w:p>
    <w:p>
      <w:pPr>
        <w:ind w:left="1580" w:right="1879" w:hanging="413"/>
        <w:spacing w:after="0" w:line="237"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580" w:right="1999" w:hanging="413"/>
        <w:spacing w:after="0" w:line="272" w:lineRule="auto"/>
        <w:tabs>
          <w:tab w:leader="none" w:pos="158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580" w:right="1779" w:hanging="413"/>
        <w:spacing w:after="0" w:line="275" w:lineRule="auto"/>
        <w:tabs>
          <w:tab w:leader="none" w:pos="158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Oil-Dri's disclosure controls and procedures and presented in this report our conclusions about the effectiveness of the disclosure controls and procedures, as of October 31, 2004 based on such evaluation; and</w:t>
      </w:r>
    </w:p>
    <w:p>
      <w:pPr>
        <w:spacing w:after="0" w:line="182" w:lineRule="exact"/>
        <w:rPr>
          <w:rFonts w:ascii="Courier New" w:cs="Courier New" w:eastAsia="Courier New" w:hAnsi="Courier New"/>
          <w:sz w:val="16"/>
          <w:szCs w:val="16"/>
          <w:color w:val="auto"/>
        </w:rPr>
      </w:pPr>
    </w:p>
    <w:p>
      <w:pPr>
        <w:ind w:left="1580" w:right="1779" w:hanging="413"/>
        <w:spacing w:after="0" w:line="237"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Oil-Dri's internal control over financial reporting that occurred during Oil-Dri's first fiscal quarter that has materially affected, or is reasonably likely to materially affect, Oil-Dri's internal control over financial reporting; and</w:t>
      </w:r>
    </w:p>
    <w:p>
      <w:pPr>
        <w:spacing w:after="0" w:line="208" w:lineRule="exact"/>
        <w:rPr>
          <w:rFonts w:ascii="Courier New" w:cs="Courier New" w:eastAsia="Courier New" w:hAnsi="Courier New"/>
          <w:sz w:val="18"/>
          <w:szCs w:val="18"/>
          <w:color w:val="auto"/>
        </w:rPr>
      </w:pPr>
    </w:p>
    <w:p>
      <w:pPr>
        <w:ind w:left="1160" w:right="1779" w:hanging="415"/>
        <w:spacing w:after="0" w:line="237"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Oil-Dri's other certifying officer and I have disclosed, based on our most recent evaluation of internal control over financial reporting, to Oil-Dri's auditors and the audit committee of Oil-Dri's board of directors:</w:t>
      </w:r>
    </w:p>
    <w:p>
      <w:pPr>
        <w:spacing w:after="0" w:line="207" w:lineRule="exact"/>
        <w:rPr>
          <w:rFonts w:ascii="Courier New" w:cs="Courier New" w:eastAsia="Courier New" w:hAnsi="Courier New"/>
          <w:sz w:val="18"/>
          <w:szCs w:val="18"/>
          <w:color w:val="auto"/>
        </w:rPr>
      </w:pPr>
    </w:p>
    <w:p>
      <w:pPr>
        <w:ind w:left="1580" w:right="1779" w:hanging="413"/>
        <w:spacing w:after="0" w:line="237"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Oil-Dri's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779" w:hanging="413"/>
        <w:spacing w:after="0" w:line="236"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Oil-Dri's internal control over financial reporting.</w:t>
      </w:r>
    </w:p>
    <w:p>
      <w:pPr>
        <w:sectPr>
          <w:pgSz w:w="11900" w:h="16838" w:orient="portrait"/>
          <w:cols w:equalWidth="0" w:num="1">
            <w:col w:w="10219"/>
          </w:cols>
          <w:pgMar w:left="240" w:top="1325" w:right="1440" w:bottom="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420"/>
            <w:col w:w="8939"/>
          </w:cols>
          <w:pgMar w:left="240" w:top="1325" w:right="1440" w:bottom="0" w:gutter="0" w:footer="0" w:header="0"/>
          <w:type w:val="continuous"/>
        </w:sect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S. Jaffee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40" w:space="640"/>
            <w:col w:w="8939"/>
          </w:cols>
          <w:pgMar w:left="240" w:top="1325" w:right="1440" w:bottom="0" w:gutter="0" w:footer="0" w:header="0"/>
          <w:type w:val="continuous"/>
        </w:sectPr>
      </w:pPr>
    </w:p>
    <w:bookmarkStart w:id="28" w:name="page29"/>
    <w:bookmarkEnd w:id="28"/>
    <w:p>
      <w:pPr>
        <w:ind w:left="80"/>
        <w:spacing w:after="0"/>
        <w:rPr>
          <w:sz w:val="20"/>
          <w:szCs w:val="20"/>
          <w:color w:val="auto"/>
        </w:rPr>
      </w:pPr>
      <w:r>
        <w:rPr>
          <w:rFonts w:ascii="Courier New" w:cs="Courier New" w:eastAsia="Courier New" w:hAnsi="Courier New"/>
          <w:sz w:val="18"/>
          <w:szCs w:val="18"/>
          <w:color w:val="auto"/>
        </w:rPr>
        <w:t>Daniel S. Jaffee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9019"/>
          </w:cols>
          <w:pgMar w:left="1440" w:top="13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Exhibit 31:</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CERTIFICATIONS PURSUANT TO RULE 13A -14(A) UNDER THE SECURITIES EXCHANGE ACT OF 1934, AS AMENDED</w:t>
      </w:r>
    </w:p>
    <w:p>
      <w:pPr>
        <w:spacing w:after="0" w:line="208" w:lineRule="exact"/>
        <w:rPr>
          <w:sz w:val="20"/>
          <w:szCs w:val="20"/>
          <w:color w:val="auto"/>
        </w:rPr>
      </w:pPr>
    </w:p>
    <w:p>
      <w:pPr>
        <w:ind w:left="740" w:right="1879" w:hanging="416"/>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Andrew N. Peterson, Chief Financial Officer of Oil-Dri Corporation of America, certify that:</w:t>
      </w:r>
    </w:p>
    <w:p>
      <w:pPr>
        <w:spacing w:after="0" w:line="208" w:lineRule="exact"/>
        <w:rPr>
          <w:rFonts w:ascii="Courier New" w:cs="Courier New" w:eastAsia="Courier New" w:hAnsi="Courier New"/>
          <w:sz w:val="18"/>
          <w:szCs w:val="18"/>
          <w:color w:val="auto"/>
        </w:rPr>
      </w:pPr>
    </w:p>
    <w:p>
      <w:pPr>
        <w:ind w:left="1160" w:right="2619" w:hanging="415"/>
        <w:spacing w:after="0" w:line="235" w:lineRule="auto"/>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Oil-Dri Corporation of America ("Oil-Dri");</w:t>
      </w:r>
    </w:p>
    <w:p>
      <w:pPr>
        <w:spacing w:after="0" w:line="208" w:lineRule="exact"/>
        <w:rPr>
          <w:rFonts w:ascii="Courier New" w:cs="Courier New" w:eastAsia="Courier New" w:hAnsi="Courier New"/>
          <w:sz w:val="18"/>
          <w:szCs w:val="18"/>
          <w:color w:val="auto"/>
        </w:rPr>
      </w:pPr>
    </w:p>
    <w:p>
      <w:pPr>
        <w:ind w:left="1160" w:right="1779" w:hanging="415"/>
        <w:spacing w:after="0" w:line="237" w:lineRule="auto"/>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160" w:right="1879" w:hanging="415"/>
        <w:spacing w:after="0" w:line="237" w:lineRule="auto"/>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Oil-Dri as of, and for, the periods presented in this report;</w:t>
      </w:r>
    </w:p>
    <w:p>
      <w:pPr>
        <w:spacing w:after="0" w:line="208" w:lineRule="exact"/>
        <w:rPr>
          <w:rFonts w:ascii="Courier New" w:cs="Courier New" w:eastAsia="Courier New" w:hAnsi="Courier New"/>
          <w:sz w:val="18"/>
          <w:szCs w:val="18"/>
          <w:color w:val="auto"/>
        </w:rPr>
      </w:pPr>
    </w:p>
    <w:p>
      <w:pPr>
        <w:ind w:left="1160" w:right="1999" w:hanging="415"/>
        <w:spacing w:after="0" w:line="268" w:lineRule="auto"/>
        <w:tabs>
          <w:tab w:leader="none" w:pos="11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Oil-Dri's other certifying officer and I are responsible for establishing and maintaining disclosure controls and procedures (as defined in Exchange Act Rules 13a-15(e) and 15d-15(e)) and internal control over financial reporting (as defined in Exchange Act Rules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Oil-Dri and we have:</w:t>
      </w:r>
    </w:p>
    <w:p>
      <w:pPr>
        <w:spacing w:after="0" w:line="207" w:lineRule="exact"/>
        <w:rPr>
          <w:rFonts w:ascii="Courier New" w:cs="Courier New" w:eastAsia="Courier New" w:hAnsi="Courier New"/>
          <w:sz w:val="16"/>
          <w:szCs w:val="16"/>
          <w:color w:val="auto"/>
        </w:rPr>
      </w:pPr>
    </w:p>
    <w:p>
      <w:pPr>
        <w:ind w:left="1580" w:right="1879" w:hanging="413"/>
        <w:spacing w:after="0" w:line="237" w:lineRule="auto"/>
        <w:tabs>
          <w:tab w:leader="none" w:pos="15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580" w:right="1999" w:hanging="413"/>
        <w:spacing w:after="0" w:line="272" w:lineRule="auto"/>
        <w:tabs>
          <w:tab w:leader="none" w:pos="158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580" w:right="1779" w:hanging="413"/>
        <w:spacing w:after="0" w:line="275" w:lineRule="auto"/>
        <w:tabs>
          <w:tab w:leader="none" w:pos="158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Oil-Dri's disclosure controls and procedures and presented in this report our conclusions about the effectiveness of the disclosure controls and procedures, as of October 31, 2004 based on such evaluation; and</w:t>
      </w:r>
    </w:p>
    <w:p>
      <w:pPr>
        <w:spacing w:after="0" w:line="182" w:lineRule="exact"/>
        <w:rPr>
          <w:rFonts w:ascii="Courier New" w:cs="Courier New" w:eastAsia="Courier New" w:hAnsi="Courier New"/>
          <w:sz w:val="16"/>
          <w:szCs w:val="16"/>
          <w:color w:val="auto"/>
        </w:rPr>
      </w:pPr>
    </w:p>
    <w:p>
      <w:pPr>
        <w:ind w:left="1580" w:right="1779" w:hanging="413"/>
        <w:spacing w:after="0" w:line="237" w:lineRule="auto"/>
        <w:tabs>
          <w:tab w:leader="none" w:pos="15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Oil-Dri's internal control over financial reporting that occurred during Oil-Dri's first fiscal quarter that has materially affected, or is reasonably likely to materially affect, Oil-Dri's internal control over financial reporting; and</w:t>
      </w:r>
    </w:p>
    <w:p>
      <w:pPr>
        <w:spacing w:after="0" w:line="208" w:lineRule="exact"/>
        <w:rPr>
          <w:rFonts w:ascii="Courier New" w:cs="Courier New" w:eastAsia="Courier New" w:hAnsi="Courier New"/>
          <w:sz w:val="18"/>
          <w:szCs w:val="18"/>
          <w:color w:val="auto"/>
        </w:rPr>
      </w:pPr>
    </w:p>
    <w:p>
      <w:pPr>
        <w:ind w:left="1160" w:right="1779" w:hanging="415"/>
        <w:spacing w:after="0" w:line="237" w:lineRule="auto"/>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Oil-Dri's other certifying officer and I have disclosed, based on our most recent evaluation of internal control over financial reporting, to Oil-Dri's auditors and the audit committee of Oil-Dri's board of directors:</w:t>
      </w:r>
    </w:p>
    <w:p>
      <w:pPr>
        <w:spacing w:after="0" w:line="207" w:lineRule="exact"/>
        <w:rPr>
          <w:rFonts w:ascii="Courier New" w:cs="Courier New" w:eastAsia="Courier New" w:hAnsi="Courier New"/>
          <w:sz w:val="18"/>
          <w:szCs w:val="18"/>
          <w:color w:val="auto"/>
        </w:rPr>
      </w:pPr>
    </w:p>
    <w:p>
      <w:pPr>
        <w:ind w:left="1580" w:right="1779" w:hanging="413"/>
        <w:spacing w:after="0" w:line="237" w:lineRule="auto"/>
        <w:tabs>
          <w:tab w:leader="none" w:pos="15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Oil-Dri's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779" w:hanging="413"/>
        <w:spacing w:after="0" w:line="236" w:lineRule="auto"/>
        <w:tabs>
          <w:tab w:leader="none" w:pos="15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Oil-Dri's internal control over financial reporting.</w:t>
      </w:r>
    </w:p>
    <w:p>
      <w:pPr>
        <w:sectPr>
          <w:pgSz w:w="11900" w:h="16838" w:orient="portrait"/>
          <w:cols w:equalWidth="0" w:num="1">
            <w:col w:w="10219"/>
          </w:cols>
          <w:pgMar w:left="240" w:top="919" w:right="1440" w:bottom="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420"/>
            <w:col w:w="8939"/>
          </w:cols>
          <w:pgMar w:left="240" w:top="919" w:right="1440" w:bottom="0" w:gutter="0" w:footer="0" w:header="0"/>
          <w:type w:val="continuous"/>
        </w:sect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Andrew N. Peterson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Andrew N. Peterson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ectPr>
          <w:pgSz w:w="11900" w:h="16838" w:orient="portrait"/>
          <w:cols w:equalWidth="0" w:num="2">
            <w:col w:w="640" w:space="640"/>
            <w:col w:w="8939"/>
          </w:cols>
          <w:pgMar w:left="240" w:top="919" w:right="1440" w:bottom="0" w:gutter="0" w:footer="0" w:header="0"/>
          <w:type w:val="continuous"/>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CERTIFICATIONS PURSUANT TO 18 U.S.C. SECTION 1350</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18 U.S.C. Section 1350, the undersigned officer of Oil-Dri Corporation of America (the "Company") hereby certifies that the Company's Quarterly Report on Form 10-Q for the quarter ended October 31, 2004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S. Jaffee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Daniel S. Jaffee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Chief Executive Officer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18 U.S.C. Section 1350, the undersigned officer of Oil-Dri Corporation of America (the "Company") hereby certifies that the Company's Quarterly Report on Form 10-Q for the quarter ended October 31, 2004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Andrew N. Peterson</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Andrew N. Peterson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 and Chief Financial Officer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4">
    <w:nsid w:val="507ED7A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2020-02-17T13:28:06Z</dcterms:created>
  <dcterms:modified xsi:type="dcterms:W3CDTF">2020-02-17T13:28:06Z</dcterms:modified>
</cp:coreProperties>
</file>