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580"/>
              <w:spacing w:after="0"/>
              <w:rPr>
                <w:sz w:val="20"/>
                <w:szCs w:val="20"/>
                <w:color w:val="auto"/>
              </w:rPr>
            </w:pPr>
            <w:r>
              <w:rPr>
                <w:rFonts w:ascii="Arial" w:cs="Arial" w:eastAsia="Arial" w:hAnsi="Arial"/>
                <w:sz w:val="18"/>
                <w:szCs w:val="18"/>
                <w:color w:val="auto"/>
                <w:w w:val="88"/>
              </w:rPr>
              <w:t>June 7, 2017</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7, 2017, Oil-Dri Corporation of America (the “Registrant”) issued a press release announcing its results of operations for its third quarter ended April 30, 2017.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700" w:type="dxa"/>
            <w:vAlign w:val="bottom"/>
          </w:tcPr>
          <w:p>
            <w:pPr>
              <w:ind w:left="40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Press Release of the Registrant dated June 7, 2017 (Quarterly Earnings)</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2017</w:t>
      </w:r>
    </w:p>
    <w:p>
      <w:pPr>
        <w:sectPr>
          <w:pgSz w:w="11900" w:h="16838" w:orient="portrait"/>
          <w:cols w:equalWidth="0" w:num="1">
            <w:col w:w="10880"/>
          </w:cols>
          <w:pgMar w:left="240" w:top="580" w:right="7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3"/>
          </w:tcPr>
          <w:p>
            <w:pPr>
              <w:ind w:left="3500"/>
              <w:spacing w:after="0"/>
              <w:rPr>
                <w:sz w:val="20"/>
                <w:szCs w:val="20"/>
                <w:color w:val="auto"/>
              </w:rPr>
            </w:pPr>
            <w:r>
              <w:rPr>
                <w:rFonts w:ascii="Arial" w:cs="Arial" w:eastAsia="Arial" w:hAnsi="Arial"/>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35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3500" w:type="dxa"/>
            <w:vAlign w:val="bottom"/>
          </w:tcPr>
          <w:p>
            <w:pPr>
              <w:spacing w:after="0"/>
              <w:rPr>
                <w:sz w:val="23"/>
                <w:szCs w:val="23"/>
                <w:color w:val="auto"/>
              </w:rPr>
            </w:pPr>
          </w:p>
        </w:tc>
        <w:tc>
          <w:tcPr>
            <w:tcW w:w="6200" w:type="dxa"/>
            <w:vAlign w:val="bottom"/>
            <w:gridSpan w:val="2"/>
          </w:tcPr>
          <w:p>
            <w:pPr>
              <w:ind w:left="5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gridSpan w:val="3"/>
          </w:tcPr>
          <w:p>
            <w:pPr>
              <w:ind w:left="40"/>
              <w:spacing w:after="0"/>
              <w:rPr>
                <w:sz w:val="20"/>
                <w:szCs w:val="20"/>
                <w:color w:val="auto"/>
              </w:rPr>
            </w:pPr>
            <w:r>
              <w:rPr>
                <w:rFonts w:ascii="Arial" w:cs="Arial" w:eastAsia="Arial" w:hAnsi="Arial"/>
                <w:sz w:val="18"/>
                <w:szCs w:val="18"/>
                <w:color w:val="auto"/>
              </w:rPr>
              <w:t>Press Release of the Registrant dated June 7, 2017 (Quarterly Earnings)</w:t>
            </w:r>
          </w:p>
        </w:tc>
      </w:tr>
    </w:tbl>
    <w:p>
      <w:pPr>
        <w:sectPr>
          <w:pgSz w:w="11900" w:h="16838" w:orient="portrait"/>
          <w:cols w:equalWidth="0" w:num="1">
            <w:col w:w="11420"/>
          </w:cols>
          <w:pgMar w:left="240" w:top="56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8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Third Quarter and Nine Month Results of Fiscal 2017</w:t>
      </w:r>
    </w:p>
    <w:p>
      <w:pPr>
        <w:spacing w:after="0" w:line="266" w:lineRule="exact"/>
        <w:rPr>
          <w:sz w:val="20"/>
          <w:szCs w:val="20"/>
          <w:color w:val="auto"/>
        </w:rPr>
      </w:pPr>
    </w:p>
    <w:p>
      <w:pPr>
        <w:jc w:val="both"/>
        <w:ind w:right="100"/>
        <w:spacing w:after="0" w:line="250" w:lineRule="auto"/>
        <w:rPr>
          <w:sz w:val="20"/>
          <w:szCs w:val="20"/>
          <w:color w:val="auto"/>
        </w:rPr>
      </w:pPr>
      <w:r>
        <w:rPr>
          <w:rFonts w:ascii="Arial" w:cs="Arial" w:eastAsia="Arial" w:hAnsi="Arial"/>
          <w:sz w:val="22"/>
          <w:szCs w:val="22"/>
          <w:color w:val="auto"/>
        </w:rPr>
        <w:t>CHICAGO-(June 7, 2017)-Oil-Dri Corporation of America (NYSE: ODC) today announced net income of $3,211,000 or $0.44 of earnings per diluted share for the third quarter of fiscal 2017, compared to a net loss of $892,000 or $(0.13) per diluted share in the same period of the prior year. Net sales for the quarter were $64,745,000 compared to net sales of $64,235,000 in the third quarter of fiscal 2016.</w:t>
      </w:r>
    </w:p>
    <w:p>
      <w:pPr>
        <w:spacing w:after="0" w:line="229" w:lineRule="exact"/>
        <w:rPr>
          <w:sz w:val="20"/>
          <w:szCs w:val="20"/>
          <w:color w:val="auto"/>
        </w:rPr>
      </w:pPr>
    </w:p>
    <w:p>
      <w:pPr>
        <w:ind w:right="120"/>
        <w:spacing w:after="0" w:line="260" w:lineRule="auto"/>
        <w:rPr>
          <w:sz w:val="20"/>
          <w:szCs w:val="20"/>
          <w:color w:val="auto"/>
        </w:rPr>
      </w:pPr>
      <w:r>
        <w:rPr>
          <w:rFonts w:ascii="Arial" w:cs="Arial" w:eastAsia="Arial" w:hAnsi="Arial"/>
          <w:sz w:val="22"/>
          <w:szCs w:val="22"/>
          <w:color w:val="auto"/>
        </w:rPr>
        <w:t>Net income for the nine -months was $9,470,000 or $1.29 of earnings per diluted share, a 12% increase compared to net income of $8,352,000 or $1.15 of earnings per diluted share in the same period of the prior year. Net sales for the nine -months were $196,531,000 compared to net sales of $197,397,000 in the same period of fiscal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 REVIEW</w:t>
      </w:r>
    </w:p>
    <w:p>
      <w:pPr>
        <w:spacing w:after="0" w:line="266"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color w:val="auto"/>
        </w:rPr>
        <w:t>President and Chief Executive Officer, Daniel S. Jaffee said, “While sales were sluggish in the quarter and nine-month periods, our profits continue to improve. Our Business-to-Business products showed top line and bottom line growth in both periods.</w:t>
      </w:r>
    </w:p>
    <w:p>
      <w:pPr>
        <w:spacing w:after="0" w:line="105" w:lineRule="exact"/>
        <w:rPr>
          <w:sz w:val="20"/>
          <w:szCs w:val="20"/>
          <w:color w:val="auto"/>
        </w:rPr>
      </w:pPr>
    </w:p>
    <w:p>
      <w:pPr>
        <w:jc w:val="both"/>
        <w:ind w:right="120"/>
        <w:spacing w:after="0" w:line="253" w:lineRule="auto"/>
        <w:rPr>
          <w:sz w:val="20"/>
          <w:szCs w:val="20"/>
          <w:color w:val="auto"/>
        </w:rPr>
      </w:pPr>
      <w:r>
        <w:rPr>
          <w:rFonts w:ascii="Arial" w:cs="Arial" w:eastAsia="Arial" w:hAnsi="Arial"/>
          <w:sz w:val="22"/>
          <w:szCs w:val="22"/>
          <w:color w:val="auto"/>
        </w:rPr>
        <w:t>In the Retail and Wholesale segment, advertising expenses were substantially reduced compared to expenses in the third quarter of fiscal 2016. This was due in large part to a strategic shift away from mass media towards targeted trade promotions throughout the balance of the year.</w:t>
      </w:r>
    </w:p>
    <w:p>
      <w:pPr>
        <w:spacing w:after="0" w:line="18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Year over year, we experienced a nearly 17% increase in Cash and Investments. This increase is attributed to the increase of income over the nine-month period.</w:t>
      </w:r>
    </w:p>
    <w:p>
      <w:pPr>
        <w:spacing w:after="0" w:line="164" w:lineRule="exact"/>
        <w:rPr>
          <w:sz w:val="20"/>
          <w:szCs w:val="20"/>
          <w:color w:val="auto"/>
        </w:rPr>
      </w:pPr>
    </w:p>
    <w:p>
      <w:pPr>
        <w:ind w:right="240"/>
        <w:spacing w:after="0" w:line="235" w:lineRule="auto"/>
        <w:rPr>
          <w:sz w:val="20"/>
          <w:szCs w:val="20"/>
          <w:color w:val="auto"/>
        </w:rPr>
      </w:pPr>
      <w:r>
        <w:rPr>
          <w:rFonts w:ascii="Arial" w:cs="Arial" w:eastAsia="Arial" w:hAnsi="Arial"/>
          <w:sz w:val="21"/>
          <w:szCs w:val="21"/>
          <w:color w:val="auto"/>
        </w:rPr>
        <w:t>Third party market research data for retail sales</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(which does not include e-commerce sales) indicates that total cat litter category sales experienced modest growth in both the latest 52 and 12-week periods ending May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706-3256</w:t>
      </w:r>
    </w:p>
    <w:p>
      <w:pPr>
        <w:sectPr>
          <w:pgSz w:w="11900" w:h="16838" w:orient="portrait"/>
          <w:cols w:equalWidth="0" w:num="1">
            <w:col w:w="11420"/>
          </w:cols>
          <w:pgMar w:left="240" w:top="937" w:right="239" w:bottom="1440" w:gutter="0" w:footer="0" w:header="0"/>
        </w:sectPr>
      </w:pPr>
    </w:p>
    <w:bookmarkStart w:id="5" w:name="page6"/>
    <w:bookmarkEnd w:id="5"/>
    <w:p>
      <w:pPr>
        <w:ind w:right="160"/>
        <w:spacing w:after="0" w:line="25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While combined sales of all of our branded products were down in both periods, we have gained a larger share of the private label lightweight litter segment. According to the same third party market research data, our private label retail sales were up approximately 43% for the latest 52-week period and 107% for the latest 12-week period.”</w:t>
      </w:r>
    </w:p>
    <w:p>
      <w:pPr>
        <w:spacing w:after="0" w:line="220"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SEGMENT REVIEW</w:t>
      </w: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BUSINESS TO BUSINESS</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520" w:type="dxa"/>
            <w:vAlign w:val="bottom"/>
            <w:gridSpan w:val="5"/>
          </w:tcPr>
          <w:p>
            <w:pPr>
              <w:jc w:val="center"/>
              <w:ind w:right="640"/>
              <w:spacing w:after="0"/>
              <w:rPr>
                <w:sz w:val="20"/>
                <w:szCs w:val="20"/>
                <w:color w:val="auto"/>
              </w:rPr>
            </w:pPr>
            <w:r>
              <w:rPr>
                <w:rFonts w:ascii="Arial" w:cs="Arial" w:eastAsia="Arial" w:hAnsi="Arial"/>
                <w:sz w:val="19"/>
                <w:szCs w:val="19"/>
                <w:b w:val="1"/>
                <w:bCs w:val="1"/>
                <w:color w:val="auto"/>
                <w:w w:val="93"/>
              </w:rPr>
              <w:t>Three-Month Period</w:t>
            </w: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520" w:type="dxa"/>
            <w:vAlign w:val="bottom"/>
            <w:gridSpan w:val="5"/>
          </w:tcPr>
          <w:p>
            <w:pPr>
              <w:jc w:val="center"/>
              <w:ind w:right="640"/>
              <w:spacing w:after="0"/>
              <w:rPr>
                <w:sz w:val="20"/>
                <w:szCs w:val="20"/>
                <w:color w:val="auto"/>
              </w:rPr>
            </w:pPr>
            <w:r>
              <w:rPr>
                <w:rFonts w:ascii="Arial" w:cs="Arial" w:eastAsia="Arial" w:hAnsi="Arial"/>
                <w:sz w:val="19"/>
                <w:szCs w:val="19"/>
                <w:b w:val="1"/>
                <w:bCs w:val="1"/>
                <w:color w:val="auto"/>
                <w:w w:val="93"/>
              </w:rPr>
              <w:t>February 1 - April 30</w:t>
            </w:r>
          </w:p>
        </w:tc>
        <w:tc>
          <w:tcPr>
            <w:tcW w:w="1420" w:type="dxa"/>
            <w:vAlign w:val="bottom"/>
          </w:tcPr>
          <w:p>
            <w:pPr>
              <w:jc w:val="center"/>
              <w:spacing w:after="0"/>
              <w:rPr>
                <w:sz w:val="20"/>
                <w:szCs w:val="20"/>
                <w:color w:val="auto"/>
              </w:rPr>
            </w:pPr>
            <w:r>
              <w:rPr>
                <w:rFonts w:ascii="Arial" w:cs="Arial" w:eastAsia="Arial" w:hAnsi="Arial"/>
                <w:sz w:val="19"/>
                <w:szCs w:val="19"/>
                <w:b w:val="1"/>
                <w:bCs w:val="1"/>
                <w:color w:val="auto"/>
                <w:w w:val="88"/>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9"/>
                <w:szCs w:val="19"/>
                <w:b w:val="1"/>
                <w:bCs w:val="1"/>
                <w:color w:val="auto"/>
              </w:rPr>
              <w:t>Fiscal 2017</w:t>
            </w:r>
          </w:p>
        </w:tc>
        <w:tc>
          <w:tcPr>
            <w:tcW w:w="3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525"/>
              <w:spacing w:after="0"/>
              <w:rPr>
                <w:sz w:val="20"/>
                <w:szCs w:val="20"/>
                <w:color w:val="auto"/>
              </w:rPr>
            </w:pPr>
            <w:r>
              <w:rPr>
                <w:rFonts w:ascii="Arial" w:cs="Arial" w:eastAsia="Arial" w:hAnsi="Arial"/>
                <w:sz w:val="19"/>
                <w:szCs w:val="19"/>
                <w:b w:val="1"/>
                <w:bCs w:val="1"/>
                <w:color w:val="auto"/>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24,159,000</w:t>
            </w:r>
          </w:p>
        </w:tc>
        <w:tc>
          <w:tcPr>
            <w:tcW w:w="300" w:type="dxa"/>
            <w:vAlign w:val="bottom"/>
          </w:tcPr>
          <w:p>
            <w:pPr>
              <w:spacing w:after="0"/>
              <w:rPr>
                <w:sz w:val="20"/>
                <w:szCs w:val="20"/>
                <w:color w:val="auto"/>
              </w:rPr>
            </w:pP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22,473,000</w:t>
            </w: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9"/>
                <w:szCs w:val="19"/>
                <w:color w:val="auto"/>
                <w:w w:val="94"/>
              </w:rPr>
              <w:t>8%</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7,810,000</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7,304,000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color w:val="auto"/>
                <w:w w:val="94"/>
              </w:rPr>
              <w:t>7%</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Year-To-Date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520" w:type="dxa"/>
            <w:vAlign w:val="bottom"/>
            <w:gridSpan w:val="5"/>
          </w:tcPr>
          <w:p>
            <w:pPr>
              <w:ind w:left="1160"/>
              <w:spacing w:after="0"/>
              <w:rPr>
                <w:sz w:val="20"/>
                <w:szCs w:val="20"/>
                <w:color w:val="auto"/>
              </w:rPr>
            </w:pPr>
            <w:r>
              <w:rPr>
                <w:rFonts w:ascii="Arial" w:cs="Arial" w:eastAsia="Arial" w:hAnsi="Arial"/>
                <w:sz w:val="19"/>
                <w:szCs w:val="19"/>
                <w:b w:val="1"/>
                <w:bCs w:val="1"/>
                <w:color w:val="auto"/>
              </w:rPr>
              <w:t>Nine-Month Period</w:t>
            </w: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520" w:type="dxa"/>
            <w:vAlign w:val="bottom"/>
            <w:gridSpan w:val="5"/>
          </w:tcPr>
          <w:p>
            <w:pPr>
              <w:ind w:left="1160"/>
              <w:spacing w:after="0"/>
              <w:rPr>
                <w:sz w:val="20"/>
                <w:szCs w:val="20"/>
                <w:color w:val="auto"/>
              </w:rPr>
            </w:pPr>
            <w:r>
              <w:rPr>
                <w:rFonts w:ascii="Arial" w:cs="Arial" w:eastAsia="Arial" w:hAnsi="Arial"/>
                <w:sz w:val="19"/>
                <w:szCs w:val="19"/>
                <w:b w:val="1"/>
                <w:bCs w:val="1"/>
                <w:color w:val="auto"/>
              </w:rPr>
              <w:t>August 1 - April 30</w:t>
            </w:r>
          </w:p>
        </w:tc>
        <w:tc>
          <w:tcPr>
            <w:tcW w:w="1420" w:type="dxa"/>
            <w:vAlign w:val="bottom"/>
          </w:tcPr>
          <w:p>
            <w:pPr>
              <w:jc w:val="center"/>
              <w:spacing w:after="0"/>
              <w:rPr>
                <w:sz w:val="20"/>
                <w:szCs w:val="20"/>
                <w:color w:val="auto"/>
              </w:rPr>
            </w:pPr>
            <w:r>
              <w:rPr>
                <w:rFonts w:ascii="Arial" w:cs="Arial" w:eastAsia="Arial" w:hAnsi="Arial"/>
                <w:sz w:val="19"/>
                <w:szCs w:val="19"/>
                <w:b w:val="1"/>
                <w:bCs w:val="1"/>
                <w:color w:val="auto"/>
                <w:w w:val="88"/>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9"/>
                <w:szCs w:val="19"/>
                <w:b w:val="1"/>
                <w:bCs w:val="1"/>
                <w:color w:val="auto"/>
              </w:rPr>
              <w:t>Fiscal 2017</w:t>
            </w:r>
          </w:p>
        </w:tc>
        <w:tc>
          <w:tcPr>
            <w:tcW w:w="3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525"/>
              <w:spacing w:after="0"/>
              <w:rPr>
                <w:sz w:val="20"/>
                <w:szCs w:val="20"/>
                <w:color w:val="auto"/>
              </w:rPr>
            </w:pPr>
            <w:r>
              <w:rPr>
                <w:rFonts w:ascii="Arial" w:cs="Arial" w:eastAsia="Arial" w:hAnsi="Arial"/>
                <w:sz w:val="19"/>
                <w:szCs w:val="19"/>
                <w:b w:val="1"/>
                <w:bCs w:val="1"/>
                <w:color w:val="auto"/>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74,893,000</w:t>
            </w:r>
          </w:p>
        </w:tc>
        <w:tc>
          <w:tcPr>
            <w:tcW w:w="300" w:type="dxa"/>
            <w:vAlign w:val="bottom"/>
          </w:tcPr>
          <w:p>
            <w:pPr>
              <w:spacing w:after="0"/>
              <w:rPr>
                <w:sz w:val="20"/>
                <w:szCs w:val="20"/>
                <w:color w:val="auto"/>
              </w:rPr>
            </w:pP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70,919,000</w:t>
            </w: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9"/>
                <w:szCs w:val="19"/>
                <w:color w:val="auto"/>
                <w:w w:val="94"/>
              </w:rPr>
              <w:t>6%</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25,033,000</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24,049,000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color w:val="auto"/>
                <w:w w:val="94"/>
              </w:rPr>
              <w:t>4%</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303" w:lineRule="exact"/>
        <w:rPr>
          <w:sz w:val="20"/>
          <w:szCs w:val="20"/>
          <w:color w:val="auto"/>
        </w:rPr>
      </w:pPr>
    </w:p>
    <w:p>
      <w:pPr>
        <w:ind w:left="80"/>
        <w:spacing w:after="0"/>
        <w:rPr>
          <w:sz w:val="20"/>
          <w:szCs w:val="20"/>
          <w:color w:val="auto"/>
        </w:rPr>
      </w:pPr>
      <w:r>
        <w:rPr>
          <w:rFonts w:ascii="Arial" w:cs="Arial" w:eastAsia="Arial" w:hAnsi="Arial"/>
          <w:sz w:val="22"/>
          <w:szCs w:val="22"/>
          <w:color w:val="auto"/>
        </w:rPr>
        <w:t>Net sales of fluids purification products increased in both periods driven by sales to the edible oil refining market.</w:t>
      </w:r>
    </w:p>
    <w:p>
      <w:pPr>
        <w:spacing w:after="0" w:line="220" w:lineRule="exact"/>
        <w:rPr>
          <w:sz w:val="20"/>
          <w:szCs w:val="20"/>
          <w:color w:val="auto"/>
        </w:rPr>
      </w:pPr>
    </w:p>
    <w:p>
      <w:pPr>
        <w:ind w:left="80" w:right="540"/>
        <w:spacing w:after="0" w:line="250" w:lineRule="auto"/>
        <w:rPr>
          <w:sz w:val="20"/>
          <w:szCs w:val="20"/>
          <w:color w:val="auto"/>
        </w:rPr>
      </w:pPr>
      <w:r>
        <w:rPr>
          <w:rFonts w:ascii="Arial" w:cs="Arial" w:eastAsia="Arial" w:hAnsi="Arial"/>
          <w:sz w:val="22"/>
          <w:szCs w:val="22"/>
          <w:color w:val="auto"/>
        </w:rPr>
        <w:t>Net sales of animal health products were up both domestically and internationally. Strong growth continued for our Chinese subsidiary, Amlan Trading (Shenzhen) Company, Ltd. and strengthened sales in Asia. A change in distribution negatively impacted Latin America nine-month sales. This change was made in anticipation of growing our Latin American business in Fiscal 2018 and beyond.</w:t>
      </w:r>
    </w:p>
    <w:p>
      <w:pPr>
        <w:spacing w:after="0" w:line="200" w:lineRule="exact"/>
        <w:rPr>
          <w:sz w:val="20"/>
          <w:szCs w:val="20"/>
          <w:color w:val="auto"/>
        </w:rPr>
      </w:pPr>
    </w:p>
    <w:p>
      <w:pPr>
        <w:spacing w:after="0" w:line="205" w:lineRule="exact"/>
        <w:rPr>
          <w:sz w:val="20"/>
          <w:szCs w:val="20"/>
          <w:color w:val="auto"/>
        </w:rPr>
      </w:pPr>
    </w:p>
    <w:p>
      <w:pPr>
        <w:ind w:left="80"/>
        <w:spacing w:after="0" w:line="287" w:lineRule="auto"/>
        <w:rPr>
          <w:sz w:val="20"/>
          <w:szCs w:val="20"/>
          <w:color w:val="auto"/>
        </w:rPr>
      </w:pPr>
      <w:r>
        <w:rPr>
          <w:rFonts w:ascii="Arial" w:cs="Arial" w:eastAsia="Arial" w:hAnsi="Arial"/>
          <w:sz w:val="21"/>
          <w:szCs w:val="21"/>
          <w:color w:val="auto"/>
        </w:rPr>
        <w:t>Segment income reflected higher sales, which more than offset higher natural gas and other manufacturing costs. Lower marketing costs for animal health products also contributed to the increase in segment income for the nine-month period.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00"/>
          </w:cols>
          <w:pgMar w:left="240" w:top="1415" w:right="259" w:bottom="1440" w:gutter="0" w:footer="0" w:header="0"/>
        </w:sectPr>
      </w:pPr>
    </w:p>
    <w:bookmarkStart w:id="6" w:name="page7"/>
    <w:bookmarkEnd w:id="6"/>
    <w:p>
      <w:pPr>
        <w:ind w:left="42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RETAIL AND WHOLESALE</w:t>
      </w:r>
    </w:p>
    <w:p>
      <w:pPr>
        <w:spacing w:after="0" w:line="15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28575</wp:posOffset>
            </wp:positionV>
            <wp:extent cx="64573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520" w:type="dxa"/>
            <w:vAlign w:val="bottom"/>
            <w:gridSpan w:val="5"/>
          </w:tcPr>
          <w:p>
            <w:pPr>
              <w:jc w:val="center"/>
              <w:ind w:right="640"/>
              <w:spacing w:after="0"/>
              <w:rPr>
                <w:sz w:val="20"/>
                <w:szCs w:val="20"/>
                <w:color w:val="auto"/>
              </w:rPr>
            </w:pPr>
            <w:r>
              <w:rPr>
                <w:rFonts w:ascii="Arial" w:cs="Arial" w:eastAsia="Arial" w:hAnsi="Arial"/>
                <w:sz w:val="19"/>
                <w:szCs w:val="19"/>
                <w:b w:val="1"/>
                <w:bCs w:val="1"/>
                <w:color w:val="auto"/>
                <w:w w:val="93"/>
              </w:rPr>
              <w:t>Three-Month Period</w:t>
            </w: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520" w:type="dxa"/>
            <w:vAlign w:val="bottom"/>
            <w:gridSpan w:val="5"/>
          </w:tcPr>
          <w:p>
            <w:pPr>
              <w:jc w:val="center"/>
              <w:ind w:right="640"/>
              <w:spacing w:after="0"/>
              <w:rPr>
                <w:sz w:val="20"/>
                <w:szCs w:val="20"/>
                <w:color w:val="auto"/>
              </w:rPr>
            </w:pPr>
            <w:r>
              <w:rPr>
                <w:rFonts w:ascii="Arial" w:cs="Arial" w:eastAsia="Arial" w:hAnsi="Arial"/>
                <w:sz w:val="19"/>
                <w:szCs w:val="19"/>
                <w:b w:val="1"/>
                <w:bCs w:val="1"/>
                <w:color w:val="auto"/>
                <w:w w:val="93"/>
              </w:rPr>
              <w:t>February 1 - April 30</w:t>
            </w:r>
          </w:p>
        </w:tc>
        <w:tc>
          <w:tcPr>
            <w:tcW w:w="1420" w:type="dxa"/>
            <w:vAlign w:val="bottom"/>
          </w:tcPr>
          <w:p>
            <w:pPr>
              <w:jc w:val="center"/>
              <w:spacing w:after="0"/>
              <w:rPr>
                <w:sz w:val="20"/>
                <w:szCs w:val="20"/>
                <w:color w:val="auto"/>
              </w:rPr>
            </w:pPr>
            <w:r>
              <w:rPr>
                <w:rFonts w:ascii="Arial" w:cs="Arial" w:eastAsia="Arial" w:hAnsi="Arial"/>
                <w:sz w:val="19"/>
                <w:szCs w:val="19"/>
                <w:b w:val="1"/>
                <w:bCs w:val="1"/>
                <w:color w:val="auto"/>
                <w:w w:val="88"/>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9"/>
                <w:szCs w:val="19"/>
                <w:b w:val="1"/>
                <w:bCs w:val="1"/>
                <w:color w:val="auto"/>
              </w:rPr>
              <w:t>Fiscal 2017</w:t>
            </w:r>
          </w:p>
        </w:tc>
        <w:tc>
          <w:tcPr>
            <w:tcW w:w="3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525"/>
              <w:spacing w:after="0"/>
              <w:rPr>
                <w:sz w:val="20"/>
                <w:szCs w:val="20"/>
                <w:color w:val="auto"/>
              </w:rPr>
            </w:pPr>
            <w:r>
              <w:rPr>
                <w:rFonts w:ascii="Arial" w:cs="Arial" w:eastAsia="Arial" w:hAnsi="Arial"/>
                <w:sz w:val="19"/>
                <w:szCs w:val="19"/>
                <w:b w:val="1"/>
                <w:bCs w:val="1"/>
                <w:color w:val="auto"/>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40,586,000</w:t>
            </w:r>
          </w:p>
        </w:tc>
        <w:tc>
          <w:tcPr>
            <w:tcW w:w="300" w:type="dxa"/>
            <w:vAlign w:val="bottom"/>
          </w:tcPr>
          <w:p>
            <w:pPr>
              <w:spacing w:after="0"/>
              <w:rPr>
                <w:sz w:val="20"/>
                <w:szCs w:val="20"/>
                <w:color w:val="auto"/>
              </w:rPr>
            </w:pP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41,762,000</w:t>
            </w: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9"/>
                <w:szCs w:val="19"/>
                <w:color w:val="auto"/>
                <w:w w:val="88"/>
              </w:rPr>
              <w:t>-3%</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1,516,000</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(4,015,000)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color w:val="auto"/>
                <w:w w:val="97"/>
              </w:rPr>
              <w:t>N/M</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Year-To-Date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28575</wp:posOffset>
            </wp:positionV>
            <wp:extent cx="64573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520" w:type="dxa"/>
            <w:vAlign w:val="bottom"/>
            <w:gridSpan w:val="5"/>
          </w:tcPr>
          <w:p>
            <w:pPr>
              <w:ind w:left="1160"/>
              <w:spacing w:after="0"/>
              <w:rPr>
                <w:sz w:val="20"/>
                <w:szCs w:val="20"/>
                <w:color w:val="auto"/>
              </w:rPr>
            </w:pPr>
            <w:r>
              <w:rPr>
                <w:rFonts w:ascii="Arial" w:cs="Arial" w:eastAsia="Arial" w:hAnsi="Arial"/>
                <w:sz w:val="19"/>
                <w:szCs w:val="19"/>
                <w:b w:val="1"/>
                <w:bCs w:val="1"/>
                <w:color w:val="auto"/>
              </w:rPr>
              <w:t>Nine-Month Period</w:t>
            </w: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520" w:type="dxa"/>
            <w:vAlign w:val="bottom"/>
            <w:gridSpan w:val="5"/>
          </w:tcPr>
          <w:p>
            <w:pPr>
              <w:ind w:left="1160"/>
              <w:spacing w:after="0"/>
              <w:rPr>
                <w:sz w:val="20"/>
                <w:szCs w:val="20"/>
                <w:color w:val="auto"/>
              </w:rPr>
            </w:pPr>
            <w:r>
              <w:rPr>
                <w:rFonts w:ascii="Arial" w:cs="Arial" w:eastAsia="Arial" w:hAnsi="Arial"/>
                <w:sz w:val="19"/>
                <w:szCs w:val="19"/>
                <w:b w:val="1"/>
                <w:bCs w:val="1"/>
                <w:color w:val="auto"/>
              </w:rPr>
              <w:t>August 1 - April 30</w:t>
            </w: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9"/>
                <w:szCs w:val="19"/>
                <w:b w:val="1"/>
                <w:bCs w:val="1"/>
                <w:color w:val="auto"/>
              </w:rPr>
              <w:t>Fiscal 2017</w:t>
            </w:r>
          </w:p>
        </w:tc>
        <w:tc>
          <w:tcPr>
            <w:tcW w:w="3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525"/>
              <w:spacing w:after="0"/>
              <w:rPr>
                <w:sz w:val="20"/>
                <w:szCs w:val="20"/>
                <w:color w:val="auto"/>
              </w:rPr>
            </w:pPr>
            <w:r>
              <w:rPr>
                <w:rFonts w:ascii="Arial" w:cs="Arial" w:eastAsia="Arial" w:hAnsi="Arial"/>
                <w:sz w:val="19"/>
                <w:szCs w:val="19"/>
                <w:b w:val="1"/>
                <w:bCs w:val="1"/>
                <w:color w:val="auto"/>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121,638,000</w:t>
            </w:r>
          </w:p>
        </w:tc>
        <w:tc>
          <w:tcPr>
            <w:tcW w:w="300" w:type="dxa"/>
            <w:vAlign w:val="bottom"/>
          </w:tcPr>
          <w:p>
            <w:pPr>
              <w:spacing w:after="0"/>
              <w:rPr>
                <w:sz w:val="20"/>
                <w:szCs w:val="20"/>
                <w:color w:val="auto"/>
              </w:rPr>
            </w:pP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126,478,000</w:t>
            </w:r>
          </w:p>
        </w:tc>
        <w:tc>
          <w:tcPr>
            <w:tcW w:w="300" w:type="dxa"/>
            <w:vAlign w:val="bottom"/>
          </w:tcPr>
          <w:p>
            <w:pPr>
              <w:spacing w:after="0"/>
              <w:rPr>
                <w:sz w:val="20"/>
                <w:szCs w:val="20"/>
                <w:color w:val="auto"/>
              </w:rPr>
            </w:pPr>
          </w:p>
        </w:tc>
        <w:tc>
          <w:tcPr>
            <w:tcW w:w="1420" w:type="dxa"/>
            <w:vAlign w:val="bottom"/>
          </w:tcPr>
          <w:p>
            <w:pPr>
              <w:jc w:val="right"/>
              <w:ind w:right="465"/>
              <w:spacing w:after="0"/>
              <w:rPr>
                <w:sz w:val="20"/>
                <w:szCs w:val="20"/>
                <w:color w:val="auto"/>
              </w:rPr>
            </w:pPr>
            <w:r>
              <w:rPr>
                <w:rFonts w:ascii="Arial" w:cs="Arial" w:eastAsia="Arial" w:hAnsi="Arial"/>
                <w:sz w:val="19"/>
                <w:szCs w:val="19"/>
                <w:color w:val="auto"/>
              </w:rPr>
              <w:t>-4%</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5,996,000</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5,682,000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85"/>
              <w:spacing w:after="0"/>
              <w:rPr>
                <w:sz w:val="20"/>
                <w:szCs w:val="20"/>
                <w:color w:val="auto"/>
              </w:rPr>
            </w:pPr>
            <w:r>
              <w:rPr>
                <w:rFonts w:ascii="Arial" w:cs="Arial" w:eastAsia="Arial" w:hAnsi="Arial"/>
                <w:sz w:val="19"/>
                <w:szCs w:val="19"/>
                <w:color w:val="auto"/>
              </w:rPr>
              <w:t>6%</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6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removal of low margin cat litter business significantly contributed to lower net sales of branded and private label cat litters in the nine-month period. Sales of coarse cat litter and branded scoopable cat litter decreased in the third quarter. Increased sales of private label lightweight scoopable litters in both the third quarter and nine-month periods partially offset these sales declines.</w:t>
      </w:r>
    </w:p>
    <w:p>
      <w:pPr>
        <w:spacing w:after="0" w:line="134" w:lineRule="exact"/>
        <w:rPr>
          <w:sz w:val="20"/>
          <w:szCs w:val="20"/>
          <w:color w:val="auto"/>
        </w:rPr>
      </w:pPr>
    </w:p>
    <w:p>
      <w:pPr>
        <w:ind w:right="420"/>
        <w:spacing w:after="0" w:line="263" w:lineRule="auto"/>
        <w:rPr>
          <w:sz w:val="20"/>
          <w:szCs w:val="20"/>
          <w:color w:val="auto"/>
        </w:rPr>
      </w:pPr>
      <w:r>
        <w:rPr>
          <w:rFonts w:ascii="Arial" w:cs="Arial" w:eastAsia="Arial" w:hAnsi="Arial"/>
          <w:sz w:val="22"/>
          <w:szCs w:val="22"/>
          <w:color w:val="auto"/>
        </w:rPr>
        <w:t>Improved segment income included a reduction in advertising expense of approximately $6,400,000 for the third quarter and $1,400,000 for the nine-months, compared to the same periods in the prior year.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172720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220"/>
          </w:cols>
          <w:pgMar w:left="360" w:top="1409" w:right="31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FINANCIAL REVIEW</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(Nine-Month Period of Fiscal 2017 Ended April 30)</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At April 30, 2017, cash, cash equivalents, and short-term investments totaled $32,303,000 compared to $27,687,000 one year ago.</w:t>
      </w:r>
    </w:p>
    <w:p>
      <w:pPr>
        <w:spacing w:after="0" w:line="29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Cash provided by operating activities was $21,033,000, which was $1,624,000 higher than the $19,409,000 for the same period last year. This increase was primarily the result of higher net income.</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Capital expenditures for the period totaled $10,418,000 which was $865,000 more than depreciation and amortization of</w:t>
      </w:r>
    </w:p>
    <w:p>
      <w:pPr>
        <w:spacing w:after="0" w:line="33" w:lineRule="exact"/>
        <w:rPr>
          <w:sz w:val="20"/>
          <w:szCs w:val="20"/>
          <w:color w:val="auto"/>
        </w:rPr>
      </w:pPr>
    </w:p>
    <w:p>
      <w:pPr>
        <w:ind w:right="120"/>
        <w:spacing w:after="0" w:line="245" w:lineRule="auto"/>
        <w:rPr>
          <w:sz w:val="20"/>
          <w:szCs w:val="20"/>
          <w:color w:val="auto"/>
        </w:rPr>
      </w:pPr>
      <w:r>
        <w:rPr>
          <w:rFonts w:ascii="Arial" w:cs="Arial" w:eastAsia="Arial" w:hAnsi="Arial"/>
          <w:sz w:val="22"/>
          <w:szCs w:val="22"/>
          <w:color w:val="auto"/>
        </w:rPr>
        <w:t>$9,553,000. Capital expenditures included the ongoing implementation and testing of a new enterprise resource planning system and related infrastructure improvements, as well as equipment replacement at our manufacturing facilities. By comparison, capital expenditures totaled $7,052,000 one year ago.</w:t>
      </w:r>
    </w:p>
    <w:p>
      <w:pPr>
        <w:spacing w:after="0" w:line="234"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On March 16, 2017, Oil-Dri’s Board of Directors declared quarterly cash dividends of $0.22 per share of outstanding Common Stock and $0.165 per share of outstanding Class B Stock. The dividends were paid on June 2, 2017, to stockholders of record at the close of business on May 19, 2017. The Company has paid cash dividends continuously since 1974 and has increased dividends annually for each of the last thirteen years. At the end of the third quarter, the annualized dividend yield on the Company’s Common Stock was 2.2%, based on the closing stock price on April 30, 2017 of $40.69 per share and the latest quarterly cash dividend of $0.22 per share.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80"/>
          </w:cols>
          <w:pgMar w:left="240" w:top="1409" w:right="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LOOKING FORWARD</w:t>
      </w:r>
    </w:p>
    <w:p>
      <w:pPr>
        <w:spacing w:after="0" w:line="266"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President and Chief Executive Officer, Daniel Jaffee continued, “We remain focused on harnessing the potential of our value-added Business-to-Business products. We will continue to invest in sales and innovation for our animal health, fluids purification and agricultural ingredient products.</w:t>
      </w:r>
    </w:p>
    <w:p>
      <w:pPr>
        <w:spacing w:after="0" w:line="186"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According to the aforementioned third-party market research report for the latest 12-week period ending May 20, 2017, Cat’s Pride Fresh &amp; Light Ultimate Care products have a 5.1% share of the lightweight litter segment and Oil-Dri’s private label lightweight litters have a 2.4% share. All of Oil-Dri’s private label products account for 30.6% of the private label segment within the cat litter category. Our goal is to continue to gain further market share with both our Ultimate Care and private label products.</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Our integrated marketing campaign will continue to feature Ultimate Care television advertisements through July. Additionally, we are utilizing trade deals to drive additional consumer trial.”</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While granular clay floor absorbents were Oil-Dri’s founding product, it has since diversified its portfolio to include both consumer and business to business product offerings that supply pet care, animal health, fluids purification, agricultural ingredient, sports field, industrial and automotive markets. In 2016, Oil-Dri celebrated its seventy-fifth year of business and looks forward to the next milestone.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will offer a live webcast of the third quarter earnings teleconference on </w:t>
      </w:r>
      <w:r>
        <w:rPr>
          <w:rFonts w:ascii="Arial" w:cs="Arial" w:eastAsia="Arial" w:hAnsi="Arial"/>
          <w:sz w:val="16"/>
          <w:szCs w:val="16"/>
          <w:b w:val="1"/>
          <w:bCs w:val="1"/>
          <w:color w:val="auto"/>
        </w:rPr>
        <w:t>Thursday, June 8, 2017 from 10:00 am to 10:30 am, Central Time.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Teleconference details will be communicated via web alert approximately one week prior to the call.</w:t>
      </w:r>
    </w:p>
    <w:p>
      <w:pPr>
        <w:spacing w:after="0" w:line="242" w:lineRule="exact"/>
        <w:rPr>
          <w:sz w:val="20"/>
          <w:szCs w:val="20"/>
          <w:color w:val="auto"/>
        </w:rPr>
      </w:pPr>
    </w:p>
    <w:p>
      <w:pPr>
        <w:ind w:right="200"/>
        <w:spacing w:after="0" w:line="223"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Based in part on data reported by Nielsen through its Nielsen Answers Core Service for the Pet Care Category for the 52 and 12 week periods ended April 22, 2017, for the U.S. market. Copyright © 2017 Nielsen.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“Cat’s Pride,” “Fresh &amp; Light,” “Fresh &amp; Light Ultimate Care,” and “Amlan” are registered trademarks of 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00"/>
          </w:cols>
          <w:pgMar w:left="240" w:top="1409" w:right="259" w:bottom="1440" w:gutter="0" w:footer="0" w:header="0"/>
        </w:sectPr>
      </w:pPr>
    </w:p>
    <w:bookmarkStart w:id="9" w:name="page10"/>
    <w:bookmarkEnd w:id="9"/>
    <w:p>
      <w:pPr>
        <w:spacing w:after="0" w:line="25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286"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00"/>
          </w:cols>
          <w:pgMar w:left="240" w:top="1413" w:right="259" w:bottom="1440" w:gutter="0" w:footer="0" w:header="0"/>
        </w:sectPr>
      </w:pPr>
    </w:p>
    <w:bookmarkStart w:id="10" w:name="page11"/>
    <w:bookmarkEnd w:id="10"/>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(in thousands, except per share amounts)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ind w:left="360"/>
              <w:spacing w:after="0"/>
              <w:rPr>
                <w:sz w:val="20"/>
                <w:szCs w:val="20"/>
                <w:color w:val="auto"/>
              </w:rPr>
            </w:pPr>
            <w:r>
              <w:rPr>
                <w:rFonts w:ascii="Arial" w:cs="Arial" w:eastAsia="Arial" w:hAnsi="Arial"/>
                <w:sz w:val="18"/>
                <w:szCs w:val="18"/>
                <w:b w:val="1"/>
                <w:bCs w:val="1"/>
                <w:color w:val="auto"/>
              </w:rPr>
              <w:t>Third Quarter Ended April 30,</w:t>
            </w:r>
          </w:p>
        </w:tc>
        <w:tc>
          <w:tcPr>
            <w:tcW w:w="14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 of Sales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64,745</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64,235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(46,964)</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(45,667)</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17,781</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18,568</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(14,035)</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(19,803)</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3,746</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3,768</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3,211</w:t>
            </w:r>
          </w:p>
        </w:tc>
        <w:tc>
          <w:tcPr>
            <w:tcW w:w="22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5,022</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4,986</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7,164</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7,041</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162"/>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5"/>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ind w:left="440"/>
              <w:spacing w:after="0"/>
              <w:rPr>
                <w:sz w:val="20"/>
                <w:szCs w:val="20"/>
                <w:color w:val="auto"/>
              </w:rPr>
            </w:pPr>
            <w:r>
              <w:rPr>
                <w:rFonts w:ascii="Arial" w:cs="Arial" w:eastAsia="Arial" w:hAnsi="Arial"/>
                <w:sz w:val="18"/>
                <w:szCs w:val="18"/>
                <w:b w:val="1"/>
                <w:bCs w:val="1"/>
                <w:color w:val="auto"/>
              </w:rPr>
              <w:t>Nine Months Ended April 30,</w:t>
            </w:r>
          </w:p>
        </w:tc>
        <w:tc>
          <w:tcPr>
            <w:tcW w:w="14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 of Sales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196,531</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197,397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(138,900)</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(139,114)</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57,631</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58,283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(45,252)</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(46,342)</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12,379</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11,941</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11,691</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11,376</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9,470</w:t>
            </w:r>
          </w:p>
        </w:tc>
        <w:tc>
          <w:tcPr>
            <w:tcW w:w="22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8,352</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4.2 %</w:t>
            </w: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5,015</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4,981</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7,151</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7,085</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200"/>
          </w:cols>
          <w:pgMar w:left="240" w:top="1440" w:right="459" w:bottom="1440" w:gutter="0" w:footer="0" w:header="0"/>
        </w:sectPr>
      </w:pPr>
    </w:p>
    <w:bookmarkStart w:id="11" w:name="page12"/>
    <w:bookmarkEnd w:id="11"/>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As of April 30,</w:t>
            </w:r>
          </w:p>
        </w:tc>
        <w:tc>
          <w:tcPr>
            <w:tcW w:w="126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13,603</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17,194</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18,700</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31,969</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29,161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23,813</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25,025</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Prepaid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9,992</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8,072</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98,077</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89,945</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81,543</w:t>
            </w: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79,489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32,433</w:t>
            </w:r>
          </w:p>
        </w:tc>
        <w:tc>
          <w:tcPr>
            <w:tcW w:w="3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26,590</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212,053</w:t>
            </w:r>
          </w:p>
        </w:tc>
        <w:tc>
          <w:tcPr>
            <w:tcW w:w="34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196,024</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8,105</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6,002</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20,098</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20,155</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32,771</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30,647</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9,154</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12,208</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47,340</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36,618</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56,494</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48,826</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122,788</w:t>
            </w: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116,551</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212,053</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196,024</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w:t>
            </w:r>
          </w:p>
        </w:tc>
      </w:tr>
      <w:tr>
        <w:trPr>
          <w:trHeight w:val="297"/>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Third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3,139</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2,257</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10,418</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7,052</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Third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3,164</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3,077</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9,553</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8,991</w:t>
            </w:r>
          </w:p>
        </w:tc>
      </w:tr>
      <w:tr>
        <w:trPr>
          <w:trHeight w:val="696"/>
        </w:trPr>
        <w:tc>
          <w:tcPr>
            <w:tcW w:w="4260" w:type="dxa"/>
            <w:vAlign w:val="bottom"/>
          </w:tcPr>
          <w:p>
            <w:pPr>
              <w:spacing w:after="0"/>
              <w:rPr>
                <w:sz w:val="24"/>
                <w:szCs w:val="24"/>
                <w:color w:val="auto"/>
              </w:rPr>
            </w:pPr>
          </w:p>
        </w:tc>
        <w:tc>
          <w:tcPr>
            <w:tcW w:w="3180" w:type="dxa"/>
            <w:vAlign w:val="bottom"/>
          </w:tcPr>
          <w:p>
            <w:pPr>
              <w:ind w:left="1420"/>
              <w:spacing w:after="0"/>
              <w:rPr>
                <w:sz w:val="20"/>
                <w:szCs w:val="20"/>
                <w:color w:val="auto"/>
              </w:rPr>
            </w:pPr>
            <w:r>
              <w:rPr>
                <w:rFonts w:ascii="Arial" w:cs="Arial" w:eastAsia="Arial" w:hAnsi="Arial"/>
                <w:sz w:val="16"/>
                <w:szCs w:val="16"/>
                <w:color w:val="auto"/>
              </w:rPr>
              <w:t>8</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1440" w:gutter="0" w:footer="0" w:header="0"/>
        </w:sectPr>
      </w:pPr>
    </w:p>
    <w:bookmarkStart w:id="12" w:name="page13"/>
    <w:bookmarkEnd w:id="12"/>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2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Nine Months Ended</w:t>
            </w:r>
          </w:p>
        </w:tc>
        <w:tc>
          <w:tcPr>
            <w:tcW w:w="70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16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April 30,</w:t>
            </w:r>
          </w:p>
        </w:tc>
        <w:tc>
          <w:tcPr>
            <w:tcW w:w="70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9,470</w:t>
            </w:r>
          </w:p>
        </w:tc>
        <w:tc>
          <w:tcPr>
            <w:tcW w:w="34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8,352</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8,991</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Decrease in Accounts Receivable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(1,665)</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2,140</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in Inventories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(Decrease) in Accounts Payable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1,848</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(1,383)</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in Accrued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1,133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757</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11,563</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11,057</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21,033</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19,409</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(10,418)</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(7,052)</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Purchase of Investment Securities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(18,858)</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(15,093)</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(3,484)</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Dividends Paid</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(7,261)</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(7,343)</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(5,026)</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(2,944)</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20,138</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13,603</w:t>
            </w:r>
          </w:p>
        </w:tc>
        <w:tc>
          <w:tcPr>
            <w:tcW w:w="3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17,194</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2020-01-17T12:54:53Z</dcterms:created>
  <dcterms:modified xsi:type="dcterms:W3CDTF">2020-01-17T12:54:53Z</dcterms:modified>
</cp:coreProperties>
</file>