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240"/>
              <w:spacing w:after="0"/>
              <w:rPr>
                <w:sz w:val="20"/>
                <w:szCs w:val="20"/>
                <w:color w:val="auto"/>
              </w:rPr>
            </w:pPr>
            <w:r>
              <w:rPr>
                <w:rFonts w:ascii="Arial" w:cs="Arial" w:eastAsia="Arial" w:hAnsi="Arial"/>
                <w:sz w:val="18"/>
                <w:szCs w:val="18"/>
                <w:color w:val="auto"/>
                <w:w w:val="90"/>
              </w:rPr>
              <w:t>October 10, 2019</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21"/>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3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880" w:type="dxa"/>
            <w:vAlign w:val="bottom"/>
          </w:tcPr>
          <w:p>
            <w:pPr>
              <w:spacing w:after="0"/>
              <w:rPr>
                <w:sz w:val="20"/>
                <w:szCs w:val="20"/>
                <w:color w:val="auto"/>
              </w:rPr>
            </w:pPr>
          </w:p>
        </w:tc>
        <w:tc>
          <w:tcPr>
            <w:tcW w:w="51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380" w:type="dxa"/>
            <w:vAlign w:val="bottom"/>
          </w:tcPr>
          <w:p>
            <w:pPr>
              <w:ind w:left="680"/>
              <w:spacing w:after="0"/>
              <w:rPr>
                <w:sz w:val="20"/>
                <w:szCs w:val="20"/>
                <w:color w:val="auto"/>
              </w:rPr>
            </w:pPr>
            <w:r>
              <w:rPr>
                <w:rFonts w:ascii="Arial" w:cs="Arial" w:eastAsia="Arial" w:hAnsi="Arial"/>
                <w:sz w:val="18"/>
                <w:szCs w:val="18"/>
                <w:color w:val="auto"/>
              </w:rPr>
              <w:t>Title of each class</w:t>
            </w:r>
          </w:p>
        </w:tc>
        <w:tc>
          <w:tcPr>
            <w:tcW w:w="1880" w:type="dxa"/>
            <w:vAlign w:val="bottom"/>
          </w:tcPr>
          <w:p>
            <w:pPr>
              <w:ind w:left="240"/>
              <w:spacing w:after="0"/>
              <w:rPr>
                <w:sz w:val="20"/>
                <w:szCs w:val="20"/>
                <w:color w:val="auto"/>
              </w:rPr>
            </w:pPr>
            <w:r>
              <w:rPr>
                <w:rFonts w:ascii="Arial" w:cs="Arial" w:eastAsia="Arial" w:hAnsi="Arial"/>
                <w:sz w:val="18"/>
                <w:szCs w:val="18"/>
                <w:color w:val="auto"/>
              </w:rPr>
              <w:t>Trading Symbol(s)</w:t>
            </w:r>
          </w:p>
        </w:tc>
        <w:tc>
          <w:tcPr>
            <w:tcW w:w="5120" w:type="dxa"/>
            <w:vAlign w:val="bottom"/>
          </w:tcPr>
          <w:p>
            <w:pPr>
              <w:ind w:left="280"/>
              <w:spacing w:after="0"/>
              <w:rPr>
                <w:sz w:val="20"/>
                <w:szCs w:val="20"/>
                <w:color w:val="auto"/>
              </w:rPr>
            </w:pPr>
            <w:r>
              <w:rPr>
                <w:rFonts w:ascii="Arial" w:cs="Arial" w:eastAsia="Arial" w:hAnsi="Arial"/>
                <w:sz w:val="18"/>
                <w:szCs w:val="18"/>
                <w:color w:val="auto"/>
              </w:rPr>
              <w:t>Name of each exchange on which registered</w:t>
            </w:r>
          </w:p>
        </w:tc>
      </w:tr>
      <w:tr>
        <w:trPr>
          <w:trHeight w:val="270"/>
        </w:trPr>
        <w:tc>
          <w:tcPr>
            <w:tcW w:w="20" w:type="dxa"/>
            <w:vAlign w:val="bottom"/>
          </w:tcPr>
          <w:p>
            <w:pPr>
              <w:spacing w:after="0"/>
              <w:rPr>
                <w:sz w:val="23"/>
                <w:szCs w:val="23"/>
                <w:color w:val="auto"/>
              </w:rPr>
            </w:pPr>
          </w:p>
        </w:tc>
        <w:tc>
          <w:tcPr>
            <w:tcW w:w="4380" w:type="dxa"/>
            <w:vAlign w:val="bottom"/>
          </w:tcPr>
          <w:p>
            <w:pPr>
              <w:ind w:left="680"/>
              <w:spacing w:after="0"/>
              <w:rPr>
                <w:sz w:val="20"/>
                <w:szCs w:val="20"/>
                <w:color w:val="auto"/>
              </w:rPr>
            </w:pPr>
            <w:r>
              <w:rPr>
                <w:rFonts w:ascii="Arial" w:cs="Arial" w:eastAsia="Arial" w:hAnsi="Arial"/>
                <w:sz w:val="18"/>
                <w:szCs w:val="18"/>
                <w:color w:val="auto"/>
              </w:rPr>
              <w:t>Common Stock, par value $0.10 per share</w:t>
            </w:r>
          </w:p>
        </w:tc>
        <w:tc>
          <w:tcPr>
            <w:tcW w:w="1880" w:type="dxa"/>
            <w:vAlign w:val="bottom"/>
          </w:tcPr>
          <w:p>
            <w:pPr>
              <w:ind w:left="240"/>
              <w:spacing w:after="0"/>
              <w:rPr>
                <w:sz w:val="20"/>
                <w:szCs w:val="20"/>
                <w:color w:val="auto"/>
              </w:rPr>
            </w:pPr>
            <w:r>
              <w:rPr>
                <w:rFonts w:ascii="Arial" w:cs="Arial" w:eastAsia="Arial" w:hAnsi="Arial"/>
                <w:sz w:val="18"/>
                <w:szCs w:val="18"/>
                <w:color w:val="auto"/>
              </w:rPr>
              <w:t>ODC</w:t>
            </w:r>
          </w:p>
        </w:tc>
        <w:tc>
          <w:tcPr>
            <w:tcW w:w="5120" w:type="dxa"/>
            <w:vAlign w:val="bottom"/>
          </w:tcPr>
          <w:p>
            <w:pPr>
              <w:ind w:left="280"/>
              <w:spacing w:after="0"/>
              <w:rPr>
                <w:sz w:val="20"/>
                <w:szCs w:val="20"/>
                <w:color w:val="auto"/>
              </w:rPr>
            </w:pPr>
            <w:r>
              <w:rPr>
                <w:rFonts w:ascii="Arial" w:cs="Arial" w:eastAsia="Arial" w:hAnsi="Arial"/>
                <w:sz w:val="18"/>
                <w:szCs w:val="18"/>
                <w:color w:val="auto"/>
              </w:rPr>
              <w:t>New York Stock Exchange</w:t>
            </w:r>
          </w:p>
        </w:tc>
      </w:tr>
      <w:tr>
        <w:trPr>
          <w:trHeight w:val="378"/>
        </w:trPr>
        <w:tc>
          <w:tcPr>
            <w:tcW w:w="20" w:type="dxa"/>
            <w:vAlign w:val="bottom"/>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51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688" w:right="239" w:bottom="1440" w:gutter="0" w:footer="0" w:header="0"/>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10, 2019, Oil-Dri Corporation of America (the “Registrant”) issued a press release announcing its results of operations for its fourth quarter and fiscal year ended July 31, 2019.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6"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570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466"/>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7"/>
              </w:rPr>
              <w:t>Press Release of the Registrant dated October 10, 2019</w:t>
            </w:r>
          </w:p>
        </w:tc>
        <w:tc>
          <w:tcPr>
            <w:tcW w:w="57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10, 2019</w:t>
      </w:r>
    </w:p>
    <w:p>
      <w:pPr>
        <w:sectPr>
          <w:pgSz w:w="11900" w:h="16838" w:orient="portrait"/>
          <w:cols w:equalWidth="0" w:num="1">
            <w:col w:w="10880"/>
          </w:cols>
          <w:pgMar w:left="240" w:top="580" w:right="779" w:bottom="1440" w:gutter="0" w:footer="0" w:header="0"/>
        </w:sectPr>
      </w:pPr>
    </w:p>
    <w:bookmarkStart w:id="3" w:name="page4"/>
    <w:bookmarkEnd w:id="3"/>
    <w:p>
      <w:pPr>
        <w:spacing w:after="0" w:line="2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3047365</wp:posOffset>
            </wp:positionH>
            <wp:positionV relativeFrom="page">
              <wp:posOffset>294640</wp:posOffset>
            </wp:positionV>
            <wp:extent cx="1475105"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0360"/>
        <w:spacing w:after="0"/>
        <w:rPr>
          <w:sz w:val="20"/>
          <w:szCs w:val="20"/>
          <w:color w:val="auto"/>
        </w:rPr>
      </w:pPr>
      <w:r>
        <w:rPr>
          <w:rFonts w:ascii="Arial" w:cs="Arial" w:eastAsia="Arial" w:hAnsi="Arial"/>
          <w:sz w:val="19"/>
          <w:szCs w:val="19"/>
          <w:color w:val="auto"/>
        </w:rPr>
        <w:t>Exhibit 99.1</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Oil-Dri Announces Fourth Quarter and Fiscal 2019 Results</w:t>
      </w:r>
    </w:p>
    <w:p>
      <w:pPr>
        <w:spacing w:after="0" w:line="266" w:lineRule="exact"/>
        <w:rPr>
          <w:sz w:val="20"/>
          <w:szCs w:val="20"/>
          <w:color w:val="auto"/>
        </w:rPr>
      </w:pPr>
    </w:p>
    <w:p>
      <w:pPr>
        <w:ind w:right="860"/>
        <w:spacing w:after="0" w:line="263" w:lineRule="auto"/>
        <w:rPr>
          <w:sz w:val="20"/>
          <w:szCs w:val="20"/>
          <w:color w:val="auto"/>
        </w:rPr>
      </w:pPr>
      <w:r>
        <w:rPr>
          <w:rFonts w:ascii="Arial" w:cs="Arial" w:eastAsia="Arial" w:hAnsi="Arial"/>
          <w:sz w:val="22"/>
          <w:szCs w:val="22"/>
          <w:color w:val="auto"/>
        </w:rPr>
        <w:t>CHICAGO-(October 10, 2019)-Oil-Dri Corporation of America (NYSE: ODC), producer and marketer of sorbent mineral products, today announced results for its fourth quarter and fiscal year 2019.</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306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Fourth Quarter</w:t>
            </w:r>
          </w:p>
        </w:tc>
        <w:tc>
          <w:tcPr>
            <w:tcW w:w="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60" w:type="dxa"/>
            <w:vAlign w:val="bottom"/>
          </w:tcPr>
          <w:p>
            <w:pPr>
              <w:jc w:val="right"/>
              <w:ind w:right="652"/>
              <w:spacing w:after="0"/>
              <w:rPr>
                <w:sz w:val="20"/>
                <w:szCs w:val="20"/>
                <w:color w:val="auto"/>
              </w:rPr>
            </w:pPr>
            <w:r>
              <w:rPr>
                <w:rFonts w:ascii="Arial" w:cs="Arial" w:eastAsia="Arial" w:hAnsi="Arial"/>
                <w:sz w:val="18"/>
                <w:szCs w:val="18"/>
                <w:b w:val="1"/>
                <w:bCs w:val="1"/>
                <w:color w:val="auto"/>
                <w:w w:val="94"/>
              </w:rPr>
              <w:t>Fiscal Year</w:t>
            </w:r>
          </w:p>
        </w:tc>
        <w:tc>
          <w:tcPr>
            <w:tcW w:w="960" w:type="dxa"/>
            <w:vAlign w:val="bottom"/>
          </w:tcPr>
          <w:p>
            <w:pPr>
              <w:spacing w:after="0"/>
              <w:rPr>
                <w:sz w:val="20"/>
                <w:szCs w:val="20"/>
                <w:color w:val="auto"/>
              </w:rPr>
            </w:pPr>
          </w:p>
        </w:tc>
      </w:tr>
      <w:tr>
        <w:trPr>
          <w:trHeight w:val="291"/>
        </w:trPr>
        <w:tc>
          <w:tcPr>
            <w:tcW w:w="32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i w:val="1"/>
                <w:iCs w:val="1"/>
                <w:color w:val="auto"/>
              </w:rPr>
              <w:t>July 31, 2019</w:t>
            </w:r>
          </w:p>
        </w:tc>
        <w:tc>
          <w:tcPr>
            <w:tcW w:w="9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i w:val="1"/>
                <w:iCs w:val="1"/>
                <w:color w:val="auto"/>
              </w:rPr>
              <w:t>July 31, 2019</w:t>
            </w:r>
          </w:p>
        </w:tc>
        <w:tc>
          <w:tcPr>
            <w:tcW w:w="960" w:type="dxa"/>
            <w:vAlign w:val="bottom"/>
            <w:tcBorders>
              <w:bottom w:val="single" w:sz="8" w:color="auto"/>
            </w:tcBorders>
          </w:tcPr>
          <w:p>
            <w:pPr>
              <w:spacing w:after="0"/>
              <w:rPr>
                <w:sz w:val="24"/>
                <w:szCs w:val="24"/>
                <w:color w:val="auto"/>
              </w:rPr>
            </w:pPr>
          </w:p>
        </w:tc>
      </w:tr>
      <w:tr>
        <w:trPr>
          <w:trHeight w:val="243"/>
        </w:trPr>
        <w:tc>
          <w:tcPr>
            <w:tcW w:w="3220" w:type="dxa"/>
            <w:vAlign w:val="bottom"/>
            <w:tcBorders>
              <w:right w:val="single" w:sz="8" w:color="auto"/>
            </w:tcBorders>
          </w:tcPr>
          <w:p>
            <w:pPr>
              <w:spacing w:after="0"/>
              <w:rPr>
                <w:sz w:val="21"/>
                <w:szCs w:val="21"/>
                <w:color w:val="auto"/>
              </w:rPr>
            </w:pPr>
          </w:p>
        </w:tc>
        <w:tc>
          <w:tcPr>
            <w:tcW w:w="1520" w:type="dxa"/>
            <w:vAlign w:val="bottom"/>
          </w:tcPr>
          <w:p>
            <w:pPr>
              <w:jc w:val="right"/>
              <w:ind w:right="550"/>
              <w:spacing w:after="0"/>
              <w:rPr>
                <w:sz w:val="20"/>
                <w:szCs w:val="20"/>
                <w:color w:val="auto"/>
              </w:rPr>
            </w:pPr>
            <w:r>
              <w:rPr>
                <w:rFonts w:ascii="Arial" w:cs="Arial" w:eastAsia="Arial" w:hAnsi="Arial"/>
                <w:sz w:val="18"/>
                <w:szCs w:val="18"/>
                <w:b w:val="1"/>
                <w:bCs w:val="1"/>
                <w:color w:val="auto"/>
              </w:rPr>
              <w:t>F19</w:t>
            </w:r>
          </w:p>
        </w:tc>
        <w:tc>
          <w:tcPr>
            <w:tcW w:w="1540" w:type="dxa"/>
            <w:vAlign w:val="bottom"/>
          </w:tcPr>
          <w:p>
            <w:pPr>
              <w:jc w:val="right"/>
              <w:ind w:right="612"/>
              <w:spacing w:after="0"/>
              <w:rPr>
                <w:sz w:val="20"/>
                <w:szCs w:val="20"/>
                <w:color w:val="auto"/>
              </w:rPr>
            </w:pPr>
            <w:r>
              <w:rPr>
                <w:rFonts w:ascii="Arial" w:cs="Arial" w:eastAsia="Arial" w:hAnsi="Arial"/>
                <w:sz w:val="18"/>
                <w:szCs w:val="18"/>
                <w:b w:val="1"/>
                <w:bCs w:val="1"/>
                <w:color w:val="auto"/>
              </w:rPr>
              <w:t>F18</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Change</w:t>
            </w:r>
          </w:p>
        </w:tc>
        <w:tc>
          <w:tcPr>
            <w:tcW w:w="1600" w:type="dxa"/>
            <w:vAlign w:val="bottom"/>
          </w:tcPr>
          <w:p>
            <w:pPr>
              <w:jc w:val="right"/>
              <w:ind w:right="570"/>
              <w:spacing w:after="0"/>
              <w:rPr>
                <w:sz w:val="20"/>
                <w:szCs w:val="20"/>
                <w:color w:val="auto"/>
              </w:rPr>
            </w:pPr>
            <w:r>
              <w:rPr>
                <w:rFonts w:ascii="Arial" w:cs="Arial" w:eastAsia="Arial" w:hAnsi="Arial"/>
                <w:sz w:val="18"/>
                <w:szCs w:val="18"/>
                <w:b w:val="1"/>
                <w:bCs w:val="1"/>
                <w:color w:val="auto"/>
              </w:rPr>
              <w:t>F19</w:t>
            </w:r>
          </w:p>
        </w:tc>
        <w:tc>
          <w:tcPr>
            <w:tcW w:w="1660" w:type="dxa"/>
            <w:vAlign w:val="bottom"/>
          </w:tcPr>
          <w:p>
            <w:pPr>
              <w:jc w:val="right"/>
              <w:ind w:right="652"/>
              <w:spacing w:after="0"/>
              <w:rPr>
                <w:sz w:val="20"/>
                <w:szCs w:val="20"/>
                <w:color w:val="auto"/>
              </w:rPr>
            </w:pPr>
            <w:r>
              <w:rPr>
                <w:rFonts w:ascii="Arial" w:cs="Arial" w:eastAsia="Arial" w:hAnsi="Arial"/>
                <w:sz w:val="18"/>
                <w:szCs w:val="18"/>
                <w:b w:val="1"/>
                <w:bCs w:val="1"/>
                <w:color w:val="auto"/>
              </w:rPr>
              <w:t>F18</w:t>
            </w:r>
          </w:p>
        </w:tc>
        <w:tc>
          <w:tcPr>
            <w:tcW w:w="96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r>
      <w:tr>
        <w:trPr>
          <w:trHeight w:val="27"/>
        </w:trPr>
        <w:tc>
          <w:tcPr>
            <w:tcW w:w="3220" w:type="dxa"/>
            <w:vAlign w:val="bottom"/>
            <w:tcBorders>
              <w:right w:val="single" w:sz="8" w:color="auto"/>
            </w:tcBorders>
          </w:tcPr>
          <w:p>
            <w:pPr>
              <w:spacing w:after="0"/>
              <w:rPr>
                <w:sz w:val="2"/>
                <w:szCs w:val="2"/>
                <w:color w:val="auto"/>
              </w:rPr>
            </w:pPr>
          </w:p>
        </w:tc>
        <w:tc>
          <w:tcPr>
            <w:tcW w:w="1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r>
      <w:tr>
        <w:trPr>
          <w:trHeight w:val="250"/>
        </w:trPr>
        <w:tc>
          <w:tcPr>
            <w:tcW w:w="322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Consolidated Results</w:t>
            </w:r>
          </w:p>
        </w:tc>
        <w:tc>
          <w:tcPr>
            <w:tcW w:w="1520" w:type="dxa"/>
            <w:vAlign w:val="bottom"/>
            <w:tcBorders>
              <w:bottom w:val="single" w:sz="8" w:color="auto"/>
            </w:tcBorders>
            <w:shd w:val="clear" w:color="auto" w:fill="000000"/>
          </w:tcPr>
          <w:p>
            <w:pPr>
              <w:spacing w:after="0"/>
              <w:rPr>
                <w:sz w:val="21"/>
                <w:szCs w:val="21"/>
                <w:color w:val="auto"/>
              </w:rPr>
            </w:pPr>
          </w:p>
        </w:tc>
        <w:tc>
          <w:tcPr>
            <w:tcW w:w="1540" w:type="dxa"/>
            <w:vAlign w:val="bottom"/>
            <w:tcBorders>
              <w:bottom w:val="single" w:sz="8" w:color="auto"/>
            </w:tcBorders>
            <w:shd w:val="clear" w:color="auto" w:fill="000000"/>
          </w:tcPr>
          <w:p>
            <w:pPr>
              <w:spacing w:after="0"/>
              <w:rPr>
                <w:sz w:val="21"/>
                <w:szCs w:val="21"/>
                <w:color w:val="auto"/>
              </w:rPr>
            </w:pPr>
          </w:p>
        </w:tc>
        <w:tc>
          <w:tcPr>
            <w:tcW w:w="940" w:type="dxa"/>
            <w:vAlign w:val="bottom"/>
            <w:tcBorders>
              <w:bottom w:val="single" w:sz="8" w:color="auto"/>
              <w:right w:val="single" w:sz="8" w:color="auto"/>
            </w:tcBorders>
            <w:shd w:val="clear" w:color="auto" w:fill="000000"/>
          </w:tcPr>
          <w:p>
            <w:pPr>
              <w:spacing w:after="0"/>
              <w:rPr>
                <w:sz w:val="21"/>
                <w:szCs w:val="21"/>
                <w:color w:val="auto"/>
              </w:rPr>
            </w:pPr>
          </w:p>
        </w:tc>
        <w:tc>
          <w:tcPr>
            <w:tcW w:w="1600" w:type="dxa"/>
            <w:vAlign w:val="bottom"/>
            <w:tcBorders>
              <w:bottom w:val="single" w:sz="8" w:color="auto"/>
            </w:tcBorders>
            <w:shd w:val="clear" w:color="auto" w:fill="000000"/>
          </w:tcPr>
          <w:p>
            <w:pPr>
              <w:spacing w:after="0"/>
              <w:rPr>
                <w:sz w:val="21"/>
                <w:szCs w:val="21"/>
                <w:color w:val="auto"/>
              </w:rPr>
            </w:pPr>
          </w:p>
        </w:tc>
        <w:tc>
          <w:tcPr>
            <w:tcW w:w="1660" w:type="dxa"/>
            <w:vAlign w:val="bottom"/>
            <w:tcBorders>
              <w:bottom w:val="single" w:sz="8" w:color="auto"/>
            </w:tcBorders>
            <w:shd w:val="clear" w:color="auto" w:fill="000000"/>
          </w:tcPr>
          <w:p>
            <w:pPr>
              <w:spacing w:after="0"/>
              <w:rPr>
                <w:sz w:val="21"/>
                <w:szCs w:val="21"/>
                <w:color w:val="auto"/>
              </w:rPr>
            </w:pPr>
          </w:p>
        </w:tc>
        <w:tc>
          <w:tcPr>
            <w:tcW w:w="9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520" w:type="dxa"/>
            <w:vAlign w:val="bottom"/>
          </w:tcPr>
          <w:p>
            <w:pPr>
              <w:jc w:val="right"/>
              <w:spacing w:after="0"/>
              <w:rPr>
                <w:sz w:val="20"/>
                <w:szCs w:val="20"/>
                <w:color w:val="auto"/>
              </w:rPr>
            </w:pPr>
            <w:r>
              <w:rPr>
                <w:rFonts w:ascii="Arial" w:cs="Arial" w:eastAsia="Arial" w:hAnsi="Arial"/>
                <w:sz w:val="18"/>
                <w:szCs w:val="18"/>
                <w:color w:val="auto"/>
              </w:rPr>
              <w:t>$70,117,000</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$65,613,000</w:t>
            </w: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7%</w:t>
            </w:r>
          </w:p>
        </w:tc>
        <w:tc>
          <w:tcPr>
            <w:tcW w:w="1600" w:type="dxa"/>
            <w:vAlign w:val="bottom"/>
          </w:tcPr>
          <w:p>
            <w:pPr>
              <w:jc w:val="right"/>
              <w:spacing w:after="0"/>
              <w:rPr>
                <w:sz w:val="20"/>
                <w:szCs w:val="20"/>
                <w:color w:val="auto"/>
              </w:rPr>
            </w:pPr>
            <w:r>
              <w:rPr>
                <w:rFonts w:ascii="Arial" w:cs="Arial" w:eastAsia="Arial" w:hAnsi="Arial"/>
                <w:sz w:val="18"/>
                <w:szCs w:val="18"/>
                <w:color w:val="auto"/>
              </w:rPr>
              <w:t>$277,025,000</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$266,000,000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4%</w:t>
            </w:r>
          </w:p>
        </w:tc>
      </w:tr>
      <w:tr>
        <w:trPr>
          <w:trHeight w:val="27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Income Attributable to Oil-Dri</w:t>
            </w:r>
          </w:p>
        </w:tc>
        <w:tc>
          <w:tcPr>
            <w:tcW w:w="1520" w:type="dxa"/>
            <w:vAlign w:val="bottom"/>
          </w:tcPr>
          <w:p>
            <w:pPr>
              <w:jc w:val="right"/>
              <w:spacing w:after="0"/>
              <w:rPr>
                <w:sz w:val="20"/>
                <w:szCs w:val="20"/>
                <w:color w:val="auto"/>
              </w:rPr>
            </w:pPr>
            <w:r>
              <w:rPr>
                <w:rFonts w:ascii="Arial" w:cs="Arial" w:eastAsia="Arial" w:hAnsi="Arial"/>
                <w:sz w:val="18"/>
                <w:szCs w:val="18"/>
                <w:color w:val="auto"/>
              </w:rPr>
              <w:t>$3,799,000</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$2,701,000</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4"/>
              </w:rPr>
              <w:t>41%</w:t>
            </w:r>
          </w:p>
        </w:tc>
        <w:tc>
          <w:tcPr>
            <w:tcW w:w="1600" w:type="dxa"/>
            <w:vAlign w:val="bottom"/>
          </w:tcPr>
          <w:p>
            <w:pPr>
              <w:jc w:val="right"/>
              <w:spacing w:after="0"/>
              <w:rPr>
                <w:sz w:val="20"/>
                <w:szCs w:val="20"/>
                <w:color w:val="auto"/>
              </w:rPr>
            </w:pPr>
            <w:r>
              <w:rPr>
                <w:rFonts w:ascii="Arial" w:cs="Arial" w:eastAsia="Arial" w:hAnsi="Arial"/>
                <w:sz w:val="18"/>
                <w:szCs w:val="18"/>
                <w:color w:val="auto"/>
              </w:rPr>
              <w:t>$12,611,000</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$8,240,000</w:t>
            </w:r>
          </w:p>
        </w:tc>
        <w:tc>
          <w:tcPr>
            <w:tcW w:w="9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4"/>
              </w:rPr>
              <w:t>53%</w:t>
            </w:r>
          </w:p>
        </w:tc>
      </w:tr>
      <w:tr>
        <w:trPr>
          <w:trHeight w:val="27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Earnings per Diluted Share</w:t>
            </w:r>
          </w:p>
        </w:tc>
        <w:tc>
          <w:tcPr>
            <w:tcW w:w="1520" w:type="dxa"/>
            <w:vAlign w:val="bottom"/>
          </w:tcPr>
          <w:p>
            <w:pPr>
              <w:jc w:val="right"/>
              <w:spacing w:after="0"/>
              <w:rPr>
                <w:sz w:val="20"/>
                <w:szCs w:val="20"/>
                <w:color w:val="auto"/>
              </w:rPr>
            </w:pPr>
            <w:r>
              <w:rPr>
                <w:rFonts w:ascii="Arial" w:cs="Arial" w:eastAsia="Arial" w:hAnsi="Arial"/>
                <w:sz w:val="18"/>
                <w:szCs w:val="18"/>
                <w:color w:val="auto"/>
              </w:rPr>
              <w:t>$0.50</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$0.36</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4"/>
              </w:rPr>
              <w:t>39%</w:t>
            </w:r>
          </w:p>
        </w:tc>
        <w:tc>
          <w:tcPr>
            <w:tcW w:w="1600" w:type="dxa"/>
            <w:vAlign w:val="bottom"/>
          </w:tcPr>
          <w:p>
            <w:pPr>
              <w:jc w:val="right"/>
              <w:spacing w:after="0"/>
              <w:rPr>
                <w:sz w:val="20"/>
                <w:szCs w:val="20"/>
                <w:color w:val="auto"/>
              </w:rPr>
            </w:pPr>
            <w:r>
              <w:rPr>
                <w:rFonts w:ascii="Arial" w:cs="Arial" w:eastAsia="Arial" w:hAnsi="Arial"/>
                <w:sz w:val="18"/>
                <w:szCs w:val="18"/>
                <w:color w:val="auto"/>
              </w:rPr>
              <w:t>$1.67</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$1.11</w:t>
            </w:r>
          </w:p>
        </w:tc>
        <w:tc>
          <w:tcPr>
            <w:tcW w:w="9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4"/>
              </w:rPr>
              <w:t>50%</w:t>
            </w:r>
          </w:p>
        </w:tc>
      </w:tr>
      <w:tr>
        <w:trPr>
          <w:trHeight w:val="27"/>
        </w:trPr>
        <w:tc>
          <w:tcPr>
            <w:tcW w:w="3220" w:type="dxa"/>
            <w:vAlign w:val="bottom"/>
            <w:tcBorders>
              <w:right w:val="single" w:sz="8" w:color="auto"/>
            </w:tcBorders>
          </w:tcPr>
          <w:p>
            <w:pPr>
              <w:spacing w:after="0"/>
              <w:rPr>
                <w:sz w:val="2"/>
                <w:szCs w:val="2"/>
                <w:color w:val="auto"/>
              </w:rPr>
            </w:pPr>
          </w:p>
        </w:tc>
        <w:tc>
          <w:tcPr>
            <w:tcW w:w="1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r>
      <w:tr>
        <w:trPr>
          <w:trHeight w:val="250"/>
        </w:trPr>
        <w:tc>
          <w:tcPr>
            <w:tcW w:w="322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Business to Business</w:t>
            </w:r>
          </w:p>
        </w:tc>
        <w:tc>
          <w:tcPr>
            <w:tcW w:w="1520" w:type="dxa"/>
            <w:vAlign w:val="bottom"/>
            <w:tcBorders>
              <w:bottom w:val="single" w:sz="8" w:color="auto"/>
            </w:tcBorders>
            <w:shd w:val="clear" w:color="auto" w:fill="000000"/>
          </w:tcPr>
          <w:p>
            <w:pPr>
              <w:spacing w:after="0"/>
              <w:rPr>
                <w:sz w:val="21"/>
                <w:szCs w:val="21"/>
                <w:color w:val="auto"/>
              </w:rPr>
            </w:pPr>
          </w:p>
        </w:tc>
        <w:tc>
          <w:tcPr>
            <w:tcW w:w="1540" w:type="dxa"/>
            <w:vAlign w:val="bottom"/>
            <w:tcBorders>
              <w:bottom w:val="single" w:sz="8" w:color="auto"/>
            </w:tcBorders>
            <w:shd w:val="clear" w:color="auto" w:fill="000000"/>
          </w:tcPr>
          <w:p>
            <w:pPr>
              <w:spacing w:after="0"/>
              <w:rPr>
                <w:sz w:val="21"/>
                <w:szCs w:val="21"/>
                <w:color w:val="auto"/>
              </w:rPr>
            </w:pPr>
          </w:p>
        </w:tc>
        <w:tc>
          <w:tcPr>
            <w:tcW w:w="940" w:type="dxa"/>
            <w:vAlign w:val="bottom"/>
            <w:tcBorders>
              <w:bottom w:val="single" w:sz="8" w:color="auto"/>
              <w:right w:val="single" w:sz="8" w:color="auto"/>
            </w:tcBorders>
            <w:shd w:val="clear" w:color="auto" w:fill="000000"/>
          </w:tcPr>
          <w:p>
            <w:pPr>
              <w:spacing w:after="0"/>
              <w:rPr>
                <w:sz w:val="21"/>
                <w:szCs w:val="21"/>
                <w:color w:val="auto"/>
              </w:rPr>
            </w:pPr>
          </w:p>
        </w:tc>
        <w:tc>
          <w:tcPr>
            <w:tcW w:w="1600" w:type="dxa"/>
            <w:vAlign w:val="bottom"/>
            <w:tcBorders>
              <w:bottom w:val="single" w:sz="8" w:color="auto"/>
            </w:tcBorders>
            <w:shd w:val="clear" w:color="auto" w:fill="000000"/>
          </w:tcPr>
          <w:p>
            <w:pPr>
              <w:spacing w:after="0"/>
              <w:rPr>
                <w:sz w:val="21"/>
                <w:szCs w:val="21"/>
                <w:color w:val="auto"/>
              </w:rPr>
            </w:pPr>
          </w:p>
        </w:tc>
        <w:tc>
          <w:tcPr>
            <w:tcW w:w="1660" w:type="dxa"/>
            <w:vAlign w:val="bottom"/>
            <w:tcBorders>
              <w:bottom w:val="single" w:sz="8" w:color="auto"/>
            </w:tcBorders>
            <w:shd w:val="clear" w:color="auto" w:fill="000000"/>
          </w:tcPr>
          <w:p>
            <w:pPr>
              <w:spacing w:after="0"/>
              <w:rPr>
                <w:sz w:val="21"/>
                <w:szCs w:val="21"/>
                <w:color w:val="auto"/>
              </w:rPr>
            </w:pPr>
          </w:p>
        </w:tc>
        <w:tc>
          <w:tcPr>
            <w:tcW w:w="9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520" w:type="dxa"/>
            <w:vAlign w:val="bottom"/>
          </w:tcPr>
          <w:p>
            <w:pPr>
              <w:jc w:val="right"/>
              <w:spacing w:after="0"/>
              <w:rPr>
                <w:sz w:val="20"/>
                <w:szCs w:val="20"/>
                <w:color w:val="auto"/>
              </w:rPr>
            </w:pPr>
            <w:r>
              <w:rPr>
                <w:rFonts w:ascii="Arial" w:cs="Arial" w:eastAsia="Arial" w:hAnsi="Arial"/>
                <w:sz w:val="18"/>
                <w:szCs w:val="18"/>
                <w:color w:val="auto"/>
              </w:rPr>
              <w:t>$28,052,000</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$25,817,000</w:t>
            </w: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9%</w:t>
            </w:r>
          </w:p>
        </w:tc>
        <w:tc>
          <w:tcPr>
            <w:tcW w:w="1600" w:type="dxa"/>
            <w:vAlign w:val="bottom"/>
          </w:tcPr>
          <w:p>
            <w:pPr>
              <w:jc w:val="right"/>
              <w:spacing w:after="0"/>
              <w:rPr>
                <w:sz w:val="20"/>
                <w:szCs w:val="20"/>
                <w:color w:val="auto"/>
              </w:rPr>
            </w:pPr>
            <w:r>
              <w:rPr>
                <w:rFonts w:ascii="Arial" w:cs="Arial" w:eastAsia="Arial" w:hAnsi="Arial"/>
                <w:sz w:val="18"/>
                <w:szCs w:val="18"/>
                <w:color w:val="auto"/>
              </w:rPr>
              <w:t>$105,877,000</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$105,043,000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1%</w:t>
            </w:r>
          </w:p>
        </w:tc>
      </w:tr>
      <w:tr>
        <w:trPr>
          <w:trHeight w:val="27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Segment Operating Income</w:t>
            </w:r>
          </w:p>
        </w:tc>
        <w:tc>
          <w:tcPr>
            <w:tcW w:w="1520" w:type="dxa"/>
            <w:vAlign w:val="bottom"/>
          </w:tcPr>
          <w:p>
            <w:pPr>
              <w:jc w:val="right"/>
              <w:spacing w:after="0"/>
              <w:rPr>
                <w:sz w:val="20"/>
                <w:szCs w:val="20"/>
                <w:color w:val="auto"/>
              </w:rPr>
            </w:pPr>
            <w:r>
              <w:rPr>
                <w:rFonts w:ascii="Arial" w:cs="Arial" w:eastAsia="Arial" w:hAnsi="Arial"/>
                <w:sz w:val="18"/>
                <w:szCs w:val="18"/>
                <w:color w:val="auto"/>
              </w:rPr>
              <w:t>$9,630,000</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$8,929,000</w:t>
            </w: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8%</w:t>
            </w:r>
          </w:p>
        </w:tc>
        <w:tc>
          <w:tcPr>
            <w:tcW w:w="1600" w:type="dxa"/>
            <w:vAlign w:val="bottom"/>
          </w:tcPr>
          <w:p>
            <w:pPr>
              <w:jc w:val="right"/>
              <w:spacing w:after="0"/>
              <w:rPr>
                <w:sz w:val="20"/>
                <w:szCs w:val="20"/>
                <w:color w:val="auto"/>
              </w:rPr>
            </w:pPr>
            <w:r>
              <w:rPr>
                <w:rFonts w:ascii="Arial" w:cs="Arial" w:eastAsia="Arial" w:hAnsi="Arial"/>
                <w:sz w:val="18"/>
                <w:szCs w:val="18"/>
                <w:color w:val="auto"/>
              </w:rPr>
              <w:t>$31,388,000</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$35,120,000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(11)%</w:t>
            </w:r>
          </w:p>
        </w:tc>
      </w:tr>
      <w:tr>
        <w:trPr>
          <w:trHeight w:val="27"/>
        </w:trPr>
        <w:tc>
          <w:tcPr>
            <w:tcW w:w="3220" w:type="dxa"/>
            <w:vAlign w:val="bottom"/>
            <w:tcBorders>
              <w:right w:val="single" w:sz="8" w:color="auto"/>
            </w:tcBorders>
          </w:tcPr>
          <w:p>
            <w:pPr>
              <w:spacing w:after="0"/>
              <w:rPr>
                <w:sz w:val="2"/>
                <w:szCs w:val="2"/>
                <w:color w:val="auto"/>
              </w:rPr>
            </w:pPr>
          </w:p>
        </w:tc>
        <w:tc>
          <w:tcPr>
            <w:tcW w:w="1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r>
      <w:tr>
        <w:trPr>
          <w:trHeight w:val="250"/>
        </w:trPr>
        <w:tc>
          <w:tcPr>
            <w:tcW w:w="322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Retail and Wholesale</w:t>
            </w:r>
          </w:p>
        </w:tc>
        <w:tc>
          <w:tcPr>
            <w:tcW w:w="1520" w:type="dxa"/>
            <w:vAlign w:val="bottom"/>
            <w:tcBorders>
              <w:bottom w:val="single" w:sz="8" w:color="auto"/>
            </w:tcBorders>
            <w:shd w:val="clear" w:color="auto" w:fill="000000"/>
          </w:tcPr>
          <w:p>
            <w:pPr>
              <w:spacing w:after="0"/>
              <w:rPr>
                <w:sz w:val="21"/>
                <w:szCs w:val="21"/>
                <w:color w:val="auto"/>
              </w:rPr>
            </w:pPr>
          </w:p>
        </w:tc>
        <w:tc>
          <w:tcPr>
            <w:tcW w:w="1540" w:type="dxa"/>
            <w:vAlign w:val="bottom"/>
            <w:tcBorders>
              <w:bottom w:val="single" w:sz="8" w:color="auto"/>
            </w:tcBorders>
            <w:shd w:val="clear" w:color="auto" w:fill="000000"/>
          </w:tcPr>
          <w:p>
            <w:pPr>
              <w:spacing w:after="0"/>
              <w:rPr>
                <w:sz w:val="21"/>
                <w:szCs w:val="21"/>
                <w:color w:val="auto"/>
              </w:rPr>
            </w:pPr>
          </w:p>
        </w:tc>
        <w:tc>
          <w:tcPr>
            <w:tcW w:w="940" w:type="dxa"/>
            <w:vAlign w:val="bottom"/>
            <w:tcBorders>
              <w:bottom w:val="single" w:sz="8" w:color="auto"/>
              <w:right w:val="single" w:sz="8" w:color="auto"/>
            </w:tcBorders>
            <w:shd w:val="clear" w:color="auto" w:fill="000000"/>
          </w:tcPr>
          <w:p>
            <w:pPr>
              <w:spacing w:after="0"/>
              <w:rPr>
                <w:sz w:val="21"/>
                <w:szCs w:val="21"/>
                <w:color w:val="auto"/>
              </w:rPr>
            </w:pPr>
          </w:p>
        </w:tc>
        <w:tc>
          <w:tcPr>
            <w:tcW w:w="1600" w:type="dxa"/>
            <w:vAlign w:val="bottom"/>
            <w:tcBorders>
              <w:bottom w:val="single" w:sz="8" w:color="auto"/>
            </w:tcBorders>
            <w:shd w:val="clear" w:color="auto" w:fill="000000"/>
          </w:tcPr>
          <w:p>
            <w:pPr>
              <w:spacing w:after="0"/>
              <w:rPr>
                <w:sz w:val="21"/>
                <w:szCs w:val="21"/>
                <w:color w:val="auto"/>
              </w:rPr>
            </w:pPr>
          </w:p>
        </w:tc>
        <w:tc>
          <w:tcPr>
            <w:tcW w:w="1660" w:type="dxa"/>
            <w:vAlign w:val="bottom"/>
            <w:tcBorders>
              <w:bottom w:val="single" w:sz="8" w:color="auto"/>
            </w:tcBorders>
            <w:shd w:val="clear" w:color="auto" w:fill="000000"/>
          </w:tcPr>
          <w:p>
            <w:pPr>
              <w:spacing w:after="0"/>
              <w:rPr>
                <w:sz w:val="21"/>
                <w:szCs w:val="21"/>
                <w:color w:val="auto"/>
              </w:rPr>
            </w:pPr>
          </w:p>
        </w:tc>
        <w:tc>
          <w:tcPr>
            <w:tcW w:w="9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520" w:type="dxa"/>
            <w:vAlign w:val="bottom"/>
          </w:tcPr>
          <w:p>
            <w:pPr>
              <w:jc w:val="right"/>
              <w:spacing w:after="0"/>
              <w:rPr>
                <w:sz w:val="20"/>
                <w:szCs w:val="20"/>
                <w:color w:val="auto"/>
              </w:rPr>
            </w:pPr>
            <w:r>
              <w:rPr>
                <w:rFonts w:ascii="Arial" w:cs="Arial" w:eastAsia="Arial" w:hAnsi="Arial"/>
                <w:sz w:val="18"/>
                <w:szCs w:val="18"/>
                <w:color w:val="auto"/>
              </w:rPr>
              <w:t>$42,065,000</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$39,796,000</w:t>
            </w: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6%</w:t>
            </w:r>
          </w:p>
        </w:tc>
        <w:tc>
          <w:tcPr>
            <w:tcW w:w="1600" w:type="dxa"/>
            <w:vAlign w:val="bottom"/>
          </w:tcPr>
          <w:p>
            <w:pPr>
              <w:jc w:val="right"/>
              <w:spacing w:after="0"/>
              <w:rPr>
                <w:sz w:val="20"/>
                <w:szCs w:val="20"/>
                <w:color w:val="auto"/>
              </w:rPr>
            </w:pPr>
            <w:r>
              <w:rPr>
                <w:rFonts w:ascii="Arial" w:cs="Arial" w:eastAsia="Arial" w:hAnsi="Arial"/>
                <w:sz w:val="18"/>
                <w:szCs w:val="18"/>
                <w:color w:val="auto"/>
              </w:rPr>
              <w:t>$171,148,000</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$160,957,000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6%</w:t>
            </w:r>
          </w:p>
        </w:tc>
      </w:tr>
      <w:tr>
        <w:trPr>
          <w:trHeight w:val="27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Segment Operating Income</w:t>
            </w:r>
          </w:p>
        </w:tc>
        <w:tc>
          <w:tcPr>
            <w:tcW w:w="1520" w:type="dxa"/>
            <w:vAlign w:val="bottom"/>
          </w:tcPr>
          <w:p>
            <w:pPr>
              <w:jc w:val="right"/>
              <w:spacing w:after="0"/>
              <w:rPr>
                <w:sz w:val="20"/>
                <w:szCs w:val="20"/>
                <w:color w:val="auto"/>
              </w:rPr>
            </w:pPr>
            <w:r>
              <w:rPr>
                <w:rFonts w:ascii="Arial" w:cs="Arial" w:eastAsia="Arial" w:hAnsi="Arial"/>
                <w:sz w:val="18"/>
                <w:szCs w:val="18"/>
                <w:color w:val="auto"/>
              </w:rPr>
              <w:t>$1,860,000</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($35,000)</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N/A</w:t>
            </w:r>
          </w:p>
        </w:tc>
        <w:tc>
          <w:tcPr>
            <w:tcW w:w="1600" w:type="dxa"/>
            <w:vAlign w:val="bottom"/>
          </w:tcPr>
          <w:p>
            <w:pPr>
              <w:jc w:val="right"/>
              <w:spacing w:after="0"/>
              <w:rPr>
                <w:sz w:val="20"/>
                <w:szCs w:val="20"/>
                <w:color w:val="auto"/>
              </w:rPr>
            </w:pPr>
            <w:r>
              <w:rPr>
                <w:rFonts w:ascii="Arial" w:cs="Arial" w:eastAsia="Arial" w:hAnsi="Arial"/>
                <w:sz w:val="18"/>
                <w:szCs w:val="18"/>
                <w:color w:val="auto"/>
              </w:rPr>
              <w:t>$8,683,000</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$6,975,000</w:t>
            </w:r>
          </w:p>
        </w:tc>
        <w:tc>
          <w:tcPr>
            <w:tcW w:w="9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4"/>
              </w:rPr>
              <w:t>24%</w:t>
            </w:r>
          </w:p>
        </w:tc>
      </w:tr>
      <w:tr>
        <w:trPr>
          <w:trHeight w:val="27"/>
        </w:trPr>
        <w:tc>
          <w:tcPr>
            <w:tcW w:w="3220" w:type="dxa"/>
            <w:vAlign w:val="bottom"/>
            <w:tcBorders>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bl>
    <w:p>
      <w:pPr>
        <w:spacing w:after="0" w:line="249" w:lineRule="exact"/>
        <w:rPr>
          <w:sz w:val="20"/>
          <w:szCs w:val="20"/>
          <w:color w:val="auto"/>
        </w:rPr>
      </w:pPr>
    </w:p>
    <w:p>
      <w:pPr>
        <w:ind w:right="20"/>
        <w:spacing w:after="0" w:line="292" w:lineRule="auto"/>
        <w:rPr>
          <w:sz w:val="20"/>
          <w:szCs w:val="20"/>
          <w:color w:val="auto"/>
        </w:rPr>
      </w:pPr>
      <w:r>
        <w:rPr>
          <w:rFonts w:ascii="Arial" w:cs="Arial" w:eastAsia="Arial" w:hAnsi="Arial"/>
          <w:sz w:val="19"/>
          <w:szCs w:val="19"/>
          <w:color w:val="auto"/>
        </w:rPr>
        <w:t xml:space="preserve">Daniel S. Jaffee, President and CEO, stated, </w:t>
      </w:r>
      <w:r>
        <w:rPr>
          <w:rFonts w:ascii="Arial" w:cs="Arial" w:eastAsia="Arial" w:hAnsi="Arial"/>
          <w:sz w:val="19"/>
          <w:szCs w:val="19"/>
          <w:i w:val="1"/>
          <w:iCs w:val="1"/>
          <w:color w:val="auto"/>
        </w:rPr>
        <w:t>“</w:t>
      </w:r>
      <w:r>
        <w:rPr>
          <w:rFonts w:ascii="Arial" w:cs="Arial" w:eastAsia="Arial" w:hAnsi="Arial"/>
          <w:sz w:val="19"/>
          <w:szCs w:val="19"/>
          <w:color w:val="auto"/>
        </w:rPr>
        <w:t>I am pleased to report that we finished our fourth quarter with positive results. After a challenging start to our fiscal year, which included a difficult and costly transition to a new ERP system, as well as increased costs of goods, we have turned the corner and are beginning to see favorable outcomes. In addition, our senior leadership team has grown to include seasoned individuals who are spearheading process improvements and new strategies to grow our business. We have a strong balance sheet with virtually no long-term debt and an untapped $45 million unsecured revolving line of credit, putting us in a great position to make investments in the future. With this solid infrastructure now in place, we are looking forward to reaping the benefits of all the key investments we made during the year.</w:t>
      </w:r>
    </w:p>
    <w:p>
      <w:pPr>
        <w:spacing w:after="0" w:line="165" w:lineRule="exact"/>
        <w:rPr>
          <w:sz w:val="20"/>
          <w:szCs w:val="20"/>
          <w:color w:val="auto"/>
        </w:rPr>
      </w:pPr>
    </w:p>
    <w:p>
      <w:pPr>
        <w:ind w:right="40"/>
        <w:spacing w:after="0" w:line="270" w:lineRule="auto"/>
        <w:rPr>
          <w:sz w:val="20"/>
          <w:szCs w:val="20"/>
          <w:color w:val="auto"/>
        </w:rPr>
      </w:pPr>
      <w:r>
        <w:rPr>
          <w:rFonts w:ascii="Arial" w:cs="Arial" w:eastAsia="Arial" w:hAnsi="Arial"/>
          <w:sz w:val="20"/>
          <w:szCs w:val="20"/>
          <w:color w:val="auto"/>
        </w:rPr>
        <w:t>Oil-</w:t>
      </w:r>
      <w:r>
        <w:rPr>
          <w:rFonts w:ascii="Arial" w:cs="Arial" w:eastAsia="Arial" w:hAnsi="Arial"/>
          <w:sz w:val="21"/>
          <w:szCs w:val="21"/>
          <w:color w:val="auto"/>
        </w:rPr>
        <w:t>Dri experienced sales growth within many of our business units. Although fiscal year sales in the Business to Business Products</w:t>
      </w:r>
      <w:r>
        <w:rPr>
          <w:rFonts w:ascii="Arial" w:cs="Arial" w:eastAsia="Arial" w:hAnsi="Arial"/>
          <w:sz w:val="20"/>
          <w:szCs w:val="20"/>
          <w:color w:val="auto"/>
        </w:rPr>
        <w:t xml:space="preserve"> </w:t>
      </w:r>
      <w:r>
        <w:rPr>
          <w:rFonts w:ascii="Arial" w:cs="Arial" w:eastAsia="Arial" w:hAnsi="Arial"/>
          <w:sz w:val="21"/>
          <w:szCs w:val="21"/>
          <w:color w:val="auto"/>
        </w:rPr>
        <w:t>Group reflect a modest 1% increase over the prior year, this segment posted revenue gains of 9% in the fourth quarter over the same period last year. This was primarily driven by increased sales to Bleaching Clay customers, particularly within the edible oil market. Fourth quarter revenues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02D69"/>
        </w:rPr>
        <w:t>Leslie A. Garber</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40"/>
          </w:cols>
          <w:pgMar w:left="240" w:top="1440" w:right="219" w:bottom="1440" w:gutter="0" w:footer="0" w:header="0"/>
        </w:sectPr>
      </w:pPr>
    </w:p>
    <w:bookmarkStart w:id="4" w:name="page5"/>
    <w:bookmarkEnd w:id="4"/>
    <w:p>
      <w:pPr>
        <w:spacing w:after="0" w:line="1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right="180"/>
        <w:spacing w:after="0" w:line="297" w:lineRule="auto"/>
        <w:rPr>
          <w:sz w:val="20"/>
          <w:szCs w:val="20"/>
          <w:color w:val="auto"/>
        </w:rPr>
      </w:pPr>
      <w:r>
        <w:rPr>
          <w:rFonts w:ascii="Arial" w:cs="Arial" w:eastAsia="Arial" w:hAnsi="Arial"/>
          <w:sz w:val="19"/>
          <w:szCs w:val="19"/>
          <w:color w:val="auto"/>
        </w:rPr>
        <w:t>over last year within the Agricultural sector as a result of higher sales of our Verge product and within the Co-Packaging division due to growth of coarse cat litter. Our Animal Health &amp; Nutrition business in both Latin America and North America improved in the fourth quarter over the prior year. However, these sales gains were offset by declines in our animal health markets in Asia, including China, where we are still experiencing the negative effects of the African Swine Fever. In order to combat this decline, we are focusing sales efforts on other areas, including poultry, cattle, and aquaculture.</w:t>
      </w:r>
    </w:p>
    <w:p>
      <w:pPr>
        <w:spacing w:after="0" w:line="161"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The Retail and Wholesale Products Group’s revenues for both the quarter and fiscal year increased 6% over the prior periods. For the last four consecutive quarters, this segment demonstrated sales growth over the prior year, mainly due to increased volumes and higher prices of cat litter. Total cat litter sales were approximately 9% higher in fiscal 2019 compared to last year. This growth can be attributed to a surge in our private label lightweight business in conjunction with higher sales of our lightweight Cat’s Pride Scoopable items. Third-party market research data</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reaffirms the increase of our combined branded and private label unit share of the lightweight cat litter segment in the 52 week period ending July 27, 2019 versus the same period of 2018. Furthermore, private label coarse litter sales increased due to organic growth at our largest customer and the addition of new customers.</w:t>
      </w:r>
    </w:p>
    <w:p>
      <w:pPr>
        <w:spacing w:after="0" w:line="181"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For the fiscal year, selling, general and administrative expenses within the Retail and Wholesale Products Group decreased by approximately 19% versus the prior year. This decline is primarily due to a reduction in advertising costs of approximately $3.6 million as a result of a shift in our marketing plan. We expect advertising expenses in fiscal year 2020 to be higher than in fiscal 2019.</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During the year, we completed the construction of the second phase of the Richard M. Jaffee Laboratory for Applied Microbiology.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This new facility will enhance the scope of our research capabilities and optimize technical support to our customers.</w:t>
      </w:r>
    </w:p>
    <w:p>
      <w:pPr>
        <w:spacing w:after="0" w:line="242"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 xml:space="preserve">In August, our cat litter brand, Cat’s Pride, was the proud sponsor of NBCUniversal Owned Television Stations’ </w:t>
      </w:r>
      <w:r>
        <w:rPr>
          <w:rFonts w:ascii="Arial" w:cs="Arial" w:eastAsia="Arial" w:hAnsi="Arial"/>
          <w:sz w:val="19"/>
          <w:szCs w:val="19"/>
          <w:i w:val="1"/>
          <w:iCs w:val="1"/>
          <w:color w:val="auto"/>
        </w:rPr>
        <w:t>Clear the Shelters</w:t>
      </w:r>
      <w:r>
        <w:rPr>
          <w:rFonts w:ascii="Arial" w:cs="Arial" w:eastAsia="Arial" w:hAnsi="Arial"/>
          <w:sz w:val="19"/>
          <w:szCs w:val="19"/>
          <w:color w:val="auto"/>
        </w:rPr>
        <w:t xml:space="preserve"> pet adoption campaign for the second year in a row. This week, we are once again participating in </w:t>
      </w:r>
      <w:r>
        <w:rPr>
          <w:rFonts w:ascii="Arial" w:cs="Arial" w:eastAsia="Arial" w:hAnsi="Arial"/>
          <w:sz w:val="19"/>
          <w:szCs w:val="19"/>
          <w:i w:val="1"/>
          <w:iCs w:val="1"/>
          <w:color w:val="auto"/>
        </w:rPr>
        <w:t>The Ellen DeGeneres Show</w:t>
      </w:r>
      <w:r>
        <w:rPr>
          <w:rFonts w:ascii="Arial" w:cs="Arial" w:eastAsia="Arial" w:hAnsi="Arial"/>
          <w:sz w:val="19"/>
          <w:szCs w:val="19"/>
          <w:color w:val="auto"/>
        </w:rPr>
        <w:t>’</w:t>
      </w:r>
      <w:r>
        <w:rPr>
          <w:rFonts w:ascii="Arial" w:cs="Arial" w:eastAsia="Arial" w:hAnsi="Arial"/>
          <w:sz w:val="19"/>
          <w:szCs w:val="19"/>
          <w:i w:val="1"/>
          <w:iCs w:val="1"/>
          <w:color w:val="auto"/>
        </w:rPr>
        <w:t>s Cat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Week </w:t>
      </w:r>
      <w:r>
        <w:rPr>
          <w:rFonts w:ascii="Arial" w:cs="Arial" w:eastAsia="Arial" w:hAnsi="Arial"/>
          <w:sz w:val="19"/>
          <w:szCs w:val="19"/>
          <w:color w:val="auto"/>
        </w:rPr>
        <w:t>and are doubling our litter donations during the month of October. For every GREEN JUG of Cat’s Pride cat litter purchased</w:t>
      </w:r>
      <w:r>
        <w:rPr>
          <w:rFonts w:ascii="Arial" w:cs="Arial" w:eastAsia="Arial" w:hAnsi="Arial"/>
          <w:sz w:val="19"/>
          <w:szCs w:val="19"/>
          <w:i w:val="1"/>
          <w:iCs w:val="1"/>
          <w:color w:val="auto"/>
        </w:rPr>
        <w:t xml:space="preserve"> </w:t>
      </w:r>
      <w:r>
        <w:rPr>
          <w:rFonts w:ascii="Arial" w:cs="Arial" w:eastAsia="Arial" w:hAnsi="Arial"/>
          <w:sz w:val="19"/>
          <w:szCs w:val="19"/>
          <w:color w:val="auto"/>
        </w:rPr>
        <w:t>this month, we will donate two pounds of cat litter to shelters across America. These campaigns not only help find homes for animals in need, but also increase awareness of our brand. Our commitment to helping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2D69"/>
        </w:rPr>
        <w:t>Leslie A. Garber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20"/>
          </w:cols>
          <w:pgMar w:left="240" w:top="1440" w:right="239" w:bottom="1440" w:gutter="0" w:footer="0" w:header="0"/>
        </w:sectPr>
      </w:pPr>
    </w:p>
    <w:bookmarkStart w:id="5" w:name="page6"/>
    <w:bookmarkEnd w:id="5"/>
    <w:p>
      <w:pPr>
        <w:spacing w:after="0" w:line="1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right="320"/>
        <w:spacing w:after="0" w:line="343" w:lineRule="auto"/>
        <w:rPr>
          <w:sz w:val="20"/>
          <w:szCs w:val="20"/>
          <w:color w:val="auto"/>
        </w:rPr>
      </w:pPr>
      <w:r>
        <w:rPr>
          <w:rFonts w:ascii="Arial" w:cs="Arial" w:eastAsia="Arial" w:hAnsi="Arial"/>
          <w:sz w:val="19"/>
          <w:szCs w:val="19"/>
          <w:color w:val="auto"/>
        </w:rPr>
        <w:t>shelters through our Litter for Good program has allowed these organizations to use the money saved from our donated cat litter towards other programs. Additional marketing efforts similar to this will continue in the upcoming fiscal year.</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For more details on our financial results, please review the Form 10-K that was filed today.</w:t>
      </w:r>
      <w:r>
        <w:rPr>
          <w:rFonts w:ascii="Arial" w:cs="Arial" w:eastAsia="Arial" w:hAnsi="Arial"/>
          <w:sz w:val="22"/>
          <w:szCs w:val="22"/>
          <w:i w:val="1"/>
          <w:iCs w:val="1"/>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color w:val="auto"/>
        </w:rPr>
        <w:t>The Company will host its fourth quarter of fiscal 2019 earnings teleconference on Friday, October 11, 2019 at 10:00am Central Time.</w:t>
      </w:r>
    </w:p>
    <w:p>
      <w:pPr>
        <w:spacing w:after="0" w:line="268"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Oil-Dri will combine its first quarter of fiscal 2020 earnings teleconference with its Annual Meeting of Stockholders on Wednesday, December 11, 2019 at 9:30 am Central Time. The meeting will be held at The University of Chicago Booth School of Business, Gleacher Center, 450 Cityfront Plaza Drive, Chicago, IL 60611. The record date for voting eligibility at the Annual Meeting is Monday, October 14, 2019.</w:t>
      </w:r>
    </w:p>
    <w:p>
      <w:pPr>
        <w:spacing w:after="0" w:line="192" w:lineRule="exact"/>
        <w:rPr>
          <w:sz w:val="20"/>
          <w:szCs w:val="20"/>
          <w:color w:val="auto"/>
        </w:rPr>
      </w:pPr>
    </w:p>
    <w:p>
      <w:pPr>
        <w:jc w:val="both"/>
        <w:ind w:right="220"/>
        <w:spacing w:after="0" w:line="260" w:lineRule="auto"/>
        <w:rPr>
          <w:sz w:val="20"/>
          <w:szCs w:val="20"/>
          <w:color w:val="auto"/>
        </w:rPr>
      </w:pPr>
      <w:r>
        <w:rPr>
          <w:rFonts w:ascii="Arial" w:cs="Arial" w:eastAsia="Arial" w:hAnsi="Arial"/>
          <w:sz w:val="20"/>
          <w:szCs w:val="20"/>
          <w:color w:val="auto"/>
        </w:rPr>
        <w:t>Participation details will be communicated via web alert approximately one week prior to each call and are available on our website’s Events page.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17"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i w:val="1"/>
          <w:iCs w:val="1"/>
          <w:color w:val="auto"/>
        </w:rPr>
        <w:t xml:space="preserve">While Oil-Dri’s founding product was granular clay floor absorbents, it has since greatly diversified its portfolio. The Company’s mission to </w:t>
      </w:r>
      <w:r>
        <w:rPr>
          <w:rFonts w:ascii="Arial" w:cs="Arial" w:eastAsia="Arial" w:hAnsi="Arial"/>
          <w:sz w:val="16"/>
          <w:szCs w:val="16"/>
          <w:i w:val="1"/>
          <w:iCs w:val="1"/>
          <w:color w:val="auto"/>
        </w:rPr>
        <w:t>“</w:t>
      </w:r>
      <w:r>
        <w:rPr>
          <w:rFonts w:ascii="Arial" w:cs="Arial" w:eastAsia="Arial" w:hAnsi="Arial"/>
          <w:sz w:val="18"/>
          <w:szCs w:val="18"/>
          <w:i w:val="1"/>
          <w:iCs w:val="1"/>
          <w:color w:val="auto"/>
        </w:rPr>
        <w:t>Create Value from Sorbent Minerals</w:t>
      </w:r>
      <w:r>
        <w:rPr>
          <w:rFonts w:ascii="Arial" w:cs="Arial" w:eastAsia="Arial" w:hAnsi="Arial"/>
          <w:sz w:val="16"/>
          <w:szCs w:val="16"/>
          <w:i w:val="1"/>
          <w:iCs w:val="1"/>
          <w:color w:val="auto"/>
        </w:rPr>
        <w:t>”</w:t>
      </w:r>
      <w:r>
        <w:rPr>
          <w:rFonts w:ascii="Arial" w:cs="Arial" w:eastAsia="Arial" w:hAnsi="Arial"/>
          <w:sz w:val="18"/>
          <w:szCs w:val="18"/>
          <w:i w:val="1"/>
          <w:iCs w:val="1"/>
          <w:color w:val="auto"/>
        </w:rPr>
        <w:t xml:space="preserve"> is supported by its wide array of consumer and business to business product offerings. In 2016, Oil-Dri celebrated its seventy-fifth year of business and looks forward to the next milestone.</w:t>
      </w:r>
    </w:p>
    <w:p>
      <w:pPr>
        <w:spacing w:after="0" w:line="218" w:lineRule="exact"/>
        <w:rPr>
          <w:sz w:val="20"/>
          <w:szCs w:val="20"/>
          <w:color w:val="auto"/>
        </w:rPr>
      </w:pPr>
    </w:p>
    <w:p>
      <w:pPr>
        <w:ind w:right="160"/>
        <w:spacing w:after="0" w:line="216" w:lineRule="auto"/>
        <w:rPr>
          <w:sz w:val="20"/>
          <w:szCs w:val="20"/>
          <w:color w:val="auto"/>
        </w:rPr>
      </w:pPr>
      <w:r>
        <w:rPr>
          <w:rFonts w:ascii="Arial" w:cs="Arial" w:eastAsia="Arial" w:hAnsi="Arial"/>
          <w:sz w:val="25"/>
          <w:szCs w:val="25"/>
          <w:i w:val="1"/>
          <w:iCs w:val="1"/>
          <w:color w:val="auto"/>
          <w:vertAlign w:val="superscript"/>
        </w:rPr>
        <w:t>1</w:t>
      </w:r>
      <w:r>
        <w:rPr>
          <w:rFonts w:ascii="Arial" w:cs="Arial" w:eastAsia="Arial" w:hAnsi="Arial"/>
          <w:sz w:val="18"/>
          <w:szCs w:val="18"/>
          <w:i w:val="1"/>
          <w:iCs w:val="1"/>
          <w:color w:val="auto"/>
        </w:rPr>
        <w:t>Based in part on data reported by Nielsen through its Nielsen Answers Core Service for the Pet Care Category for the 52 week period ended July 27, 2019, for the U.S. market. Copyright © 2019 Nielsen.</w:t>
      </w:r>
    </w:p>
    <w:p>
      <w:pPr>
        <w:spacing w:after="0" w:line="208" w:lineRule="exact"/>
        <w:rPr>
          <w:sz w:val="20"/>
          <w:szCs w:val="20"/>
          <w:color w:val="auto"/>
        </w:rPr>
      </w:pPr>
    </w:p>
    <w:p>
      <w:pPr>
        <w:ind w:right="460"/>
        <w:spacing w:after="0" w:line="275" w:lineRule="auto"/>
        <w:rPr>
          <w:sz w:val="20"/>
          <w:szCs w:val="20"/>
          <w:color w:val="auto"/>
        </w:rPr>
      </w:pPr>
      <w:r>
        <w:rPr>
          <w:rFonts w:ascii="Arial" w:cs="Arial" w:eastAsia="Arial" w:hAnsi="Arial"/>
          <w:sz w:val="16"/>
          <w:szCs w:val="16"/>
          <w:i w:val="1"/>
          <w:iCs w:val="1"/>
          <w:color w:val="auto"/>
        </w:rPr>
        <w:t>“Oil-Dri”, “Verge”, and “Cat’s Pride” are registered trademarks of Oil-Dri Corporation of America. “GREEN JUG” and “Litter for Good” are trademarks of Oil-Dri Corporation of America. “Clear the Shelters” is a trademark of NBCUniversal Owned Television Stations.</w:t>
      </w:r>
    </w:p>
    <w:p>
      <w:pPr>
        <w:spacing w:after="0" w:line="146"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or variations of such words and similar expressions are intended to identify such forward-looking statements, which are made pursuant to the safe harbor provisions of the Private Securities Litigation Reform Act of 1995.</w:t>
      </w:r>
    </w:p>
    <w:p>
      <w:pPr>
        <w:spacing w:after="0" w:line="164"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i w:val="1"/>
          <w:iCs w:val="1"/>
          <w:color w:val="auto"/>
        </w:rPr>
        <w:t>Such statements are subject to certain risks, uncertainties and assumptions that could cause actual results to differ materially including, but not limited to, the dependence of our future growth and financial performance on successful</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Leslie A. Garber</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00"/>
          </w:cols>
          <w:pgMar w:left="240" w:top="1440" w:right="259" w:bottom="1440" w:gutter="0" w:footer="0" w:header="0"/>
        </w:sectPr>
      </w:pPr>
    </w:p>
    <w:bookmarkStart w:id="6" w:name="page7"/>
    <w:bookmarkEnd w:id="6"/>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spacing w:after="0" w:line="251" w:lineRule="auto"/>
        <w:rPr>
          <w:sz w:val="20"/>
          <w:szCs w:val="20"/>
          <w:color w:val="auto"/>
        </w:rPr>
      </w:pPr>
      <w:r>
        <w:rPr>
          <w:rFonts w:ascii="Arial" w:cs="Arial" w:eastAsia="Arial" w:hAnsi="Arial"/>
          <w:sz w:val="16"/>
          <w:szCs w:val="16"/>
          <w:i w:val="1"/>
          <w:iCs w:val="1"/>
          <w:color w:val="auto"/>
        </w:rPr>
        <w:t>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Leslie A. Garber</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380"/>
          </w:cols>
          <w:pgMar w:left="240" w:top="1440" w:right="279" w:bottom="1440" w:gutter="0" w:footer="0" w:header="0"/>
        </w:sectPr>
      </w:pPr>
    </w:p>
    <w:bookmarkStart w:id="7" w:name="page8"/>
    <w:bookmarkEnd w:id="7"/>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0"/>
        </w:trPr>
        <w:tc>
          <w:tcPr>
            <w:tcW w:w="5900" w:type="dxa"/>
            <w:vAlign w:val="bottom"/>
          </w:tcPr>
          <w:p>
            <w:pPr>
              <w:ind w:left="40"/>
              <w:spacing w:after="0"/>
              <w:rPr>
                <w:sz w:val="20"/>
                <w:szCs w:val="20"/>
                <w:color w:val="auto"/>
              </w:rPr>
            </w:pPr>
            <w:r>
              <w:rPr>
                <w:rFonts w:ascii="Arial" w:cs="Arial" w:eastAsia="Arial" w:hAnsi="Arial"/>
                <w:sz w:val="18"/>
                <w:szCs w:val="18"/>
                <w:color w:val="auto"/>
              </w:rPr>
              <w:t>(in thousands, except per share amounts)</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5900" w:type="dxa"/>
            <w:vAlign w:val="bottom"/>
          </w:tcPr>
          <w:p>
            <w:pPr>
              <w:ind w:left="40"/>
              <w:spacing w:after="0"/>
              <w:rPr>
                <w:sz w:val="20"/>
                <w:szCs w:val="20"/>
                <w:color w:val="auto"/>
              </w:rPr>
            </w:pPr>
            <w:r>
              <w:rPr>
                <w:rFonts w:ascii="Arial" w:cs="Arial" w:eastAsia="Arial" w:hAnsi="Arial"/>
                <w:sz w:val="18"/>
                <w:szCs w:val="18"/>
                <w:color w:val="auto"/>
              </w:rPr>
              <w:t>(quarter unaudited)</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20" w:type="dxa"/>
            <w:vAlign w:val="bottom"/>
            <w:gridSpan w:val="5"/>
          </w:tcPr>
          <w:p>
            <w:pPr>
              <w:ind w:left="220"/>
              <w:spacing w:after="0"/>
              <w:rPr>
                <w:sz w:val="20"/>
                <w:szCs w:val="20"/>
                <w:color w:val="auto"/>
              </w:rPr>
            </w:pPr>
            <w:r>
              <w:rPr>
                <w:rFonts w:ascii="Arial" w:cs="Arial" w:eastAsia="Arial" w:hAnsi="Arial"/>
                <w:sz w:val="18"/>
                <w:szCs w:val="18"/>
                <w:b w:val="1"/>
                <w:bCs w:val="1"/>
                <w:color w:val="auto"/>
                <w:w w:val="99"/>
              </w:rPr>
              <w:t>Fourth Quarter Ended July 31,</w:t>
            </w:r>
          </w:p>
        </w:tc>
        <w:tc>
          <w:tcPr>
            <w:tcW w:w="1360" w:type="dxa"/>
            <w:vAlign w:val="bottom"/>
          </w:tcPr>
          <w:p>
            <w:pPr>
              <w:spacing w:after="0"/>
              <w:rPr>
                <w:sz w:val="23"/>
                <w:szCs w:val="23"/>
                <w:color w:val="auto"/>
              </w:rPr>
            </w:pPr>
          </w:p>
        </w:tc>
      </w:tr>
      <w:tr>
        <w:trPr>
          <w:trHeight w:val="27"/>
        </w:trPr>
        <w:tc>
          <w:tcPr>
            <w:tcW w:w="5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 of Sales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5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ind w:left="40"/>
              <w:spacing w:after="0"/>
              <w:rPr>
                <w:sz w:val="20"/>
                <w:szCs w:val="20"/>
                <w:color w:val="auto"/>
              </w:rPr>
            </w:pPr>
            <w:r>
              <w:rPr>
                <w:rFonts w:ascii="Arial" w:cs="Arial" w:eastAsia="Arial" w:hAnsi="Arial"/>
                <w:sz w:val="16"/>
                <w:szCs w:val="16"/>
                <w:b w:val="1"/>
                <w:bCs w:val="1"/>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70,117</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65,613</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Cost of Sales (1)</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(52,705)</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(49,983)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37"/>
        </w:trPr>
        <w:tc>
          <w:tcPr>
            <w:tcW w:w="5900" w:type="dxa"/>
            <w:vAlign w:val="bottom"/>
          </w:tcPr>
          <w:p>
            <w:pPr>
              <w:ind w:left="40"/>
              <w:spacing w:after="0"/>
              <w:rPr>
                <w:sz w:val="20"/>
                <w:szCs w:val="20"/>
                <w:color w:val="auto"/>
              </w:rPr>
            </w:pPr>
            <w:r>
              <w:rPr>
                <w:rFonts w:ascii="Arial" w:cs="Arial" w:eastAsia="Arial" w:hAnsi="Arial"/>
                <w:sz w:val="16"/>
                <w:szCs w:val="16"/>
                <w:b w:val="1"/>
                <w:bCs w:val="1"/>
                <w:color w:val="auto"/>
              </w:rPr>
              <w:t>Gross Profit</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17,412</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15,630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23.8 %</w:t>
            </w: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Selling, General and Administrative Expenses (1)</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(13,157)</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(12,445)</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7"/>
        </w:trPr>
        <w:tc>
          <w:tcPr>
            <w:tcW w:w="590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3,185</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4.9 %</w:t>
            </w: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5900" w:type="dxa"/>
            <w:vAlign w:val="bottom"/>
          </w:tcPr>
          <w:p>
            <w:pPr>
              <w:ind w:left="40"/>
              <w:spacing w:after="0"/>
              <w:rPr>
                <w:sz w:val="20"/>
                <w:szCs w:val="20"/>
                <w:color w:val="auto"/>
              </w:rPr>
            </w:pPr>
            <w:r>
              <w:rPr>
                <w:rFonts w:ascii="Arial" w:cs="Arial" w:eastAsia="Arial" w:hAnsi="Arial"/>
                <w:sz w:val="16"/>
                <w:szCs w:val="16"/>
                <w:b w:val="1"/>
                <w:bCs w:val="1"/>
                <w:color w:val="auto"/>
              </w:rPr>
              <w:t>Other Income (Loss) (1) (2)</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43"/>
        </w:trPr>
        <w:tc>
          <w:tcPr>
            <w:tcW w:w="5900" w:type="dxa"/>
            <w:vAlign w:val="bottom"/>
          </w:tcPr>
          <w:p>
            <w:pPr>
              <w:ind w:left="40"/>
              <w:spacing w:after="0"/>
              <w:rPr>
                <w:sz w:val="20"/>
                <w:szCs w:val="20"/>
                <w:color w:val="auto"/>
              </w:rPr>
            </w:pPr>
            <w:r>
              <w:rPr>
                <w:rFonts w:ascii="Arial" w:cs="Arial" w:eastAsia="Arial" w:hAnsi="Arial"/>
                <w:sz w:val="16"/>
                <w:szCs w:val="16"/>
                <w:b w:val="1"/>
                <w:bCs w:val="1"/>
                <w:color w:val="auto"/>
              </w:rPr>
              <w:t>Income Tax (Expense) Benefit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43"/>
        </w:trPr>
        <w:tc>
          <w:tcPr>
            <w:tcW w:w="590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60" w:type="dxa"/>
            <w:vAlign w:val="bottom"/>
            <w:gridSpan w:val="2"/>
          </w:tcPr>
          <w:p>
            <w:pPr>
              <w:ind w:left="94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Oil-Dri</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0"/>
        </w:trPr>
        <w:tc>
          <w:tcPr>
            <w:tcW w:w="5900" w:type="dxa"/>
            <w:vAlign w:val="bottom"/>
          </w:tcPr>
          <w:p>
            <w:pPr>
              <w:ind w:left="40"/>
              <w:spacing w:after="0"/>
              <w:rPr>
                <w:sz w:val="20"/>
                <w:szCs w:val="20"/>
                <w:color w:val="auto"/>
              </w:rPr>
            </w:pPr>
            <w:r>
              <w:rPr>
                <w:rFonts w:ascii="Arial" w:cs="Arial" w:eastAsia="Arial" w:hAnsi="Arial"/>
                <w:sz w:val="16"/>
                <w:szCs w:val="16"/>
                <w:b w:val="1"/>
                <w:bCs w:val="1"/>
                <w:color w:val="auto"/>
              </w:rPr>
              <w:t>Net Income Per Share: Basic Common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900"/>
              <w:spacing w:after="0"/>
              <w:rPr>
                <w:sz w:val="20"/>
                <w:szCs w:val="20"/>
                <w:color w:val="auto"/>
              </w:rPr>
            </w:pPr>
            <w:r>
              <w:rPr>
                <w:rFonts w:ascii="Arial" w:cs="Arial" w:eastAsia="Arial" w:hAnsi="Arial"/>
                <w:sz w:val="16"/>
                <w:szCs w:val="16"/>
                <w:b w:val="1"/>
                <w:bCs w:val="1"/>
                <w:color w:val="auto"/>
              </w:rPr>
              <w:t>Basic Class B Common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1900"/>
              <w:spacing w:after="0"/>
              <w:rPr>
                <w:sz w:val="20"/>
                <w:szCs w:val="20"/>
                <w:color w:val="auto"/>
              </w:rPr>
            </w:pPr>
            <w:r>
              <w:rPr>
                <w:rFonts w:ascii="Arial" w:cs="Arial" w:eastAsia="Arial" w:hAnsi="Arial"/>
                <w:sz w:val="16"/>
                <w:szCs w:val="16"/>
                <w:b w:val="1"/>
                <w:bCs w:val="1"/>
                <w:color w:val="auto"/>
              </w:rPr>
              <w:t>Diluted Common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Avg Shares Outstanding: Basic Common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1900"/>
              <w:spacing w:after="0"/>
              <w:rPr>
                <w:sz w:val="20"/>
                <w:szCs w:val="20"/>
                <w:color w:val="auto"/>
              </w:rPr>
            </w:pPr>
            <w:r>
              <w:rPr>
                <w:rFonts w:ascii="Arial" w:cs="Arial" w:eastAsia="Arial" w:hAnsi="Arial"/>
                <w:sz w:val="16"/>
                <w:szCs w:val="16"/>
                <w:b w:val="1"/>
                <w:bCs w:val="1"/>
                <w:color w:val="auto"/>
              </w:rPr>
              <w:t>Basic Class B Common</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2,091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900"/>
              <w:spacing w:after="0"/>
              <w:rPr>
                <w:sz w:val="20"/>
                <w:szCs w:val="20"/>
                <w:color w:val="auto"/>
              </w:rPr>
            </w:pPr>
            <w:r>
              <w:rPr>
                <w:rFonts w:ascii="Arial" w:cs="Arial" w:eastAsia="Arial" w:hAnsi="Arial"/>
                <w:sz w:val="16"/>
                <w:szCs w:val="16"/>
                <w:b w:val="1"/>
                <w:bCs w:val="1"/>
                <w:color w:val="auto"/>
              </w:rPr>
              <w:t>Diluted Common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6"/>
                <w:szCs w:val="16"/>
                <w:color w:val="auto"/>
              </w:rPr>
              <w:t>(annual audited)</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20" w:type="dxa"/>
            <w:vAlign w:val="bottom"/>
            <w:gridSpan w:val="5"/>
          </w:tcPr>
          <w:p>
            <w:pPr>
              <w:ind w:left="260"/>
              <w:spacing w:after="0"/>
              <w:rPr>
                <w:sz w:val="20"/>
                <w:szCs w:val="20"/>
                <w:color w:val="auto"/>
              </w:rPr>
            </w:pPr>
            <w:r>
              <w:rPr>
                <w:rFonts w:ascii="Arial" w:cs="Arial" w:eastAsia="Arial" w:hAnsi="Arial"/>
                <w:sz w:val="18"/>
                <w:szCs w:val="18"/>
                <w:b w:val="1"/>
                <w:bCs w:val="1"/>
                <w:color w:val="auto"/>
                <w:w w:val="97"/>
              </w:rPr>
              <w:t>Twelve Months Ended July 31,</w:t>
            </w:r>
          </w:p>
        </w:tc>
        <w:tc>
          <w:tcPr>
            <w:tcW w:w="136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 of Sales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5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277,025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266,000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900" w:type="dxa"/>
            <w:vAlign w:val="bottom"/>
          </w:tcPr>
          <w:p>
            <w:pPr>
              <w:ind w:left="40"/>
              <w:spacing w:after="0"/>
              <w:rPr>
                <w:sz w:val="20"/>
                <w:szCs w:val="20"/>
                <w:color w:val="auto"/>
              </w:rPr>
            </w:pPr>
            <w:r>
              <w:rPr>
                <w:rFonts w:ascii="Arial" w:cs="Arial" w:eastAsia="Arial" w:hAnsi="Arial"/>
                <w:sz w:val="16"/>
                <w:szCs w:val="16"/>
                <w:b w:val="1"/>
                <w:bCs w:val="1"/>
                <w:color w:val="auto"/>
              </w:rPr>
              <w:t>Cost of Sales (1)</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(211,365)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(194,078)</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7"/>
        </w:trPr>
        <w:tc>
          <w:tcPr>
            <w:tcW w:w="5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71,922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27.0 %</w:t>
            </w:r>
          </w:p>
        </w:tc>
      </w:tr>
      <w:tr>
        <w:trPr>
          <w:trHeight w:val="243"/>
        </w:trPr>
        <w:tc>
          <w:tcPr>
            <w:tcW w:w="5900" w:type="dxa"/>
            <w:vAlign w:val="bottom"/>
          </w:tcPr>
          <w:p>
            <w:pPr>
              <w:ind w:left="40"/>
              <w:spacing w:after="0"/>
              <w:rPr>
                <w:sz w:val="20"/>
                <w:szCs w:val="20"/>
                <w:color w:val="auto"/>
              </w:rPr>
            </w:pPr>
            <w:r>
              <w:rPr>
                <w:rFonts w:ascii="Arial" w:cs="Arial" w:eastAsia="Arial" w:hAnsi="Arial"/>
                <w:sz w:val="16"/>
                <w:szCs w:val="16"/>
                <w:b w:val="1"/>
                <w:bCs w:val="1"/>
                <w:color w:val="auto"/>
              </w:rPr>
              <w:t>Selling, General and Administrative Expenses (1)</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(55,248)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(56,045)</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5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15,877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43"/>
        </w:trPr>
        <w:tc>
          <w:tcPr>
            <w:tcW w:w="5900" w:type="dxa"/>
            <w:vAlign w:val="bottom"/>
          </w:tcPr>
          <w:p>
            <w:pPr>
              <w:ind w:left="40"/>
              <w:spacing w:after="0"/>
              <w:rPr>
                <w:sz w:val="20"/>
                <w:szCs w:val="20"/>
                <w:color w:val="auto"/>
              </w:rPr>
            </w:pPr>
            <w:r>
              <w:rPr>
                <w:rFonts w:ascii="Arial" w:cs="Arial" w:eastAsia="Arial" w:hAnsi="Arial"/>
                <w:sz w:val="16"/>
                <w:szCs w:val="16"/>
                <w:b w:val="1"/>
                <w:bCs w:val="1"/>
                <w:color w:val="auto"/>
              </w:rPr>
              <w:t>Interest Expense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 (1) (2)</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590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14,548</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14,866</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5.6 %</w:t>
            </w: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590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12,615</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8,222</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97"/>
        </w:trPr>
        <w:tc>
          <w:tcPr>
            <w:tcW w:w="59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 Attributable to Oil-Dri</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12,611</w:t>
            </w:r>
          </w:p>
        </w:tc>
        <w:tc>
          <w:tcPr>
            <w:tcW w:w="10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8,240</w:t>
            </w:r>
          </w:p>
        </w:tc>
        <w:tc>
          <w:tcPr>
            <w:tcW w:w="12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3.1 %</w:t>
            </w:r>
          </w:p>
        </w:tc>
      </w:tr>
      <w:tr>
        <w:trPr>
          <w:trHeight w:val="237"/>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Per Share: Basic Common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5900" w:type="dxa"/>
            <w:vAlign w:val="bottom"/>
          </w:tcPr>
          <w:p>
            <w:pPr>
              <w:ind w:left="1900"/>
              <w:spacing w:after="0"/>
              <w:rPr>
                <w:sz w:val="20"/>
                <w:szCs w:val="20"/>
                <w:color w:val="auto"/>
              </w:rPr>
            </w:pPr>
            <w:r>
              <w:rPr>
                <w:rFonts w:ascii="Arial" w:cs="Arial" w:eastAsia="Arial" w:hAnsi="Arial"/>
                <w:sz w:val="16"/>
                <w:szCs w:val="16"/>
                <w:b w:val="1"/>
                <w:bCs w:val="1"/>
                <w:color w:val="auto"/>
              </w:rPr>
              <w:t>Basic Class B Common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900"/>
              <w:spacing w:after="0"/>
              <w:rPr>
                <w:sz w:val="20"/>
                <w:szCs w:val="20"/>
                <w:color w:val="auto"/>
              </w:rPr>
            </w:pPr>
            <w:r>
              <w:rPr>
                <w:rFonts w:ascii="Arial" w:cs="Arial" w:eastAsia="Arial" w:hAnsi="Arial"/>
                <w:sz w:val="16"/>
                <w:szCs w:val="16"/>
                <w:b w:val="1"/>
                <w:bCs w:val="1"/>
                <w:color w:val="auto"/>
              </w:rPr>
              <w:t>Diluted Common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6"/>
                <w:szCs w:val="16"/>
                <w:b w:val="1"/>
                <w:bCs w:val="1"/>
                <w:color w:val="auto"/>
              </w:rPr>
              <w:t>Avg Shares Outstanding: Basic Common</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5,112</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5,036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900"/>
              <w:spacing w:after="0"/>
              <w:rPr>
                <w:sz w:val="20"/>
                <w:szCs w:val="20"/>
                <w:color w:val="auto"/>
              </w:rPr>
            </w:pPr>
            <w:r>
              <w:rPr>
                <w:rFonts w:ascii="Arial" w:cs="Arial" w:eastAsia="Arial" w:hAnsi="Arial"/>
                <w:sz w:val="16"/>
                <w:szCs w:val="16"/>
                <w:b w:val="1"/>
                <w:bCs w:val="1"/>
                <w:color w:val="auto"/>
              </w:rPr>
              <w:t>Basic Class B Common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1900"/>
              <w:spacing w:after="0"/>
              <w:rPr>
                <w:sz w:val="20"/>
                <w:szCs w:val="20"/>
                <w:color w:val="auto"/>
              </w:rPr>
            </w:pPr>
            <w:r>
              <w:rPr>
                <w:rFonts w:ascii="Arial" w:cs="Arial" w:eastAsia="Arial" w:hAnsi="Arial"/>
                <w:sz w:val="16"/>
                <w:szCs w:val="16"/>
                <w:b w:val="1"/>
                <w:bCs w:val="1"/>
                <w:color w:val="auto"/>
              </w:rPr>
              <w:t>Diluted Common</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7,251</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7,222</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40" w:lineRule="exact"/>
        <w:rPr>
          <w:sz w:val="20"/>
          <w:szCs w:val="20"/>
          <w:color w:val="auto"/>
        </w:rPr>
      </w:pPr>
    </w:p>
    <w:p>
      <w:pPr>
        <w:jc w:val="both"/>
        <w:ind w:firstLine="8"/>
        <w:spacing w:after="0" w:line="247" w:lineRule="auto"/>
        <w:tabs>
          <w:tab w:leader="none" w:pos="184"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Prior year amounts have been retrospectively adjusted to conform to the current year presentation of the non-service cost components of net periodic benefit cost required by new guidance under ASC 715, Improving the Presentation of Net Periodic Pension Cost and Net Periodic Postretirement Benefit Cost. For further information about amounts included in this line item, please refer to Note 1 of the Notes to the Consolidated Financial Statements in our Annual Report on Form 10-K for the period ended July 31, 2019.</w:t>
      </w:r>
    </w:p>
    <w:p>
      <w:pPr>
        <w:spacing w:after="0" w:line="38" w:lineRule="exact"/>
        <w:rPr>
          <w:rFonts w:ascii="Arial" w:cs="Arial" w:eastAsia="Arial" w:hAnsi="Arial"/>
          <w:sz w:val="13"/>
          <w:szCs w:val="13"/>
          <w:i w:val="1"/>
          <w:iCs w:val="1"/>
          <w:color w:val="auto"/>
        </w:rPr>
      </w:pPr>
    </w:p>
    <w:p>
      <w:pPr>
        <w:ind w:left="180" w:hanging="172"/>
        <w:spacing w:after="0"/>
        <w:tabs>
          <w:tab w:leader="none" w:pos="180"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For further information about amounts included in this line item, please refer to Note 2 of the Notes to the Consolidated Financial Statements in our Annual Report on Form 10-K for the period ended July 31, 2019.</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20"/>
          </w:cols>
          <w:pgMar w:left="240" w:top="1440" w:right="239" w:bottom="678" w:gutter="0" w:footer="0" w:header="0"/>
        </w:sectPr>
      </w:pPr>
    </w:p>
    <w:bookmarkStart w:id="8" w:name="page9"/>
    <w:bookmarkEnd w:id="8"/>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As of July 31,</w:t>
            </w:r>
          </w:p>
        </w:tc>
        <w:tc>
          <w:tcPr>
            <w:tcW w:w="128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21,862</w:t>
            </w:r>
          </w:p>
        </w:tc>
        <w:tc>
          <w:tcPr>
            <w:tcW w:w="34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12,757</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Short-term Investments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7,124</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35,459</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33,602</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Inventories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24,163</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22,521</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Prepaid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7,792</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7,010</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89,276</w:t>
            </w: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83,014</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90,798</w:t>
            </w:r>
          </w:p>
        </w:tc>
        <w:tc>
          <w:tcPr>
            <w:tcW w:w="3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86,706</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25,153</w:t>
            </w:r>
          </w:p>
        </w:tc>
        <w:tc>
          <w:tcPr>
            <w:tcW w:w="3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24,962</w:t>
            </w:r>
          </w:p>
        </w:tc>
      </w:tr>
      <w:tr>
        <w:trPr>
          <w:trHeight w:val="297"/>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205,227</w:t>
            </w:r>
          </w:p>
        </w:tc>
        <w:tc>
          <w:tcPr>
            <w:tcW w:w="34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194,682</w:t>
            </w:r>
          </w:p>
        </w:tc>
      </w:tr>
      <w:tr>
        <w:trPr>
          <w:trHeight w:val="284"/>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Payable</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8,092</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6,543</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1,627</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Accrued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19,670</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19,696</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32,606</w:t>
            </w: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30,949</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3,052</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6,107</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34,023</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25,741</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Noncurrent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37,075</w:t>
            </w: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31,848</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135,546</w:t>
            </w:r>
          </w:p>
        </w:tc>
        <w:tc>
          <w:tcPr>
            <w:tcW w:w="3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131,885</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205,227</w:t>
            </w: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194,682</w:t>
            </w: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4"/>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Book Value Per Share Outstanding</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18.88</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18.49</w:t>
            </w:r>
          </w:p>
        </w:tc>
      </w:tr>
      <w:tr>
        <w:trPr>
          <w:trHeight w:val="297"/>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Acquisitions of:</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Fourth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4,867</w:t>
            </w:r>
          </w:p>
        </w:tc>
        <w:tc>
          <w:tcPr>
            <w:tcW w:w="34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4,541</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15,029</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15,074</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 Charges</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Fourth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3,481</w:t>
            </w:r>
          </w:p>
        </w:tc>
        <w:tc>
          <w:tcPr>
            <w:tcW w:w="34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3,179</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4260" w:type="dxa"/>
            <w:vAlign w:val="bottom"/>
            <w:shd w:val="clear" w:color="auto" w:fill="CCEEFF"/>
          </w:tcPr>
          <w:p>
            <w:pPr>
              <w:spacing w:after="0"/>
              <w:rPr>
                <w:sz w:val="21"/>
                <w:szCs w:val="21"/>
                <w:color w:val="auto"/>
              </w:rPr>
            </w:pPr>
          </w:p>
        </w:tc>
        <w:tc>
          <w:tcPr>
            <w:tcW w:w="318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13,330</w:t>
            </w: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12,756</w:t>
            </w:r>
          </w:p>
        </w:tc>
      </w:tr>
      <w:tr>
        <w:trPr>
          <w:trHeight w:val="27"/>
        </w:trPr>
        <w:tc>
          <w:tcPr>
            <w:tcW w:w="426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20"/>
          </w:cols>
          <w:pgMar w:left="240" w:top="1440" w:right="239" w:bottom="1440" w:gutter="0" w:footer="0" w:header="0"/>
        </w:sectPr>
      </w:pPr>
    </w:p>
    <w:bookmarkStart w:id="9" w:name="page10"/>
    <w:bookmarkEnd w:id="9"/>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2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For the Twelve Months Ended</w:t>
            </w:r>
          </w:p>
        </w:tc>
        <w:tc>
          <w:tcPr>
            <w:tcW w:w="700" w:type="dxa"/>
            <w:vAlign w:val="bottom"/>
          </w:tcPr>
          <w:p>
            <w:pPr>
              <w:spacing w:after="0"/>
              <w:rPr>
                <w:sz w:val="20"/>
                <w:szCs w:val="20"/>
                <w:color w:val="auto"/>
              </w:rPr>
            </w:pPr>
          </w:p>
        </w:tc>
      </w:tr>
      <w:tr>
        <w:trPr>
          <w:trHeight w:val="270"/>
        </w:trPr>
        <w:tc>
          <w:tcPr>
            <w:tcW w:w="7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16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July 31,</w:t>
            </w:r>
          </w:p>
        </w:tc>
        <w:tc>
          <w:tcPr>
            <w:tcW w:w="700" w:type="dxa"/>
            <w:vAlign w:val="bottom"/>
          </w:tcPr>
          <w:p>
            <w:pPr>
              <w:spacing w:after="0"/>
              <w:rPr>
                <w:sz w:val="23"/>
                <w:szCs w:val="23"/>
                <w:color w:val="auto"/>
              </w:rPr>
            </w:pPr>
          </w:p>
        </w:tc>
      </w:tr>
      <w:tr>
        <w:trPr>
          <w:trHeight w:val="27"/>
        </w:trPr>
        <w:tc>
          <w:tcPr>
            <w:tcW w:w="74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12,615</w:t>
            </w:r>
          </w:p>
        </w:tc>
        <w:tc>
          <w:tcPr>
            <w:tcW w:w="34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8,222</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provided by operating activities, net of acquisition:</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Depreciation and Amortization</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12,756</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in Accounts Receivable</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(1,729)</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(Increase) Decrease in Inventories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(Decrease) in Accounts Payable</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(2,436)</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(Decrease) Increase in Accrued Expenses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(Decrease) in Pension and Postretirement Benefits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3,307</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(11,048)</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2,644</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Total Adjustments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14,128</w:t>
            </w:r>
          </w:p>
        </w:tc>
        <w:tc>
          <w:tcPr>
            <w:tcW w:w="3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2,390</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26,743</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10,612</w:t>
            </w:r>
          </w:p>
        </w:tc>
      </w:tr>
      <w:tr>
        <w:trPr>
          <w:trHeight w:val="291"/>
        </w:trPr>
        <w:tc>
          <w:tcPr>
            <w:tcW w:w="74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Capital Expenditures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(15,029)</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(15,074)</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Net Dispositions of Investment Securities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16,581</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1,065</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(7,888)</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w:t>
            </w:r>
          </w:p>
        </w:tc>
      </w:tr>
      <w:tr>
        <w:trPr>
          <w:trHeight w:val="291"/>
        </w:trPr>
        <w:tc>
          <w:tcPr>
            <w:tcW w:w="74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Principal Payments on Long-Term Debt</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(3,083)</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(3,083)</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Dividends Paid</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(6,230)</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Purchase of Treasury Stock</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(9,886)</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(9,339)</w:t>
            </w:r>
          </w:p>
        </w:tc>
      </w:tr>
      <w:tr>
        <w:trPr>
          <w:trHeight w:val="291"/>
        </w:trPr>
        <w:tc>
          <w:tcPr>
            <w:tcW w:w="74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97"/>
        </w:trPr>
        <w:tc>
          <w:tcPr>
            <w:tcW w:w="7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12,757</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9,095</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21,862</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12,757</w:t>
            </w: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2020-01-09T02:40:53Z</dcterms:created>
  <dcterms:modified xsi:type="dcterms:W3CDTF">2020-01-09T02:40:53Z</dcterms:modified>
</cp:coreProperties>
</file>