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 DRI CORPORATION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ODC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5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15.95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15.96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-1169670</wp:posOffset>
            </wp:positionV>
            <wp:extent cx="24765" cy="135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35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3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40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0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7"/>
        </w:trPr>
        <w:tc>
          <w:tcPr>
            <w:tcW w:w="6080" w:type="dxa"/>
            <w:vAlign w:val="bottom"/>
          </w:tcPr>
          <w:p>
            <w:pPr>
              <w:ind w:left="5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600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0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5(A).Number(D) of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Title.7Title and SharesAmount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</w:rPr>
              <w:t>Class B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highlight w:val="white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highlight w:val="white"/>
                <w:w w:val="8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2"/>
              </w:rPr>
              <w:t>01/17/2007</w:t>
            </w: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highlight w:val="white"/>
                <w:w w:val="8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highlight w:val="white"/>
                <w:w w:val="81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85"/>
              </w:rPr>
              <w:t>5,000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highlight w:val="white"/>
                <w:w w:val="88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highlight w:val="white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Common</w:t>
            </w: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89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  <w:w w:val="71"/>
              </w:rPr>
              <w:t>9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86"/>
              </w:rPr>
              <w:t>135,582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highlight w:val="white"/>
                <w:w w:val="86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130,582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37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37,500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10/12/2003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10/12/2011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37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15,625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09/23/2005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9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09/18/2000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5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54,700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37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5,314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09/18/2000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righ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80,711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80,711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0"/>
                <w:vertAlign w:val="subscript"/>
              </w:rPr>
              <w:t>293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29,717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29,717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29,717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8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number of securities beneficially owned has been adjusted to reflect a stock dividend effective September 8, 2006 of 0.25 share for each share of the issuer's Common or Class B stock beneficially owned by the reporting person on August 4, 2006.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Maryon Gray by Power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7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2020-02-03T07:47:58Z</dcterms:created>
  <dcterms:modified xsi:type="dcterms:W3CDTF">2020-02-03T07:47:58Z</dcterms:modified>
</cp:coreProperties>
</file>