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060"/>
        <w:spacing w:after="0"/>
        <w:rPr>
          <w:sz w:val="20"/>
          <w:szCs w:val="20"/>
          <w:color w:val="auto"/>
        </w:rPr>
      </w:pPr>
      <w:r>
        <w:rPr>
          <w:rFonts w:ascii="Courier New" w:cs="Courier New" w:eastAsia="Courier New" w:hAnsi="Courier New"/>
          <w:sz w:val="18"/>
          <w:szCs w:val="18"/>
          <w:color w:val="auto"/>
        </w:rPr>
        <w:t>THIS PAPER DOCUMENT IS BEING SUBMITTED PURSUANT</w:t>
      </w:r>
    </w:p>
    <w:p>
      <w:pPr>
        <w:ind w:left="1800"/>
        <w:spacing w:after="0" w:line="238" w:lineRule="auto"/>
        <w:rPr>
          <w:sz w:val="20"/>
          <w:szCs w:val="20"/>
          <w:color w:val="auto"/>
        </w:rPr>
      </w:pPr>
      <w:r>
        <w:rPr>
          <w:rFonts w:ascii="Courier New" w:cs="Courier New" w:eastAsia="Courier New" w:hAnsi="Courier New"/>
          <w:sz w:val="18"/>
          <w:szCs w:val="18"/>
          <w:color w:val="auto"/>
        </w:rPr>
        <w:t>TO RULE 101(d) OF REGULATION S-T</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220"/>
        <w:spacing w:after="0"/>
        <w:tabs>
          <w:tab w:leader="none" w:pos="410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0" w:lineRule="exact"/>
        <w:rPr>
          <w:sz w:val="24"/>
          <w:szCs w:val="24"/>
          <w:color w:val="auto"/>
        </w:rPr>
      </w:pPr>
    </w:p>
    <w:p>
      <w:pPr>
        <w:spacing w:after="0" w:line="204"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ind w:left="1280"/>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center"/>
        <w:ind w:right="3459"/>
        <w:spacing w:after="0"/>
        <w:rPr>
          <w:sz w:val="20"/>
          <w:szCs w:val="20"/>
          <w:color w:val="auto"/>
        </w:rPr>
      </w:pPr>
      <w:r>
        <w:rPr>
          <w:rFonts w:ascii="Courier New" w:cs="Courier New" w:eastAsia="Courier New" w:hAnsi="Courier New"/>
          <w:sz w:val="18"/>
          <w:szCs w:val="18"/>
          <w:color w:val="auto"/>
        </w:rPr>
        <w:t>Oil-Dri Corporation of America</w:t>
      </w:r>
    </w:p>
    <w:p>
      <w:pPr>
        <w:jc w:val="center"/>
        <w:ind w:right="345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Common Stock Par Value $0.10 Per Share</w:t>
      </w:r>
    </w:p>
    <w:p>
      <w:pPr>
        <w:ind w:left="1700"/>
        <w:spacing w:after="0" w:line="238" w:lineRule="auto"/>
        <w:rPr>
          <w:sz w:val="20"/>
          <w:szCs w:val="20"/>
          <w:color w:val="auto"/>
        </w:rPr>
      </w:pPr>
      <w:r>
        <w:rPr>
          <w:rFonts w:ascii="Courier New" w:cs="Courier New" w:eastAsia="Courier New" w:hAnsi="Courier New"/>
          <w:sz w:val="18"/>
          <w:szCs w:val="18"/>
          <w:color w:val="auto"/>
        </w:rPr>
        <w:t>(Title of Class and Securities)</w:t>
      </w:r>
    </w:p>
    <w:p>
      <w:pPr>
        <w:spacing w:after="0" w:line="200" w:lineRule="exact"/>
        <w:rPr>
          <w:sz w:val="24"/>
          <w:szCs w:val="24"/>
          <w:color w:val="auto"/>
        </w:rPr>
      </w:pPr>
    </w:p>
    <w:p>
      <w:pPr>
        <w:spacing w:after="0" w:line="204"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677864100</w:t>
      </w:r>
    </w:p>
    <w:p>
      <w:pPr>
        <w:ind w:left="1480"/>
        <w:spacing w:after="0" w:line="238" w:lineRule="auto"/>
        <w:rPr>
          <w:sz w:val="20"/>
          <w:szCs w:val="20"/>
          <w:color w:val="auto"/>
        </w:rPr>
      </w:pPr>
      <w:r>
        <w:rPr>
          <w:rFonts w:ascii="Courier New" w:cs="Courier New" w:eastAsia="Courier New" w:hAnsi="Courier New"/>
          <w:sz w:val="18"/>
          <w:szCs w:val="18"/>
          <w:color w:val="auto"/>
        </w:rPr>
        <w:t>(CUSIP Number of Class of Securities)</w:t>
      </w:r>
    </w:p>
    <w:p>
      <w:pPr>
        <w:spacing w:after="0" w:line="200" w:lineRule="exact"/>
        <w:rPr>
          <w:sz w:val="24"/>
          <w:szCs w:val="24"/>
          <w:color w:val="auto"/>
        </w:rPr>
      </w:pPr>
    </w:p>
    <w:p>
      <w:pPr>
        <w:spacing w:after="0" w:line="200" w:lineRule="exact"/>
        <w:rPr>
          <w:sz w:val="24"/>
          <w:szCs w:val="24"/>
          <w:color w:val="auto"/>
        </w:rPr>
      </w:pPr>
    </w:p>
    <w:p>
      <w:pPr>
        <w:spacing w:after="0" w:line="207"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James E. McKee, Gabelli Asset Management Inc.,</w:t>
      </w:r>
    </w:p>
    <w:p>
      <w:pPr>
        <w:ind w:left="540"/>
        <w:spacing w:after="0" w:line="238" w:lineRule="auto"/>
        <w:rPr>
          <w:sz w:val="20"/>
          <w:szCs w:val="20"/>
          <w:color w:val="auto"/>
        </w:rPr>
      </w:pPr>
      <w:r>
        <w:rPr>
          <w:rFonts w:ascii="Courier New" w:cs="Courier New" w:eastAsia="Courier New" w:hAnsi="Courier New"/>
          <w:sz w:val="18"/>
          <w:szCs w:val="18"/>
          <w:color w:val="auto"/>
        </w:rPr>
        <w:t>One Corporate Center, Rye, NY 10580-1435 (914) 921-5294</w:t>
      </w:r>
    </w:p>
    <w:p>
      <w:pPr>
        <w:jc w:val="center"/>
        <w:ind w:right="3459"/>
        <w:spacing w:after="0"/>
        <w:rPr>
          <w:sz w:val="20"/>
          <w:szCs w:val="20"/>
          <w:color w:val="auto"/>
        </w:rPr>
      </w:pPr>
      <w:r>
        <w:rPr>
          <w:rFonts w:ascii="Courier New" w:cs="Courier New" w:eastAsia="Courier New" w:hAnsi="Courier New"/>
          <w:sz w:val="18"/>
          <w:szCs w:val="18"/>
          <w:color w:val="auto"/>
        </w:rPr>
        <w:t>(Name, Address and Telephone Number of Person Authorized</w:t>
      </w:r>
    </w:p>
    <w:p>
      <w:pPr>
        <w:jc w:val="center"/>
        <w:ind w:right="3459"/>
        <w:spacing w:after="0" w:line="237" w:lineRule="auto"/>
        <w:rPr>
          <w:sz w:val="20"/>
          <w:szCs w:val="20"/>
          <w:color w:val="auto"/>
        </w:rPr>
      </w:pPr>
      <w:r>
        <w:rPr>
          <w:rFonts w:ascii="Courier New" w:cs="Courier New" w:eastAsia="Courier New" w:hAnsi="Courier New"/>
          <w:sz w:val="18"/>
          <w:szCs w:val="18"/>
          <w:color w:val="auto"/>
        </w:rPr>
        <w:t>to Receive Notices and Communications)</w:t>
      </w:r>
    </w:p>
    <w:p>
      <w:pPr>
        <w:spacing w:after="0" w:line="202"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November 22, 2000</w:t>
      </w:r>
    </w:p>
    <w:p>
      <w:pPr>
        <w:ind w:left="54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If the filing person has previously filed a statement on Schedule</w:t>
      </w:r>
    </w:p>
    <w:p>
      <w:pPr>
        <w:spacing w:after="0" w:line="238" w:lineRule="auto"/>
        <w:rPr>
          <w:sz w:val="20"/>
          <w:szCs w:val="20"/>
          <w:color w:val="auto"/>
        </w:rPr>
      </w:pPr>
      <w:r>
        <w:rPr>
          <w:rFonts w:ascii="Courier New" w:cs="Courier New" w:eastAsia="Courier New" w:hAnsi="Courier New"/>
          <w:sz w:val="18"/>
          <w:szCs w:val="18"/>
          <w:color w:val="auto"/>
        </w:rPr>
        <w:t>13G to report the acquisition that is the subject of this Schedule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13D, and is filing this schedule because of Sections 240.13d-1(e), or</w:t>
      </w:r>
    </w:p>
    <w:p>
      <w:pPr>
        <w:spacing w:after="0" w:line="16" w:lineRule="exact"/>
        <w:rPr>
          <w:sz w:val="24"/>
          <w:szCs w:val="24"/>
          <w:color w:val="auto"/>
        </w:rPr>
      </w:pPr>
    </w:p>
    <w:p>
      <w:pPr>
        <w:spacing w:after="0"/>
        <w:tabs>
          <w:tab w:leader="none" w:pos="6000" w:val="left"/>
        </w:tabs>
        <w:rPr>
          <w:sz w:val="20"/>
          <w:szCs w:val="20"/>
          <w:color w:val="auto"/>
        </w:rPr>
      </w:pPr>
      <w:r>
        <w:rPr>
          <w:rFonts w:ascii="Courier New" w:cs="Courier New" w:eastAsia="Courier New" w:hAnsi="Courier New"/>
          <w:sz w:val="18"/>
          <w:szCs w:val="18"/>
          <w:color w:val="auto"/>
        </w:rPr>
        <w:t>240.13d-1(f) or 240.13d-1(g), check the following box [</w:t>
      </w:r>
      <w:r>
        <w:rPr>
          <w:sz w:val="20"/>
          <w:szCs w:val="20"/>
          <w:color w:val="auto"/>
        </w:rPr>
        <w:tab/>
      </w: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38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line="203" w:lineRule="exact"/>
              <w:rPr>
                <w:sz w:val="20"/>
                <w:szCs w:val="20"/>
                <w:color w:val="auto"/>
              </w:rPr>
            </w:pPr>
            <w:r>
              <w:rPr>
                <w:rFonts w:ascii="Courier New" w:cs="Courier New" w:eastAsia="Courier New" w:hAnsi="Courier New"/>
                <w:sz w:val="18"/>
                <w:szCs w:val="18"/>
                <w:color w:val="auto"/>
              </w:rPr>
              <w:t>CUSIP No. 677864100</w:t>
            </w:r>
          </w:p>
        </w:tc>
        <w:tc>
          <w:tcPr>
            <w:tcW w:w="2420" w:type="dxa"/>
            <w:vAlign w:val="bottom"/>
          </w:tcPr>
          <w:p>
            <w:pPr>
              <w:ind w:left="2100"/>
              <w:spacing w:after="0" w:line="203" w:lineRule="exact"/>
              <w:rPr>
                <w:sz w:val="20"/>
                <w:szCs w:val="20"/>
                <w:color w:val="auto"/>
              </w:rPr>
            </w:pPr>
            <w:r>
              <w:rPr>
                <w:rFonts w:ascii="Courier New" w:cs="Courier New" w:eastAsia="Courier New" w:hAnsi="Courier New"/>
                <w:sz w:val="18"/>
                <w:szCs w:val="18"/>
                <w:color w:val="auto"/>
                <w:w w:val="92"/>
              </w:rPr>
              <w:t>13D</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tabs>
          <w:tab w:leader="none" w:pos="5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5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w:t>
      </w:r>
    </w:p>
    <w:p>
      <w:pPr>
        <w:ind w:left="640"/>
        <w:spacing w:after="0"/>
        <w:tabs>
          <w:tab w:leader="none" w:pos="3780" w:val="left"/>
        </w:tabs>
        <w:rPr>
          <w:sz w:val="20"/>
          <w:szCs w:val="20"/>
          <w:color w:val="auto"/>
        </w:rPr>
      </w:pPr>
      <w:r>
        <w:rPr>
          <w:rFonts w:ascii="Courier New" w:cs="Courier New" w:eastAsia="Courier New" w:hAnsi="Courier New"/>
          <w:sz w:val="18"/>
          <w:szCs w:val="18"/>
          <w:color w:val="auto"/>
        </w:rPr>
        <w:t>Gabelli Funds, LLC</w:t>
      </w:r>
      <w:r>
        <w:rPr>
          <w:sz w:val="20"/>
          <w:szCs w:val="20"/>
          <w:color w:val="auto"/>
        </w:rPr>
        <w:tab/>
      </w:r>
      <w:r>
        <w:rPr>
          <w:rFonts w:ascii="Courier New" w:cs="Courier New" w:eastAsia="Courier New" w:hAnsi="Courier New"/>
          <w:sz w:val="16"/>
          <w:szCs w:val="16"/>
          <w:color w:val="auto"/>
        </w:rPr>
        <w:t>I.D. No. 13-4044523</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238" w:lineRule="auto"/>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(a) /___/</w:t>
      </w:r>
    </w:p>
    <w:p>
      <w:pPr>
        <w:ind w:left="5800"/>
        <w:spacing w:after="0"/>
        <w:rPr>
          <w:sz w:val="20"/>
          <w:szCs w:val="20"/>
          <w:color w:val="auto"/>
        </w:rPr>
      </w:pPr>
      <w:r>
        <w:rPr>
          <w:rFonts w:ascii="Courier New" w:cs="Courier New" w:eastAsia="Courier New" w:hAnsi="Courier New"/>
          <w:sz w:val="18"/>
          <w:szCs w:val="18"/>
          <w:color w:val="auto"/>
        </w:rPr>
        <w:t>____</w:t>
      </w:r>
    </w:p>
    <w:p>
      <w:pPr>
        <w:ind w:left="5280"/>
        <w:spacing w:after="0" w:line="237" w:lineRule="auto"/>
        <w:rPr>
          <w:sz w:val="20"/>
          <w:szCs w:val="20"/>
          <w:color w:val="auto"/>
        </w:rPr>
      </w:pPr>
      <w:r>
        <w:rPr>
          <w:rFonts w:ascii="Courier New" w:cs="Courier New" w:eastAsia="Courier New" w:hAnsi="Courier New"/>
          <w:sz w:val="18"/>
          <w:szCs w:val="18"/>
          <w:color w:val="auto"/>
        </w:rPr>
        <w:t>(b) /___/</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7"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company clients</w:t>
      </w:r>
    </w:p>
    <w:p>
      <w:pPr>
        <w:spacing w:after="0" w:line="237" w:lineRule="auto"/>
        <w:rPr>
          <w:sz w:val="20"/>
          <w:szCs w:val="20"/>
          <w:color w:val="auto"/>
        </w:rPr>
      </w:pPr>
      <w:r>
        <w:rPr>
          <w:rFonts w:ascii="Courier New" w:cs="Courier New" w:eastAsia="Courier New" w:hAnsi="Courier New"/>
          <w:sz w:val="18"/>
          <w:szCs w:val="18"/>
          <w:color w:val="auto"/>
        </w:rPr>
        <w:t>_________________________________________________________________</w:t>
      </w:r>
    </w:p>
    <w:p>
      <w:pPr>
        <w:ind w:left="540" w:hanging="532"/>
        <w:spacing w:after="0" w:line="238" w:lineRule="auto"/>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line="237" w:lineRule="auto"/>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p>
      <w:pPr>
        <w:spacing w:after="0" w:line="4" w:lineRule="exact"/>
        <w:rPr>
          <w:sz w:val="24"/>
          <w:szCs w:val="24"/>
          <w:color w:val="auto"/>
        </w:rPr>
      </w:pPr>
    </w:p>
    <w:p>
      <w:pPr>
        <w:ind w:left="640" w:right="5899" w:hanging="632"/>
        <w:spacing w:after="0" w:line="235" w:lineRule="auto"/>
        <w:tabs>
          <w:tab w:leader="none" w:pos="535"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w:t>
      </w:r>
    </w:p>
    <w:tbl>
      <w:tblPr>
        <w:tblLayout w:type="fixed"/>
        <w:tblInd w:w="120" w:type="dxa"/>
        <w:tblCellMar>
          <w:top w:w="0" w:type="dxa"/>
          <w:left w:w="0" w:type="dxa"/>
          <w:bottom w:w="0" w:type="dxa"/>
          <w:right w:w="0" w:type="dxa"/>
        </w:tblCellMar>
      </w:tblP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45,000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160"/>
              <w:spacing w:after="0" w:line="203" w:lineRule="exact"/>
              <w:rPr>
                <w:sz w:val="20"/>
                <w:szCs w:val="20"/>
                <w:color w:val="auto"/>
              </w:rPr>
            </w:pPr>
            <w:r>
              <w:rPr>
                <w:rFonts w:ascii="Courier New" w:cs="Courier New" w:eastAsia="Courier New" w:hAnsi="Courier New"/>
                <w:sz w:val="18"/>
                <w:szCs w:val="18"/>
                <w:color w:val="auto"/>
              </w:rPr>
              <w:t>45,000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ectPr>
          <w:pgSz w:w="11900" w:h="16838" w:orient="portrait"/>
          <w:cols w:equalWidth="0" w:num="1">
            <w:col w:w="10219"/>
          </w:cols>
          <w:pgMar w:left="240" w:top="244"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45,000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1.07%</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677864100</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300" w:val="left"/>
        </w:tabs>
        <w:rPr>
          <w:sz w:val="20"/>
          <w:szCs w:val="20"/>
          <w:color w:val="auto"/>
        </w:rPr>
      </w:pPr>
      <w:r>
        <w:rPr>
          <w:rFonts w:ascii="Courier New" w:cs="Courier New" w:eastAsia="Courier New" w:hAnsi="Courier New"/>
          <w:sz w:val="18"/>
          <w:szCs w:val="18"/>
          <w:color w:val="auto"/>
        </w:rPr>
        <w:t>GAMCO Investors, Inc.</w:t>
      </w:r>
      <w:r>
        <w:rPr>
          <w:sz w:val="20"/>
          <w:szCs w:val="20"/>
          <w:color w:val="auto"/>
        </w:rPr>
        <w:tab/>
      </w:r>
      <w:r>
        <w:rPr>
          <w:rFonts w:ascii="Courier New" w:cs="Courier New" w:eastAsia="Courier New" w:hAnsi="Courier New"/>
          <w:sz w:val="16"/>
          <w:szCs w:val="16"/>
          <w:color w:val="auto"/>
        </w:rPr>
        <w:t>I.D. No. 13-4044521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OO-Funds of investment advisory clients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237,000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237,000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359" w:hanging="532"/>
        <w:spacing w:after="0" w:line="235"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237,000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5.66%</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677864100</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620" w:val="left"/>
        </w:tabs>
        <w:rPr>
          <w:sz w:val="20"/>
          <w:szCs w:val="20"/>
          <w:color w:val="auto"/>
        </w:rPr>
      </w:pPr>
      <w:r>
        <w:rPr>
          <w:rFonts w:ascii="Courier New" w:cs="Courier New" w:eastAsia="Courier New" w:hAnsi="Courier New"/>
          <w:sz w:val="18"/>
          <w:szCs w:val="18"/>
          <w:color w:val="auto"/>
        </w:rPr>
        <w:t>Gabelli Group Capital Partners, Inc.</w:t>
      </w:r>
      <w:r>
        <w:rPr>
          <w:sz w:val="20"/>
          <w:szCs w:val="20"/>
          <w:color w:val="auto"/>
        </w:rPr>
        <w:tab/>
      </w:r>
      <w:r>
        <w:rPr>
          <w:rFonts w:ascii="Courier New" w:cs="Courier New" w:eastAsia="Courier New" w:hAnsi="Courier New"/>
          <w:sz w:val="16"/>
          <w:szCs w:val="16"/>
          <w:color w:val="auto"/>
        </w:rPr>
        <w:t>I.D. No. 13-3056041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sectPr>
          <w:pgSz w:w="11900" w:h="16838" w:orient="portrait"/>
          <w:cols w:equalWidth="0" w:num="1">
            <w:col w:w="10219"/>
          </w:cols>
          <w:pgMar w:left="240" w:top="142" w:right="1440" w:bottom="0" w:gutter="0" w:footer="0" w:header="0"/>
        </w:sectPr>
      </w:pPr>
    </w:p>
    <w:bookmarkStart w:id="2" w:name="page3"/>
    <w:bookmarkEnd w:id="2"/>
    <w:p>
      <w:pPr>
        <w:ind w:left="5280"/>
        <w:spacing w:after="0"/>
        <w:rPr>
          <w:sz w:val="20"/>
          <w:szCs w:val="20"/>
          <w:color w:val="auto"/>
        </w:rPr>
      </w:pPr>
      <w:r>
        <w:rPr>
          <w:rFonts w:ascii="Courier New" w:cs="Courier New" w:eastAsia="Courier New" w:hAnsi="Courier New"/>
          <w:sz w:val="18"/>
          <w:szCs w:val="18"/>
          <w:color w:val="auto"/>
        </w:rPr>
        <w:t>(b) /___/</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rFonts w:ascii="Courier New" w:cs="Courier New" w:eastAsia="Courier New" w:hAnsi="Courier New"/>
          <w:sz w:val="18"/>
          <w:szCs w:val="18"/>
          <w:color w:val="auto"/>
        </w:rPr>
      </w:pPr>
    </w:p>
    <w:p>
      <w:pPr>
        <w:ind w:left="540" w:right="7999" w:hanging="532"/>
        <w:spacing w:after="0" w:line="235" w:lineRule="auto"/>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None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jc w:val="both"/>
        <w:ind w:left="640" w:right="3359" w:hanging="631"/>
        <w:spacing w:after="0" w:line="235" w:lineRule="auto"/>
        <w:rPr>
          <w:sz w:val="20"/>
          <w:szCs w:val="20"/>
          <w:color w:val="auto"/>
        </w:rPr>
      </w:pPr>
      <w:r>
        <w:rPr>
          <w:rFonts w:ascii="Courier New" w:cs="Courier New" w:eastAsia="Courier New" w:hAnsi="Courier New"/>
          <w:sz w:val="18"/>
          <w:szCs w:val="18"/>
          <w:color w:val="auto"/>
        </w:rPr>
        <w:t>(11) 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7059" w:hanging="532"/>
        <w:spacing w:after="0" w:line="235" w:lineRule="auto"/>
        <w:tabs>
          <w:tab w:leader="none" w:pos="54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HC, CO</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677864100</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640"/>
        <w:spacing w:after="0"/>
        <w:tabs>
          <w:tab w:leader="none" w:pos="4420" w:val="left"/>
        </w:tabs>
        <w:rPr>
          <w:sz w:val="20"/>
          <w:szCs w:val="20"/>
          <w:color w:val="auto"/>
        </w:rPr>
      </w:pPr>
      <w:r>
        <w:rPr>
          <w:rFonts w:ascii="Courier New" w:cs="Courier New" w:eastAsia="Courier New" w:hAnsi="Courier New"/>
          <w:sz w:val="18"/>
          <w:szCs w:val="18"/>
          <w:color w:val="auto"/>
        </w:rPr>
        <w:t>Gabelli Asset Management Inc.</w:t>
      </w:r>
      <w:r>
        <w:rPr>
          <w:sz w:val="20"/>
          <w:szCs w:val="20"/>
          <w:color w:val="auto"/>
        </w:rPr>
        <w:tab/>
      </w:r>
      <w:r>
        <w:rPr>
          <w:rFonts w:ascii="Courier New" w:cs="Courier New" w:eastAsia="Courier New" w:hAnsi="Courier New"/>
          <w:sz w:val="16"/>
          <w:szCs w:val="16"/>
          <w:color w:val="auto"/>
        </w:rPr>
        <w:t>I.D. No. 13-4007862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2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 (Item 5)</w:t>
            </w:r>
          </w:p>
        </w:tc>
      </w:tr>
      <w:tr>
        <w:trPr>
          <w:trHeight w:val="203"/>
        </w:trPr>
        <w:tc>
          <w:tcPr>
            <w:tcW w:w="3580" w:type="dxa"/>
            <w:vAlign w:val="bottom"/>
          </w:tcPr>
          <w:p>
            <w:pPr>
              <w:spacing w:after="0"/>
              <w:rPr>
                <w:sz w:val="17"/>
                <w:szCs w:val="17"/>
                <w:color w:val="auto"/>
              </w:rPr>
            </w:pPr>
          </w:p>
        </w:tc>
        <w:tc>
          <w:tcPr>
            <w:tcW w:w="31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2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r>
    </w:tbl>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3359" w:hanging="632"/>
        <w:spacing w:after="0" w:line="235" w:lineRule="auto"/>
        <w:tabs>
          <w:tab w:leader="none" w:pos="535"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w:t>
      </w:r>
    </w:p>
    <w:p>
      <w:pPr>
        <w:ind w:left="5600"/>
        <w:spacing w:after="0"/>
        <w:rPr>
          <w:sz w:val="20"/>
          <w:szCs w:val="20"/>
          <w:color w:val="auto"/>
        </w:rPr>
      </w:pPr>
      <w:r>
        <w:rPr>
          <w:rFonts w:ascii="Courier New" w:cs="Courier New" w:eastAsia="Courier New" w:hAnsi="Courier New"/>
          <w:sz w:val="18"/>
          <w:szCs w:val="18"/>
          <w:color w:val="auto"/>
        </w:rPr>
        <w:t>/_X_/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(14) TYPE OF REPORTING PERSON*</w:t>
      </w:r>
    </w:p>
    <w:p>
      <w:pPr>
        <w:ind w:left="640"/>
        <w:spacing w:after="0" w:line="238" w:lineRule="auto"/>
        <w:rPr>
          <w:sz w:val="20"/>
          <w:szCs w:val="20"/>
          <w:color w:val="auto"/>
        </w:rPr>
      </w:pPr>
      <w:r>
        <w:rPr>
          <w:rFonts w:ascii="Courier New" w:cs="Courier New" w:eastAsia="Courier New" w:hAnsi="Courier New"/>
          <w:sz w:val="18"/>
          <w:szCs w:val="18"/>
          <w:color w:val="auto"/>
        </w:rPr>
        <w:t>HC, CO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677864100</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rFonts w:ascii="Courier New" w:cs="Courier New" w:eastAsia="Courier New" w:hAnsi="Courier New"/>
          <w:sz w:val="18"/>
          <w:szCs w:val="18"/>
          <w:color w:val="auto"/>
        </w:rPr>
      </w:pPr>
    </w:p>
    <w:p>
      <w:pPr>
        <w:ind w:left="540" w:right="34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NOS. OF ABOVE PERSONS (ENTITIES ONLY) Marc J. Gabelli</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7" w:lineRule="auto"/>
        <w:rPr>
          <w:sz w:val="20"/>
          <w:szCs w:val="20"/>
          <w:color w:val="auto"/>
        </w:rPr>
      </w:pPr>
      <w:r>
        <w:rPr>
          <w:rFonts w:ascii="Courier New" w:cs="Courier New" w:eastAsia="Courier New" w:hAnsi="Courier New"/>
          <w:sz w:val="18"/>
          <w:szCs w:val="18"/>
          <w:color w:val="auto"/>
        </w:rPr>
        <w:t>____</w:t>
      </w:r>
    </w:p>
    <w:p>
      <w:pPr>
        <w:ind w:left="5280"/>
        <w:spacing w:after="0" w:line="238" w:lineRule="auto"/>
        <w:rPr>
          <w:sz w:val="20"/>
          <w:szCs w:val="20"/>
          <w:color w:val="auto"/>
        </w:rPr>
      </w:pPr>
      <w:r>
        <w:rPr>
          <w:rFonts w:ascii="Courier New" w:cs="Courier New" w:eastAsia="Courier New" w:hAnsi="Courier New"/>
          <w:sz w:val="18"/>
          <w:szCs w:val="18"/>
          <w:color w:val="auto"/>
        </w:rPr>
        <w:t>(b) /___/</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5899" w:hanging="632"/>
        <w:spacing w:after="0" w:line="235" w:lineRule="auto"/>
        <w:tabs>
          <w:tab w:leader="none" w:pos="535"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USA</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38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38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jc w:val="both"/>
        <w:ind w:left="540" w:right="3359" w:hanging="539"/>
        <w:spacing w:after="0" w:line="235" w:lineRule="auto"/>
        <w:tabs>
          <w:tab w:leader="none" w:pos="520" w:val="left"/>
        </w:tabs>
        <w:rPr>
          <w:sz w:val="20"/>
          <w:szCs w:val="20"/>
          <w:color w:val="auto"/>
        </w:rPr>
      </w:pPr>
      <w:r>
        <w:rPr>
          <w:rFonts w:ascii="Courier New" w:cs="Courier New" w:eastAsia="Courier New" w:hAnsi="Courier New"/>
          <w:sz w:val="18"/>
          <w:szCs w:val="18"/>
          <w:color w:val="auto"/>
        </w:rPr>
        <w:t>(11)</w:t>
        <w:tab/>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60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120" w:type="dxa"/>
            <w:vAlign w:val="bottom"/>
          </w:tcPr>
          <w:p>
            <w:pPr>
              <w:spacing w:after="0"/>
              <w:rPr>
                <w:sz w:val="20"/>
                <w:szCs w:val="20"/>
                <w:color w:val="auto"/>
              </w:rPr>
            </w:pPr>
            <w:r>
              <w:rPr>
                <w:rFonts w:ascii="Courier New" w:cs="Courier New" w:eastAsia="Courier New" w:hAnsi="Courier New"/>
                <w:sz w:val="18"/>
                <w:szCs w:val="18"/>
                <w:color w:val="auto"/>
              </w:rPr>
              <w:t>CUSIP No. 677864100</w:t>
            </w:r>
          </w:p>
        </w:tc>
        <w:tc>
          <w:tcPr>
            <w:tcW w:w="2420" w:type="dxa"/>
            <w:vAlign w:val="bottom"/>
          </w:tcPr>
          <w:p>
            <w:pPr>
              <w:ind w:left="2100"/>
              <w:spacing w:after="0"/>
              <w:rPr>
                <w:sz w:val="20"/>
                <w:szCs w:val="20"/>
                <w:color w:val="auto"/>
              </w:rPr>
            </w:pPr>
            <w:r>
              <w:rPr>
                <w:rFonts w:ascii="Courier New" w:cs="Courier New" w:eastAsia="Courier New" w:hAnsi="Courier New"/>
                <w:sz w:val="18"/>
                <w:szCs w:val="18"/>
                <w:color w:val="auto"/>
                <w:w w:val="92"/>
              </w:rPr>
              <w:t>13D</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spacing w:after="0" w:line="4" w:lineRule="exact"/>
        <w:rPr>
          <w:sz w:val="20"/>
          <w:szCs w:val="20"/>
          <w:color w:val="auto"/>
        </w:rPr>
      </w:pPr>
    </w:p>
    <w:p>
      <w:pPr>
        <w:ind w:left="540"/>
        <w:spacing w:after="0"/>
        <w:rPr>
          <w:sz w:val="20"/>
          <w:szCs w:val="20"/>
          <w:color w:val="auto"/>
        </w:rPr>
      </w:pPr>
      <w:r>
        <w:rPr>
          <w:rFonts w:ascii="Courier New" w:cs="Courier New" w:eastAsia="Courier New" w:hAnsi="Courier New"/>
          <w:sz w:val="16"/>
          <w:szCs w:val="16"/>
          <w:color w:val="auto"/>
        </w:rPr>
        <w:t>I.R.S. IDENTIFICATION NOS. OF ABOVE PERSONS (ENTITIES ONLY)</w:t>
      </w:r>
    </w:p>
    <w:p>
      <w:pPr>
        <w:spacing w:after="0" w:line="16"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Mario J. Gabelli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(2)</w:t>
        <w:tab/>
        <w:t>CHECK THE APPROPRIATE BOX IF A MEMBER OF A GROUP:</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sectPr>
          <w:pgSz w:w="11900" w:h="16838" w:orient="portrait"/>
          <w:cols w:equalWidth="0" w:num="1">
            <w:col w:w="10219"/>
          </w:cols>
          <w:pgMar w:left="240" w:top="142" w:right="1440" w:bottom="0" w:gutter="0" w:footer="0" w:header="0"/>
        </w:sectPr>
      </w:pPr>
    </w:p>
    <w:bookmarkStart w:id="4" w:name="page5"/>
    <w:bookmarkEnd w:id="4"/>
    <w:p>
      <w:pPr>
        <w:ind w:left="5280"/>
        <w:spacing w:after="0"/>
        <w:rPr>
          <w:sz w:val="20"/>
          <w:szCs w:val="20"/>
          <w:color w:val="auto"/>
        </w:rPr>
      </w:pPr>
      <w:r>
        <w:rPr>
          <w:rFonts w:ascii="Courier New" w:cs="Courier New" w:eastAsia="Courier New" w:hAnsi="Courier New"/>
          <w:sz w:val="18"/>
          <w:szCs w:val="18"/>
          <w:color w:val="auto"/>
        </w:rPr>
        <w:t>(a) /___/</w:t>
      </w:r>
    </w:p>
    <w:p>
      <w:pPr>
        <w:ind w:left="5800"/>
        <w:spacing w:after="0" w:line="238" w:lineRule="auto"/>
        <w:rPr>
          <w:sz w:val="20"/>
          <w:szCs w:val="20"/>
          <w:color w:val="auto"/>
        </w:rPr>
      </w:pPr>
      <w:r>
        <w:rPr>
          <w:rFonts w:ascii="Courier New" w:cs="Courier New" w:eastAsia="Courier New" w:hAnsi="Courier New"/>
          <w:sz w:val="18"/>
          <w:szCs w:val="18"/>
          <w:color w:val="auto"/>
        </w:rPr>
        <w:t>____</w:t>
      </w:r>
    </w:p>
    <w:p>
      <w:pPr>
        <w:jc w:val="right"/>
        <w:ind w:right="3999"/>
        <w:spacing w:after="0"/>
        <w:rPr>
          <w:sz w:val="20"/>
          <w:szCs w:val="20"/>
          <w:color w:val="auto"/>
        </w:rPr>
      </w:pPr>
      <w:r>
        <w:rPr>
          <w:rFonts w:ascii="Courier New" w:cs="Courier New" w:eastAsia="Courier New" w:hAnsi="Courier New"/>
          <w:sz w:val="18"/>
          <w:szCs w:val="18"/>
          <w:color w:val="auto"/>
        </w:rPr>
        <w:t>(b) /___/</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4"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rFonts w:ascii="Courier New" w:cs="Courier New" w:eastAsia="Courier New" w:hAnsi="Courier New"/>
          <w:sz w:val="18"/>
          <w:szCs w:val="18"/>
          <w:color w:val="auto"/>
        </w:rPr>
      </w:pPr>
    </w:p>
    <w:p>
      <w:pPr>
        <w:ind w:left="540" w:hanging="532"/>
        <w:spacing w:after="0" w:line="238" w:lineRule="auto"/>
        <w:tabs>
          <w:tab w:leader="none" w:pos="540"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w:t>
      </w:r>
    </w:p>
    <w:p>
      <w:pPr>
        <w:ind w:left="640"/>
        <w:spacing w:after="0"/>
        <w:rPr>
          <w:sz w:val="20"/>
          <w:szCs w:val="20"/>
          <w:color w:val="auto"/>
        </w:rPr>
      </w:pPr>
      <w:r>
        <w:rPr>
          <w:rFonts w:ascii="Courier New" w:cs="Courier New" w:eastAsia="Courier New" w:hAnsi="Courier New"/>
          <w:sz w:val="18"/>
          <w:szCs w:val="18"/>
          <w:color w:val="auto"/>
        </w:rPr>
        <w:t>None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DISCLOSURE OF LEGAL PROCEEDINGS IS</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REQUIRED PURSUANT TO ITEMS 2(d) or 2(e)</w:t>
      </w:r>
      <w:r>
        <w:rPr>
          <w:sz w:val="20"/>
          <w:szCs w:val="20"/>
          <w:color w:val="auto"/>
        </w:rPr>
        <w:tab/>
      </w:r>
      <w:r>
        <w:rPr>
          <w:rFonts w:ascii="Courier New" w:cs="Courier New" w:eastAsia="Courier New" w:hAnsi="Courier New"/>
          <w:sz w:val="16"/>
          <w:szCs w:val="16"/>
          <w:color w:val="auto"/>
        </w:rPr>
        <w:t>____</w:t>
      </w:r>
    </w:p>
    <w:p>
      <w:pPr>
        <w:ind w:left="5600"/>
        <w:spacing w:after="0"/>
        <w:tabs>
          <w:tab w:leader="none" w:pos="6100" w:val="left"/>
        </w:tabs>
        <w:rPr>
          <w:sz w:val="20"/>
          <w:szCs w:val="20"/>
          <w:color w:val="auto"/>
        </w:rPr>
      </w:pPr>
      <w:r>
        <w:rPr>
          <w:rFonts w:ascii="Courier New" w:cs="Courier New" w:eastAsia="Courier New" w:hAnsi="Courier New"/>
          <w:sz w:val="18"/>
          <w:szCs w:val="18"/>
          <w:color w:val="auto"/>
        </w:rPr>
        <w:t>/</w:t>
      </w:r>
      <w:r>
        <w:rPr>
          <w:sz w:val="20"/>
          <w:szCs w:val="20"/>
          <w:color w:val="auto"/>
        </w:rPr>
        <w:tab/>
      </w:r>
      <w:r>
        <w:rPr>
          <w:rFonts w:ascii="Courier New" w:cs="Courier New" w:eastAsia="Courier New" w:hAnsi="Courier New"/>
          <w:sz w:val="18"/>
          <w:szCs w:val="18"/>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ind w:left="540" w:hanging="532"/>
        <w:spacing w:after="0"/>
        <w:tabs>
          <w:tab w:leader="none" w:pos="540"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ind w:left="640"/>
        <w:spacing w:after="0" w:line="238" w:lineRule="auto"/>
        <w:rPr>
          <w:sz w:val="20"/>
          <w:szCs w:val="20"/>
          <w:color w:val="auto"/>
        </w:rPr>
      </w:pPr>
      <w:r>
        <w:rPr>
          <w:rFonts w:ascii="Courier New" w:cs="Courier New" w:eastAsia="Courier New" w:hAnsi="Courier New"/>
          <w:sz w:val="18"/>
          <w:szCs w:val="18"/>
          <w:color w:val="auto"/>
        </w:rPr>
        <w:t>USA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tbl>
      <w:tblPr>
        <w:tblLayout w:type="fixed"/>
        <w:tblInd w:w="120" w:type="dxa"/>
        <w:tblCellMar>
          <w:top w:w="0" w:type="dxa"/>
          <w:left w:w="0" w:type="dxa"/>
          <w:bottom w:w="0" w:type="dxa"/>
          <w:right w:w="0" w:type="dxa"/>
        </w:tblCellMar>
      </w:tblPr>
      <w:tr>
        <w:trPr>
          <w:trHeight w:val="204"/>
        </w:trPr>
        <w:tc>
          <w:tcPr>
            <w:tcW w:w="3580" w:type="dxa"/>
            <w:vAlign w:val="bottom"/>
          </w:tcPr>
          <w:p>
            <w:pPr>
              <w:spacing w:after="0"/>
              <w:rPr>
                <w:sz w:val="17"/>
                <w:szCs w:val="17"/>
                <w:color w:val="auto"/>
              </w:rPr>
            </w:pPr>
          </w:p>
        </w:tc>
        <w:tc>
          <w:tcPr>
            <w:tcW w:w="1100" w:type="dxa"/>
            <w:vAlign w:val="bottom"/>
          </w:tcPr>
          <w:p>
            <w:pPr>
              <w:ind w:left="520"/>
              <w:spacing w:after="0"/>
              <w:rPr>
                <w:sz w:val="20"/>
                <w:szCs w:val="20"/>
                <w:color w:val="auto"/>
              </w:rPr>
            </w:pPr>
            <w:r>
              <w:rPr>
                <w:rFonts w:ascii="Courier New" w:cs="Courier New" w:eastAsia="Courier New" w:hAnsi="Courier New"/>
                <w:sz w:val="18"/>
                <w:szCs w:val="18"/>
                <w:color w:val="auto"/>
              </w:rPr>
              <w:t>: (7)</w:t>
            </w:r>
          </w:p>
        </w:tc>
        <w:tc>
          <w:tcPr>
            <w:tcW w:w="2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SOLE VOTING POWER</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(8)</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6"/>
              </w:rPr>
              <w:t>SHARED VOTING POWER</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 OF SHARES BENEFICIALLY</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spacing w:after="0"/>
              <w:rPr>
                <w:sz w:val="17"/>
                <w:szCs w:val="17"/>
                <w:color w:val="auto"/>
              </w:rPr>
            </w:pP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OWNED BY EACH REPORTING</w:t>
            </w: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line="203" w:lineRule="exact"/>
              <w:rPr>
                <w:sz w:val="20"/>
                <w:szCs w:val="20"/>
                <w:color w:val="auto"/>
              </w:rPr>
            </w:pPr>
            <w:r>
              <w:rPr>
                <w:rFonts w:ascii="Courier New" w:cs="Courier New" w:eastAsia="Courier New" w:hAnsi="Courier New"/>
                <w:sz w:val="18"/>
                <w:szCs w:val="18"/>
                <w:color w:val="auto"/>
              </w:rPr>
              <w:t>PERSON WITH</w:t>
            </w: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 (9)</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SOLE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(Item 5)</w:t>
            </w:r>
          </w:p>
        </w:tc>
      </w:tr>
      <w:tr>
        <w:trPr>
          <w:trHeight w:val="203"/>
        </w:trPr>
        <w:tc>
          <w:tcPr>
            <w:tcW w:w="3580" w:type="dxa"/>
            <w:vAlign w:val="bottom"/>
          </w:tcPr>
          <w:p>
            <w:pPr>
              <w:spacing w:after="0"/>
              <w:rPr>
                <w:sz w:val="17"/>
                <w:szCs w:val="17"/>
                <w:color w:val="auto"/>
              </w:rPr>
            </w:pPr>
          </w:p>
        </w:tc>
        <w:tc>
          <w:tcPr>
            <w:tcW w:w="31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7"/>
              </w:rPr>
              <w:t>:________________________</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:(10)</w:t>
            </w:r>
          </w:p>
        </w:tc>
        <w:tc>
          <w:tcPr>
            <w:tcW w:w="2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DISPOSITIVE</w:t>
            </w: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POWER</w:t>
            </w:r>
          </w:p>
        </w:tc>
        <w:tc>
          <w:tcPr>
            <w:tcW w:w="1420" w:type="dxa"/>
            <w:vAlign w:val="bottom"/>
          </w:tcPr>
          <w:p>
            <w:pPr>
              <w:spacing w:after="0"/>
              <w:rPr>
                <w:sz w:val="17"/>
                <w:szCs w:val="17"/>
                <w:color w:val="auto"/>
              </w:rPr>
            </w:pPr>
          </w:p>
        </w:tc>
      </w:tr>
      <w:tr>
        <w:trPr>
          <w:trHeight w:val="203"/>
        </w:trPr>
        <w:tc>
          <w:tcPr>
            <w:tcW w:w="3580" w:type="dxa"/>
            <w:vAlign w:val="bottom"/>
          </w:tcPr>
          <w:p>
            <w:pPr>
              <w:spacing w:after="0"/>
              <w:rPr>
                <w:sz w:val="17"/>
                <w:szCs w:val="17"/>
                <w:color w:val="auto"/>
              </w:rPr>
            </w:pPr>
          </w:p>
        </w:tc>
        <w:tc>
          <w:tcPr>
            <w:tcW w:w="11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None</w:t>
            </w:r>
          </w:p>
        </w:tc>
        <w:tc>
          <w:tcPr>
            <w:tcW w:w="1420" w:type="dxa"/>
            <w:vAlign w:val="bottom"/>
          </w:tcPr>
          <w:p>
            <w:pPr>
              <w:spacing w:after="0"/>
              <w:rPr>
                <w:sz w:val="17"/>
                <w:szCs w:val="17"/>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540" w:right="3359" w:hanging="532"/>
        <w:spacing w:after="0" w:line="235" w:lineRule="auto"/>
        <w:tabs>
          <w:tab w:leader="none" w:pos="540" w:val="left"/>
        </w:tabs>
        <w:numPr>
          <w:ilvl w:val="0"/>
          <w:numId w:val="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None (Item 5)</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(12) CHECK BOX IF THE AGGREGATE AMOUNT IN ROW 11</w:t>
      </w:r>
    </w:p>
    <w:p>
      <w:pPr>
        <w:ind w:left="540"/>
        <w:spacing w:after="0"/>
        <w:tabs>
          <w:tab w:leader="none" w:pos="568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_____</w:t>
      </w:r>
    </w:p>
    <w:p>
      <w:pPr>
        <w:ind w:left="5600"/>
        <w:spacing w:after="0"/>
        <w:tabs>
          <w:tab w:leader="none" w:pos="5880" w:val="left"/>
        </w:tabs>
        <w:rPr>
          <w:sz w:val="20"/>
          <w:szCs w:val="20"/>
          <w:color w:val="auto"/>
        </w:rPr>
      </w:pPr>
      <w:r>
        <w:rPr>
          <w:rFonts w:ascii="Courier New" w:cs="Courier New" w:eastAsia="Courier New" w:hAnsi="Courier New"/>
          <w:sz w:val="18"/>
          <w:szCs w:val="18"/>
          <w:color w:val="auto"/>
        </w:rPr>
        <w:t>/</w:t>
        <w:tab/>
        <w:t>x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4619" w:hanging="632"/>
        <w:spacing w:after="0" w:line="235" w:lineRule="auto"/>
        <w:tabs>
          <w:tab w:leader="none" w:pos="535"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11 0.00%</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 w:lineRule="exact"/>
        <w:rPr>
          <w:sz w:val="20"/>
          <w:szCs w:val="20"/>
          <w:color w:val="auto"/>
        </w:rPr>
      </w:pPr>
    </w:p>
    <w:p>
      <w:pPr>
        <w:ind w:left="640" w:right="7059" w:hanging="632"/>
        <w:spacing w:after="0" w:line="235" w:lineRule="auto"/>
        <w:tabs>
          <w:tab w:leader="none" w:pos="535"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IN</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w:t>
      </w:r>
    </w:p>
    <w:p>
      <w:pPr>
        <w:spacing w:after="0" w:line="218"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*SEE INSTRUCTIONS BEFORE FILLING OUT!</w:t>
      </w:r>
    </w:p>
    <w:p>
      <w:pPr>
        <w:spacing w:after="0" w:line="238" w:lineRule="auto"/>
        <w:rPr>
          <w:sz w:val="20"/>
          <w:szCs w:val="20"/>
          <w:color w:val="auto"/>
        </w:rPr>
      </w:pPr>
      <w:r>
        <w:rPr>
          <w:rFonts w:ascii="Courier New" w:cs="Courier New" w:eastAsia="Courier New" w:hAnsi="Courier New"/>
          <w:sz w:val="18"/>
          <w:szCs w:val="18"/>
          <w:color w:val="auto"/>
        </w:rPr>
        <w:t>Item 1.Security and Issuer</w:t>
      </w:r>
    </w:p>
    <w:p>
      <w:pPr>
        <w:spacing w:after="0" w:line="20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class of equity securities to which this statement on Schedule 13D relates is the Common Stock, par value $0.10 per share ("Securities"), of Oil-Dri Corporation of America (the "Issuer"), a Delaware corporation, with principal offices located at 410 North Michigan Avenue, Suite 400, Chicago, Illinois 60611. Item 2. Identity and Background</w:t>
      </w:r>
    </w:p>
    <w:p>
      <w:pPr>
        <w:spacing w:after="0" w:line="7"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This statement is being filed by Mario J. Gabelli ("Mario Gabelli"), Marc J. Gabelli ("Marc Gabelli") and various entities which either one directly or indirectly controls or for which either one acts as chief investment officer. These entities, except for Lynch Corporation ("Lynch"), Spinnaker Industries, Incorporated ("Spinnaker"), Western New Mexico Telephone Company ("Western New Mexico"), Entoleter, Inc. ("Entoleter"), Lynch Telecommunications Corporation ("Lynch Telecom"), Lynch Telephone Corporation ("Lynch Telephone"), Lynch Interactive Corporation ("Interactive"), Brighton Communications Corporation ("Brighton") and Inter-Community Telephone Company ("Inter-Community") (collectively, "Lynch and its affiliates"), engage in various aspects of the securities business, primarily as investment adviser to various institutional and individual clients, including registered investment companies and pension plans, as broker/dealer and as general partner of various private investment partnerships. Certain of these entities may also make investments for their own accounts.</w:t>
      </w:r>
    </w:p>
    <w:p>
      <w:pPr>
        <w:spacing w:after="0" w:line="193"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The foregoing persons in the aggregate often own beneficially more than 5% of a class of equity securities of a particular issuer. Although several of the foregoing persons are treated as institutional investors for purposes of reporting their beneficial ownership on the short-form Schedule 13G, the holdings of those who do not qualify as institutional investors may exceed the 1% threshold presented for filing on Schedule 13G or implementation of their investment philosophy may from time to time require action which could be viewed as not completely passive. In order to avoid any question as to whether their</w:t>
      </w:r>
    </w:p>
    <w:p>
      <w:pPr>
        <w:sectPr>
          <w:pgSz w:w="11900" w:h="16838" w:orient="portrait"/>
          <w:cols w:equalWidth="0" w:num="1">
            <w:col w:w="10219"/>
          </w:cols>
          <w:pgMar w:left="240" w:top="136" w:right="1440" w:bottom="0" w:gutter="0" w:footer="0" w:header="0"/>
        </w:sectPr>
      </w:pPr>
    </w:p>
    <w:bookmarkStart w:id="5" w:name="page6"/>
    <w:bookmarkEnd w:id="5"/>
    <w:p>
      <w:pPr>
        <w:ind w:right="3479"/>
        <w:spacing w:after="0" w:line="268" w:lineRule="auto"/>
        <w:rPr>
          <w:sz w:val="20"/>
          <w:szCs w:val="20"/>
          <w:color w:val="auto"/>
        </w:rPr>
      </w:pPr>
      <w:r>
        <w:rPr>
          <w:rFonts w:ascii="Courier New" w:cs="Courier New" w:eastAsia="Courier New" w:hAnsi="Courier New"/>
          <w:sz w:val="16"/>
          <w:szCs w:val="16"/>
          <w:color w:val="auto"/>
        </w:rPr>
        <w:t>beneficial ownership is being reported on the proper form and in order to provide greater investment flexibility and administra-tive uniformity, these persons have decided to file their beneficial ownership reports on the more detailed Schedule 13D form rather than on the short-form Schedule 13G and thereby to provide more expansive disclosure than may be necessary.</w:t>
      </w:r>
    </w:p>
    <w:p>
      <w:pPr>
        <w:spacing w:after="0" w:line="1" w:lineRule="exact"/>
        <w:rPr>
          <w:sz w:val="20"/>
          <w:szCs w:val="20"/>
          <w:color w:val="auto"/>
        </w:rPr>
      </w:pPr>
    </w:p>
    <w:p>
      <w:pPr>
        <w:jc w:val="both"/>
        <w:ind w:right="3359" w:firstLine="1053"/>
        <w:spacing w:after="0" w:line="268" w:lineRule="auto"/>
        <w:rPr>
          <w:sz w:val="20"/>
          <w:szCs w:val="20"/>
          <w:color w:val="auto"/>
        </w:rPr>
      </w:pPr>
      <w:r>
        <w:rPr>
          <w:rFonts w:ascii="Courier New" w:cs="Courier New" w:eastAsia="Courier New" w:hAnsi="Courier New"/>
          <w:sz w:val="16"/>
          <w:szCs w:val="16"/>
          <w:color w:val="auto"/>
        </w:rPr>
        <w:t>(a), (b) and (c) - This statement is being filed by one or more of the following persons: Gabelli Group Capital Partners, Inc. ("Gabelli Partners"), Gabelli Asset Management Inc.</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("GAMI") , Gabelli Funds, LLC ("Gabelli Funds"), GAMCO Investors, Inc. ("GAMCO"), Gabelli Securities, Inc. ("GSI"), Gabelli &amp; Company, Inc. ("Gabelli &amp; Company"), Gabelli Performance Partnership L.P. ("GPP"), GLI, Inc. ("GLI"), Gabelli Associates Fund ("Gabelli Associates"), Gabelli Associates Limited ("GAL"), Gabelli &amp; Company, Inc. Profit Sharing Plan (the "Plan"), Gabelli International Limited ("GIL"), Gabelli Interna-tional II Limited ("GIL II"), Gabelli International Gold Fund Limited ("GIGFL"), ALCE Partners, L.P. ("ALCE"), Gabelli Multimedia Partners, L.P. ("Multimedia Partners"), MJG Associates, Inc. ("MJG Associates"), Gemini Capital Management Ltd. ("Gemini"), Gabelli Fund, LDC ("LDC"), Gabelli Foundation, Inc. ("Foundation"), Gabelli Global Partners, Ltd. ("GGP Ltd."), Gabelli Global Partners, L.P. ("GGP L.P."), Gabelli European Partners, Ltd. ("GEP Ltd."), Mario Gabelli, Marc Gabelli, Lynch, Spinnaker, Western New Mexico, Entoleter, Lynch Telecom, Lynch Telephone and Inter-Community. Those of the foregoing persons signing this Schedule 13D are hereafter referred to as the "Reporting Persons".</w:t>
      </w:r>
    </w:p>
    <w:p>
      <w:pPr>
        <w:spacing w:after="0" w:line="7"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Gabelli Partners makes investments for its own account and is the parent company of GAMI. GAMI, a public company listed on the New York Stock Exchange, is the parent company for a variety of companies engaged in the securities business, each of which is named below.</w:t>
      </w:r>
    </w:p>
    <w:p>
      <w:pPr>
        <w:spacing w:after="0" w:line="6" w:lineRule="exact"/>
        <w:rPr>
          <w:sz w:val="20"/>
          <w:szCs w:val="20"/>
          <w:color w:val="auto"/>
        </w:rPr>
      </w:pPr>
    </w:p>
    <w:p>
      <w:pPr>
        <w:ind w:right="3579" w:firstLine="1053"/>
        <w:spacing w:after="0" w:line="237" w:lineRule="auto"/>
        <w:rPr>
          <w:sz w:val="20"/>
          <w:szCs w:val="20"/>
          <w:color w:val="auto"/>
        </w:rPr>
      </w:pPr>
      <w:r>
        <w:rPr>
          <w:rFonts w:ascii="Courier New" w:cs="Courier New" w:eastAsia="Courier New" w:hAnsi="Courier New"/>
          <w:sz w:val="18"/>
          <w:szCs w:val="18"/>
          <w:color w:val="auto"/>
        </w:rPr>
        <w:t>GAMCO, a wholly-owned subsidiary of GAMI, is an investment adviser registered under the Investment Advisers Act of 1940, as amended ("Advisers Act"). GAMCO is an investment manager providing discretionary managed account services for employee benefit plans, private investors, endowments, founda-tions and others.</w:t>
      </w:r>
    </w:p>
    <w:p>
      <w:pPr>
        <w:spacing w:after="0" w:line="7"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GSI, a majority-owned subsidiary of GAMI, acts as a general partner or investment manager to limited partnerships and offshore investment companies and as a part of its business regularly purchases and sells securities for its own account. It is the immediate parent of Gabelli &amp; Company.</w:t>
      </w:r>
    </w:p>
    <w:p>
      <w:pPr>
        <w:spacing w:after="0" w:line="6" w:lineRule="exact"/>
        <w:rPr>
          <w:sz w:val="20"/>
          <w:szCs w:val="20"/>
          <w:color w:val="auto"/>
        </w:rPr>
      </w:pPr>
    </w:p>
    <w:p>
      <w:pPr>
        <w:ind w:right="3359" w:firstLine="1053"/>
        <w:spacing w:after="0" w:line="268" w:lineRule="auto"/>
        <w:rPr>
          <w:sz w:val="20"/>
          <w:szCs w:val="20"/>
          <w:color w:val="auto"/>
        </w:rPr>
      </w:pPr>
      <w:r>
        <w:rPr>
          <w:rFonts w:ascii="Courier New" w:cs="Courier New" w:eastAsia="Courier New" w:hAnsi="Courier New"/>
          <w:sz w:val="16"/>
          <w:szCs w:val="16"/>
          <w:color w:val="auto"/>
        </w:rPr>
        <w:t>Gabelli &amp; Company, a wholly-owned subsidiary of GSI, is a broker-dealer registered under the Securities Exchange Act of 1934, as amended ("l934 Act"), which as a part of its business regularly purchases and sells securities for its own account.</w:t>
      </w:r>
    </w:p>
    <w:p>
      <w:pPr>
        <w:spacing w:after="0" w:line="1" w:lineRule="exact"/>
        <w:rPr>
          <w:sz w:val="20"/>
          <w:szCs w:val="20"/>
          <w:color w:val="auto"/>
        </w:rPr>
      </w:pPr>
    </w:p>
    <w:p>
      <w:pPr>
        <w:ind w:right="3579" w:firstLine="1053"/>
        <w:spacing w:after="0" w:line="235" w:lineRule="auto"/>
        <w:rPr>
          <w:sz w:val="20"/>
          <w:szCs w:val="20"/>
          <w:color w:val="auto"/>
        </w:rPr>
      </w:pPr>
      <w:r>
        <w:rPr>
          <w:rFonts w:ascii="Courier New" w:cs="Courier New" w:eastAsia="Courier New" w:hAnsi="Courier New"/>
          <w:sz w:val="18"/>
          <w:szCs w:val="18"/>
          <w:color w:val="auto"/>
        </w:rPr>
        <w:t>GLI, wholly-owned subsidiary of GSI, is a corporation which currently has no active operations.</w:t>
      </w:r>
    </w:p>
    <w:p>
      <w:pPr>
        <w:spacing w:after="0" w:line="6"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Gabelli Associates is a New York limited partnership whose primary business purpose is risk arbitrage investments. GSI and Mario Gabelli are the general partners of Gabelli As-sociates.</w:t>
      </w:r>
    </w:p>
    <w:p>
      <w:pPr>
        <w:spacing w:after="0" w:line="5" w:lineRule="exact"/>
        <w:rPr>
          <w:sz w:val="20"/>
          <w:szCs w:val="20"/>
          <w:color w:val="auto"/>
        </w:rPr>
      </w:pPr>
    </w:p>
    <w:p>
      <w:pPr>
        <w:ind w:right="3479" w:firstLine="1053"/>
        <w:spacing w:after="0" w:line="237" w:lineRule="auto"/>
        <w:rPr>
          <w:sz w:val="20"/>
          <w:szCs w:val="20"/>
          <w:color w:val="auto"/>
        </w:rPr>
      </w:pPr>
      <w:r>
        <w:rPr>
          <w:rFonts w:ascii="Courier New" w:cs="Courier New" w:eastAsia="Courier New" w:hAnsi="Courier New"/>
          <w:sz w:val="18"/>
          <w:szCs w:val="18"/>
          <w:color w:val="auto"/>
        </w:rPr>
        <w:t>GAL is a corporation whose primary business purpose is risk arbitrage investments. Shares of GAL's common stock are offered to persons who are neither citizens nor residents of the United States and may be offered to a limited number of U.S. investors. GSI is the investment manager of GAL.</w:t>
      </w:r>
    </w:p>
    <w:p>
      <w:pPr>
        <w:spacing w:after="0" w:line="6"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Gabelli Funds, a wholly-owned subsidiary of GAMI, is a limited liability company. Gabelli Funds is an investment adviser registered under the Advisers Act which presently provides discretionary advisory services to The Gabelli Equity Trust Inc., The Gabelli Asset Fund, The Gabelli Growth Fund, The Gabelli Convertible Securities Fund, Inc., The Gabelli Value Fund Inc., The Gabelli Small Cap Growth Fund, The Gabelli Equity Income Fund, The Gabelli ABC Fund, The Gabelli Global Telecommunications Fund, Gabelli Gold Fund, Inc., The Gabelli Global Multimedia Trust Inc., The Gabelli Global Convertible Securities Fund, Gabelli Capital Asset Fund, Gabelli International Growth Fund, Inc., The Gabelli Global Growth Fund, The Gabelli Utility Trust, The Gabelli Global Opportunity Fund, The Gabelli Utilities Fund and The Gabelli Blue Chip Value Fund (collectively, the "Funds"), which are registered investment companies.</w:t>
      </w:r>
    </w:p>
    <w:p>
      <w:pPr>
        <w:spacing w:after="0" w:line="184"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Gabelli Advisers, Inc. ("Gabelli Advisers"), a subsidiary of GAMI, is an investment adviser which provides discretionary advisory services to The Gabelli Westwood Mighty Mitessm Fund.</w:t>
      </w:r>
    </w:p>
    <w:p>
      <w:pPr>
        <w:spacing w:after="0" w:line="5" w:lineRule="exact"/>
        <w:rPr>
          <w:sz w:val="20"/>
          <w:szCs w:val="20"/>
          <w:color w:val="auto"/>
        </w:rPr>
      </w:pPr>
    </w:p>
    <w:p>
      <w:pPr>
        <w:ind w:right="3679" w:firstLine="1053"/>
        <w:spacing w:after="0" w:line="268" w:lineRule="auto"/>
        <w:rPr>
          <w:sz w:val="20"/>
          <w:szCs w:val="20"/>
          <w:color w:val="auto"/>
        </w:rPr>
      </w:pPr>
      <w:r>
        <w:rPr>
          <w:rFonts w:ascii="Courier New" w:cs="Courier New" w:eastAsia="Courier New" w:hAnsi="Courier New"/>
          <w:sz w:val="16"/>
          <w:szCs w:val="16"/>
          <w:color w:val="auto"/>
        </w:rPr>
        <w:t>The Plan, a qualified employee profit sharing plan, covers substantially all employees of GAMI and its affiliates.</w:t>
      </w:r>
    </w:p>
    <w:p>
      <w:pPr>
        <w:ind w:left="1060"/>
        <w:spacing w:after="0" w:line="233" w:lineRule="auto"/>
        <w:rPr>
          <w:sz w:val="20"/>
          <w:szCs w:val="20"/>
          <w:color w:val="auto"/>
        </w:rPr>
      </w:pPr>
      <w:r>
        <w:rPr>
          <w:rFonts w:ascii="Courier New" w:cs="Courier New" w:eastAsia="Courier New" w:hAnsi="Courier New"/>
          <w:sz w:val="18"/>
          <w:szCs w:val="18"/>
          <w:color w:val="auto"/>
        </w:rPr>
        <w:t>GPP is a limited partnership whose primary business</w:t>
      </w:r>
    </w:p>
    <w:p>
      <w:pPr>
        <w:sectPr>
          <w:pgSz w:w="11900" w:h="16838" w:orient="portrait"/>
          <w:cols w:equalWidth="0" w:num="1">
            <w:col w:w="10219"/>
          </w:cols>
          <w:pgMar w:left="240" w:top="142" w:right="1440" w:bottom="0" w:gutter="0" w:footer="0" w:header="0"/>
        </w:sectPr>
      </w:pPr>
    </w:p>
    <w:bookmarkStart w:id="6" w:name="page7"/>
    <w:bookmarkEnd w:id="6"/>
    <w:p>
      <w:pPr>
        <w:ind w:right="3579"/>
        <w:spacing w:after="0" w:line="236" w:lineRule="auto"/>
        <w:rPr>
          <w:sz w:val="20"/>
          <w:szCs w:val="20"/>
          <w:color w:val="auto"/>
        </w:rPr>
      </w:pPr>
      <w:r>
        <w:rPr>
          <w:rFonts w:ascii="Courier New" w:cs="Courier New" w:eastAsia="Courier New" w:hAnsi="Courier New"/>
          <w:sz w:val="18"/>
          <w:szCs w:val="18"/>
          <w:color w:val="auto"/>
        </w:rPr>
        <w:t>purpose is investing in securities. MJG Associates provides services to GPP, and Mario Gabelli is the general partner and a portfolio manager for GPP.</w:t>
      </w:r>
    </w:p>
    <w:p>
      <w:pPr>
        <w:spacing w:after="0" w:line="6"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GIL is a corporation whose primary business purpose is investing in a portfolio of equity securities and securities convertible into, or exchangeable for, equity securities in order to achieve its investment objective of significant long-term growth of capital. Shares of GIL's common stock are offered to persons who are neither citizens nor residents of the United States and may be offered to a limited number of U.S. investors. MJG Associates is the Investment Manager of GIL. Mario Gabelli is a portfolio manager for GIL and Chairman of the Board of Directors of GIL.</w:t>
      </w:r>
    </w:p>
    <w:p>
      <w:pPr>
        <w:spacing w:after="0" w:line="12"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GIL II is a corporation whose business purpose is investing primarily in a portfolio of equity securities and securities convertible into, or exchangeable for, equity securit-ies in order to achieve its investment objective of significant long-term growth of capital. Shares of GIL II's common stock are offered to persons who are neither citizens nor residents of the United States and may be offered to a limited number of U.S. investors. MJG Associates is the Investment Manager of GIL II. Mario Gabelli is a portfolio manager and Chairman of the Board of Directors of GIL II.</w:t>
      </w:r>
    </w:p>
    <w:p>
      <w:pPr>
        <w:spacing w:after="0" w:line="12" w:lineRule="exact"/>
        <w:rPr>
          <w:sz w:val="20"/>
          <w:szCs w:val="20"/>
          <w:color w:val="auto"/>
        </w:rPr>
      </w:pPr>
    </w:p>
    <w:p>
      <w:pPr>
        <w:jc w:val="both"/>
        <w:ind w:right="3359" w:firstLine="737"/>
        <w:spacing w:after="0" w:line="268" w:lineRule="auto"/>
        <w:rPr>
          <w:sz w:val="20"/>
          <w:szCs w:val="20"/>
          <w:color w:val="auto"/>
        </w:rPr>
      </w:pPr>
      <w:r>
        <w:rPr>
          <w:rFonts w:ascii="Courier New" w:cs="Courier New" w:eastAsia="Courier New" w:hAnsi="Courier New"/>
          <w:sz w:val="16"/>
          <w:szCs w:val="16"/>
          <w:color w:val="auto"/>
        </w:rPr>
        <w:t>ALCE is an investment limited partnership that seeks long-term capital appreciation primarily through investments in public and private equity securities. GSI is a general partner of ALCE.</w:t>
      </w:r>
    </w:p>
    <w:p>
      <w:pPr>
        <w:spacing w:after="0" w:line="1"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Multimedia Partners is an investment limited partnership whose objective is to provide long-term capital appreciation by investing primarily in public and private multimedia communi-cations companies. GSI is a general partner of Multimedia Partners.</w:t>
      </w:r>
    </w:p>
    <w:p>
      <w:pPr>
        <w:spacing w:after="0" w:line="6"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GGP L.P. is a partnership whose primary business purpose is investing in securities on a global basis. Gabelli Securities, Inc. and Gemini Capital Management, LLC are the general partners of GGP L.P. and Marc Gabelli is a portfolio manager for GGP L.P.</w:t>
      </w:r>
    </w:p>
    <w:p>
      <w:pPr>
        <w:spacing w:after="0" w:line="6"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GGP Ltd. is a corporation whose primary business purpose is investing in securities on a global basis. Gabelli Securities International Limited and Gemini Capital Management, LLC are the investment advisors of GGP Ltd. and Marc Gabelli is the portfolio manager for GGP Ltd.</w:t>
      </w:r>
    </w:p>
    <w:p>
      <w:pPr>
        <w:spacing w:after="0" w:line="6" w:lineRule="exact"/>
        <w:rPr>
          <w:sz w:val="20"/>
          <w:szCs w:val="20"/>
          <w:color w:val="auto"/>
        </w:rPr>
      </w:pPr>
    </w:p>
    <w:p>
      <w:pPr>
        <w:ind w:right="3359" w:firstLine="737"/>
        <w:spacing w:after="0" w:line="237" w:lineRule="auto"/>
        <w:rPr>
          <w:sz w:val="20"/>
          <w:szCs w:val="20"/>
          <w:color w:val="auto"/>
        </w:rPr>
      </w:pPr>
      <w:r>
        <w:rPr>
          <w:rFonts w:ascii="Courier New" w:cs="Courier New" w:eastAsia="Courier New" w:hAnsi="Courier New"/>
          <w:sz w:val="18"/>
          <w:szCs w:val="18"/>
          <w:color w:val="auto"/>
        </w:rPr>
        <w:t>GEP Ltd. is a corporation whose primary business purpose is investing in securities of European companies. Gabelli Securities International Limited is the investment advisor of GEP Ltd. and Marc Gabelli is a portfolio manager for GEP Ltd.</w:t>
      </w:r>
    </w:p>
    <w:p>
      <w:pPr>
        <w:spacing w:after="0" w:line="5"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LDC is a corporation whose business purpose is investing primarily in a portfolio of equity securities and securities convertible into, or exchangeable for, equity securities in order to achieve its investment objective of significant long-term growth of capital. Interests are offered to insurance companies which do not conduct any business in the United States and which are licensed where they do business. MJG Associates is the Investment Manager of LDC. Mario Gabelli is a portfolio manager for LDC.</w:t>
      </w:r>
    </w:p>
    <w:p>
      <w:pPr>
        <w:spacing w:after="0" w:line="11" w:lineRule="exact"/>
        <w:rPr>
          <w:sz w:val="20"/>
          <w:szCs w:val="20"/>
          <w:color w:val="auto"/>
        </w:rPr>
      </w:pPr>
    </w:p>
    <w:p>
      <w:pPr>
        <w:ind w:right="3679" w:firstLine="737"/>
        <w:spacing w:after="0" w:line="268" w:lineRule="auto"/>
        <w:rPr>
          <w:sz w:val="20"/>
          <w:szCs w:val="20"/>
          <w:color w:val="auto"/>
        </w:rPr>
      </w:pPr>
      <w:r>
        <w:rPr>
          <w:rFonts w:ascii="Courier New" w:cs="Courier New" w:eastAsia="Courier New" w:hAnsi="Courier New"/>
          <w:sz w:val="16"/>
          <w:szCs w:val="16"/>
          <w:color w:val="auto"/>
        </w:rPr>
        <w:t>MJG Associates provides advisory services to private investment partnerships and offshore funds. Mario Gabelli is the sole shareholder, director and employee of MJG Associates.</w:t>
      </w:r>
    </w:p>
    <w:p>
      <w:pPr>
        <w:spacing w:after="0" w:line="1" w:lineRule="exact"/>
        <w:rPr>
          <w:sz w:val="20"/>
          <w:szCs w:val="20"/>
          <w:color w:val="auto"/>
        </w:rPr>
      </w:pPr>
    </w:p>
    <w:p>
      <w:pPr>
        <w:jc w:val="both"/>
        <w:ind w:right="3479" w:firstLine="737"/>
        <w:spacing w:after="0" w:line="268" w:lineRule="auto"/>
        <w:rPr>
          <w:sz w:val="20"/>
          <w:szCs w:val="20"/>
          <w:color w:val="auto"/>
        </w:rPr>
      </w:pPr>
      <w:r>
        <w:rPr>
          <w:rFonts w:ascii="Courier New" w:cs="Courier New" w:eastAsia="Courier New" w:hAnsi="Courier New"/>
          <w:sz w:val="16"/>
          <w:szCs w:val="16"/>
          <w:color w:val="auto"/>
        </w:rPr>
        <w:t>Gemini is a corporation whose primary business purpose is to provide advisory services to offshore funds. Marc Gabelli is the President and Chief Investment Officer of Gemini.</w:t>
      </w:r>
    </w:p>
    <w:p>
      <w:pPr>
        <w:spacing w:after="0" w:line="1" w:lineRule="exact"/>
        <w:rPr>
          <w:sz w:val="20"/>
          <w:szCs w:val="20"/>
          <w:color w:val="auto"/>
        </w:rPr>
      </w:pPr>
    </w:p>
    <w:p>
      <w:pPr>
        <w:ind w:right="3579" w:firstLine="737"/>
        <w:spacing w:after="0" w:line="236" w:lineRule="auto"/>
        <w:rPr>
          <w:sz w:val="20"/>
          <w:szCs w:val="20"/>
          <w:color w:val="auto"/>
        </w:rPr>
      </w:pPr>
      <w:r>
        <w:rPr>
          <w:rFonts w:ascii="Courier New" w:cs="Courier New" w:eastAsia="Courier New" w:hAnsi="Courier New"/>
          <w:sz w:val="18"/>
          <w:szCs w:val="18"/>
          <w:color w:val="auto"/>
        </w:rPr>
        <w:t>The Foundation is a private foundation. Mario Gabelli is the President, a Trustee and the Investment Manager of the Foundation.</w:t>
      </w:r>
    </w:p>
    <w:p>
      <w:pPr>
        <w:spacing w:after="0" w:line="6" w:lineRule="exact"/>
        <w:rPr>
          <w:sz w:val="20"/>
          <w:szCs w:val="20"/>
          <w:color w:val="auto"/>
        </w:rPr>
      </w:pPr>
    </w:p>
    <w:p>
      <w:pPr>
        <w:ind w:right="3579" w:firstLine="737"/>
        <w:spacing w:after="0" w:line="237" w:lineRule="auto"/>
        <w:rPr>
          <w:sz w:val="20"/>
          <w:szCs w:val="20"/>
          <w:color w:val="auto"/>
        </w:rPr>
      </w:pPr>
      <w:r>
        <w:rPr>
          <w:rFonts w:ascii="Courier New" w:cs="Courier New" w:eastAsia="Courier New" w:hAnsi="Courier New"/>
          <w:sz w:val="18"/>
          <w:szCs w:val="18"/>
          <w:color w:val="auto"/>
        </w:rPr>
        <w:t>Lynch is a public company traded on the American Stock Exchange engaged in manufacting. Spinnaker, a subsidiary of Lynch, is also a public company and its stock is traded on the NASDAQ National Market. Spinnaker is a manufacturing firm with major subsidiaries in specialty adhesive-backed</w:t>
      </w:r>
    </w:p>
    <w:p>
      <w:pPr>
        <w:spacing w:after="0" w:line="6"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materials business. Interactive is a public company listed on the American Stock Exchange. It is a holding company whose principal subsidiary is Brighton. Brighton is a 100% owned subsidiary of Interactive. Brighton is a holding company with subsidiaries in multimedia and services businesses. Western New Mexico, a subsidiary of Brighton, provides telephone services in a service area in Southwestern New Mexico. Inter-Community, which is also a subsidiary of Brighton, provides local telephone services in an area 40 miles west of Fargo, North Dakota. Lynch and Interactive actively pursue new business ventures and acquisitions.</w:t>
      </w:r>
    </w:p>
    <w:p>
      <w:pPr>
        <w:spacing w:after="0" w:line="13" w:lineRule="exact"/>
        <w:rPr>
          <w:sz w:val="20"/>
          <w:szCs w:val="20"/>
          <w:color w:val="auto"/>
        </w:rPr>
      </w:pPr>
    </w:p>
    <w:p>
      <w:pPr>
        <w:ind w:right="3579" w:firstLine="1053"/>
        <w:spacing w:after="0" w:line="290" w:lineRule="auto"/>
        <w:rPr>
          <w:sz w:val="20"/>
          <w:szCs w:val="20"/>
          <w:color w:val="auto"/>
        </w:rPr>
      </w:pPr>
      <w:r>
        <w:rPr>
          <w:rFonts w:ascii="Courier New" w:cs="Courier New" w:eastAsia="Courier New" w:hAnsi="Courier New"/>
          <w:sz w:val="16"/>
          <w:szCs w:val="16"/>
          <w:color w:val="auto"/>
        </w:rPr>
        <w:t>Mario J. Gabelli is a director, Chairman of the Board and Chief Executive Officer and a substantial shareholder of</w:t>
      </w:r>
    </w:p>
    <w:p>
      <w:pPr>
        <w:sectPr>
          <w:pgSz w:w="11900" w:h="16838" w:orient="portrait"/>
          <w:cols w:equalWidth="0" w:num="1">
            <w:col w:w="10219"/>
          </w:cols>
          <w:pgMar w:left="240" w:top="142" w:right="1440" w:bottom="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Lynch and Interactive.</w:t>
      </w:r>
    </w:p>
    <w:p>
      <w:pPr>
        <w:spacing w:after="0" w:line="4" w:lineRule="exact"/>
        <w:rPr>
          <w:sz w:val="20"/>
          <w:szCs w:val="20"/>
          <w:color w:val="auto"/>
        </w:rPr>
      </w:pPr>
    </w:p>
    <w:p>
      <w:pPr>
        <w:jc w:val="both"/>
        <w:ind w:right="3479" w:firstLine="1053"/>
        <w:spacing w:after="0" w:line="268" w:lineRule="auto"/>
        <w:rPr>
          <w:sz w:val="20"/>
          <w:szCs w:val="20"/>
          <w:color w:val="auto"/>
        </w:rPr>
      </w:pPr>
      <w:r>
        <w:rPr>
          <w:rFonts w:ascii="Courier New" w:cs="Courier New" w:eastAsia="Courier New" w:hAnsi="Courier New"/>
          <w:sz w:val="16"/>
          <w:szCs w:val="16"/>
          <w:color w:val="auto"/>
        </w:rPr>
        <w:t>Mario Gabelli is the majority stockholder and Chairman of the Board of Directors and Chief Executive Officer of Gabelli Partners and GAMI, and the Chief Investment Officer for each of the Reporting Persons which are entities other than Gemini.</w:t>
      </w:r>
    </w:p>
    <w:p>
      <w:pPr>
        <w:spacing w:after="0" w:line="1" w:lineRule="exact"/>
        <w:rPr>
          <w:sz w:val="20"/>
          <w:szCs w:val="20"/>
          <w:color w:val="auto"/>
        </w:rPr>
      </w:pPr>
    </w:p>
    <w:p>
      <w:pPr>
        <w:ind w:right="3359"/>
        <w:spacing w:after="0" w:line="237" w:lineRule="auto"/>
        <w:rPr>
          <w:sz w:val="20"/>
          <w:szCs w:val="20"/>
          <w:color w:val="auto"/>
        </w:rPr>
      </w:pPr>
      <w:r>
        <w:rPr>
          <w:rFonts w:ascii="Courier New" w:cs="Courier New" w:eastAsia="Courier New" w:hAnsi="Courier New"/>
          <w:sz w:val="18"/>
          <w:szCs w:val="18"/>
          <w:color w:val="auto"/>
        </w:rPr>
        <w:t>Gabelli Partners is the majority shareholder of GAMI. GAMI, in turn, is the sole stockholder of GAMCO. GAMI is also the majority stockholder of GSI and the largest shareholder of Gabelli Advisers. Gabelli &amp; Company is a wholly-owned subsidiary of GSI. GLI is a wholly-owned subsidiary of GSI. Marc Gabelli is the majority stockholder of Gemini.</w:t>
      </w:r>
    </w:p>
    <w:p>
      <w:pPr>
        <w:spacing w:after="0" w:line="2" w:lineRule="exact"/>
        <w:rPr>
          <w:sz w:val="20"/>
          <w:szCs w:val="20"/>
          <w:color w:val="auto"/>
        </w:rPr>
      </w:pPr>
    </w:p>
    <w:p>
      <w:pPr>
        <w:jc w:val="right"/>
        <w:ind w:right="3359"/>
        <w:spacing w:after="0"/>
        <w:rPr>
          <w:sz w:val="20"/>
          <w:szCs w:val="20"/>
          <w:color w:val="auto"/>
        </w:rPr>
      </w:pPr>
      <w:r>
        <w:rPr>
          <w:rFonts w:ascii="Courier New" w:cs="Courier New" w:eastAsia="Courier New" w:hAnsi="Courier New"/>
          <w:sz w:val="18"/>
          <w:szCs w:val="18"/>
          <w:color w:val="auto"/>
        </w:rPr>
        <w:t>The Reporting Persons do not admit that they constitute</w:t>
      </w:r>
    </w:p>
    <w:p>
      <w:pPr>
        <w:spacing w:after="0" w:line="238" w:lineRule="auto"/>
        <w:rPr>
          <w:sz w:val="20"/>
          <w:szCs w:val="20"/>
          <w:color w:val="auto"/>
        </w:rPr>
      </w:pPr>
      <w:r>
        <w:rPr>
          <w:rFonts w:ascii="Courier New" w:cs="Courier New" w:eastAsia="Courier New" w:hAnsi="Courier New"/>
          <w:sz w:val="18"/>
          <w:szCs w:val="18"/>
          <w:color w:val="auto"/>
        </w:rPr>
        <w:t>a group.</w:t>
      </w:r>
    </w:p>
    <w:p>
      <w:pPr>
        <w:spacing w:after="0" w:line="5"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Gabelli Partners, GAMI, GAMCO, Gabelli &amp; Company and GLI are New York corporations and GSI and Gabelli Advisers are Delaware corporations, each having its principal business office at One Corporate Center, Rye, New York 10580. Gabelli Funds is a New York limited liability company having its principal business office at One Corporate Center, Rye, New York 10580. GPP is a New York limited partnership having its principal business office at 401 Theodore Fremd Ave., Rye, New York 10580. MJG Associates is a Connecticut corporation having its principal business office at 401 Theodore Fremd Ave., Rye, New York 10580. Gabelli Associates is a New York limited partnership having its principal business office at One Corporate Center, Rye, New York 10580. Alce and Multimedia Partners and GGP L.P. are Delaware limited partnerships each having its principal business office at One Corporate Center, Rye, New York 10580. GAL and GIL are corpora-tions organized under the laws of the British Virgin Islands, each having its principal business office at c/o Fortis Fund Services (Cayman) Limited, Grand Pavillion, Commercial Centre,</w:t>
      </w:r>
    </w:p>
    <w:p>
      <w:pPr>
        <w:spacing w:after="0" w:line="193"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802 West Bay Road, Grand Cayman, British West Indies. GGP Ltd. and GEP Ltd. are corporations organized under the laws of the Cayman Islands, each having its principal place of business at Goldman Sachs (Cayman) Trust, Limited, Harbour Center, 2nd Floor, North Church Street, Grand Cayman, British West Indies. GIL II is a corporation organized under the laws of the British Virgin Islands having its principal business office at c/o Coutts &amp; Company (Cayman) Limited, West Bay Road, Grand Cayman, British West Indies. Gemini is a Bermuda corporation having its principal business office at c/o Appleby, Spurling &amp; Kempe, Cedar House, 41 Cedar Avenue, Hamilton HM12, Bermuda. LDC is a corporation organized under the laws of the British Virgin Islands having its pricipal business office at c/o Tremont (Bermuda) Limited, Tremont House, 4 Park Road, Hamilton HM II, Bermuda. The Foundation is a private foundation having its principal offices at 165 West Liberty Street, Reno, Nevada 89501. Lynch is an Indiana corporation having its principal business office at 401 Theodore Fremd Avenue, Rye, NY 10580. Spinnaker is a Delaware corporation having its principal business office at 251 Welton Street, Hamden, CT 06511. Lynch and its affiliates make investments in marketable securities to preserve capital and maintain liquidity for financing their business activities and acquisitions (not in the case of Western New Mexico) and are not engaged in the business of investing, reinvesting, or trading in securities. Interactive and Brighton are Delaware corporations each having its principal place of business at 401 Theodore Fremd Avenue, Rye, NY 10580.</w:t>
      </w:r>
    </w:p>
    <w:p>
      <w:pPr>
        <w:spacing w:after="0" w:line="391" w:lineRule="exact"/>
        <w:rPr>
          <w:sz w:val="20"/>
          <w:szCs w:val="20"/>
          <w:color w:val="auto"/>
        </w:rPr>
      </w:pPr>
    </w:p>
    <w:p>
      <w:pPr>
        <w:ind w:right="3579" w:firstLine="1053"/>
        <w:spacing w:after="0" w:line="268" w:lineRule="auto"/>
        <w:rPr>
          <w:sz w:val="20"/>
          <w:szCs w:val="20"/>
          <w:color w:val="auto"/>
        </w:rPr>
      </w:pPr>
      <w:r>
        <w:rPr>
          <w:rFonts w:ascii="Courier New" w:cs="Courier New" w:eastAsia="Courier New" w:hAnsi="Courier New"/>
          <w:sz w:val="16"/>
          <w:szCs w:val="16"/>
          <w:color w:val="auto"/>
        </w:rPr>
        <w:t>For information required by instruction C to Schedule 13D with respect to the executive officers and directors of the foregoing entities and other related persons (collectively, "Covered Persons"), reference is made to Schedule I annexed hereto and incorporated herein by reference.</w:t>
      </w:r>
    </w:p>
    <w:p>
      <w:pPr>
        <w:ind w:left="540"/>
        <w:spacing w:after="0" w:line="234" w:lineRule="auto"/>
        <w:rPr>
          <w:sz w:val="20"/>
          <w:szCs w:val="20"/>
          <w:color w:val="auto"/>
        </w:rPr>
      </w:pPr>
      <w:r>
        <w:rPr>
          <w:rFonts w:ascii="Courier New" w:cs="Courier New" w:eastAsia="Courier New" w:hAnsi="Courier New"/>
          <w:sz w:val="18"/>
          <w:szCs w:val="18"/>
          <w:color w:val="auto"/>
        </w:rPr>
        <w:t>(f) - Reference is made to Schedule I hereto.</w:t>
      </w:r>
    </w:p>
    <w:p>
      <w:pPr>
        <w:spacing w:after="0"/>
        <w:tabs>
          <w:tab w:leader="none" w:pos="104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 Consideration</w:t>
      </w:r>
    </w:p>
    <w:p>
      <w:pPr>
        <w:spacing w:after="0" w:line="3"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The Reporting Persons used an aggregate of approximate-ly $3,774,420 to purchase the Securities reported as beneficially owned in Item 5 below. GAMCO and Gabelli Funds used approximately $3,175,920 and $598,000, respectively, of funds that were provided through the accounts of certain of their investment advisory clients (and, in the case of some of such accounts at GAMCO, may be through borrowings from client margin accounts)in order to purchase the Securities for such clients. Item 4. Purpose of Transaction</w:t>
      </w:r>
    </w:p>
    <w:p>
      <w:pPr>
        <w:spacing w:after="0" w:line="11"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Each of the Reporting Persons, with the exceptions of Lynch and its affiliates, has purchased and holds the Securities reported by it for investment for one or more accounts over which it has shared, sole, or both investment and/or voting power, for its own account, or both.</w:t>
      </w:r>
    </w:p>
    <w:p>
      <w:pPr>
        <w:spacing w:after="0" w:line="6"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The Reporting Persons, with the exceptions of Lynch and its affiliates, are engaged in the business of securities</w:t>
      </w:r>
    </w:p>
    <w:p>
      <w:pPr>
        <w:sectPr>
          <w:pgSz w:w="11900" w:h="16838" w:orient="portrait"/>
          <w:cols w:equalWidth="0" w:num="1">
            <w:col w:w="10219"/>
          </w:cols>
          <w:pgMar w:left="240" w:top="136" w:right="1440" w:bottom="0" w:gutter="0" w:footer="0" w:header="0"/>
        </w:sectPr>
      </w:pPr>
    </w:p>
    <w:bookmarkStart w:id="8" w:name="page9"/>
    <w:bookmarkEnd w:id="8"/>
    <w:p>
      <w:pPr>
        <w:ind w:right="3359"/>
        <w:spacing w:after="0" w:line="238" w:lineRule="auto"/>
        <w:rPr>
          <w:sz w:val="20"/>
          <w:szCs w:val="20"/>
          <w:color w:val="auto"/>
        </w:rPr>
      </w:pPr>
      <w:r>
        <w:rPr>
          <w:rFonts w:ascii="Courier New" w:cs="Courier New" w:eastAsia="Courier New" w:hAnsi="Courier New"/>
          <w:sz w:val="18"/>
          <w:szCs w:val="18"/>
          <w:color w:val="auto"/>
        </w:rPr>
        <w:t>analysis and investment and pursue an investment philosophy of identifying undervalued situations. In pursuing this investment philosophy, the Reporting Persons analyze the operations, capital structure and markets of companies in which they invest, including the Issuer, on a continuous basis through analysis of documentation and discussions with knowledgeable industry and market observers and with representatives of such companies (often at the invitation of management). The Reporting Persons do not believe they possess material inside information concerning the Issuer. As a result of these analytical activities one or more of the Reporting Persons may issue analysts reports, participate in interviews or hold discussions with third parties or with management in which the Reporting Person may suggest or take a position with respect to potential changes in the opera-tions, management or capital structure of such companies as a means of enhancing shareholder values. Such suggestions or positions may relate to one or more of the transactions specified in clauses (a) through (j) of Item 4 of the Schedule 13D form, including, without limitation, such matters as disposing of one or more businesses, selling the company or acquiring another company or business, changing operating or marketing strategies, adopting or not adopting, certain types of anti-takeover measures and restructuring the company's capitalization or dividend poli-cy.</w:t>
      </w:r>
    </w:p>
    <w:p>
      <w:pPr>
        <w:spacing w:after="0" w:line="9" w:lineRule="exact"/>
        <w:rPr>
          <w:sz w:val="20"/>
          <w:szCs w:val="20"/>
          <w:color w:val="auto"/>
        </w:rPr>
      </w:pPr>
    </w:p>
    <w:p>
      <w:pPr>
        <w:ind w:right="3359" w:firstLine="1053"/>
        <w:spacing w:after="0" w:line="269" w:lineRule="auto"/>
        <w:rPr>
          <w:sz w:val="20"/>
          <w:szCs w:val="20"/>
          <w:color w:val="auto"/>
        </w:rPr>
      </w:pPr>
      <w:r>
        <w:rPr>
          <w:rFonts w:ascii="Courier New" w:cs="Courier New" w:eastAsia="Courier New" w:hAnsi="Courier New"/>
          <w:sz w:val="16"/>
          <w:szCs w:val="16"/>
          <w:color w:val="auto"/>
        </w:rPr>
        <w:t>Each of the Reporting Persons intends to adhere to the foregoing investment philosophy with respect to the Issuer. How-ever, none of the Reporting Persons intends to seek control of the Issuer or participate in the management of the Issuer, and any Reporting Person that is registered as an investment company under the l940 Act will participate in such a transaction only following receipt of an exemption from the SEC under Rule l7D-l under the l940 Act, if required, and in accordance with other applicable law. In pursuing this investment philosophy, each Reporting Person will continuously assess the Issuer's business, financial condition, results of operations and prospects, general economic conditions, the securities markets in general and those for the Issuer's securities in particular, other developments and other investment opportunities, as well as the investment objectives and diversification requirements of its shareholders or clients and its fiduciary duties to such shareholders or clients. Depending on such assessments, one or more of the Reporting Persons may acquire additional Securities or may determine to sell or otherwise dispose of all or some of its holdings of Securities. Although the Reporting Persons share the same basic investment philosophy and although portfolio decisions are made by or under the supervision of Mario Gabelli, the investment objectives and diversification requirements of various clients differ from those of other clients so that one or more Reporting Persons may be acquiring Securities while others are disposing of Securities.</w:t>
      </w:r>
    </w:p>
    <w:p>
      <w:pPr>
        <w:spacing w:after="0" w:line="391" w:lineRule="exact"/>
        <w:rPr>
          <w:sz w:val="20"/>
          <w:szCs w:val="20"/>
          <w:color w:val="auto"/>
        </w:rPr>
      </w:pPr>
    </w:p>
    <w:p>
      <w:pPr>
        <w:ind w:right="3359" w:firstLine="1053"/>
        <w:spacing w:after="0" w:line="270" w:lineRule="auto"/>
        <w:rPr>
          <w:sz w:val="20"/>
          <w:szCs w:val="20"/>
          <w:color w:val="auto"/>
        </w:rPr>
      </w:pPr>
      <w:r>
        <w:rPr>
          <w:rFonts w:ascii="Courier New" w:cs="Courier New" w:eastAsia="Courier New" w:hAnsi="Courier New"/>
          <w:sz w:val="16"/>
          <w:szCs w:val="16"/>
          <w:color w:val="auto"/>
        </w:rPr>
        <w:t>With respect to voting of the Securities, the Reporting Persons have adopted general voting policies relating to voting on specified issues affecting corporate governance and sharehold-er values. Under these policies, the Reporting Persons generally vote all securities over which they have voting power in favor of cumulative voting, financially reasonable golden parachutes, one share one vote, management cash incentives and pre-emptive rights and against greenmail, poison pills, supermajority voting, blank check preferred stock and super-dilutive stock options. Exceptions may be made when management otherwise demonstrates superior sensitivity to the needs of shareholders. In the event that the aggregate voting position of all joint filers shall exceed 25% of the total voting position of the issuer then the proxy voting committees of each of the Funds shall vote their Fund's shares independently.</w:t>
      </w:r>
    </w:p>
    <w:p>
      <w:pPr>
        <w:spacing w:after="0" w:line="184" w:lineRule="exact"/>
        <w:rPr>
          <w:sz w:val="20"/>
          <w:szCs w:val="20"/>
          <w:color w:val="auto"/>
        </w:rPr>
      </w:pPr>
    </w:p>
    <w:p>
      <w:pPr>
        <w:ind w:right="3359" w:firstLine="1053"/>
        <w:spacing w:after="0" w:line="237" w:lineRule="auto"/>
        <w:rPr>
          <w:sz w:val="20"/>
          <w:szCs w:val="20"/>
          <w:color w:val="auto"/>
        </w:rPr>
      </w:pPr>
      <w:r>
        <w:rPr>
          <w:rFonts w:ascii="Courier New" w:cs="Courier New" w:eastAsia="Courier New" w:hAnsi="Courier New"/>
          <w:sz w:val="18"/>
          <w:szCs w:val="18"/>
          <w:color w:val="auto"/>
        </w:rPr>
        <w:t>Each of the Covered Persons who is not a Reporting Person has purchased the Securities reported herein as benefi-cially owned by him for investment for his own account or that of one or more members of his immediate family. Each such person may acquire additional Securities or dispose of some or all of the Securities reported herein with respect to him.</w:t>
      </w:r>
    </w:p>
    <w:p>
      <w:pPr>
        <w:spacing w:after="0" w:line="7" w:lineRule="exact"/>
        <w:rPr>
          <w:sz w:val="20"/>
          <w:szCs w:val="20"/>
          <w:color w:val="auto"/>
        </w:rPr>
      </w:pPr>
    </w:p>
    <w:p>
      <w:pPr>
        <w:ind w:right="3679" w:firstLine="1053"/>
        <w:spacing w:after="0" w:line="237" w:lineRule="auto"/>
        <w:rPr>
          <w:sz w:val="20"/>
          <w:szCs w:val="20"/>
          <w:color w:val="auto"/>
        </w:rPr>
      </w:pPr>
      <w:r>
        <w:rPr>
          <w:rFonts w:ascii="Courier New" w:cs="Courier New" w:eastAsia="Courier New" w:hAnsi="Courier New"/>
          <w:sz w:val="18"/>
          <w:szCs w:val="18"/>
          <w:color w:val="auto"/>
        </w:rPr>
        <w:t>Other than as described above, none of the Reporting Persons and none of the Covered Persons who is not a Reporting Person has any present plans or proposals which relate to or would result in any transaction, change or event specified in clauses (a) through (j) of Item 4 of the Schedule 13D. Item 5. Interest In Securities Of The Issuer</w:t>
      </w:r>
    </w:p>
    <w:p>
      <w:pPr>
        <w:spacing w:after="0" w:line="7" w:lineRule="exact"/>
        <w:rPr>
          <w:sz w:val="20"/>
          <w:szCs w:val="20"/>
          <w:color w:val="auto"/>
        </w:rPr>
      </w:pPr>
    </w:p>
    <w:p>
      <w:pPr>
        <w:ind w:right="3479" w:firstLine="1061"/>
        <w:spacing w:after="0" w:line="275" w:lineRule="auto"/>
        <w:tabs>
          <w:tab w:leader="none" w:pos="1580" w:val="left"/>
        </w:tabs>
        <w:numPr>
          <w:ilvl w:val="0"/>
          <w:numId w:val="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aggregate number and percentage of Securities to which this Schedule 13D relates is 282,000 shares, repre-senting 6.73% of the 4,188,666 shares reported as being outstanding (less treasury shares) in the Issuer's most recently</w:t>
      </w:r>
    </w:p>
    <w:p>
      <w:pPr>
        <w:sectPr>
          <w:pgSz w:w="11900" w:h="16838" w:orient="portrait"/>
          <w:cols w:equalWidth="0" w:num="1">
            <w:col w:w="10219"/>
          </w:cols>
          <w:pgMar w:left="240" w:top="142" w:right="1440" w:bottom="0" w:gutter="0" w:footer="0" w:header="0"/>
        </w:sectPr>
      </w:pPr>
    </w:p>
    <w:bookmarkStart w:id="9" w:name="page10"/>
    <w:bookmarkEnd w:id="9"/>
    <w:p>
      <w:pPr>
        <w:spacing w:after="0" w:line="135" w:lineRule="exact"/>
        <w:rPr>
          <w:sz w:val="20"/>
          <w:szCs w:val="20"/>
          <w:color w:val="auto"/>
        </w:rPr>
      </w:pPr>
    </w:p>
    <w:p>
      <w:pPr>
        <w:ind w:right="3579"/>
        <w:spacing w:after="0" w:line="290" w:lineRule="auto"/>
        <w:rPr>
          <w:sz w:val="20"/>
          <w:szCs w:val="20"/>
          <w:color w:val="auto"/>
        </w:rPr>
      </w:pPr>
      <w:r>
        <w:rPr>
          <w:rFonts w:ascii="Courier New" w:cs="Courier New" w:eastAsia="Courier New" w:hAnsi="Courier New"/>
          <w:sz w:val="16"/>
          <w:szCs w:val="16"/>
          <w:color w:val="auto"/>
        </w:rPr>
        <w:t>filed Form 10-K for the fiscal year ended July 31, 2000. The Reporting Persons beneficially own those Securities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780" w:type="dxa"/>
            <w:vAlign w:val="bottom"/>
          </w:tcPr>
          <w:p>
            <w:pPr>
              <w:ind w:left="1320"/>
              <w:spacing w:after="0"/>
              <w:rPr>
                <w:sz w:val="20"/>
                <w:szCs w:val="20"/>
                <w:color w:val="auto"/>
              </w:rPr>
            </w:pPr>
            <w:r>
              <w:rPr>
                <w:rFonts w:ascii="Courier New" w:cs="Courier New" w:eastAsia="Courier New" w:hAnsi="Courier New"/>
                <w:sz w:val="18"/>
                <w:szCs w:val="18"/>
                <w:color w:val="auto"/>
              </w:rPr>
              <w:t>Shares of</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 of</w:t>
            </w:r>
          </w:p>
        </w:tc>
      </w:tr>
      <w:tr>
        <w:trPr>
          <w:trHeight w:val="203"/>
        </w:trPr>
        <w:tc>
          <w:tcPr>
            <w:tcW w:w="4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7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Common</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4"/>
              </w:rPr>
              <w:t>Class of</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Name</w:t>
            </w:r>
          </w:p>
        </w:tc>
        <w:tc>
          <w:tcPr>
            <w:tcW w:w="1900" w:type="dxa"/>
            <w:vAlign w:val="bottom"/>
          </w:tcPr>
          <w:p>
            <w:pPr>
              <w:spacing w:after="0"/>
              <w:rPr>
                <w:sz w:val="17"/>
                <w:szCs w:val="17"/>
                <w:color w:val="auto"/>
              </w:rPr>
            </w:pPr>
          </w:p>
        </w:tc>
        <w:tc>
          <w:tcPr>
            <w:tcW w:w="2780" w:type="dxa"/>
            <w:vAlign w:val="bottom"/>
          </w:tcPr>
          <w:p>
            <w:pPr>
              <w:ind w:left="1320"/>
              <w:spacing w:after="0" w:line="203" w:lineRule="exact"/>
              <w:rPr>
                <w:sz w:val="20"/>
                <w:szCs w:val="20"/>
                <w:color w:val="auto"/>
              </w:rPr>
            </w:pPr>
            <w:r>
              <w:rPr>
                <w:rFonts w:ascii="Courier New" w:cs="Courier New" w:eastAsia="Courier New" w:hAnsi="Courier New"/>
                <w:sz w:val="18"/>
                <w:szCs w:val="18"/>
                <w:color w:val="auto"/>
              </w:rPr>
              <w:t>Stock</w:t>
            </w:r>
          </w:p>
        </w:tc>
        <w:tc>
          <w:tcPr>
            <w:tcW w:w="14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Common</w:t>
            </w:r>
          </w:p>
        </w:tc>
      </w:tr>
      <w:tr>
        <w:trPr>
          <w:trHeight w:val="608"/>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Gabelli Funds:</w:t>
            </w:r>
          </w:p>
        </w:tc>
        <w:tc>
          <w:tcPr>
            <w:tcW w:w="2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78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w:t>
            </w:r>
          </w:p>
        </w:tc>
        <w:tc>
          <w:tcPr>
            <w:tcW w:w="278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45,000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w:t>
            </w: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GAMCO:</w:t>
            </w:r>
          </w:p>
        </w:tc>
        <w:tc>
          <w:tcPr>
            <w:tcW w:w="27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Principal</w:t>
            </w:r>
          </w:p>
        </w:tc>
        <w:tc>
          <w:tcPr>
            <w:tcW w:w="278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0.00%</w:t>
            </w:r>
          </w:p>
        </w:tc>
      </w:tr>
      <w:tr>
        <w:trPr>
          <w:trHeight w:val="203"/>
        </w:trPr>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As</w:t>
            </w:r>
          </w:p>
        </w:tc>
        <w:tc>
          <w:tcPr>
            <w:tcW w:w="19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Agent</w:t>
            </w:r>
          </w:p>
        </w:tc>
        <w:tc>
          <w:tcPr>
            <w:tcW w:w="2780" w:type="dxa"/>
            <w:vAlign w:val="bottom"/>
          </w:tcPr>
          <w:p>
            <w:pPr>
              <w:jc w:val="right"/>
              <w:ind w:right="1052"/>
              <w:spacing w:after="0" w:line="203" w:lineRule="exact"/>
              <w:rPr>
                <w:sz w:val="20"/>
                <w:szCs w:val="20"/>
                <w:color w:val="auto"/>
              </w:rPr>
            </w:pPr>
            <w:r>
              <w:rPr>
                <w:rFonts w:ascii="Courier New" w:cs="Courier New" w:eastAsia="Courier New" w:hAnsi="Courier New"/>
                <w:sz w:val="18"/>
                <w:szCs w:val="18"/>
                <w:color w:val="auto"/>
              </w:rPr>
              <w:t>237,000</w:t>
            </w: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5.66%</w:t>
            </w:r>
          </w:p>
        </w:tc>
      </w:tr>
      <w:tr>
        <w:trPr>
          <w:trHeight w:val="405"/>
        </w:trPr>
        <w:tc>
          <w:tcPr>
            <w:tcW w:w="480" w:type="dxa"/>
            <w:vAlign w:val="bottom"/>
          </w:tcPr>
          <w:p>
            <w:pPr>
              <w:jc w:val="right"/>
              <w:spacing w:after="0"/>
              <w:rPr>
                <w:sz w:val="20"/>
                <w:szCs w:val="20"/>
                <w:color w:val="auto"/>
              </w:rPr>
            </w:pPr>
            <w:r>
              <w:rPr>
                <w:rFonts w:ascii="Courier New" w:cs="Courier New" w:eastAsia="Courier New" w:hAnsi="Courier New"/>
                <w:sz w:val="18"/>
                <w:szCs w:val="18"/>
                <w:color w:val="auto"/>
                <w:w w:val="92"/>
              </w:rPr>
              <w:t>Marc</w:t>
            </w:r>
          </w:p>
        </w:tc>
        <w:tc>
          <w:tcPr>
            <w:tcW w:w="1900" w:type="dxa"/>
            <w:vAlign w:val="bottom"/>
          </w:tcPr>
          <w:p>
            <w:pPr>
              <w:ind w:left="60"/>
              <w:spacing w:after="0"/>
              <w:rPr>
                <w:sz w:val="20"/>
                <w:szCs w:val="20"/>
                <w:color w:val="auto"/>
              </w:rPr>
            </w:pPr>
            <w:r>
              <w:rPr>
                <w:rFonts w:ascii="Courier New" w:cs="Courier New" w:eastAsia="Courier New" w:hAnsi="Courier New"/>
                <w:sz w:val="18"/>
                <w:szCs w:val="18"/>
                <w:color w:val="auto"/>
              </w:rPr>
              <w:t>Gabelli</w:t>
            </w:r>
          </w:p>
        </w:tc>
        <w:tc>
          <w:tcPr>
            <w:tcW w:w="278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0.00%</w:t>
            </w:r>
          </w:p>
        </w:tc>
      </w:tr>
      <w:tr>
        <w:trPr>
          <w:trHeight w:val="405"/>
        </w:trPr>
        <w:tc>
          <w:tcPr>
            <w:tcW w:w="2380" w:type="dxa"/>
            <w:vAlign w:val="bottom"/>
            <w:gridSpan w:val="2"/>
          </w:tcPr>
          <w:p>
            <w:pPr>
              <w:spacing w:after="0"/>
              <w:rPr>
                <w:sz w:val="20"/>
                <w:szCs w:val="20"/>
                <w:color w:val="auto"/>
              </w:rPr>
            </w:pPr>
            <w:r>
              <w:rPr>
                <w:rFonts w:ascii="Courier New" w:cs="Courier New" w:eastAsia="Courier New" w:hAnsi="Courier New"/>
                <w:sz w:val="18"/>
                <w:szCs w:val="18"/>
                <w:color w:val="auto"/>
              </w:rPr>
              <w:t>Mario Gabelli</w:t>
            </w:r>
          </w:p>
        </w:tc>
        <w:tc>
          <w:tcPr>
            <w:tcW w:w="2780" w:type="dxa"/>
            <w:vAlign w:val="bottom"/>
          </w:tcPr>
          <w:p>
            <w:pPr>
              <w:jc w:val="right"/>
              <w:ind w:right="1052"/>
              <w:spacing w:after="0"/>
              <w:rPr>
                <w:sz w:val="20"/>
                <w:szCs w:val="20"/>
                <w:color w:val="auto"/>
              </w:rPr>
            </w:pPr>
            <w:r>
              <w:rPr>
                <w:rFonts w:ascii="Courier New" w:cs="Courier New" w:eastAsia="Courier New" w:hAnsi="Courier New"/>
                <w:sz w:val="18"/>
                <w:szCs w:val="18"/>
                <w:color w:val="auto"/>
              </w:rPr>
              <w:t>0</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0.00%</w:t>
            </w:r>
          </w:p>
        </w:tc>
      </w:tr>
    </w:tbl>
    <w:p>
      <w:pPr>
        <w:spacing w:after="0" w:line="200" w:lineRule="exact"/>
        <w:rPr>
          <w:sz w:val="20"/>
          <w:szCs w:val="20"/>
          <w:color w:val="auto"/>
        </w:rPr>
      </w:pPr>
    </w:p>
    <w:p>
      <w:pPr>
        <w:spacing w:after="0" w:line="209" w:lineRule="exact"/>
        <w:rPr>
          <w:sz w:val="20"/>
          <w:szCs w:val="20"/>
          <w:color w:val="auto"/>
        </w:rPr>
      </w:pPr>
    </w:p>
    <w:p>
      <w:pPr>
        <w:ind w:right="3359" w:firstLine="1053"/>
        <w:spacing w:after="0" w:line="475" w:lineRule="auto"/>
        <w:rPr>
          <w:sz w:val="20"/>
          <w:szCs w:val="20"/>
          <w:color w:val="auto"/>
        </w:rPr>
      </w:pPr>
      <w:r>
        <w:rPr>
          <w:rFonts w:ascii="Courier New" w:cs="Courier New" w:eastAsia="Courier New" w:hAnsi="Courier New"/>
          <w:sz w:val="18"/>
          <w:szCs w:val="18"/>
          <w:color w:val="auto"/>
        </w:rPr>
        <w:t>Mario Gabelli is deemed to have beneficial ownership of the Securities owned beneficially by each of the foregoing persons other than Marc Gabelli. GAMI and Gabelli Partners are deemed to have beneficial ownership of the Securities owned beneficially by each the foregoing persons other than Mario Gabelli and Marc Gabelli.</w:t>
      </w:r>
    </w:p>
    <w:p>
      <w:pPr>
        <w:spacing w:after="0" w:line="10" w:lineRule="exact"/>
        <w:rPr>
          <w:sz w:val="20"/>
          <w:szCs w:val="20"/>
          <w:color w:val="auto"/>
        </w:rPr>
      </w:pPr>
    </w:p>
    <w:p>
      <w:pPr>
        <w:ind w:right="3359" w:firstLine="851"/>
        <w:spacing w:after="0" w:line="475" w:lineRule="auto"/>
        <w:tabs>
          <w:tab w:leader="none" w:pos="1264" w:val="left"/>
        </w:tabs>
        <w:numPr>
          <w:ilvl w:val="1"/>
          <w:numId w:val="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of the Reporting Persons and Covered Persons has the sole power to vote or direct the vote and sole power to dispose or to direct the disposition of the Securities reported for it, either for its own benefit or for the benefit of its investment clients or its partners, as the case may be, except that (i) Gabelli Funds has sole dispositive and</w:t>
      </w:r>
    </w:p>
    <w:p>
      <w:pPr>
        <w:spacing w:after="0" w:line="9" w:lineRule="exact"/>
        <w:rPr>
          <w:rFonts w:ascii="Courier New" w:cs="Courier New" w:eastAsia="Courier New" w:hAnsi="Courier New"/>
          <w:sz w:val="18"/>
          <w:szCs w:val="18"/>
          <w:color w:val="auto"/>
        </w:rPr>
      </w:pPr>
    </w:p>
    <w:p>
      <w:pPr>
        <w:ind w:right="3359"/>
        <w:spacing w:after="0" w:line="47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voting power with respect to the shares of the Issuer held by the Funds so long as the aggregate voting interest of all joint filers does not exceed 25% of their total voting interest in the Issuer and, in that event, the Proxy Voting Committee of each Fund shall respectively vote that Fund's shares, (ii) at any time, the Proxy Voting Committee of each such Fund may take and exercise in its sole discretion the entire voting power with respect to the shares held by such fund under special circum-stances such as regulatory considerations, and (iii) the power of Mario Gabelli, Marc Gabelli, MJG Associates, GAMI and Gabelli Partners is indirect with respect to Securities beneficially owned directly by other Reporting Persons.</w:t>
      </w:r>
    </w:p>
    <w:p>
      <w:pPr>
        <w:spacing w:after="0" w:line="8" w:lineRule="exact"/>
        <w:rPr>
          <w:rFonts w:ascii="Courier New" w:cs="Courier New" w:eastAsia="Courier New" w:hAnsi="Courier New"/>
          <w:sz w:val="18"/>
          <w:szCs w:val="18"/>
          <w:color w:val="auto"/>
        </w:rPr>
      </w:pPr>
    </w:p>
    <w:p>
      <w:pPr>
        <w:ind w:right="3359" w:firstLine="745"/>
        <w:spacing w:after="0" w:line="543" w:lineRule="auto"/>
        <w:tabs>
          <w:tab w:leader="none" w:pos="1159" w:val="left"/>
        </w:tabs>
        <w:numPr>
          <w:ilvl w:val="0"/>
          <w:numId w:val="42"/>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Information with respect to all transactions in the Securities which were effected during the past sixty days or since the most recent filing on Schedule 13D, whichever is less, by each of the Reporting Persons and Covered Persons is set forth</w:t>
      </w:r>
    </w:p>
    <w:p>
      <w:pPr>
        <w:sectPr>
          <w:pgSz w:w="11900" w:h="16973" w:orient="portrait"/>
          <w:cols w:equalWidth="0" w:num="1">
            <w:col w:w="10219"/>
          </w:cols>
          <w:pgMar w:left="240" w:top="142" w:right="1440" w:bottom="0" w:gutter="0" w:footer="0" w:header="0"/>
        </w:sectPr>
      </w:pPr>
    </w:p>
    <w:bookmarkStart w:id="10" w:name="page11"/>
    <w:bookmarkEnd w:id="10"/>
    <w:p>
      <w:pPr>
        <w:spacing w:after="0"/>
        <w:rPr>
          <w:sz w:val="20"/>
          <w:szCs w:val="20"/>
          <w:color w:val="auto"/>
        </w:rPr>
      </w:pPr>
      <w:r>
        <w:rPr>
          <w:rFonts w:ascii="Courier New" w:cs="Courier New" w:eastAsia="Courier New" w:hAnsi="Courier New"/>
          <w:sz w:val="18"/>
          <w:szCs w:val="18"/>
          <w:color w:val="auto"/>
        </w:rPr>
        <w:t>on Schedule II annexed hereto and incorporated herein by refer-</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ence.</w:t>
      </w:r>
    </w:p>
    <w:p>
      <w:pPr>
        <w:spacing w:after="0" w:line="207" w:lineRule="exact"/>
        <w:rPr>
          <w:sz w:val="20"/>
          <w:szCs w:val="20"/>
          <w:color w:val="auto"/>
        </w:rPr>
      </w:pPr>
    </w:p>
    <w:p>
      <w:pPr>
        <w:ind w:right="3359" w:firstLine="535"/>
        <w:spacing w:after="0" w:line="539" w:lineRule="auto"/>
        <w:tabs>
          <w:tab w:leader="none" w:pos="948"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investment advisory clients of Gabelli Funds, Gabelli Advisers, GAMCO, MJG Associates and Gemini, the partners of the various partnerships managed by Mario Gabelli and GSI (including GPP, Gabelli Associates, ALCE, and Multimedia Partners to the extent of their economic interest there-in) and the shareholders of GIL, GIL II and LDC which Mario Gabelli manages and GAL which is managed by GSI have the sole right to receive and, subject to the notice, withdrawal and/or termination provi-sions of such advisory contracts and partnership arrangements, the sole power to direct the receipt of dividends from, and the proceeds of sale of, any of the Securities beneficially owned by such Reporting Persons. Except as noted, no such client or partner has an interest by virtue of such relationship that relates to more than 5% of the Securities.</w:t>
      </w:r>
    </w:p>
    <w:p>
      <w:pPr>
        <w:spacing w:after="0" w:line="374" w:lineRule="exact"/>
        <w:rPr>
          <w:rFonts w:ascii="Courier New" w:cs="Courier New" w:eastAsia="Courier New" w:hAnsi="Courier New"/>
          <w:sz w:val="16"/>
          <w:szCs w:val="16"/>
          <w:color w:val="auto"/>
        </w:rPr>
      </w:pPr>
    </w:p>
    <w:p>
      <w:pPr>
        <w:ind w:left="1060" w:hanging="420"/>
        <w:spacing w:after="0"/>
        <w:tabs>
          <w:tab w:leader="none" w:pos="1060" w:val="left"/>
        </w:tabs>
        <w:numPr>
          <w:ilvl w:val="1"/>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1060" w:right="3479" w:hanging="1052"/>
        <w:spacing w:after="0" w:line="290" w:lineRule="auto"/>
        <w:tabs>
          <w:tab w:leader="none" w:pos="10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Contracts, Arrangements, Understandings or Relationships with Respect to Securities of the Issuer</w:t>
      </w:r>
    </w:p>
    <w:p>
      <w:pPr>
        <w:spacing w:after="0" w:line="170" w:lineRule="exact"/>
        <w:rPr>
          <w:sz w:val="20"/>
          <w:szCs w:val="20"/>
          <w:color w:val="auto"/>
        </w:rPr>
      </w:pPr>
    </w:p>
    <w:p>
      <w:pPr>
        <w:ind w:right="3159" w:firstLine="1053"/>
        <w:spacing w:after="0" w:line="237" w:lineRule="auto"/>
        <w:rPr>
          <w:sz w:val="20"/>
          <w:szCs w:val="20"/>
          <w:color w:val="auto"/>
        </w:rPr>
      </w:pPr>
      <w:r>
        <w:rPr>
          <w:rFonts w:ascii="Courier New" w:cs="Courier New" w:eastAsia="Courier New" w:hAnsi="Courier New"/>
          <w:sz w:val="18"/>
          <w:szCs w:val="18"/>
          <w:color w:val="auto"/>
        </w:rPr>
        <w:t>The powers of disposition and voting of Gabelli Funds, Gabelli Advisers, GAMCO, MJG Associates and Gemini with respect to Securities owned beneficially by them on behalf of their investment advisory clients, of Mario Gabelli and GSI with respect to Securities owned beneficially by them on behalf of the partnerships which they directly or indirectly manage, and of GIL, GIL II, GAL, LDC and GIGFL with respect to Securities owned beneficially by them on behalf of their shareholders, are held pursuant to written agreements with such clients and partnerships. Item 7. Material to be Filed as an Exhibit</w:t>
      </w:r>
    </w:p>
    <w:p>
      <w:pPr>
        <w:spacing w:after="0" w:line="12" w:lineRule="exact"/>
        <w:rPr>
          <w:sz w:val="20"/>
          <w:szCs w:val="20"/>
          <w:color w:val="auto"/>
        </w:rPr>
      </w:pPr>
    </w:p>
    <w:p>
      <w:pPr>
        <w:ind w:right="3159" w:firstLine="1053"/>
        <w:spacing w:after="0" w:line="268" w:lineRule="auto"/>
        <w:rPr>
          <w:sz w:val="20"/>
          <w:szCs w:val="20"/>
          <w:color w:val="auto"/>
        </w:rPr>
      </w:pPr>
      <w:r>
        <w:rPr>
          <w:rFonts w:ascii="Courier New" w:cs="Courier New" w:eastAsia="Courier New" w:hAnsi="Courier New"/>
          <w:sz w:val="16"/>
          <w:szCs w:val="16"/>
          <w:color w:val="auto"/>
        </w:rPr>
        <w:t>The following Exhibit A is attached hereto. The following Exhibit B is incorporated by reference to Exhibit B in the Amendment No. 18 to Schedule 13D filed by certain of the Reporting Persons with respect to Hector Communications Corporation.</w:t>
      </w:r>
    </w:p>
    <w:p>
      <w:pPr>
        <w:ind w:left="1060"/>
        <w:spacing w:after="0"/>
        <w:tabs>
          <w:tab w:leader="none" w:pos="2840" w:val="left"/>
        </w:tabs>
        <w:rPr>
          <w:sz w:val="20"/>
          <w:szCs w:val="20"/>
          <w:color w:val="auto"/>
        </w:rPr>
      </w:pPr>
      <w:r>
        <w:rPr>
          <w:rFonts w:ascii="Courier New" w:cs="Courier New" w:eastAsia="Courier New" w:hAnsi="Courier New"/>
          <w:sz w:val="18"/>
          <w:szCs w:val="18"/>
          <w:color w:val="auto"/>
        </w:rPr>
        <w:t>Exhibit A:</w:t>
      </w:r>
      <w:r>
        <w:rPr>
          <w:sz w:val="20"/>
          <w:szCs w:val="20"/>
          <w:color w:val="auto"/>
        </w:rPr>
        <w:tab/>
      </w:r>
      <w:r>
        <w:rPr>
          <w:rFonts w:ascii="Courier New" w:cs="Courier New" w:eastAsia="Courier New" w:hAnsi="Courier New"/>
          <w:sz w:val="16"/>
          <w:szCs w:val="16"/>
          <w:color w:val="auto"/>
        </w:rPr>
        <w:t>Joint Filing Agreement</w:t>
      </w:r>
    </w:p>
    <w:p>
      <w:pPr>
        <w:spacing w:after="0" w:line="207" w:lineRule="exact"/>
        <w:rPr>
          <w:sz w:val="20"/>
          <w:szCs w:val="20"/>
          <w:color w:val="auto"/>
        </w:rPr>
      </w:pPr>
    </w:p>
    <w:p>
      <w:pPr>
        <w:jc w:val="both"/>
        <w:ind w:left="2860" w:right="3359" w:hanging="1790"/>
        <w:spacing w:after="0" w:line="236" w:lineRule="auto"/>
        <w:tabs>
          <w:tab w:leader="none" w:pos="2840" w:val="left"/>
        </w:tabs>
        <w:rPr>
          <w:sz w:val="20"/>
          <w:szCs w:val="20"/>
          <w:color w:val="auto"/>
        </w:rPr>
      </w:pPr>
      <w:r>
        <w:rPr>
          <w:rFonts w:ascii="Courier New" w:cs="Courier New" w:eastAsia="Courier New" w:hAnsi="Courier New"/>
          <w:sz w:val="18"/>
          <w:szCs w:val="18"/>
          <w:color w:val="auto"/>
        </w:rPr>
        <w:t>Exhibit B:</w:t>
      </w:r>
      <w:r>
        <w:rPr>
          <w:sz w:val="20"/>
          <w:szCs w:val="20"/>
          <w:color w:val="auto"/>
        </w:rPr>
        <w:tab/>
      </w:r>
      <w:r>
        <w:rPr>
          <w:rFonts w:ascii="Courier New" w:cs="Courier New" w:eastAsia="Courier New" w:hAnsi="Courier New"/>
          <w:sz w:val="18"/>
          <w:szCs w:val="18"/>
          <w:color w:val="auto"/>
        </w:rPr>
        <w:t>Power of Attorney to Stephen G. Bondi, Peter D. Goldstein, and James E. McKee from Robert E. Dolan.</w:t>
      </w:r>
    </w:p>
    <w:p>
      <w:pPr>
        <w:spacing w:after="0" w:line="203"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 to Stephen G. Bondi,</w:t>
      </w:r>
    </w:p>
    <w:p>
      <w:pPr>
        <w:ind w:left="2860"/>
        <w:spacing w:after="0" w:line="238" w:lineRule="auto"/>
        <w:rPr>
          <w:sz w:val="20"/>
          <w:szCs w:val="20"/>
          <w:color w:val="auto"/>
        </w:rPr>
      </w:pPr>
      <w:r>
        <w:rPr>
          <w:rFonts w:ascii="Courier New" w:cs="Courier New" w:eastAsia="Courier New" w:hAnsi="Courier New"/>
          <w:sz w:val="18"/>
          <w:szCs w:val="18"/>
          <w:color w:val="auto"/>
        </w:rPr>
        <w:t>Peter D. Goldstein, and James E. McKee</w:t>
      </w:r>
    </w:p>
    <w:p>
      <w:pPr>
        <w:ind w:left="2860"/>
        <w:spacing w:after="0"/>
        <w:rPr>
          <w:sz w:val="20"/>
          <w:szCs w:val="20"/>
          <w:color w:val="auto"/>
        </w:rPr>
      </w:pPr>
      <w:r>
        <w:rPr>
          <w:rFonts w:ascii="Courier New" w:cs="Courier New" w:eastAsia="Courier New" w:hAnsi="Courier New"/>
          <w:sz w:val="18"/>
          <w:szCs w:val="18"/>
          <w:color w:val="auto"/>
        </w:rPr>
        <w:t>from Robert E. Dolan.</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 to Stephen G. Bondi,</w:t>
      </w:r>
    </w:p>
    <w:p>
      <w:pPr>
        <w:ind w:left="2860"/>
        <w:spacing w:after="0" w:line="238" w:lineRule="auto"/>
        <w:rPr>
          <w:sz w:val="20"/>
          <w:szCs w:val="20"/>
          <w:color w:val="auto"/>
        </w:rPr>
      </w:pPr>
      <w:r>
        <w:rPr>
          <w:rFonts w:ascii="Courier New" w:cs="Courier New" w:eastAsia="Courier New" w:hAnsi="Courier New"/>
          <w:sz w:val="18"/>
          <w:szCs w:val="18"/>
          <w:color w:val="auto"/>
        </w:rPr>
        <w:t>Peter D. Goldstein, and James E. McKee</w:t>
      </w:r>
    </w:p>
    <w:p>
      <w:pPr>
        <w:ind w:left="2860"/>
        <w:spacing w:after="0"/>
        <w:rPr>
          <w:sz w:val="20"/>
          <w:szCs w:val="20"/>
          <w:color w:val="auto"/>
        </w:rPr>
      </w:pPr>
      <w:r>
        <w:rPr>
          <w:rFonts w:ascii="Courier New" w:cs="Courier New" w:eastAsia="Courier New" w:hAnsi="Courier New"/>
          <w:sz w:val="18"/>
          <w:szCs w:val="18"/>
          <w:color w:val="auto"/>
        </w:rPr>
        <w:t>from Mario J. Gabelli.</w:t>
      </w:r>
    </w:p>
    <w:p>
      <w:pPr>
        <w:spacing w:after="0" w:line="200"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Power of Attorney to Stephen G. Bondi,</w:t>
      </w:r>
    </w:p>
    <w:p>
      <w:pPr>
        <w:ind w:left="2860"/>
        <w:spacing w:after="0" w:line="238" w:lineRule="auto"/>
        <w:rPr>
          <w:sz w:val="20"/>
          <w:szCs w:val="20"/>
          <w:color w:val="auto"/>
        </w:rPr>
      </w:pPr>
      <w:r>
        <w:rPr>
          <w:rFonts w:ascii="Courier New" w:cs="Courier New" w:eastAsia="Courier New" w:hAnsi="Courier New"/>
          <w:sz w:val="18"/>
          <w:szCs w:val="18"/>
          <w:color w:val="auto"/>
        </w:rPr>
        <w:t>Peter D. Goldstein, and James E. McKee</w:t>
      </w:r>
    </w:p>
    <w:p>
      <w:pPr>
        <w:ind w:left="2860"/>
        <w:spacing w:after="0"/>
        <w:rPr>
          <w:sz w:val="20"/>
          <w:szCs w:val="20"/>
          <w:color w:val="auto"/>
        </w:rPr>
      </w:pPr>
      <w:r>
        <w:rPr>
          <w:rFonts w:ascii="Courier New" w:cs="Courier New" w:eastAsia="Courier New" w:hAnsi="Courier New"/>
          <w:sz w:val="18"/>
          <w:szCs w:val="18"/>
          <w:color w:val="auto"/>
        </w:rPr>
        <w:t>from Marc J. Gabelli.</w:t>
      </w:r>
    </w:p>
    <w:p>
      <w:pPr>
        <w:sectPr>
          <w:pgSz w:w="11900" w:h="16838" w:orient="portrait"/>
          <w:cols w:equalWidth="0" w:num="1">
            <w:col w:w="10219"/>
          </w:cols>
          <w:pgMar w:left="240" w:top="33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After reasonable inquiry and to the best of my knowledge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belief, I certify that the information set forth in this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statement is true, complete and correct.</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Dated:</w:t>
      </w:r>
      <w:r>
        <w:rPr>
          <w:sz w:val="20"/>
          <w:szCs w:val="20"/>
          <w:color w:val="auto"/>
        </w:rPr>
        <w:tab/>
      </w:r>
      <w:r>
        <w:rPr>
          <w:rFonts w:ascii="Courier New" w:cs="Courier New" w:eastAsia="Courier New" w:hAnsi="Courier New"/>
          <w:sz w:val="18"/>
          <w:szCs w:val="18"/>
          <w:color w:val="auto"/>
        </w:rPr>
        <w:t>December 4, 2000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MARIO J. GABELLI</w:t>
      </w:r>
    </w:p>
    <w:p>
      <w:pPr>
        <w:ind w:left="2740"/>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line="200" w:lineRule="exact"/>
        <w:rPr>
          <w:sz w:val="20"/>
          <w:szCs w:val="20"/>
          <w:color w:val="auto"/>
        </w:rPr>
      </w:pPr>
    </w:p>
    <w:p>
      <w:pPr>
        <w:spacing w:after="0" w:line="204"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James E. McKee</w:t>
      </w:r>
    </w:p>
    <w:p>
      <w:pPr>
        <w:ind w:left="306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GABELLI GROUP CAPITAL PARTNERS, INC.</w:t>
      </w:r>
    </w:p>
    <w:p>
      <w:pPr>
        <w:ind w:left="2740"/>
        <w:spacing w:after="0" w:line="238" w:lineRule="auto"/>
        <w:rPr>
          <w:sz w:val="20"/>
          <w:szCs w:val="20"/>
          <w:color w:val="auto"/>
        </w:rPr>
      </w:pPr>
      <w:r>
        <w:rPr>
          <w:rFonts w:ascii="Courier New" w:cs="Courier New" w:eastAsia="Courier New" w:hAnsi="Courier New"/>
          <w:sz w:val="18"/>
          <w:szCs w:val="18"/>
          <w:color w:val="auto"/>
        </w:rPr>
        <w:t>GABELLI ASSET MANAGEMENT INC.</w:t>
      </w:r>
    </w:p>
    <w:p>
      <w:pPr>
        <w:ind w:left="2740"/>
        <w:spacing w:after="0"/>
        <w:rPr>
          <w:sz w:val="20"/>
          <w:szCs w:val="20"/>
          <w:color w:val="auto"/>
        </w:rPr>
      </w:pPr>
      <w:r>
        <w:rPr>
          <w:rFonts w:ascii="Courier New" w:cs="Courier New" w:eastAsia="Courier New" w:hAnsi="Courier New"/>
          <w:sz w:val="18"/>
          <w:szCs w:val="18"/>
          <w:color w:val="auto"/>
        </w:rPr>
        <w:t>GABELLI FUNDS, LLC</w:t>
      </w:r>
    </w:p>
    <w:p>
      <w:pPr>
        <w:spacing w:after="0" w:line="200" w:lineRule="exact"/>
        <w:rPr>
          <w:sz w:val="20"/>
          <w:szCs w:val="20"/>
          <w:color w:val="auto"/>
        </w:rPr>
      </w:pPr>
    </w:p>
    <w:p>
      <w:pPr>
        <w:spacing w:after="0" w:line="203"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By:/s/____________________________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James E. McKee</w:t>
      </w:r>
    </w:p>
    <w:p>
      <w:pPr>
        <w:ind w:left="306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By:/s/_____________________________</w:t>
      </w:r>
    </w:p>
    <w:p>
      <w:pPr>
        <w:ind w:left="3060"/>
        <w:spacing w:after="0" w:line="238" w:lineRule="auto"/>
        <w:rPr>
          <w:sz w:val="20"/>
          <w:szCs w:val="20"/>
          <w:color w:val="auto"/>
        </w:rPr>
      </w:pPr>
      <w:r>
        <w:rPr>
          <w:rFonts w:ascii="Courier New" w:cs="Courier New" w:eastAsia="Courier New" w:hAnsi="Courier New"/>
          <w:sz w:val="18"/>
          <w:szCs w:val="18"/>
          <w:color w:val="auto"/>
        </w:rPr>
        <w:t>Douglas R. Jamieson</w:t>
      </w:r>
    </w:p>
    <w:p>
      <w:pPr>
        <w:ind w:left="3060"/>
        <w:spacing w:after="0"/>
        <w:rPr>
          <w:sz w:val="20"/>
          <w:szCs w:val="20"/>
          <w:color w:val="auto"/>
        </w:rPr>
      </w:pPr>
      <w:r>
        <w:rPr>
          <w:rFonts w:ascii="Courier New" w:cs="Courier New" w:eastAsia="Courier New" w:hAnsi="Courier New"/>
          <w:sz w:val="18"/>
          <w:szCs w:val="18"/>
          <w:color w:val="auto"/>
        </w:rPr>
        <w:t>Executive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SCHEDULE II</w:t>
      </w:r>
    </w:p>
    <w:p>
      <w:pPr>
        <w:ind w:left="3280"/>
        <w:spacing w:after="0" w:line="238" w:lineRule="auto"/>
        <w:rPr>
          <w:sz w:val="20"/>
          <w:szCs w:val="20"/>
          <w:color w:val="auto"/>
        </w:rPr>
      </w:pPr>
      <w:r>
        <w:rPr>
          <w:rFonts w:ascii="Courier New" w:cs="Courier New" w:eastAsia="Courier New" w:hAnsi="Courier New"/>
          <w:sz w:val="18"/>
          <w:szCs w:val="18"/>
          <w:color w:val="auto"/>
        </w:rPr>
        <w:t>INFORMATION WITH RESPECT TO</w:t>
      </w:r>
    </w:p>
    <w:p>
      <w:pPr>
        <w:ind w:left="2120"/>
        <w:spacing w:after="0"/>
        <w:rPr>
          <w:sz w:val="20"/>
          <w:szCs w:val="20"/>
          <w:color w:val="auto"/>
        </w:rPr>
      </w:pPr>
      <w:r>
        <w:rPr>
          <w:rFonts w:ascii="Courier New" w:cs="Courier New" w:eastAsia="Courier New" w:hAnsi="Courier New"/>
          <w:sz w:val="18"/>
          <w:szCs w:val="18"/>
          <w:color w:val="auto"/>
        </w:rPr>
        <w:t>TRANSACTIONS EFFECTED DURING THE PAST SIXTY DAYS OR</w:t>
      </w:r>
    </w:p>
    <w:p>
      <w:pPr>
        <w:ind w:left="2440"/>
        <w:spacing w:after="0" w:line="237" w:lineRule="auto"/>
        <w:rPr>
          <w:sz w:val="20"/>
          <w:szCs w:val="20"/>
          <w:color w:val="auto"/>
        </w:rPr>
      </w:pPr>
      <w:r>
        <w:rPr>
          <w:rFonts w:ascii="Courier New" w:cs="Courier New" w:eastAsia="Courier New" w:hAnsi="Courier New"/>
          <w:sz w:val="18"/>
          <w:szCs w:val="18"/>
          <w:color w:val="auto"/>
        </w:rPr>
        <w:t>SINCE THE MOST RECENT FILING ON SCHEDULE 13D (1)</w:t>
      </w:r>
    </w:p>
    <w:p>
      <w:pPr>
        <w:spacing w:after="0" w:line="202" w:lineRule="exact"/>
        <w:rPr>
          <w:sz w:val="20"/>
          <w:szCs w:val="20"/>
          <w:color w:val="auto"/>
        </w:rPr>
      </w:pPr>
    </w:p>
    <w:tbl>
      <w:tblPr>
        <w:tblLayout w:type="fixed"/>
        <w:tblInd w:w="1160" w:type="dxa"/>
        <w:tblCellMar>
          <w:top w:w="0" w:type="dxa"/>
          <w:left w:w="0" w:type="dxa"/>
          <w:bottom w:w="0" w:type="dxa"/>
          <w:right w:w="0" w:type="dxa"/>
        </w:tblCellMar>
      </w:tblPr>
      <w:tr>
        <w:trPr>
          <w:trHeight w:val="204"/>
        </w:trPr>
        <w:tc>
          <w:tcPr>
            <w:tcW w:w="3380" w:type="dxa"/>
            <w:vAlign w:val="bottom"/>
          </w:tcPr>
          <w:p>
            <w:pPr>
              <w:spacing w:after="0"/>
              <w:rPr>
                <w:sz w:val="17"/>
                <w:szCs w:val="17"/>
                <w:color w:val="auto"/>
              </w:rPr>
            </w:pPr>
          </w:p>
        </w:tc>
        <w:tc>
          <w:tcPr>
            <w:tcW w:w="23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SHARES PURCHASED</w:t>
            </w:r>
          </w:p>
        </w:tc>
        <w:tc>
          <w:tcPr>
            <w:tcW w:w="1360" w:type="dxa"/>
            <w:vAlign w:val="bottom"/>
          </w:tcPr>
          <w:p>
            <w:pPr>
              <w:ind w:left="420"/>
              <w:spacing w:after="0"/>
              <w:rPr>
                <w:sz w:val="20"/>
                <w:szCs w:val="20"/>
                <w:color w:val="auto"/>
              </w:rPr>
            </w:pPr>
            <w:r>
              <w:rPr>
                <w:rFonts w:ascii="Courier New" w:cs="Courier New" w:eastAsia="Courier New" w:hAnsi="Courier New"/>
                <w:sz w:val="18"/>
                <w:szCs w:val="18"/>
                <w:color w:val="auto"/>
              </w:rPr>
              <w:t>AVERAGE</w:t>
            </w: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rPr>
              <w:t>DATE</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SOLD(-)</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4"/>
              </w:rPr>
              <w:t>PRICE(2)</w:t>
            </w:r>
          </w:p>
        </w:tc>
      </w:tr>
      <w:tr>
        <w:trPr>
          <w:trHeight w:val="405"/>
        </w:trPr>
        <w:tc>
          <w:tcPr>
            <w:tcW w:w="338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6"/>
              </w:rPr>
              <w:t>COMMON STOCK-OIL DRI CORP AMER</w:t>
            </w: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405"/>
        </w:trPr>
        <w:tc>
          <w:tcPr>
            <w:tcW w:w="33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GAMCO INVESTORS, INC.</w:t>
            </w:r>
          </w:p>
        </w:tc>
        <w:tc>
          <w:tcPr>
            <w:tcW w:w="23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11/27/00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9.5000</w:t>
            </w: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11/24/00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4,000</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9.2000</w:t>
            </w: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11/22/00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3,000</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8.7292</w:t>
            </w: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11/21/00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5,000</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8.5000</w:t>
            </w: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11/20/00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2,000</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7.5893</w:t>
            </w:r>
          </w:p>
        </w:tc>
      </w:tr>
      <w:tr>
        <w:trPr>
          <w:trHeight w:val="203"/>
        </w:trPr>
        <w:tc>
          <w:tcPr>
            <w:tcW w:w="3380" w:type="dxa"/>
            <w:vAlign w:val="bottom"/>
          </w:tcPr>
          <w:p>
            <w:pPr>
              <w:jc w:val="center"/>
              <w:ind w:left="1812"/>
              <w:spacing w:after="0" w:line="203" w:lineRule="exact"/>
              <w:rPr>
                <w:sz w:val="20"/>
                <w:szCs w:val="20"/>
                <w:color w:val="auto"/>
              </w:rPr>
            </w:pPr>
            <w:r>
              <w:rPr>
                <w:rFonts w:ascii="Courier New" w:cs="Courier New" w:eastAsia="Courier New" w:hAnsi="Courier New"/>
                <w:sz w:val="18"/>
                <w:szCs w:val="18"/>
                <w:color w:val="auto"/>
                <w:w w:val="97"/>
              </w:rPr>
              <w:t>11/20/00</w:t>
            </w:r>
          </w:p>
        </w:tc>
        <w:tc>
          <w:tcPr>
            <w:tcW w:w="2320" w:type="dxa"/>
            <w:vAlign w:val="bottom"/>
          </w:tcPr>
          <w:p>
            <w:pPr>
              <w:jc w:val="right"/>
              <w:ind w:right="752"/>
              <w:spacing w:after="0" w:line="203" w:lineRule="exact"/>
              <w:rPr>
                <w:sz w:val="20"/>
                <w:szCs w:val="20"/>
                <w:color w:val="auto"/>
              </w:rPr>
            </w:pPr>
            <w:r>
              <w:rPr>
                <w:rFonts w:ascii="Courier New" w:cs="Courier New" w:eastAsia="Courier New" w:hAnsi="Courier New"/>
                <w:sz w:val="18"/>
                <w:szCs w:val="18"/>
                <w:color w:val="auto"/>
              </w:rPr>
              <w:t>5,000</w:t>
            </w:r>
          </w:p>
        </w:tc>
        <w:tc>
          <w:tcPr>
            <w:tcW w:w="13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7.5893</w:t>
            </w:r>
          </w:p>
        </w:tc>
      </w:tr>
    </w:tbl>
    <w:p>
      <w:pPr>
        <w:spacing w:after="0" w:line="200" w:lineRule="exact"/>
        <w:rPr>
          <w:sz w:val="20"/>
          <w:szCs w:val="20"/>
          <w:color w:val="auto"/>
        </w:rPr>
      </w:pPr>
    </w:p>
    <w:p>
      <w:pPr>
        <w:spacing w:after="0" w:line="209" w:lineRule="exact"/>
        <w:rPr>
          <w:sz w:val="20"/>
          <w:szCs w:val="20"/>
          <w:color w:val="auto"/>
        </w:rPr>
      </w:pPr>
    </w:p>
    <w:p>
      <w:pPr>
        <w:ind w:left="1480" w:right="2619" w:hanging="419"/>
        <w:spacing w:after="0" w:line="235" w:lineRule="auto"/>
        <w:tabs>
          <w:tab w:leader="none" w:pos="14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UNLESS OTHERWISE INDICATED, ALL TRANSACTIONS WERE EFFECTED ON THE NYSE.</w:t>
      </w:r>
    </w:p>
    <w:p>
      <w:pPr>
        <w:spacing w:after="0" w:line="202" w:lineRule="exact"/>
        <w:rPr>
          <w:rFonts w:ascii="Courier New" w:cs="Courier New" w:eastAsia="Courier New" w:hAnsi="Courier New"/>
          <w:sz w:val="18"/>
          <w:szCs w:val="18"/>
          <w:color w:val="auto"/>
        </w:rPr>
      </w:pPr>
    </w:p>
    <w:p>
      <w:pPr>
        <w:ind w:left="1480" w:hanging="419"/>
        <w:spacing w:after="0"/>
        <w:tabs>
          <w:tab w:leader="none" w:pos="1480"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PRICE EXCLUDES COMMISSION.</w:t>
      </w:r>
    </w:p>
    <w:p>
      <w:pPr>
        <w:sectPr>
          <w:pgSz w:w="11900" w:h="16838" w:orient="portrait"/>
          <w:cols w:equalWidth="0" w:num="1">
            <w:col w:w="10219"/>
          </w:cols>
          <w:pgMar w:left="240" w:top="339" w:right="1440" w:bottom="0" w:gutter="0" w:footer="0" w:header="0"/>
        </w:sectPr>
      </w:pPr>
    </w:p>
    <w:bookmarkStart w:id="12" w:name="page13"/>
    <w:bookmarkEnd w:id="1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EXHIBIT A</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JOINT FILING AGREEMENT</w:t>
      </w:r>
    </w:p>
    <w:p>
      <w:pPr>
        <w:spacing w:after="0" w:line="200" w:lineRule="exact"/>
        <w:rPr>
          <w:sz w:val="20"/>
          <w:szCs w:val="20"/>
          <w:color w:val="auto"/>
        </w:rPr>
      </w:pPr>
    </w:p>
    <w:p>
      <w:pPr>
        <w:spacing w:after="0" w:line="209"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In accordance with Rule 13d-1(f) under the Securities Exchange Act of 1934, as amended, the undersigned hereby agree to the joint filing with all other Reporting Entities (as such term is defined in the Schedule 13D referred to below) on behalf of each of them of a statement on Schedule 13D (including amendments thereto) with respect to the Common Stock, $0.10 par value per share, of Oil-Dri Corporation of America and that this Agreement be included as an Exhibit to such joint filing. This Agreement may be executed in any number of counterparts all of which taken together shall constitute one and the same instrument.</w:t>
      </w:r>
    </w:p>
    <w:p>
      <w:pPr>
        <w:spacing w:after="0" w:line="12" w:lineRule="exact"/>
        <w:rPr>
          <w:sz w:val="20"/>
          <w:szCs w:val="20"/>
          <w:color w:val="auto"/>
        </w:rPr>
      </w:pPr>
    </w:p>
    <w:p>
      <w:pPr>
        <w:ind w:right="3359" w:firstLine="1053"/>
        <w:spacing w:after="0" w:line="235" w:lineRule="auto"/>
        <w:rPr>
          <w:sz w:val="20"/>
          <w:szCs w:val="20"/>
          <w:color w:val="auto"/>
        </w:rPr>
      </w:pPr>
      <w:r>
        <w:rPr>
          <w:rFonts w:ascii="Courier New" w:cs="Courier New" w:eastAsia="Courier New" w:hAnsi="Courier New"/>
          <w:sz w:val="18"/>
          <w:szCs w:val="18"/>
          <w:color w:val="auto"/>
        </w:rPr>
        <w:t>IN WITNESS WHEREOF, the undersigned hereby execute this Agreement this 4th day of December, 2000.</w:t>
      </w:r>
    </w:p>
    <w:p>
      <w:pPr>
        <w:spacing w:after="0" w:line="200" w:lineRule="exact"/>
        <w:rPr>
          <w:sz w:val="20"/>
          <w:szCs w:val="20"/>
          <w:color w:val="auto"/>
        </w:rPr>
      </w:pPr>
    </w:p>
    <w:p>
      <w:pPr>
        <w:spacing w:after="0" w:line="205"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MARIO J. GABELLI</w:t>
      </w:r>
    </w:p>
    <w:p>
      <w:pPr>
        <w:ind w:left="3580"/>
        <w:spacing w:after="0" w:line="238" w:lineRule="auto"/>
        <w:rPr>
          <w:sz w:val="20"/>
          <w:szCs w:val="20"/>
          <w:color w:val="auto"/>
        </w:rPr>
      </w:pPr>
      <w:r>
        <w:rPr>
          <w:rFonts w:ascii="Courier New" w:cs="Courier New" w:eastAsia="Courier New" w:hAnsi="Courier New"/>
          <w:sz w:val="18"/>
          <w:szCs w:val="18"/>
          <w:color w:val="auto"/>
        </w:rPr>
        <w:t>MARC J. GABELLI</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6"/>
          <w:szCs w:val="16"/>
          <w:color w:val="auto"/>
        </w:rPr>
        <w:t>GABELLI PERFORMANCE PARTNERSHIP, L. P.</w:t>
      </w:r>
    </w:p>
    <w:p>
      <w:pPr>
        <w:spacing w:after="0" w:line="16"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GABELLI INTERNATIONAL LIMITED</w:t>
      </w:r>
    </w:p>
    <w:p>
      <w:pPr>
        <w:ind w:left="3580"/>
        <w:spacing w:after="0" w:line="238" w:lineRule="auto"/>
        <w:rPr>
          <w:sz w:val="20"/>
          <w:szCs w:val="20"/>
          <w:color w:val="auto"/>
        </w:rPr>
      </w:pPr>
      <w:r>
        <w:rPr>
          <w:rFonts w:ascii="Courier New" w:cs="Courier New" w:eastAsia="Courier New" w:hAnsi="Courier New"/>
          <w:sz w:val="18"/>
          <w:szCs w:val="18"/>
          <w:color w:val="auto"/>
        </w:rPr>
        <w:t>GABELLI INTERNATIONAL II LIMITED</w:t>
      </w:r>
    </w:p>
    <w:p>
      <w:pPr>
        <w:ind w:left="3580"/>
        <w:spacing w:after="0"/>
        <w:rPr>
          <w:sz w:val="20"/>
          <w:szCs w:val="20"/>
          <w:color w:val="auto"/>
        </w:rPr>
      </w:pPr>
      <w:r>
        <w:rPr>
          <w:rFonts w:ascii="Courier New" w:cs="Courier New" w:eastAsia="Courier New" w:hAnsi="Courier New"/>
          <w:sz w:val="18"/>
          <w:szCs w:val="18"/>
          <w:color w:val="auto"/>
        </w:rPr>
        <w:t>GABELLI FUND, LDC</w:t>
      </w:r>
    </w:p>
    <w:p>
      <w:pPr>
        <w:ind w:left="3580"/>
        <w:spacing w:after="0" w:line="237" w:lineRule="auto"/>
        <w:rPr>
          <w:sz w:val="20"/>
          <w:szCs w:val="20"/>
          <w:color w:val="auto"/>
        </w:rPr>
      </w:pPr>
      <w:r>
        <w:rPr>
          <w:rFonts w:ascii="Courier New" w:cs="Courier New" w:eastAsia="Courier New" w:hAnsi="Courier New"/>
          <w:sz w:val="18"/>
          <w:szCs w:val="18"/>
          <w:color w:val="auto"/>
        </w:rPr>
        <w:t>GABELLI FOUNDATION, INC.</w:t>
      </w:r>
    </w:p>
    <w:p>
      <w:pPr>
        <w:ind w:left="3580"/>
        <w:spacing w:after="0" w:line="238" w:lineRule="auto"/>
        <w:rPr>
          <w:sz w:val="20"/>
          <w:szCs w:val="20"/>
          <w:color w:val="auto"/>
        </w:rPr>
      </w:pPr>
      <w:r>
        <w:rPr>
          <w:rFonts w:ascii="Courier New" w:cs="Courier New" w:eastAsia="Courier New" w:hAnsi="Courier New"/>
          <w:sz w:val="18"/>
          <w:szCs w:val="18"/>
          <w:color w:val="auto"/>
        </w:rPr>
        <w:t>GEMINI CAPITAL MANAGEMENT LIMITED</w:t>
      </w:r>
    </w:p>
    <w:p>
      <w:pPr>
        <w:spacing w:after="0" w:line="200" w:lineRule="exact"/>
        <w:rPr>
          <w:sz w:val="20"/>
          <w:szCs w:val="20"/>
          <w:color w:val="auto"/>
        </w:rPr>
      </w:pPr>
    </w:p>
    <w:p>
      <w:pPr>
        <w:spacing w:after="0" w:line="204"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By:/s/____________________________</w:t>
      </w:r>
    </w:p>
    <w:p>
      <w:pPr>
        <w:ind w:left="4020"/>
        <w:spacing w:after="0" w:line="238" w:lineRule="auto"/>
        <w:rPr>
          <w:sz w:val="20"/>
          <w:szCs w:val="20"/>
          <w:color w:val="auto"/>
        </w:rPr>
      </w:pPr>
      <w:r>
        <w:rPr>
          <w:rFonts w:ascii="Courier New" w:cs="Courier New" w:eastAsia="Courier New" w:hAnsi="Courier New"/>
          <w:sz w:val="18"/>
          <w:szCs w:val="18"/>
          <w:color w:val="auto"/>
        </w:rPr>
        <w:t>James E. McKee</w:t>
      </w:r>
    </w:p>
    <w:p>
      <w:pPr>
        <w:ind w:left="402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3580"/>
        <w:spacing w:after="0"/>
        <w:rPr>
          <w:sz w:val="20"/>
          <w:szCs w:val="20"/>
          <w:color w:val="auto"/>
        </w:rPr>
      </w:pPr>
      <w:r>
        <w:rPr>
          <w:rFonts w:ascii="Courier New" w:cs="Courier New" w:eastAsia="Courier New" w:hAnsi="Courier New"/>
          <w:sz w:val="18"/>
          <w:szCs w:val="18"/>
          <w:color w:val="auto"/>
        </w:rPr>
        <w:t>GABELLI GROUP CAPITAL PARTNERS, INC.</w:t>
      </w:r>
    </w:p>
    <w:p>
      <w:pPr>
        <w:ind w:left="3580"/>
        <w:spacing w:after="0" w:line="238" w:lineRule="auto"/>
        <w:rPr>
          <w:sz w:val="20"/>
          <w:szCs w:val="20"/>
          <w:color w:val="auto"/>
        </w:rPr>
      </w:pPr>
      <w:r>
        <w:rPr>
          <w:rFonts w:ascii="Courier New" w:cs="Courier New" w:eastAsia="Courier New" w:hAnsi="Courier New"/>
          <w:sz w:val="18"/>
          <w:szCs w:val="18"/>
          <w:color w:val="auto"/>
        </w:rPr>
        <w:t>GABELLI ASSET MANAGEMENT INC.</w:t>
      </w:r>
    </w:p>
    <w:p>
      <w:pPr>
        <w:ind w:left="3580"/>
        <w:spacing w:after="0"/>
        <w:rPr>
          <w:sz w:val="20"/>
          <w:szCs w:val="20"/>
          <w:color w:val="auto"/>
        </w:rPr>
      </w:pPr>
      <w:r>
        <w:rPr>
          <w:rFonts w:ascii="Courier New" w:cs="Courier New" w:eastAsia="Courier New" w:hAnsi="Courier New"/>
          <w:sz w:val="18"/>
          <w:szCs w:val="18"/>
          <w:color w:val="auto"/>
        </w:rPr>
        <w:t>GABELLI FUNDS, LLC</w:t>
      </w:r>
    </w:p>
    <w:p>
      <w:pPr>
        <w:ind w:left="3580"/>
        <w:spacing w:after="0" w:line="237" w:lineRule="auto"/>
        <w:rPr>
          <w:sz w:val="20"/>
          <w:szCs w:val="20"/>
          <w:color w:val="auto"/>
        </w:rPr>
      </w:pPr>
      <w:r>
        <w:rPr>
          <w:rFonts w:ascii="Courier New" w:cs="Courier New" w:eastAsia="Courier New" w:hAnsi="Courier New"/>
          <w:sz w:val="18"/>
          <w:szCs w:val="18"/>
          <w:color w:val="auto"/>
        </w:rPr>
        <w:t>GABELLI SECURITIES, INC.</w:t>
      </w:r>
    </w:p>
    <w:p>
      <w:pPr>
        <w:ind w:left="3580"/>
        <w:spacing w:after="0" w:line="238" w:lineRule="auto"/>
        <w:rPr>
          <w:sz w:val="20"/>
          <w:szCs w:val="20"/>
          <w:color w:val="auto"/>
        </w:rPr>
      </w:pPr>
      <w:r>
        <w:rPr>
          <w:rFonts w:ascii="Courier New" w:cs="Courier New" w:eastAsia="Courier New" w:hAnsi="Courier New"/>
          <w:sz w:val="18"/>
          <w:szCs w:val="18"/>
          <w:color w:val="auto"/>
        </w:rPr>
        <w:t>GLI, INC.</w:t>
      </w:r>
    </w:p>
    <w:p>
      <w:pPr>
        <w:ind w:left="3580"/>
        <w:spacing w:after="0"/>
        <w:rPr>
          <w:sz w:val="20"/>
          <w:szCs w:val="20"/>
          <w:color w:val="auto"/>
        </w:rPr>
      </w:pPr>
      <w:r>
        <w:rPr>
          <w:rFonts w:ascii="Courier New" w:cs="Courier New" w:eastAsia="Courier New" w:hAnsi="Courier New"/>
          <w:sz w:val="18"/>
          <w:szCs w:val="18"/>
          <w:color w:val="auto"/>
        </w:rPr>
        <w:t>GABELLI &amp; COMPANY, INC.</w:t>
      </w:r>
    </w:p>
    <w:p>
      <w:pPr>
        <w:sectPr>
          <w:pgSz w:w="11900" w:h="16838" w:orient="portrait"/>
          <w:cols w:equalWidth="0" w:num="1">
            <w:col w:w="10219"/>
          </w:cols>
          <w:pgMar w:left="240" w:top="1440" w:right="1440" w:bottom="334" w:gutter="0" w:footer="0" w:header="0"/>
        </w:sectPr>
      </w:pPr>
    </w:p>
    <w:bookmarkStart w:id="13" w:name="page14"/>
    <w:bookmarkEnd w:id="13"/>
    <w:p>
      <w:pPr>
        <w:ind w:left="2380"/>
        <w:spacing w:after="0"/>
        <w:rPr>
          <w:sz w:val="20"/>
          <w:szCs w:val="20"/>
          <w:color w:val="auto"/>
        </w:rPr>
      </w:pPr>
      <w:r>
        <w:rPr>
          <w:rFonts w:ascii="Courier New" w:cs="Courier New" w:eastAsia="Courier New" w:hAnsi="Courier New"/>
          <w:sz w:val="18"/>
          <w:szCs w:val="18"/>
          <w:color w:val="auto"/>
        </w:rPr>
        <w:t>By:/s/____________________________</w:t>
      </w:r>
    </w:p>
    <w:p>
      <w:pPr>
        <w:ind w:left="2820"/>
        <w:spacing w:after="0" w:line="238" w:lineRule="auto"/>
        <w:rPr>
          <w:sz w:val="20"/>
          <w:szCs w:val="20"/>
          <w:color w:val="auto"/>
        </w:rPr>
      </w:pPr>
      <w:r>
        <w:rPr>
          <w:rFonts w:ascii="Courier New" w:cs="Courier New" w:eastAsia="Courier New" w:hAnsi="Courier New"/>
          <w:sz w:val="18"/>
          <w:szCs w:val="18"/>
          <w:color w:val="auto"/>
        </w:rPr>
        <w:t>James E. McKee</w:t>
      </w:r>
    </w:p>
    <w:p>
      <w:pPr>
        <w:ind w:left="2820"/>
        <w:spacing w:after="0"/>
        <w:rPr>
          <w:sz w:val="20"/>
          <w:szCs w:val="20"/>
          <w:color w:val="auto"/>
        </w:rPr>
      </w:pPr>
      <w:r>
        <w:rPr>
          <w:rFonts w:ascii="Courier New" w:cs="Courier New" w:eastAsia="Courier New" w:hAnsi="Courier New"/>
          <w:sz w:val="18"/>
          <w:szCs w:val="18"/>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ALCE PARTNERS, L.P.</w:t>
      </w:r>
    </w:p>
    <w:p>
      <w:pPr>
        <w:ind w:left="1960"/>
        <w:spacing w:after="0" w:line="238" w:lineRule="auto"/>
        <w:rPr>
          <w:sz w:val="20"/>
          <w:szCs w:val="20"/>
          <w:color w:val="auto"/>
        </w:rPr>
      </w:pPr>
      <w:r>
        <w:rPr>
          <w:rFonts w:ascii="Courier New" w:cs="Courier New" w:eastAsia="Courier New" w:hAnsi="Courier New"/>
          <w:sz w:val="18"/>
          <w:szCs w:val="18"/>
          <w:color w:val="auto"/>
        </w:rPr>
        <w:t>GABELLI MULTIMEDIA PARTNERS, L.P.</w:t>
      </w:r>
    </w:p>
    <w:p>
      <w:pPr>
        <w:ind w:left="1960"/>
        <w:spacing w:after="0"/>
        <w:rPr>
          <w:sz w:val="20"/>
          <w:szCs w:val="20"/>
          <w:color w:val="auto"/>
        </w:rPr>
      </w:pPr>
      <w:r>
        <w:rPr>
          <w:rFonts w:ascii="Courier New" w:cs="Courier New" w:eastAsia="Courier New" w:hAnsi="Courier New"/>
          <w:sz w:val="18"/>
          <w:szCs w:val="18"/>
          <w:color w:val="auto"/>
        </w:rPr>
        <w:t>GABELLI GLOBAL PARTNERS, L.P.</w:t>
      </w:r>
    </w:p>
    <w:p>
      <w:pPr>
        <w:ind w:left="1960"/>
        <w:spacing w:after="0" w:line="237" w:lineRule="auto"/>
        <w:rPr>
          <w:sz w:val="20"/>
          <w:szCs w:val="20"/>
          <w:color w:val="auto"/>
        </w:rPr>
      </w:pPr>
      <w:r>
        <w:rPr>
          <w:rFonts w:ascii="Courier New" w:cs="Courier New" w:eastAsia="Courier New" w:hAnsi="Courier New"/>
          <w:sz w:val="18"/>
          <w:szCs w:val="18"/>
          <w:color w:val="auto"/>
        </w:rPr>
        <w:t>GABELLI GLOBAL PARTNERS, LTD.</w:t>
      </w:r>
    </w:p>
    <w:p>
      <w:pPr>
        <w:ind w:left="1960"/>
        <w:spacing w:after="0" w:line="238" w:lineRule="auto"/>
        <w:rPr>
          <w:sz w:val="20"/>
          <w:szCs w:val="20"/>
          <w:color w:val="auto"/>
        </w:rPr>
      </w:pPr>
      <w:r>
        <w:rPr>
          <w:rFonts w:ascii="Courier New" w:cs="Courier New" w:eastAsia="Courier New" w:hAnsi="Courier New"/>
          <w:sz w:val="18"/>
          <w:szCs w:val="18"/>
          <w:color w:val="auto"/>
        </w:rPr>
        <w:t>GABELLI ASSOCIATES FUND</w:t>
      </w:r>
    </w:p>
    <w:p>
      <w:pPr>
        <w:ind w:left="1960"/>
        <w:spacing w:after="0"/>
        <w:rPr>
          <w:sz w:val="20"/>
          <w:szCs w:val="20"/>
          <w:color w:val="auto"/>
        </w:rPr>
      </w:pPr>
      <w:r>
        <w:rPr>
          <w:rFonts w:ascii="Courier New" w:cs="Courier New" w:eastAsia="Courier New" w:hAnsi="Courier New"/>
          <w:sz w:val="18"/>
          <w:szCs w:val="18"/>
          <w:color w:val="auto"/>
        </w:rPr>
        <w:t>GABELLI ASSOCIATES LIMITED</w:t>
      </w:r>
    </w:p>
    <w:p>
      <w:pPr>
        <w:spacing w:after="0" w:line="200" w:lineRule="exact"/>
        <w:rPr>
          <w:sz w:val="20"/>
          <w:szCs w:val="20"/>
          <w:color w:val="auto"/>
        </w:rPr>
      </w:pP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By:/s/____________________________</w:t>
      </w:r>
    </w:p>
    <w:p>
      <w:pPr>
        <w:ind w:left="2280"/>
        <w:spacing w:after="0" w:line="238" w:lineRule="auto"/>
        <w:rPr>
          <w:sz w:val="20"/>
          <w:szCs w:val="20"/>
          <w:color w:val="auto"/>
        </w:rPr>
      </w:pPr>
      <w:r>
        <w:rPr>
          <w:rFonts w:ascii="Courier New" w:cs="Courier New" w:eastAsia="Courier New" w:hAnsi="Courier New"/>
          <w:sz w:val="18"/>
          <w:szCs w:val="18"/>
          <w:color w:val="auto"/>
        </w:rPr>
        <w:t>James E. McKee</w:t>
      </w:r>
    </w:p>
    <w:p>
      <w:pPr>
        <w:spacing w:after="0" w:line="5" w:lineRule="exact"/>
        <w:rPr>
          <w:sz w:val="20"/>
          <w:szCs w:val="20"/>
          <w:color w:val="auto"/>
        </w:rPr>
      </w:pPr>
    </w:p>
    <w:p>
      <w:pPr>
        <w:ind w:left="2280"/>
        <w:spacing w:after="0"/>
        <w:rPr>
          <w:sz w:val="20"/>
          <w:szCs w:val="20"/>
          <w:color w:val="auto"/>
        </w:rPr>
      </w:pPr>
      <w:r>
        <w:rPr>
          <w:rFonts w:ascii="Courier New" w:cs="Courier New" w:eastAsia="Courier New" w:hAnsi="Courier New"/>
          <w:sz w:val="16"/>
          <w:szCs w:val="16"/>
          <w:color w:val="auto"/>
        </w:rPr>
        <w:t>Secretary of Gabelli Securities Inc.</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LYNCH CORPORATION</w:t>
      </w:r>
    </w:p>
    <w:p>
      <w:pPr>
        <w:ind w:left="1960"/>
        <w:spacing w:after="0" w:line="238" w:lineRule="auto"/>
        <w:rPr>
          <w:sz w:val="20"/>
          <w:szCs w:val="20"/>
          <w:color w:val="auto"/>
        </w:rPr>
      </w:pPr>
      <w:r>
        <w:rPr>
          <w:rFonts w:ascii="Courier New" w:cs="Courier New" w:eastAsia="Courier New" w:hAnsi="Courier New"/>
          <w:sz w:val="18"/>
          <w:szCs w:val="18"/>
          <w:color w:val="auto"/>
        </w:rPr>
        <w:t>SPINNAKER INDUSTRIES, INC.</w:t>
      </w:r>
    </w:p>
    <w:p>
      <w:pPr>
        <w:ind w:left="1960"/>
        <w:spacing w:after="0"/>
        <w:rPr>
          <w:sz w:val="20"/>
          <w:szCs w:val="20"/>
          <w:color w:val="auto"/>
        </w:rPr>
      </w:pPr>
      <w:r>
        <w:rPr>
          <w:rFonts w:ascii="Courier New" w:cs="Courier New" w:eastAsia="Courier New" w:hAnsi="Courier New"/>
          <w:sz w:val="18"/>
          <w:szCs w:val="18"/>
          <w:color w:val="auto"/>
        </w:rPr>
        <w:t>BRIGHTON COMMUNICATIONS CORPORATION</w:t>
      </w:r>
    </w:p>
    <w:p>
      <w:pPr>
        <w:ind w:left="1960"/>
        <w:spacing w:after="0" w:line="237" w:lineRule="auto"/>
        <w:rPr>
          <w:sz w:val="20"/>
          <w:szCs w:val="20"/>
          <w:color w:val="auto"/>
        </w:rPr>
      </w:pPr>
      <w:r>
        <w:rPr>
          <w:rFonts w:ascii="Courier New" w:cs="Courier New" w:eastAsia="Courier New" w:hAnsi="Courier New"/>
          <w:sz w:val="18"/>
          <w:szCs w:val="18"/>
          <w:color w:val="auto"/>
        </w:rPr>
        <w:t>LYNCH INTERACTIVE CORPORATION</w:t>
      </w:r>
    </w:p>
    <w:p>
      <w:pPr>
        <w:ind w:left="1960"/>
        <w:spacing w:after="0" w:line="238" w:lineRule="auto"/>
        <w:rPr>
          <w:sz w:val="20"/>
          <w:szCs w:val="20"/>
          <w:color w:val="auto"/>
        </w:rPr>
      </w:pPr>
      <w:r>
        <w:rPr>
          <w:rFonts w:ascii="Courier New" w:cs="Courier New" w:eastAsia="Courier New" w:hAnsi="Courier New"/>
          <w:sz w:val="18"/>
          <w:szCs w:val="18"/>
          <w:color w:val="auto"/>
        </w:rPr>
        <w:t>WESTERN NEW MEXICO</w:t>
      </w:r>
    </w:p>
    <w:p>
      <w:pPr>
        <w:ind w:left="1960"/>
        <w:spacing w:after="0"/>
        <w:rPr>
          <w:sz w:val="20"/>
          <w:szCs w:val="20"/>
          <w:color w:val="auto"/>
        </w:rPr>
      </w:pPr>
      <w:r>
        <w:rPr>
          <w:rFonts w:ascii="Courier New" w:cs="Courier New" w:eastAsia="Courier New" w:hAnsi="Courier New"/>
          <w:sz w:val="18"/>
          <w:szCs w:val="18"/>
          <w:color w:val="auto"/>
        </w:rPr>
        <w:t>INTER-COMMUNITY TELEPHONE COMPANY</w:t>
      </w:r>
    </w:p>
    <w:p>
      <w:pPr>
        <w:spacing w:after="0" w:line="200" w:lineRule="exact"/>
        <w:rPr>
          <w:sz w:val="20"/>
          <w:szCs w:val="20"/>
          <w:color w:val="auto"/>
        </w:rPr>
      </w:pP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By:/s/____________________________</w:t>
      </w:r>
    </w:p>
    <w:p>
      <w:pPr>
        <w:ind w:left="2280"/>
        <w:spacing w:after="0" w:line="238" w:lineRule="auto"/>
        <w:rPr>
          <w:sz w:val="20"/>
          <w:szCs w:val="20"/>
          <w:color w:val="auto"/>
        </w:rPr>
      </w:pPr>
      <w:r>
        <w:rPr>
          <w:rFonts w:ascii="Courier New" w:cs="Courier New" w:eastAsia="Courier New" w:hAnsi="Courier New"/>
          <w:sz w:val="18"/>
          <w:szCs w:val="18"/>
          <w:color w:val="auto"/>
        </w:rPr>
        <w:t>James E. McKee</w:t>
      </w:r>
    </w:p>
    <w:p>
      <w:pPr>
        <w:ind w:left="2280"/>
        <w:spacing w:after="0"/>
        <w:rPr>
          <w:sz w:val="20"/>
          <w:szCs w:val="20"/>
          <w:color w:val="auto"/>
        </w:rPr>
      </w:pPr>
      <w:r>
        <w:rPr>
          <w:rFonts w:ascii="Courier New" w:cs="Courier New" w:eastAsia="Courier New" w:hAnsi="Courier New"/>
          <w:sz w:val="18"/>
          <w:szCs w:val="18"/>
          <w:color w:val="auto"/>
        </w:rPr>
        <w:t>Attorney-in-Fact</w:t>
      </w:r>
    </w:p>
    <w:p>
      <w:pPr>
        <w:spacing w:after="0" w:line="200" w:lineRule="exact"/>
        <w:rPr>
          <w:sz w:val="20"/>
          <w:szCs w:val="20"/>
          <w:color w:val="auto"/>
        </w:rPr>
      </w:pPr>
    </w:p>
    <w:p>
      <w:pPr>
        <w:spacing w:after="0" w:line="203"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GABELLI &amp; COMPANY, INC.</w:t>
      </w:r>
    </w:p>
    <w:p>
      <w:pPr>
        <w:ind w:left="1960"/>
        <w:spacing w:after="0" w:line="238" w:lineRule="auto"/>
        <w:rPr>
          <w:sz w:val="20"/>
          <w:szCs w:val="20"/>
          <w:color w:val="auto"/>
        </w:rPr>
      </w:pPr>
      <w:r>
        <w:rPr>
          <w:rFonts w:ascii="Courier New" w:cs="Courier New" w:eastAsia="Courier New" w:hAnsi="Courier New"/>
          <w:sz w:val="18"/>
          <w:szCs w:val="18"/>
          <w:color w:val="auto"/>
        </w:rPr>
        <w:t>PROFIT SHARING PLAN</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By:/s/_____________________________</w:t>
      </w:r>
    </w:p>
    <w:p>
      <w:pPr>
        <w:ind w:left="2280"/>
        <w:spacing w:after="0" w:line="238" w:lineRule="auto"/>
        <w:rPr>
          <w:sz w:val="20"/>
          <w:szCs w:val="20"/>
          <w:color w:val="auto"/>
        </w:rPr>
      </w:pPr>
      <w:r>
        <w:rPr>
          <w:rFonts w:ascii="Courier New" w:cs="Courier New" w:eastAsia="Courier New" w:hAnsi="Courier New"/>
          <w:sz w:val="18"/>
          <w:szCs w:val="18"/>
          <w:color w:val="auto"/>
        </w:rPr>
        <w:t>Douglas R. Jamieson</w:t>
      </w:r>
    </w:p>
    <w:p>
      <w:pPr>
        <w:ind w:left="2280"/>
        <w:spacing w:after="0"/>
        <w:rPr>
          <w:sz w:val="20"/>
          <w:szCs w:val="20"/>
          <w:color w:val="auto"/>
        </w:rPr>
      </w:pPr>
      <w:r>
        <w:rPr>
          <w:rFonts w:ascii="Courier New" w:cs="Courier New" w:eastAsia="Courier New" w:hAnsi="Courier New"/>
          <w:sz w:val="18"/>
          <w:szCs w:val="18"/>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GAMCO INVESTORS, INC.</w:t>
      </w:r>
    </w:p>
    <w:p>
      <w:pPr>
        <w:spacing w:after="0" w:line="200" w:lineRule="exact"/>
        <w:rPr>
          <w:sz w:val="20"/>
          <w:szCs w:val="20"/>
          <w:color w:val="auto"/>
        </w:rPr>
      </w:pPr>
    </w:p>
    <w:p>
      <w:pPr>
        <w:spacing w:after="0" w:line="204" w:lineRule="exact"/>
        <w:rPr>
          <w:sz w:val="20"/>
          <w:szCs w:val="20"/>
          <w:color w:val="auto"/>
        </w:rPr>
      </w:pPr>
    </w:p>
    <w:p>
      <w:pPr>
        <w:ind w:left="1960"/>
        <w:spacing w:after="0"/>
        <w:rPr>
          <w:sz w:val="20"/>
          <w:szCs w:val="20"/>
          <w:color w:val="auto"/>
        </w:rPr>
      </w:pPr>
      <w:r>
        <w:rPr>
          <w:rFonts w:ascii="Courier New" w:cs="Courier New" w:eastAsia="Courier New" w:hAnsi="Courier New"/>
          <w:sz w:val="18"/>
          <w:szCs w:val="18"/>
          <w:color w:val="auto"/>
        </w:rPr>
        <w:t>By:/s/_____________________________</w:t>
      </w:r>
    </w:p>
    <w:p>
      <w:pPr>
        <w:ind w:left="2280"/>
        <w:spacing w:after="0" w:line="238" w:lineRule="auto"/>
        <w:rPr>
          <w:sz w:val="20"/>
          <w:szCs w:val="20"/>
          <w:color w:val="auto"/>
        </w:rPr>
      </w:pPr>
      <w:r>
        <w:rPr>
          <w:rFonts w:ascii="Courier New" w:cs="Courier New" w:eastAsia="Courier New" w:hAnsi="Courier New"/>
          <w:sz w:val="18"/>
          <w:szCs w:val="18"/>
          <w:color w:val="auto"/>
        </w:rPr>
        <w:t>Douglas R. Jamieson</w:t>
      </w:r>
    </w:p>
    <w:p>
      <w:pPr>
        <w:ind w:left="2280"/>
        <w:spacing w:after="0"/>
        <w:rPr>
          <w:sz w:val="20"/>
          <w:szCs w:val="20"/>
          <w:color w:val="auto"/>
        </w:rPr>
      </w:pPr>
      <w:r>
        <w:rPr>
          <w:rFonts w:ascii="Courier New" w:cs="Courier New" w:eastAsia="Courier New" w:hAnsi="Courier New"/>
          <w:sz w:val="18"/>
          <w:szCs w:val="18"/>
          <w:color w:val="auto"/>
        </w:rPr>
        <w:t>Executive Vice President</w:t>
      </w:r>
    </w:p>
    <w:sectPr>
      <w:pgSz w:w="11900" w:h="16838" w:orient="portrait"/>
      <w:cols w:equalWidth="0" w:num="1">
        <w:col w:w="9019"/>
      </w:cols>
      <w:pgMar w:left="14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443A858"/>
    <w:multiLevelType w:val="hybridMultilevel"/>
    <w:lvl w:ilvl="0">
      <w:lvlJc w:val="left"/>
      <w:lvlText w:val="(%1)"/>
      <w:numFmt w:val="decimal"/>
      <w:start w:val="1"/>
    </w:lvl>
  </w:abstractNum>
  <w:abstractNum w:abstractNumId="1">
    <w:nsid w:val="2D1D5AE9"/>
    <w:multiLevelType w:val="hybridMultilevel"/>
    <w:lvl w:ilvl="0">
      <w:lvlJc w:val="left"/>
      <w:lvlText w:val="(%1)"/>
      <w:numFmt w:val="decimal"/>
      <w:start w:val="3"/>
    </w:lvl>
  </w:abstractNum>
  <w:abstractNum w:abstractNumId="2">
    <w:nsid w:val="6763845E"/>
    <w:multiLevelType w:val="hybridMultilevel"/>
    <w:lvl w:ilvl="0">
      <w:lvlJc w:val="left"/>
      <w:lvlText w:val="(%1)"/>
      <w:numFmt w:val="decimal"/>
      <w:start w:val="5"/>
    </w:lvl>
  </w:abstractNum>
  <w:abstractNum w:abstractNumId="3">
    <w:nsid w:val="75A2A8D4"/>
    <w:multiLevelType w:val="hybridMultilevel"/>
    <w:lvl w:ilvl="0">
      <w:lvlJc w:val="left"/>
      <w:lvlText w:val="(%1)"/>
      <w:numFmt w:val="decimal"/>
      <w:start w:val="6"/>
    </w:lvl>
  </w:abstractNum>
  <w:abstractNum w:abstractNumId="4">
    <w:nsid w:val="8EDBDAB"/>
    <w:multiLevelType w:val="hybridMultilevel"/>
    <w:lvl w:ilvl="0">
      <w:lvlJc w:val="left"/>
      <w:lvlText w:val="(%1)"/>
      <w:numFmt w:val="decimal"/>
      <w:start w:val="11"/>
    </w:lvl>
  </w:abstractNum>
  <w:abstractNum w:abstractNumId="5">
    <w:nsid w:val="79838CB2"/>
    <w:multiLevelType w:val="hybridMultilevel"/>
    <w:lvl w:ilvl="0">
      <w:lvlJc w:val="left"/>
      <w:lvlText w:val="(%1)"/>
      <w:numFmt w:val="decimal"/>
      <w:start w:val="13"/>
    </w:lvl>
  </w:abstractNum>
  <w:abstractNum w:abstractNumId="6">
    <w:nsid w:val="4353D0CD"/>
    <w:multiLevelType w:val="hybridMultilevel"/>
    <w:lvl w:ilvl="0">
      <w:lvlJc w:val="left"/>
      <w:lvlText w:val="(%1)"/>
      <w:numFmt w:val="decimal"/>
      <w:start w:val="14"/>
    </w:lvl>
  </w:abstractNum>
  <w:abstractNum w:abstractNumId="7">
    <w:nsid w:val="B03E0C6"/>
    <w:multiLevelType w:val="hybridMultilevel"/>
    <w:lvl w:ilvl="0">
      <w:lvlJc w:val="left"/>
      <w:lvlText w:val="(%1)"/>
      <w:numFmt w:val="decimal"/>
      <w:start w:val="1"/>
    </w:lvl>
  </w:abstractNum>
  <w:abstractNum w:abstractNumId="8">
    <w:nsid w:val="189A769B"/>
    <w:multiLevelType w:val="hybridMultilevel"/>
    <w:lvl w:ilvl="0">
      <w:lvlJc w:val="left"/>
      <w:lvlText w:val="(%1)"/>
      <w:numFmt w:val="decimal"/>
      <w:start w:val="3"/>
    </w:lvl>
  </w:abstractNum>
  <w:abstractNum w:abstractNumId="9">
    <w:nsid w:val="54E49EB4"/>
    <w:multiLevelType w:val="hybridMultilevel"/>
    <w:lvl w:ilvl="0">
      <w:lvlJc w:val="left"/>
      <w:lvlText w:val="(%1)"/>
      <w:numFmt w:val="decimal"/>
      <w:start w:val="5"/>
    </w:lvl>
  </w:abstractNum>
  <w:abstractNum w:abstractNumId="10">
    <w:nsid w:val="71F32454"/>
    <w:multiLevelType w:val="hybridMultilevel"/>
    <w:lvl w:ilvl="0">
      <w:lvlJc w:val="left"/>
      <w:lvlText w:val="(%1)"/>
      <w:numFmt w:val="decimal"/>
      <w:start w:val="6"/>
    </w:lvl>
  </w:abstractNum>
  <w:abstractNum w:abstractNumId="11">
    <w:nsid w:val="2CA88611"/>
    <w:multiLevelType w:val="hybridMultilevel"/>
    <w:lvl w:ilvl="0">
      <w:lvlJc w:val="left"/>
      <w:lvlText w:val="(%1)"/>
      <w:numFmt w:val="decimal"/>
      <w:start w:val="11"/>
    </w:lvl>
  </w:abstractNum>
  <w:abstractNum w:abstractNumId="12">
    <w:nsid w:val="836C40E"/>
    <w:multiLevelType w:val="hybridMultilevel"/>
    <w:lvl w:ilvl="0">
      <w:lvlJc w:val="left"/>
      <w:lvlText w:val="(%1)"/>
      <w:numFmt w:val="decimal"/>
      <w:start w:val="13"/>
    </w:lvl>
  </w:abstractNum>
  <w:abstractNum w:abstractNumId="13">
    <w:nsid w:val="2901D82"/>
    <w:multiLevelType w:val="hybridMultilevel"/>
    <w:lvl w:ilvl="0">
      <w:lvlJc w:val="left"/>
      <w:lvlText w:val="(%1)"/>
      <w:numFmt w:val="decimal"/>
      <w:start w:val="14"/>
    </w:lvl>
  </w:abstractNum>
  <w:abstractNum w:abstractNumId="14">
    <w:nsid w:val="3A95F874"/>
    <w:multiLevelType w:val="hybridMultilevel"/>
    <w:lvl w:ilvl="0">
      <w:lvlJc w:val="left"/>
      <w:lvlText w:val="(%1)"/>
      <w:numFmt w:val="decimal"/>
      <w:start w:val="1"/>
    </w:lvl>
  </w:abstractNum>
  <w:abstractNum w:abstractNumId="15">
    <w:nsid w:val="8138641"/>
    <w:multiLevelType w:val="hybridMultilevel"/>
    <w:lvl w:ilvl="0">
      <w:lvlJc w:val="left"/>
      <w:lvlText w:val="(%1)"/>
      <w:numFmt w:val="decimal"/>
      <w:start w:val="3"/>
    </w:lvl>
  </w:abstractNum>
  <w:abstractNum w:abstractNumId="16">
    <w:nsid w:val="1E7FF521"/>
    <w:multiLevelType w:val="hybridMultilevel"/>
    <w:lvl w:ilvl="0">
      <w:lvlJc w:val="left"/>
      <w:lvlText w:val="(%1)"/>
      <w:numFmt w:val="decimal"/>
      <w:start w:val="5"/>
    </w:lvl>
  </w:abstractNum>
  <w:abstractNum w:abstractNumId="17">
    <w:nsid w:val="7C3DBD3D"/>
    <w:multiLevelType w:val="hybridMultilevel"/>
    <w:lvl w:ilvl="0">
      <w:lvlJc w:val="left"/>
      <w:lvlText w:val="(%1)"/>
      <w:numFmt w:val="decimal"/>
      <w:start w:val="6"/>
    </w:lvl>
  </w:abstractNum>
  <w:abstractNum w:abstractNumId="18">
    <w:nsid w:val="737B8DDC"/>
    <w:multiLevelType w:val="hybridMultilevel"/>
    <w:lvl w:ilvl="0">
      <w:lvlJc w:val="left"/>
      <w:lvlText w:val="(%1)"/>
      <w:numFmt w:val="decimal"/>
      <w:start w:val="13"/>
    </w:lvl>
  </w:abstractNum>
  <w:abstractNum w:abstractNumId="19">
    <w:nsid w:val="6CEAF087"/>
    <w:multiLevelType w:val="hybridMultilevel"/>
    <w:lvl w:ilvl="0">
      <w:lvlJc w:val="left"/>
      <w:lvlText w:val="(%1)"/>
      <w:numFmt w:val="decimal"/>
      <w:start w:val="14"/>
    </w:lvl>
  </w:abstractNum>
  <w:abstractNum w:abstractNumId="20">
    <w:nsid w:val="22221A70"/>
    <w:multiLevelType w:val="hybridMultilevel"/>
    <w:lvl w:ilvl="0">
      <w:lvlJc w:val="left"/>
      <w:lvlText w:val="(%1)"/>
      <w:numFmt w:val="decimal"/>
      <w:start w:val="1"/>
    </w:lvl>
  </w:abstractNum>
  <w:abstractNum w:abstractNumId="21">
    <w:nsid w:val="4516DDE9"/>
    <w:multiLevelType w:val="hybridMultilevel"/>
    <w:lvl w:ilvl="0">
      <w:lvlJc w:val="left"/>
      <w:lvlText w:val="(%1)"/>
      <w:numFmt w:val="decimal"/>
      <w:start w:val="3"/>
    </w:lvl>
  </w:abstractNum>
  <w:abstractNum w:abstractNumId="22">
    <w:nsid w:val="3006C83E"/>
    <w:multiLevelType w:val="hybridMultilevel"/>
    <w:lvl w:ilvl="0">
      <w:lvlJc w:val="left"/>
      <w:lvlText w:val="(%1)"/>
      <w:numFmt w:val="decimal"/>
      <w:start w:val="5"/>
    </w:lvl>
  </w:abstractNum>
  <w:abstractNum w:abstractNumId="23">
    <w:nsid w:val="614FD4A1"/>
    <w:multiLevelType w:val="hybridMultilevel"/>
    <w:lvl w:ilvl="0">
      <w:lvlJc w:val="left"/>
      <w:lvlText w:val="(%1)"/>
      <w:numFmt w:val="decimal"/>
      <w:start w:val="6"/>
    </w:lvl>
  </w:abstractNum>
  <w:abstractNum w:abstractNumId="24">
    <w:nsid w:val="419AC241"/>
    <w:multiLevelType w:val="hybridMultilevel"/>
    <w:lvl w:ilvl="0">
      <w:lvlJc w:val="left"/>
      <w:lvlText w:val="(%1)"/>
      <w:numFmt w:val="decimal"/>
      <w:start w:val="11"/>
    </w:lvl>
  </w:abstractNum>
  <w:abstractNum w:abstractNumId="25">
    <w:nsid w:val="5577F8E1"/>
    <w:multiLevelType w:val="hybridMultilevel"/>
    <w:lvl w:ilvl="0">
      <w:lvlJc w:val="left"/>
      <w:lvlText w:val="(%1)"/>
      <w:numFmt w:val="decimal"/>
      <w:start w:val="13"/>
    </w:lvl>
  </w:abstractNum>
  <w:abstractNum w:abstractNumId="26">
    <w:nsid w:val="440BADFC"/>
    <w:multiLevelType w:val="hybridMultilevel"/>
    <w:lvl w:ilvl="0">
      <w:lvlJc w:val="left"/>
      <w:lvlText w:val="(%1)"/>
      <w:numFmt w:val="decimal"/>
      <w:start w:val="1"/>
    </w:lvl>
  </w:abstractNum>
  <w:abstractNum w:abstractNumId="27">
    <w:nsid w:val="5072367"/>
    <w:multiLevelType w:val="hybridMultilevel"/>
    <w:lvl w:ilvl="0">
      <w:lvlJc w:val="left"/>
      <w:lvlText w:val="(%1)"/>
      <w:numFmt w:val="decimal"/>
      <w:start w:val="3"/>
    </w:lvl>
  </w:abstractNum>
  <w:abstractNum w:abstractNumId="28">
    <w:nsid w:val="3804823E"/>
    <w:multiLevelType w:val="hybridMultilevel"/>
    <w:lvl w:ilvl="0">
      <w:lvlJc w:val="left"/>
      <w:lvlText w:val="(%1)"/>
      <w:numFmt w:val="decimal"/>
      <w:start w:val="5"/>
    </w:lvl>
  </w:abstractNum>
  <w:abstractNum w:abstractNumId="29">
    <w:nsid w:val="77465F01"/>
    <w:multiLevelType w:val="hybridMultilevel"/>
    <w:lvl w:ilvl="0">
      <w:lvlJc w:val="left"/>
      <w:lvlText w:val="(%1)"/>
      <w:numFmt w:val="decimal"/>
      <w:start w:val="6"/>
    </w:lvl>
  </w:abstractNum>
  <w:abstractNum w:abstractNumId="30">
    <w:nsid w:val="7724C67E"/>
    <w:multiLevelType w:val="hybridMultilevel"/>
    <w:lvl w:ilvl="0">
      <w:lvlJc w:val="left"/>
      <w:lvlText w:val="(%1)"/>
      <w:numFmt w:val="decimal"/>
      <w:start w:val="13"/>
    </w:lvl>
  </w:abstractNum>
  <w:abstractNum w:abstractNumId="31">
    <w:nsid w:val="5C482A97"/>
    <w:multiLevelType w:val="hybridMultilevel"/>
    <w:lvl w:ilvl="0">
      <w:lvlJc w:val="left"/>
      <w:lvlText w:val="(%1)"/>
      <w:numFmt w:val="decimal"/>
      <w:start w:val="14"/>
    </w:lvl>
  </w:abstractNum>
  <w:abstractNum w:abstractNumId="32">
    <w:nsid w:val="2463B9EA"/>
    <w:multiLevelType w:val="hybridMultilevel"/>
    <w:lvl w:ilvl="0">
      <w:lvlJc w:val="left"/>
      <w:lvlText w:val="(%1)"/>
      <w:numFmt w:val="decimal"/>
      <w:start w:val="1"/>
    </w:lvl>
  </w:abstractNum>
  <w:abstractNum w:abstractNumId="33">
    <w:nsid w:val="5E884ADC"/>
    <w:multiLevelType w:val="hybridMultilevel"/>
    <w:lvl w:ilvl="0">
      <w:lvlJc w:val="left"/>
      <w:lvlText w:val="(%1)"/>
      <w:numFmt w:val="decimal"/>
      <w:start w:val="3"/>
    </w:lvl>
  </w:abstractNum>
  <w:abstractNum w:abstractNumId="34">
    <w:nsid w:val="51EAD36B"/>
    <w:multiLevelType w:val="hybridMultilevel"/>
    <w:lvl w:ilvl="0">
      <w:lvlJc w:val="left"/>
      <w:lvlText w:val="(%1)"/>
      <w:numFmt w:val="decimal"/>
      <w:start w:val="5"/>
    </w:lvl>
  </w:abstractNum>
  <w:abstractNum w:abstractNumId="35">
    <w:nsid w:val="2D517796"/>
    <w:multiLevelType w:val="hybridMultilevel"/>
    <w:lvl w:ilvl="0">
      <w:lvlJc w:val="left"/>
      <w:lvlText w:val="(%1)"/>
      <w:numFmt w:val="decimal"/>
      <w:start w:val="6"/>
    </w:lvl>
  </w:abstractNum>
  <w:abstractNum w:abstractNumId="36">
    <w:nsid w:val="580BD78F"/>
    <w:multiLevelType w:val="hybridMultilevel"/>
    <w:lvl w:ilvl="0">
      <w:lvlJc w:val="left"/>
      <w:lvlText w:val="(%1)"/>
      <w:numFmt w:val="decimal"/>
      <w:start w:val="11"/>
    </w:lvl>
  </w:abstractNum>
  <w:abstractNum w:abstractNumId="37">
    <w:nsid w:val="153EA438"/>
    <w:multiLevelType w:val="hybridMultilevel"/>
    <w:lvl w:ilvl="0">
      <w:lvlJc w:val="left"/>
      <w:lvlText w:val="(%1)"/>
      <w:numFmt w:val="decimal"/>
      <w:start w:val="13"/>
    </w:lvl>
  </w:abstractNum>
  <w:abstractNum w:abstractNumId="38">
    <w:nsid w:val="3855585C"/>
    <w:multiLevelType w:val="hybridMultilevel"/>
    <w:lvl w:ilvl="0">
      <w:lvlJc w:val="left"/>
      <w:lvlText w:val="(%1)"/>
      <w:numFmt w:val="decimal"/>
      <w:start w:val="14"/>
    </w:lvl>
  </w:abstractNum>
  <w:abstractNum w:abstractNumId="39">
    <w:nsid w:val="70A64E2A"/>
    <w:multiLevelType w:val="hybridMultilevel"/>
    <w:lvl w:ilvl="0">
      <w:lvlJc w:val="left"/>
      <w:lvlText w:val="(%1)"/>
      <w:numFmt w:val="lowerLetter"/>
      <w:start w:val="1"/>
    </w:lvl>
  </w:abstractNum>
  <w:abstractNum w:abstractNumId="40">
    <w:nsid w:val="6A2342EC"/>
    <w:multiLevelType w:val="hybridMultilevel"/>
    <w:lvl w:ilvl="0">
      <w:lvlJc w:val="left"/>
      <w:lvlText w:val="%1"/>
      <w:numFmt w:val="lowerLetter"/>
      <w:start w:val="1"/>
    </w:lvl>
    <w:lvl w:ilvl="1">
      <w:lvlJc w:val="left"/>
      <w:lvlText w:val="(%2)"/>
      <w:numFmt w:val="lowerLetter"/>
      <w:start w:val="2"/>
    </w:lvl>
  </w:abstractNum>
  <w:abstractNum w:abstractNumId="41">
    <w:nsid w:val="2A487CB0"/>
    <w:multiLevelType w:val="hybridMultilevel"/>
    <w:lvl w:ilvl="0">
      <w:lvlJc w:val="left"/>
      <w:lvlText w:val="(%1)"/>
      <w:numFmt w:val="lowerLetter"/>
      <w:start w:val="3"/>
    </w:lvl>
    <w:lvl w:ilvl="1">
      <w:lvlJc w:val="left"/>
      <w:lvlText w:val="%2"/>
      <w:numFmt w:val="lowerLetter"/>
      <w:start w:val="1"/>
    </w:lvl>
  </w:abstractNum>
  <w:abstractNum w:abstractNumId="42">
    <w:nsid w:val="1D4ED43B"/>
    <w:multiLevelType w:val="hybridMultilevel"/>
    <w:lvl w:ilvl="0">
      <w:lvlJc w:val="left"/>
      <w:lvlText w:val="(%1)"/>
      <w:numFmt w:val="lowerLetter"/>
      <w:start w:val="4"/>
    </w:lvl>
    <w:lvl w:ilvl="1">
      <w:lvlJc w:val="left"/>
      <w:lvlText w:val="(%2)"/>
      <w:numFmt w:val="lowerLetter"/>
      <w:start w:val="5"/>
    </w:lvl>
  </w:abstractNum>
  <w:abstractNum w:abstractNumId="43">
    <w:nsid w:val="725A06F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2020-02-16T14:40:48Z</dcterms:created>
  <dcterms:modified xsi:type="dcterms:W3CDTF">2020-02-16T14:40:48Z</dcterms:modified>
</cp:coreProperties>
</file>