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99012_8k.htm"/>
      <w:bookmarkStart w:id="1" w:name="ksv199012_8k"/>
      <w:bookmarkStart w:id="2" w:name="v199012_8k.htm"/>
      <w:bookmarkStart w:id="3" w:name="ksv199012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October 14, 2010</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401"/>
        <w:gridCol w:w="3402"/>
        <w:gridCol w:w="3402"/>
      </w:tblGrid>
      <w:tr>
        <w:trPr/>
        <w:tc>
          <w:tcPr>
            <w:tcW w:w="340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40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jc w:val="center"/>
        <w:rPr/>
      </w:pPr>
      <w:r>
        <w:rPr/>
        <w:t> </w:t>
      </w:r>
    </w:p>
    <w:tbl>
      <w:tblPr>
        <w:tblW w:w="5000" w:type="pct"/>
        <w:jc w:val="center"/>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10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283"/>
              <w:rPr/>
            </w:pPr>
            <w:r>
              <w:rPr/>
              <w:t xml:space="preserve">  </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(17 CFR 240.13e-4(c))</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1.01</w:t>
      </w:r>
      <w:r>
        <w:rPr>
          <w:rFonts w:ascii="Times New Roman" w:hAnsi="Times New Roman"/>
          <w:b/>
          <w:sz w:val="20"/>
        </w:rPr>
        <w:t>  Entry Into a Material Definitive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 w:name="TAB1"/>
      <w:bookmarkEnd w:id="4"/>
      <w:r>
        <w:rPr>
          <w:rFonts w:ascii="Times New Roman" w:hAnsi="Times New Roman"/>
          <w:sz w:val="20"/>
        </w:rPr>
        <w:t>At its regular meeting on October 14, 2010, the Board of Directors of Oil-Dri Corporation of America (the “Registrant”) approved the Registrant’s execution and delivery of a fourth amendment to the existing consulting agreement between the Registrant and Richard M. Jaffee, Chairman of the Registrant’s Board of Directors. The agreement, originally entered into in October 1989, had been previously amended in October 1998, October 2000 and February 2006. (The Registrant has previously filed the agreement and the three amendments with the Securities and Exchange Commission.). As previously amended, the agreement expires January 31, 2011; however, it renews automatically for additional one-year periods after that date unless either party gives the other at least 90 days’ written notice of termination prior to January 31, 2011 or any subsequent January 31 on which the renewal term then in effect expires. Under the terms of the fourth amendment, which is retroactive for all purposes to August 1, 2010, Mr. Jaffee will receive consulting fees at the annual rate of $240,000, an increase from $185,000. All other terms of the agreement, as previously amended, remain unchanged and in full force and effect.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 w:name="TAB11"/>
      <w:bookmarkEnd w:id="5"/>
      <w:r>
        <w:rPr>
          <w:rFonts w:ascii="Times New Roman" w:hAnsi="Times New Roman"/>
          <w:sz w:val="20"/>
        </w:rPr>
        <w:t>Following adjournment of the meeting, the Registrant and Mr. Jaffee executed and delivered the fourth amendment. This summary of the amendment is qualified in its entirety by reference to the complete amendment, which is filed as Exhibit 10.1 hereto and which is incorporated by this reference into this summary. In light of this fourth amendment, Mr. Jaffee has determined to continue his practice of not receiving any annual retainer or meeting fees for his service on the Registrant’s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8.01</w:t>
      </w:r>
      <w:r>
        <w:rPr>
          <w:rFonts w:ascii="Times New Roman" w:hAnsi="Times New Roman"/>
          <w:b/>
          <w:sz w:val="20"/>
        </w:rPr>
        <w:t>  Other Events.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 w:name="TAB12"/>
      <w:bookmarkEnd w:id="6"/>
      <w:r>
        <w:rPr>
          <w:rFonts w:ascii="Times New Roman" w:hAnsi="Times New Roman"/>
          <w:sz w:val="20"/>
        </w:rPr>
        <w:t>At its regular meeting on October 14, 2010, the Registrant’s Board of Directors also declared regular quarterly cash dividends of $0.16 per share of the Registrant’s Common Stock and $0.12 per share of the Registrant’s Class B Stock. The dividends will be payable on December 3, 2010, to stockholders of record at the close of business on November 19, 2010. A copy of the Registrant’s press release announcing these matters is attached as Exhibit 99.1 and the information contained therein is incorporated herein by reference.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306"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xml:space="preserve">  </w:t>
            </w:r>
          </w:p>
        </w:tc>
      </w:tr>
      <w:tr>
        <w:trPr/>
        <w:tc>
          <w:tcPr>
            <w:tcW w:w="71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306" w:type="dxa"/>
            <w:tcBorders/>
            <w:shd w:fill="auto" w:val="clear"/>
          </w:tcPr>
          <w:p>
            <w:pPr>
              <w:pStyle w:val="TableContents"/>
              <w:spacing w:before="0" w:after="283"/>
              <w:jc w:val="left"/>
              <w:rPr/>
            </w:pPr>
            <w:r>
              <w:rPr/>
              <w:t> </w:t>
            </w:r>
          </w:p>
        </w:tc>
        <w:tc>
          <w:tcPr>
            <w:tcW w:w="9186"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713"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xml:space="preserve">  </w:t>
            </w:r>
          </w:p>
        </w:tc>
      </w:tr>
      <w:tr>
        <w:trPr/>
        <w:tc>
          <w:tcPr>
            <w:tcW w:w="71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10.1</w:t>
            </w:r>
          </w:p>
        </w:tc>
        <w:tc>
          <w:tcPr>
            <w:tcW w:w="306"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Fourth Amendment to Agreement, dated as of October 14, 2010, between Oil-Dri Corporation of America and Richard M. Jaffee</w:t>
            </w:r>
          </w:p>
        </w:tc>
      </w:tr>
      <w:tr>
        <w:trPr/>
        <w:tc>
          <w:tcPr>
            <w:tcW w:w="71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306"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October 14, 2010</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 w:name="PGBRK"/>
      <w:bookmarkStart w:id="8" w:name="PGBRK"/>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FTR"/>
      <w:bookmarkStart w:id="10" w:name="FT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GLFTR"/>
      <w:bookmarkStart w:id="12" w:name="GLFT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3" w:name="PN"/>
      <w:bookmarkStart w:id="14" w:name="PN"/>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HDR"/>
      <w:bookmarkStart w:id="16" w:name="HDR"/>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GLHDR"/>
      <w:bookmarkStart w:id="18" w:name="GLHDR"/>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   </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October 14, 2010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 w:name="PGBRK1"/>
      <w:bookmarkStart w:id="20" w:name="PGBRK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FTR1"/>
      <w:bookmarkStart w:id="22" w:name="FT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GLFTR1"/>
      <w:bookmarkStart w:id="24" w:name="GLFT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5" w:name="PN1"/>
      <w:bookmarkStart w:id="26" w:name="PN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HDR1"/>
      <w:bookmarkStart w:id="28" w:name="HDR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GLHDR1"/>
      <w:bookmarkStart w:id="30" w:name="GLHDR1"/>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306"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xml:space="preserve">  </w:t>
            </w:r>
          </w:p>
        </w:tc>
      </w:tr>
      <w:tr>
        <w:trPr/>
        <w:tc>
          <w:tcPr>
            <w:tcW w:w="71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306" w:type="dxa"/>
            <w:tcBorders/>
            <w:shd w:fill="auto" w:val="clear"/>
          </w:tcPr>
          <w:p>
            <w:pPr>
              <w:pStyle w:val="TableContents"/>
              <w:spacing w:before="0" w:after="283"/>
              <w:jc w:val="left"/>
              <w:rPr/>
            </w:pPr>
            <w:r>
              <w:rPr/>
              <w:t> </w:t>
            </w:r>
          </w:p>
        </w:tc>
        <w:tc>
          <w:tcPr>
            <w:tcW w:w="9186"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713"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xml:space="preserve">  </w:t>
            </w:r>
          </w:p>
        </w:tc>
      </w:tr>
      <w:tr>
        <w:trPr/>
        <w:tc>
          <w:tcPr>
            <w:tcW w:w="71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10.1</w:t>
            </w:r>
          </w:p>
        </w:tc>
        <w:tc>
          <w:tcPr>
            <w:tcW w:w="306"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Fourth Amendment to Agreement, dated as of October 14, 2010, between Oil-Dri Corporation of America and Richard M. Jaffee</w:t>
            </w:r>
          </w:p>
        </w:tc>
      </w:tr>
      <w:tr>
        <w:trPr/>
        <w:tc>
          <w:tcPr>
            <w:tcW w:w="71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306"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October 14, 2010</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2"/>
      <w:bookmarkStart w:id="32" w:name="PGBRK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2"/>
      <w:bookmarkStart w:id="34" w:name="FT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GLFTR2"/>
      <w:bookmarkStart w:id="36" w:name="GLFTR2"/>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7" w:name="PN2"/>
      <w:bookmarkStart w:id="38" w:name="PN2"/>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2"/>
      <w:bookmarkStart w:id="40" w:name="HDR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GLHDR2"/>
      <w:bookmarkStart w:id="42" w:name="GLHDR2"/>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v199012_ex10-1.htm"/>
      <w:bookmarkStart w:id="44" w:name="ksv199012_ex101"/>
      <w:bookmarkStart w:id="45" w:name="v199012_ex10-1.htm"/>
      <w:bookmarkStart w:id="46" w:name="ksv199012_ex101"/>
      <w:bookmarkEnd w:id="45"/>
      <w:bookmarkEnd w:id="46"/>
    </w:p>
    <w:p>
      <w:pPr>
        <w:pStyle w:val="TextBody"/>
        <w:spacing w:before="0" w:after="0"/>
        <w:ind w:left="0" w:right="0" w:hanging="0"/>
        <w:jc w:val="right"/>
        <w:rPr>
          <w:rFonts w:ascii="Times New Roman" w:hAnsi="Times New Roman"/>
          <w:sz w:val="20"/>
        </w:rPr>
      </w:pPr>
      <w:r>
        <w:rPr>
          <w:rFonts w:ascii="Times New Roman" w:hAnsi="Times New Roman"/>
          <w:sz w:val="20"/>
        </w:rPr>
        <w:t>Exhibit 10.1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FOURTH AMENDMENT TO AGREEMENT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THIS FOURTH AMENDMENT TO AGREEMENT (this “Amendment”) to the Agreement dated as of August 1, 1989, as subsequently amended by the First Amendment dated October 9, 1998, the Second Amendment dated October 31, 2000 and the Third Amendment dated January 31, 2006 (as so amended, the “Agreement”), is made as of the 14th day of October, 2010 (but subject to Section 3 below), by and between Oil-Dri Corporation of America, a Delaware corporation (“Oil-Dri”) and Richard M. Jaffee (“Jaffee”).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7" w:name="TAB13"/>
      <w:bookmarkEnd w:id="47"/>
      <w:r>
        <w:rPr>
          <w:rFonts w:ascii="Times New Roman" w:hAnsi="Times New Roman"/>
          <w:sz w:val="20"/>
        </w:rPr>
        <w:t>WHEREAS, the parties hereto are the parties to the Agreement; and</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8" w:name="TAB14"/>
      <w:bookmarkEnd w:id="48"/>
      <w:r>
        <w:rPr>
          <w:rFonts w:ascii="Times New Roman" w:hAnsi="Times New Roman"/>
          <w:sz w:val="20"/>
        </w:rPr>
        <w:t>WHEREAS, the parties hereto desire to amend the Agreement in the manner hereinafter set forth;</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9" w:name="TAB15"/>
      <w:bookmarkEnd w:id="49"/>
      <w:r>
        <w:rPr>
          <w:rFonts w:ascii="Times New Roman" w:hAnsi="Times New Roman"/>
          <w:sz w:val="20"/>
        </w:rPr>
        <w:t>NOW, THEREFORE, in further consideration for Jaffee’s continued services and for other good and valuable consideration, the receipt and sufficiency of which are hereby acknowledged, the parties hereto hereby agree to the following:</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50" w:name="TAB16"/>
      <w:bookmarkEnd w:id="50"/>
      <w:r>
        <w:rPr>
          <w:rFonts w:ascii="Times New Roman" w:hAnsi="Times New Roman"/>
          <w:sz w:val="20"/>
        </w:rPr>
        <w:t>1.           </w:t>
      </w:r>
      <w:r>
        <w:rPr>
          <w:rFonts w:ascii="Times New Roman" w:hAnsi="Times New Roman"/>
          <w:sz w:val="20"/>
          <w:u w:val="single"/>
        </w:rPr>
        <w:t>Incorporation of the Agreement</w:t>
      </w:r>
      <w:r>
        <w:rPr>
          <w:rFonts w:ascii="Times New Roman" w:hAnsi="Times New Roman"/>
          <w:sz w:val="20"/>
        </w:rPr>
        <w:t>.  All capitalized terms which are not defined hereunder shall have the same meanings as set forth in the Agreement, and the Agreement, to the extent not inconsistent with this Amendment, is incorporated herein by this reference as though the same were set forth in its entirety.  To the extent any terms and provisions of the Agreement are inconsistent with the terms and provisions set forth below, such terms and provisions shall be deemed superseded hereby.  Except as specifically set forth herein, the Agreement shall remain in full force and effect and its provisions shall be binding on the parties hereto.</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51" w:name="TAB17"/>
      <w:bookmarkEnd w:id="51"/>
      <w:r>
        <w:rPr>
          <w:rFonts w:ascii="Times New Roman" w:hAnsi="Times New Roman"/>
          <w:sz w:val="20"/>
        </w:rPr>
        <w:t>2.           </w:t>
      </w:r>
      <w:r>
        <w:rPr>
          <w:rFonts w:ascii="Times New Roman" w:hAnsi="Times New Roman"/>
          <w:sz w:val="20"/>
          <w:u w:val="single"/>
        </w:rPr>
        <w:t>Amendment to the Agreement</w:t>
      </w:r>
      <w:r>
        <w:rPr>
          <w:rFonts w:ascii="Times New Roman" w:hAnsi="Times New Roman"/>
          <w:sz w:val="20"/>
        </w:rPr>
        <w:t>.  The first sentence of the second paragraph of Section 5(a) of the Agreement is hereby amended to read in its entirety as follows: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During the Consulting Period, Oil-Dri shall pay Jaffee consulting fees at the annual rate of $240,000, payable bi-monthly.</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52" w:name="TAB18"/>
      <w:bookmarkEnd w:id="52"/>
      <w:r>
        <w:rPr>
          <w:rFonts w:ascii="Times New Roman" w:hAnsi="Times New Roman"/>
          <w:sz w:val="20"/>
        </w:rPr>
        <w:t>3.           </w:t>
      </w:r>
      <w:r>
        <w:rPr>
          <w:rFonts w:ascii="Times New Roman" w:hAnsi="Times New Roman"/>
          <w:sz w:val="20"/>
          <w:u w:val="single"/>
        </w:rPr>
        <w:t>Condition to Effectiveness</w:t>
      </w:r>
      <w:r>
        <w:rPr>
          <w:rFonts w:ascii="Times New Roman" w:hAnsi="Times New Roman"/>
          <w:sz w:val="20"/>
        </w:rPr>
        <w:t>.  This Amendment will become effective only upon approval by Oil-Dri’s Board of Directors, but once approved will be retroactive for all purposes to August 1, 2010.</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53" w:name="TAB19"/>
      <w:bookmarkEnd w:id="53"/>
      <w:r>
        <w:rPr>
          <w:rFonts w:ascii="Times New Roman" w:hAnsi="Times New Roman"/>
          <w:sz w:val="20"/>
        </w:rPr>
        <w:t>IN WITNESS WHEREOF, the undersigned have executed this Amendment as of the date first written above.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4491"/>
        <w:gridCol w:w="612"/>
        <w:gridCol w:w="4491"/>
      </w:tblGrid>
      <w:tr>
        <w:trPr/>
        <w:tc>
          <w:tcPr>
            <w:tcW w:w="5102"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c>
          <w:tcPr>
            <w:tcW w:w="612"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RICHARD M. JAFFEE</w:t>
            </w:r>
          </w:p>
        </w:tc>
      </w:tr>
      <w:tr>
        <w:trPr/>
        <w:tc>
          <w:tcPr>
            <w:tcW w:w="611"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r>
      <w:tr>
        <w:trPr/>
        <w:tc>
          <w:tcPr>
            <w:tcW w:w="611"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r>
      <w:tr>
        <w:trPr/>
        <w:tc>
          <w:tcPr>
            <w:tcW w:w="611"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r>
      <w:tr>
        <w:trPr/>
        <w:tc>
          <w:tcPr>
            <w:tcW w:w="61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49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Daniel S. Jaffee</w:t>
            </w:r>
          </w:p>
        </w:tc>
        <w:tc>
          <w:tcPr>
            <w:tcW w:w="612" w:type="dxa"/>
            <w:tcBorders/>
            <w:shd w:fill="auto" w:val="clear"/>
          </w:tcPr>
          <w:p>
            <w:pPr>
              <w:pStyle w:val="TableContents"/>
              <w:spacing w:before="0" w:after="283"/>
              <w:rPr/>
            </w:pPr>
            <w:r>
              <w:rPr/>
              <w:t xml:space="preserve">  </w:t>
            </w:r>
          </w:p>
        </w:tc>
        <w:tc>
          <w:tcPr>
            <w:tcW w:w="449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Richard M. Jaffee</w:t>
            </w:r>
          </w:p>
        </w:tc>
      </w:tr>
      <w:tr>
        <w:trPr/>
        <w:tc>
          <w:tcPr>
            <w:tcW w:w="61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Daniel S. Jaffee</w:t>
            </w:r>
          </w:p>
        </w:tc>
        <w:tc>
          <w:tcPr>
            <w:tcW w:w="612"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r>
      <w:tr>
        <w:trPr/>
        <w:tc>
          <w:tcPr>
            <w:tcW w:w="61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Its:</w:t>
            </w:r>
          </w:p>
        </w:tc>
        <w:tc>
          <w:tcPr>
            <w:tcW w:w="4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612" w:type="dxa"/>
            <w:tcBorders/>
            <w:shd w:fill="auto" w:val="clear"/>
          </w:tcPr>
          <w:p>
            <w:pPr>
              <w:pStyle w:val="TableContents"/>
              <w:spacing w:before="0" w:after="283"/>
              <w:rPr/>
            </w:pPr>
            <w:r>
              <w:rPr/>
              <w:t xml:space="preserve">  </w:t>
            </w:r>
          </w:p>
        </w:tc>
        <w:tc>
          <w:tcPr>
            <w:tcW w:w="4491" w:type="dxa"/>
            <w:tcBorders/>
            <w:shd w:fill="auto" w:val="clear"/>
          </w:tcPr>
          <w:p>
            <w:pPr>
              <w:pStyle w:val="TableContents"/>
              <w:spacing w:before="0" w:after="283"/>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4" w:name="PGBRK3"/>
      <w:bookmarkStart w:id="55" w:name="PGBRK3"/>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6" w:name="FTR3"/>
      <w:bookmarkStart w:id="57" w:name="FTR3"/>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58" w:name="GLFTR3"/>
      <w:bookmarkEnd w:id="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 w:name="PN3"/>
      <w:bookmarkEnd w:id="5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0" w:name="HDR3"/>
      <w:bookmarkStart w:id="61" w:name="HDR3"/>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62" w:name="GLHDR3"/>
      <w:bookmarkEnd w:id="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ind w:left="0" w:right="0" w:hanging="0"/>
        <w:jc w:val="right"/>
        <w:rPr/>
      </w:pPr>
      <w:bookmarkStart w:id="63" w:name="v199012_ex99-1.htm"/>
      <w:bookmarkStart w:id="64" w:name="ksv199012_ex991"/>
      <w:bookmarkEnd w:id="63"/>
      <w:bookmarkEnd w:id="64"/>
      <w:r>
        <w:rPr/>
        <w:t> </w:t>
      </w:r>
    </w:p>
    <w:tbl>
      <w:tblPr>
        <w:tblW w:w="4900" w:type="pct"/>
        <w:jc w:val="left"/>
        <w:tblInd w:w="0" w:type="dxa"/>
        <w:tblCellMar>
          <w:top w:w="0" w:type="dxa"/>
          <w:left w:w="0" w:type="dxa"/>
          <w:bottom w:w="0" w:type="dxa"/>
          <w:right w:w="0" w:type="dxa"/>
        </w:tblCellMar>
      </w:tblPr>
      <w:tblGrid>
        <w:gridCol w:w="1892"/>
        <w:gridCol w:w="5161"/>
        <w:gridCol w:w="1269"/>
        <w:gridCol w:w="1678"/>
      </w:tblGrid>
      <w:tr>
        <w:trPr/>
        <w:tc>
          <w:tcPr>
            <w:tcW w:w="1892" w:type="dxa"/>
            <w:vMerge w:val="restart"/>
            <w:tcBorders/>
            <w:shd w:fill="auto" w:val="clear"/>
          </w:tcPr>
          <w:p>
            <w:pPr>
              <w:pStyle w:val="TableContents"/>
              <w:spacing w:before="0" w:after="0"/>
              <w:ind w:left="0" w:right="0" w:hanging="0"/>
              <w:jc w:val="left"/>
              <w:rPr/>
            </w:pPr>
            <w:r>
              <w:rPr/>
              <w:t> </w:t>
            </w:r>
            <w:r>
              <w:rPr/>
              <w:drawing>
                <wp:inline distT="0" distB="0" distL="0" distR="0">
                  <wp:extent cx="114300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9144000"/>
                          </a:xfrm>
                          <a:prstGeom prst="rect">
                            <a:avLst/>
                          </a:prstGeom>
                        </pic:spPr>
                      </pic:pic>
                    </a:graphicData>
                  </a:graphic>
                </wp:inline>
              </w:drawing>
            </w:r>
          </w:p>
        </w:tc>
        <w:tc>
          <w:tcPr>
            <w:tcW w:w="5161" w:type="dxa"/>
            <w:tcBorders>
              <w:bottom w:val="single" w:sz="12" w:space="0" w:color="000000"/>
            </w:tcBorders>
            <w:shd w:fill="auto" w:val="clear"/>
            <w:tcMar>
              <w:bottom w:w="28" w:type="dxa"/>
            </w:tcMar>
          </w:tcPr>
          <w:p>
            <w:pPr>
              <w:pStyle w:val="TableContents"/>
              <w:spacing w:before="0" w:after="283"/>
              <w:jc w:val="left"/>
              <w:rPr/>
            </w:pPr>
            <w:r>
              <w:rPr/>
              <w:t> </w:t>
            </w:r>
          </w:p>
        </w:tc>
        <w:tc>
          <w:tcPr>
            <w:tcW w:w="29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20"/>
              </w:rPr>
            </w:pPr>
            <w:r>
              <w:rPr>
                <w:rFonts w:ascii="times new roman" w:hAnsi="times new roman"/>
                <w:color w:val="000000"/>
                <w:sz w:val="20"/>
              </w:rPr>
              <w:t>Exhibit 99.1</w:t>
            </w:r>
          </w:p>
          <w:p>
            <w:pPr>
              <w:pStyle w:val="TableContents"/>
              <w:spacing w:before="0" w:after="0"/>
              <w:ind w:left="0" w:right="0" w:hanging="0"/>
              <w:jc w:val="right"/>
              <w:rPr/>
            </w:pPr>
            <w:r>
              <w:rPr/>
              <w:t> </w:t>
            </w:r>
          </w:p>
          <w:p>
            <w:pPr>
              <w:pStyle w:val="TableContents"/>
              <w:spacing w:before="0" w:after="0"/>
              <w:ind w:left="0" w:right="0" w:hanging="0"/>
              <w:jc w:val="left"/>
              <w:rPr>
                <w:rFonts w:ascii="times new roman" w:hAnsi="times new roman"/>
                <w:b/>
                <w:color w:val="0000FF"/>
                <w:sz w:val="48"/>
              </w:rPr>
            </w:pPr>
            <w:r>
              <w:rPr>
                <w:rFonts w:ascii="times new roman" w:hAnsi="times new roman"/>
                <w:b/>
                <w:color w:val="0000FF"/>
                <w:sz w:val="48"/>
              </w:rPr>
              <w:t>News Release</w:t>
            </w:r>
          </w:p>
        </w:tc>
      </w:tr>
      <w:tr>
        <w:trPr/>
        <w:tc>
          <w:tcPr>
            <w:tcW w:w="1892" w:type="dxa"/>
            <w:vMerge w:val="continue"/>
            <w:tcBorders/>
            <w:shd w:fill="auto" w:val="clear"/>
          </w:tcPr>
          <w:p>
            <w:pPr>
              <w:pStyle w:val="Normal"/>
              <w:rPr/>
            </w:pPr>
            <w:r>
              <w:rPr/>
            </w:r>
          </w:p>
        </w:tc>
        <w:tc>
          <w:tcPr>
            <w:tcW w:w="51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Release:</w:t>
            </w:r>
            <w:r>
              <w:rPr>
                <w:rFonts w:ascii="times new roman" w:hAnsi="times new roman"/>
                <w:sz w:val="20"/>
              </w:rPr>
              <w:t>  Immediate</w:t>
            </w:r>
          </w:p>
        </w:tc>
        <w:tc>
          <w:tcPr>
            <w:tcW w:w="126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Contact:</w:t>
            </w:r>
          </w:p>
        </w:tc>
        <w:tc>
          <w:tcPr>
            <w:tcW w:w="16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Ronda J. Williams</w:t>
            </w:r>
          </w:p>
          <w:p>
            <w:pPr>
              <w:pStyle w:val="TableContents"/>
              <w:spacing w:before="0" w:after="0"/>
              <w:ind w:left="0" w:right="0" w:hanging="0"/>
              <w:jc w:val="left"/>
              <w:rPr>
                <w:rFonts w:ascii="times new roman" w:hAnsi="times new roman"/>
                <w:sz w:val="20"/>
              </w:rPr>
            </w:pPr>
            <w:r>
              <w:rPr>
                <w:rFonts w:ascii="times new roman" w:hAnsi="times new roman"/>
                <w:sz w:val="20"/>
              </w:rPr>
              <w:t>312-706-3232</w:t>
            </w:r>
          </w:p>
        </w:tc>
      </w:tr>
      <w:tr>
        <w:trPr/>
        <w:tc>
          <w:tcPr>
            <w:tcW w:w="1892" w:type="dxa"/>
            <w:vMerge w:val="continue"/>
            <w:tcBorders/>
            <w:shd w:fill="auto" w:val="clear"/>
          </w:tcPr>
          <w:p>
            <w:pPr>
              <w:pStyle w:val="Normal"/>
              <w:rPr/>
            </w:pPr>
            <w:r>
              <w:rPr/>
            </w:r>
          </w:p>
        </w:tc>
        <w:tc>
          <w:tcPr>
            <w:tcW w:w="8108" w:type="dxa"/>
            <w:gridSpan w:val="3"/>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Board of Directors Declares Dividends</w:t>
            </w:r>
          </w:p>
          <w:p>
            <w:pPr>
              <w:pStyle w:val="TableContents"/>
              <w:spacing w:before="0" w:after="0"/>
              <w:ind w:left="0" w:right="0" w:hanging="0"/>
              <w:jc w:val="center"/>
              <w:rPr/>
            </w:pPr>
            <w:r>
              <w:rPr/>
            </w:r>
          </w:p>
          <w:p>
            <w:pPr>
              <w:pStyle w:val="TableContents"/>
              <w:spacing w:before="0" w:after="0"/>
              <w:ind w:left="0" w:right="0" w:hanging="0"/>
              <w:jc w:val="left"/>
              <w:rPr>
                <w:rFonts w:ascii="times new roman" w:hAnsi="times new roman"/>
                <w:sz w:val="20"/>
              </w:rPr>
            </w:pPr>
            <w:r>
              <w:rPr>
                <w:rFonts w:ascii="times new roman" w:hAnsi="times new roman"/>
                <w:sz w:val="20"/>
              </w:rPr>
              <w:t>CHICAGO – October 14, 2010 – The Board of Directors of Oil-Dri Corporation of America (NYSE: ODC) today declared quarterly cash dividends of $0.16 per share of the Company’s Common Stock and $0.12 per share of the Company’s Class B Stock.</w:t>
            </w:r>
          </w:p>
          <w:p>
            <w:pPr>
              <w:pStyle w:val="TableContents"/>
              <w:spacing w:before="0" w:after="0"/>
              <w:ind w:left="0" w:right="0" w:hanging="0"/>
              <w:jc w:val="center"/>
              <w:rPr/>
            </w:pPr>
            <w:r>
              <w:rPr/>
            </w:r>
          </w:p>
          <w:p>
            <w:pPr>
              <w:pStyle w:val="TableContents"/>
              <w:spacing w:before="0" w:after="0"/>
              <w:ind w:left="0" w:right="0" w:hanging="0"/>
              <w:jc w:val="left"/>
              <w:rPr>
                <w:rFonts w:ascii="times new roman" w:hAnsi="times new roman"/>
                <w:sz w:val="20"/>
              </w:rPr>
            </w:pPr>
            <w:r>
              <w:rPr>
                <w:rFonts w:ascii="times new roman" w:hAnsi="times new roman"/>
                <w:sz w:val="20"/>
              </w:rPr>
              <w:t>The dividends will be payable on December 3, 2010, to stockholders of record at the close of business on November 19, 2010.  The Company has paid cash dividends continuously since 1974.</w:t>
            </w:r>
          </w:p>
          <w:p>
            <w:pPr>
              <w:pStyle w:val="TableContents"/>
              <w:spacing w:before="0" w:after="0"/>
              <w:ind w:left="0" w:right="0" w:hanging="0"/>
              <w:jc w:val="center"/>
              <w:rPr/>
            </w:pPr>
            <w:r>
              <w:rPr/>
            </w:r>
          </w:p>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p>
            <w:pPr>
              <w:pStyle w:val="HorizontalLine"/>
              <w:pBdr>
                <w:bottom w:val="single" w:sz="12" w:space="0" w:color="808080"/>
              </w:pBdr>
              <w:jc w:val="center"/>
              <w:rPr/>
            </w:pPr>
            <w:r>
              <w:rPr/>
            </w:r>
          </w:p>
          <w:p>
            <w:pPr>
              <w:pStyle w:val="TableContents"/>
              <w:spacing w:before="0" w:after="0"/>
              <w:ind w:left="0" w:right="0" w:hanging="0"/>
              <w:jc w:val="center"/>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bl>
    <w:p>
      <w:pPr>
        <w:pStyle w:val="TextBody"/>
        <w:ind w:left="0" w:right="18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180" w:hanging="0"/>
        <w:jc w:val="left"/>
        <w:rPr/>
      </w:pPr>
      <w:r>
        <w:rPr/>
      </w:r>
      <w:bookmarkStart w:id="65" w:name="PGBRK4"/>
      <w:bookmarkStart w:id="66" w:name="PGBRK4"/>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67" w:name="FTR4"/>
      <w:bookmarkStart w:id="68" w:name="FTR4"/>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69" w:name="GLFTR4"/>
      <w:bookmarkEnd w:id="6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 w:name="PN4"/>
      <w:bookmarkEnd w:id="70"/>
      <w:r>
        <w:rPr/>
        <w:t xml:space="preserve">  </w:t>
      </w:r>
    </w:p>
    <w:p>
      <w:pPr>
        <w:pStyle w:val="HorizontalLine"/>
        <w:pBdr>
          <w:bottom w:val="single" w:sz="12" w:space="0" w:color="808080"/>
        </w:pBdr>
        <w:ind w:left="0" w:right="180" w:hanging="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71" w:name="HDR4"/>
      <w:bookmarkStart w:id="72" w:name="HDR4"/>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73" w:name="GLHDR4"/>
      <w:bookmarkEnd w:id="7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jc w:val="left"/>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1163</Words>
  <CharactersWithSpaces>7621</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