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20"/>
              <w:spacing w:after="0"/>
              <w:rPr>
                <w:sz w:val="20"/>
                <w:szCs w:val="20"/>
                <w:color w:val="auto"/>
              </w:rPr>
            </w:pPr>
            <w:r>
              <w:rPr>
                <w:rFonts w:ascii="Arial" w:cs="Arial" w:eastAsia="Arial" w:hAnsi="Arial"/>
                <w:sz w:val="18"/>
                <w:szCs w:val="18"/>
                <w:color w:val="auto"/>
                <w:w w:val="89"/>
              </w:rPr>
              <w:t>October 12, 2023</w:t>
            </w: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ind w:left="28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85090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50800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12, 2023, Oil-Dri Corporation of America (the “Registrant”) issued a press release announcing its results of operations for its fourth quarter and fiscal year ended July 31, 2023.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0000FF"/>
              </w:rPr>
              <w:t>Press Release of the Registrant dated October 12, 2023</w:t>
            </w:r>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60" w:type="dxa"/>
            <w:vAlign w:val="bottom"/>
            <w:tcBorders>
              <w:top w:val="single" w:sz="8" w:color="0000FF"/>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176"/>
        </w:trPr>
        <w:tc>
          <w:tcPr>
            <w:tcW w:w="640" w:type="dxa"/>
            <w:vAlign w:val="bottom"/>
          </w:tcPr>
          <w:p>
            <w:pPr>
              <w:spacing w:after="0"/>
              <w:rPr>
                <w:sz w:val="15"/>
                <w:szCs w:val="15"/>
                <w:color w:val="auto"/>
              </w:rPr>
            </w:pPr>
          </w:p>
        </w:tc>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Vice President, Strategic Partnerships and General Counsel &amp;</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2023</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30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99060</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Record Financial Results for the Fourth Quarter and Fiscal Year 2023</w:t>
      </w:r>
    </w:p>
    <w:p>
      <w:pPr>
        <w:spacing w:after="0" w:line="229"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CHICAGO-(October 12, 2023) - Oil-Dri Corporation of America (NYSE: ODC), producer and marketer of sorbent mineral products, today announced results for its fourth quarter and fiscal year and fiscal year 2023.</w:t>
      </w:r>
    </w:p>
    <w:p>
      <w:pPr>
        <w:spacing w:after="0" w:line="83" w:lineRule="exact"/>
        <w:rPr>
          <w:sz w:val="20"/>
          <w:szCs w:val="20"/>
          <w:color w:val="auto"/>
        </w:rPr>
      </w:pPr>
    </w:p>
    <w:tbl>
      <w:tblPr>
        <w:tblLayout w:type="fixed"/>
        <w:tblInd w:w="15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3"/>
          </w:tcPr>
          <w:p>
            <w:pPr>
              <w:jc w:val="center"/>
              <w:ind w:left="478"/>
              <w:spacing w:after="0"/>
              <w:rPr>
                <w:sz w:val="20"/>
                <w:szCs w:val="20"/>
                <w:color w:val="auto"/>
              </w:rPr>
            </w:pPr>
            <w:r>
              <w:rPr>
                <w:rFonts w:ascii="Arial" w:cs="Arial" w:eastAsia="Arial" w:hAnsi="Arial"/>
                <w:sz w:val="18"/>
                <w:szCs w:val="18"/>
                <w:b w:val="1"/>
                <w:bCs w:val="1"/>
                <w:color w:val="auto"/>
                <w:w w:val="94"/>
              </w:rPr>
              <w:t>Fourth Quarter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center"/>
              <w:ind w:right="19"/>
              <w:spacing w:after="0"/>
              <w:rPr>
                <w:sz w:val="20"/>
                <w:szCs w:val="20"/>
                <w:color w:val="auto"/>
              </w:rPr>
            </w:pPr>
            <w:r>
              <w:rPr>
                <w:rFonts w:ascii="Arial" w:cs="Arial" w:eastAsia="Arial" w:hAnsi="Arial"/>
                <w:sz w:val="18"/>
                <w:szCs w:val="18"/>
                <w:b w:val="1"/>
                <w:bCs w:val="1"/>
                <w:color w:val="auto"/>
                <w:w w:val="91"/>
              </w:rPr>
              <w:t>Year to Date</w:t>
            </w:r>
          </w:p>
        </w:tc>
        <w:tc>
          <w:tcPr>
            <w:tcW w:w="880" w:type="dxa"/>
            <w:vAlign w:val="bottom"/>
          </w:tcPr>
          <w:p>
            <w:pPr>
              <w:spacing w:after="0"/>
              <w:rPr>
                <w:sz w:val="19"/>
                <w:szCs w:val="19"/>
                <w:color w:val="auto"/>
              </w:rPr>
            </w:pPr>
          </w:p>
        </w:tc>
      </w:tr>
      <w:tr>
        <w:trPr>
          <w:trHeight w:val="182"/>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gridSpan w:val="2"/>
          </w:tcPr>
          <w:p>
            <w:pPr>
              <w:jc w:val="center"/>
              <w:ind w:right="99"/>
              <w:spacing w:after="0"/>
              <w:rPr>
                <w:sz w:val="20"/>
                <w:szCs w:val="20"/>
                <w:color w:val="auto"/>
              </w:rPr>
            </w:pPr>
            <w:r>
              <w:rPr>
                <w:rFonts w:ascii="Arial" w:cs="Arial" w:eastAsia="Arial" w:hAnsi="Arial"/>
                <w:sz w:val="14"/>
                <w:szCs w:val="14"/>
                <w:i w:val="1"/>
                <w:iCs w:val="1"/>
                <w:color w:val="auto"/>
                <w:w w:val="92"/>
              </w:rPr>
              <w:t>Ended July 31,</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Ended July 31,</w:t>
            </w:r>
          </w:p>
        </w:tc>
        <w:tc>
          <w:tcPr>
            <w:tcW w:w="880" w:type="dxa"/>
            <w:vAlign w:val="bottom"/>
          </w:tcPr>
          <w:p>
            <w:pPr>
              <w:spacing w:after="0"/>
              <w:rPr>
                <w:sz w:val="15"/>
                <w:szCs w:val="15"/>
                <w:color w:val="auto"/>
              </w:rPr>
            </w:pPr>
          </w:p>
        </w:tc>
      </w:tr>
      <w:tr>
        <w:trPr>
          <w:trHeight w:val="25"/>
        </w:trPr>
        <w:tc>
          <w:tcPr>
            <w:tcW w:w="5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7"/>
        </w:trPr>
        <w:tc>
          <w:tcPr>
            <w:tcW w:w="522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920" w:type="dxa"/>
            <w:vAlign w:val="bottom"/>
          </w:tcPr>
          <w:p>
            <w:pPr>
              <w:jc w:val="center"/>
              <w:ind w:right="319"/>
              <w:spacing w:after="0"/>
              <w:rPr>
                <w:sz w:val="20"/>
                <w:szCs w:val="20"/>
                <w:color w:val="auto"/>
              </w:rPr>
            </w:pPr>
            <w:r>
              <w:rPr>
                <w:rFonts w:ascii="Arial" w:cs="Arial" w:eastAsia="Arial" w:hAnsi="Arial"/>
                <w:sz w:val="16"/>
                <w:szCs w:val="16"/>
                <w:b w:val="1"/>
                <w:bCs w:val="1"/>
                <w:color w:val="auto"/>
                <w:w w:val="89"/>
              </w:rPr>
              <w:t>2022</w:t>
            </w:r>
          </w:p>
        </w:tc>
        <w:tc>
          <w:tcPr>
            <w:tcW w:w="80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7"/>
                <w:szCs w:val="17"/>
                <w:color w:val="auto"/>
              </w:rPr>
            </w:pPr>
          </w:p>
        </w:tc>
        <w:tc>
          <w:tcPr>
            <w:tcW w:w="8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2022</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r>
      <w:tr>
        <w:trPr>
          <w:trHeight w:val="232"/>
        </w:trPr>
        <w:tc>
          <w:tcPr>
            <w:tcW w:w="522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107,388</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93,158</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3"/>
              </w:rPr>
              <w:t>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413,021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348,589</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18%</w:t>
            </w:r>
          </w:p>
        </w:tc>
      </w:tr>
      <w:tr>
        <w:trPr>
          <w:trHeight w:val="21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11,919</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5,196</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129%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29,551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5,674</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421%</w:t>
            </w:r>
          </w:p>
        </w:tc>
      </w:tr>
      <w:tr>
        <w:trPr>
          <w:trHeight w:val="21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Net Income Attributable to Oil-Dri Excluding Nonrecurring Events </w:t>
            </w:r>
            <w:r>
              <w:rPr>
                <w:rFonts w:ascii="Arial" w:cs="Arial" w:eastAsia="Arial" w:hAnsi="Arial"/>
                <w:sz w:val="14"/>
                <w:szCs w:val="14"/>
                <w:i w:val="1"/>
                <w:iCs w:val="1"/>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12,076</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5,196</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132%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36,469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10,136</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260%</w:t>
            </w:r>
          </w:p>
        </w:tc>
      </w:tr>
      <w:tr>
        <w:trPr>
          <w:trHeight w:val="23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Diluted EPS - Common</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0.77</w:t>
            </w:r>
          </w:p>
        </w:tc>
        <w:tc>
          <w:tcPr>
            <w:tcW w:w="80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117%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0.81</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410%</w:t>
            </w:r>
          </w:p>
        </w:tc>
      </w:tr>
      <w:tr>
        <w:trPr>
          <w:trHeight w:val="22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Diluted EPS - Common, Excluding Nonrecurring Events </w:t>
            </w:r>
            <w:r>
              <w:rPr>
                <w:rFonts w:ascii="Arial" w:cs="Arial" w:eastAsia="Arial" w:hAnsi="Arial"/>
                <w:sz w:val="14"/>
                <w:szCs w:val="14"/>
                <w:i w:val="1"/>
                <w:iCs w:val="1"/>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0.77</w:t>
            </w:r>
          </w:p>
        </w:tc>
        <w:tc>
          <w:tcPr>
            <w:tcW w:w="80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87"/>
              </w:rPr>
              <w:t>119%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249%</w:t>
            </w:r>
          </w:p>
        </w:tc>
      </w:tr>
      <w:tr>
        <w:trPr>
          <w:trHeight w:val="239"/>
        </w:trPr>
        <w:tc>
          <w:tcPr>
            <w:tcW w:w="522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38,142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32,229</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3"/>
              </w:rPr>
              <w:t>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142,395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113,379</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26%</w:t>
            </w:r>
          </w:p>
        </w:tc>
      </w:tr>
      <w:tr>
        <w:trPr>
          <w:trHeight w:val="219"/>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11,779</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7,207</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3"/>
              </w:rPr>
              <w:t>63%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36,573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24,344</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50%</w:t>
            </w:r>
          </w:p>
        </w:tc>
      </w:tr>
      <w:tr>
        <w:trPr>
          <w:trHeight w:val="233"/>
        </w:trPr>
        <w:tc>
          <w:tcPr>
            <w:tcW w:w="522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r>
      <w:tr>
        <w:trPr>
          <w:trHeight w:val="210"/>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69,246</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60,929</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3"/>
              </w:rPr>
              <w:t>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270,626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235,210</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3"/>
              </w:rPr>
              <w:t>15%</w:t>
            </w:r>
          </w:p>
        </w:tc>
      </w:tr>
      <w:tr>
        <w:trPr>
          <w:trHeight w:val="216"/>
        </w:trPr>
        <w:tc>
          <w:tcPr>
            <w:tcW w:w="5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9,119</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5,450</w:t>
            </w:r>
          </w:p>
        </w:tc>
        <w:tc>
          <w:tcPr>
            <w:tcW w:w="800" w:type="dxa"/>
            <w:vAlign w:val="bottom"/>
            <w:tcBorders>
              <w:right w:val="single" w:sz="8" w:color="auto"/>
            </w:tcBorders>
          </w:tcPr>
          <w:p>
            <w:pPr>
              <w:jc w:val="center"/>
              <w:ind w:right="99"/>
              <w:spacing w:after="0"/>
              <w:rPr>
                <w:sz w:val="20"/>
                <w:szCs w:val="20"/>
                <w:color w:val="auto"/>
              </w:rPr>
            </w:pPr>
            <w:r>
              <w:rPr>
                <w:rFonts w:ascii="Arial" w:cs="Arial" w:eastAsia="Arial" w:hAnsi="Arial"/>
                <w:sz w:val="16"/>
                <w:szCs w:val="16"/>
                <w:color w:val="auto"/>
                <w:w w:val="93"/>
              </w:rPr>
              <w:t>67%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36,119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6,252</w:t>
            </w:r>
          </w:p>
        </w:tc>
        <w:tc>
          <w:tcPr>
            <w:tcW w:w="88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478%</w:t>
            </w:r>
          </w:p>
        </w:tc>
      </w:tr>
      <w:tr>
        <w:trPr>
          <w:trHeight w:val="233"/>
        </w:trPr>
        <w:tc>
          <w:tcPr>
            <w:tcW w:w="5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Segment Operating Income Excluding Nonrecurring Events </w:t>
            </w:r>
            <w:r>
              <w:rPr>
                <w:rFonts w:ascii="Arial" w:cs="Arial" w:eastAsia="Arial" w:hAnsi="Arial"/>
                <w:sz w:val="14"/>
                <w:szCs w:val="14"/>
                <w:i w:val="1"/>
                <w:iCs w:val="1"/>
                <w:color w:val="auto"/>
              </w:rPr>
              <w: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N/A</w:t>
            </w:r>
          </w:p>
        </w:tc>
        <w:tc>
          <w:tcPr>
            <w:tcW w:w="80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11,896</w:t>
            </w:r>
          </w:p>
        </w:tc>
        <w:tc>
          <w:tcPr>
            <w:tcW w:w="88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6"/>
                <w:szCs w:val="16"/>
                <w:color w:val="auto"/>
                <w:w w:val="92"/>
              </w:rPr>
              <w:t>204%</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Please refer to Reconciliation of Non-GAAP Financial Measures below for a reconciliation of Non-GAAP items to the comparable GAAP measures.</w:t>
      </w:r>
    </w:p>
    <w:p>
      <w:pPr>
        <w:spacing w:after="0" w:line="25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Daniel S. Jaffee, President and Chief Executive Officer, stated, “I am extremely pleased with our fourth quarter and fiscal year 2023 results as we set new records in consolidated net sales, gross profit, and net income for both periods. These achievements reflect the dedication of our teammates who worked diligently to rebuild profitability and service our loyal customers during a highly inflationary economic environment. During the fourth quarter, we delivered a 220-basis point gain in gross margins over the third quarter of fiscal 2023, as well as a 950-basis point increase over the fourth quarter last year. For the full fiscal year 2023, gross margins grew by a remarkable 710 basis points compared to fiscal 2022. While I am proud of our improvement, I am mindful of the fact that even though we grew our gross margins in fiscal 2023, there is still progress to be made to return to our historical gross margin levels.</w:t>
      </w:r>
    </w:p>
    <w:p>
      <w:pPr>
        <w:spacing w:after="0" w:line="209"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In addition to repairing our gross margins, we made significant progress expanding the distribution of our lightweight cat litter, fluids purification, agricultural, and animal health products. We also recently launched Cat’s Pride Antibacterial Clumping Litter which is the first and only EPA approved antibacterial cat litter in the United States. As we enter fiscal 2024, we plan to continue this strong momentum, invest in our infrastructure, and exceed our customers’ expectations with our unique portfolio of value-added clay products.”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Results</w:t>
      </w:r>
    </w:p>
    <w:p>
      <w:pPr>
        <w:spacing w:after="0" w:line="14"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Consolidated net sales for fiscal year 2023 reached an all-time high of $413.0 million, reflecting an 18% increase over the prior year. Record revenues were achieved across all areas of our business. Within the Retail &amp; Wholesale (“R&amp;W”) Products Group, pricing actions to improve profitability drove most of the sales increase, while higher prices coupled with increased volumes contributed to the revenue gains within the Business to Business (“B2B”) Products Group. Sales from domestic cat litter, fluids purification, and agricultural products significantly contributed to the consolidated top-line growth during the fiscal year with increases over the prior year of 16%, 25% and 32%, respectively. In addition, the Company experienced strong revenue gains over the prior year from its animal health, industrial &amp; sports, and co-packaging coarse cat litter businesses.</w:t>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Annual consolidated gross profit was a record $103.2 million, an increase of 65% over the prior year, with margin expansion to 25% in fiscal 2023 from 18% in fiscal 2022. Domestic cost of goods sold per ton increased by 11% compared to last year driven by higher freight and non-fuel manufacturing costs which include significant investments in labor, repairs, and replacement of assets. Multiple rounds of pricing actions taken throughout the year helped mitigate these cost pressures.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Selling, general and administrative (“SG&amp;A”) expenses were $62.2 million for fiscal 2023 compared to $52.1 million last year. This 19% increase is primarily driven by a higher bonus accrual resulting from improved financial results compared to the Company’s performance target under its annual incentive plan. In addition, advertising costs increased in fiscal 2023 compared to fiscal 2022, as prior year spending levels were tempered due to supply chain and inflationary headwinds.</w:t>
      </w:r>
    </w:p>
    <w:p>
      <w:pPr>
        <w:sectPr>
          <w:pgSz w:w="11900" w:h="16838" w:orient="portrait"/>
          <w:cols w:equalWidth="0" w:num="1">
            <w:col w:w="11240"/>
          </w:cols>
          <w:pgMar w:left="320" w:top="1268" w:right="339" w:bottom="4" w:gutter="0" w:footer="0" w:header="0"/>
        </w:sectPr>
      </w:pPr>
    </w:p>
    <w:bookmarkStart w:id="4" w:name="page5"/>
    <w:bookmarkEnd w:id="4"/>
    <w:p>
      <w:pPr>
        <w:ind w:right="60"/>
        <w:spacing w:after="0" w:line="251" w:lineRule="auto"/>
        <w:rPr>
          <w:sz w:val="20"/>
          <w:szCs w:val="20"/>
          <w:color w:val="auto"/>
        </w:rPr>
      </w:pPr>
      <w:r>
        <w:rPr>
          <w:rFonts w:ascii="Arial" w:cs="Arial" w:eastAsia="Arial" w:hAnsi="Arial"/>
          <w:sz w:val="22"/>
          <w:szCs w:val="22"/>
          <w:color w:val="auto"/>
        </w:rPr>
        <w:t>Included as a separate line item in the prior year’s results was the one-time non-cash goodwill impairment charge of $5.6 million for the Retail &amp; Wholesale (“R&amp;W”) Products Group.</w:t>
      </w:r>
    </w:p>
    <w:p>
      <w:pPr>
        <w:spacing w:after="0" w:line="200"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Consolidated annual operating income reached $41.0 million, reflecting a $36.2 million increase over the prior year. Excluding the aforementioned one-time non-cash goodwill impairment charge of $5.6 million, operating income for fiscal 2023 was approximately $30.6 million greater than fiscal 2022.</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Total other (expense) income, net was $(6.4) million for fiscal year 2023 compared to total other (expense) income, net of $0.9 million in fiscal year 2022. In fiscal 2023, Oil-Dri settled the outstanding obligations related to the termination of the Company’s pension plan which totaled $4.7 million. In addition, the Company recorded a reserve of $2.5 million for anticipated modification costs that it expects to incur to address capacity issues at its sole landfill located in Ochlocknee, Georgia.</w:t>
      </w:r>
    </w:p>
    <w:p>
      <w:pPr>
        <w:spacing w:after="0" w:line="17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Income tax expense was approximately $5.2 million in fiscal year 2023 compared to $0.1 million last year. This increase was driven by higher taxable income.</w:t>
      </w:r>
    </w:p>
    <w:p>
      <w:pPr>
        <w:spacing w:after="0" w:line="202" w:lineRule="exact"/>
        <w:rPr>
          <w:sz w:val="20"/>
          <w:szCs w:val="20"/>
          <w:color w:val="auto"/>
        </w:rPr>
      </w:pPr>
    </w:p>
    <w:p>
      <w:pPr>
        <w:jc w:val="both"/>
        <w:ind w:right="320"/>
        <w:spacing w:after="0" w:line="236" w:lineRule="auto"/>
        <w:rPr>
          <w:sz w:val="20"/>
          <w:szCs w:val="20"/>
          <w:color w:val="auto"/>
        </w:rPr>
      </w:pPr>
      <w:r>
        <w:rPr>
          <w:rFonts w:ascii="Arial" w:cs="Arial" w:eastAsia="Arial" w:hAnsi="Arial"/>
          <w:sz w:val="22"/>
          <w:szCs w:val="22"/>
          <w:color w:val="auto"/>
        </w:rPr>
        <w:t>Annual net income attributed to Oil-Dri hit a historic high of $29.6 million in fiscal 2023, or a $23.9 million increase over the prior year. Excluding the aforementioned nonrecurring charges in both fiscal years, net income attributed to Oil-Dri for fiscal year 2023 was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$36.5 million, or a $26.3 million gain over last year, reflecting the Company’s achievement in elevating its bottom line.</w:t>
      </w:r>
    </w:p>
    <w:p>
      <w:pPr>
        <w:spacing w:after="0" w:line="227" w:lineRule="exact"/>
        <w:rPr>
          <w:sz w:val="20"/>
          <w:szCs w:val="20"/>
          <w:color w:val="auto"/>
        </w:rPr>
      </w:pPr>
    </w:p>
    <w:p>
      <w:pPr>
        <w:ind w:right="660"/>
        <w:spacing w:after="0" w:line="236" w:lineRule="auto"/>
        <w:rPr>
          <w:sz w:val="20"/>
          <w:szCs w:val="20"/>
          <w:color w:val="auto"/>
        </w:rPr>
      </w:pPr>
      <w:r>
        <w:rPr>
          <w:rFonts w:ascii="Arial" w:cs="Arial" w:eastAsia="Arial" w:hAnsi="Arial"/>
          <w:sz w:val="22"/>
          <w:szCs w:val="22"/>
          <w:color w:val="auto"/>
        </w:rPr>
        <w:t>Cash and cash equivalents as of July 31, 2023, totaled $31.8 million compared to $16.3 million in fiscal 2022. This strong improvement was driven by higher earnings. Significant uses of cash during the year include capital investments for manufacturing infrastructure improvements and dividend payments.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Results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1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Consolidated net sales in the fourth quarter reached an all-time high of $107.4 million, a 15% increase over the prior year, marking the 5th consecutive quarter of topline growth. Net sales increased for both the R&amp;W Products Group and B2B Products Group, primarily due to higher prices across the Company’s product portfolio to offset inflationary pressures.</w:t>
      </w:r>
    </w:p>
    <w:p>
      <w:pPr>
        <w:spacing w:after="0" w:line="170"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Fourth quarter consolidated gross profit was a record $30.4 million, an increase of $12.9 million, or 74%, compared to the fourth quarter of the prior year. Gross margins climbed to 28% in fiscal 2023 from 19% in fiscal 2022 when the Company was challenged with inflation, supply chain disruptions and logistical delays. Domestic cost of goods sold per ton increased 7% in the fourth quarter of fiscal 2023 compared to the prior year as a result of higher per ton freight and non-fuel manufacturing costs related to labor, repairs, and the replacement of assets.</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Selling, general and administrative expenses were $18.0 million during the fourth quarter of fiscal 2023 compared to $11.0 million for the same period last year. This 61% increase reflects higher advertising spending, an increase in the Company’s bonus accrual, and the reclassification of certain trade spending charges from SG&amp;A to net sales.</w:t>
      </w:r>
    </w:p>
    <w:p>
      <w:pPr>
        <w:spacing w:after="0" w:line="196"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Consolidated operating income was approximately $12.7 million for the three months ended July 31, 2023, compared to $6.5 million during the same period in fiscal 2022. Higher sales offset increased cost of goods and SG&amp;A expenditures.</w:t>
      </w:r>
    </w:p>
    <w:p>
      <w:pPr>
        <w:spacing w:after="0" w:line="13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Income tax expense was $1.3 million in the fourth quarter of fiscal year 2023 and flat compared to the same period last year. This was a result of higher taxable income offset by additional depletion deductions and tax refunds from prior years.</w:t>
      </w:r>
    </w:p>
    <w:p>
      <w:pPr>
        <w:spacing w:after="0" w:line="13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Fourth quarter consolidated net income attributed to Oil-Dri was the highest in the Company’s history reaching $11.9 million in fiscal 2023 compared to $5.2 million in fiscal 2022, reflecting a 129% increase.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Group Review</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The Business to Business (“B2B”) Products Group’s fourth quarter revenues reached an all-time high of $38.1 million, an 18% gain over the prior year. This increase was primarily driven by higher prices, and to a lesser extent from elevated volumes. Revenues from fluids purification and agricultural items fueled this growth but were partially offset by soft animal health product sales. Fluids purification products generated a record $22.6 million in sales, or a 35% gain over the prior year, as a result of higher prices to rebuild margins and increased demand. Within North America, sales of the Company’s renewable diesel, edible oil, and jet fuel products increased by double digits. This was driven by the establishment of several new renewable diesel facilities within the U.S., new bleaching clay customers, and poor edible oil quality requiring higher doses of Oil-Dri’s clay. Topline growth was also achieved in the region including Europe, Middle East, and Africa ("EMEA") and in Latin America. Sales from agricultural products were $9.8 million, or a 9% increase over last year as a result of higher prices of Agsorb and Verge products. Amlan, the Company’s animal health business, produced $5.7 million in sales during the fourth quarter of fiscal 2023, reflecting a 12% decrease from last year. Despite this decline, triple digit revenue gains were achieved within North America where the Company has made significant investments to grow the business. Sales improved within this region through higher prices and increased distribution of its Sorbiam products. However, these gains were offset by revenue declines within Latin America and Asia due to timing of shipments. Sales were also soft in China resulting from the transition to a new distribution strategy. In the fourth quarter of fiscal 2023, sales of Amlan’s products in Mexico decreased when compared to last year. During this time, the Company completed its acquisition of the remaining equity interest of Agromex Importaciones, S.A. de C.V..</w:t>
      </w:r>
    </w:p>
    <w:p>
      <w:pPr>
        <w:sectPr>
          <w:pgSz w:w="11900" w:h="16838" w:orient="portrait"/>
          <w:cols w:equalWidth="0" w:num="1">
            <w:col w:w="11200"/>
          </w:cols>
          <w:pgMar w:left="320" w:top="118" w:right="379" w:bottom="0" w:gutter="0" w:footer="0" w:header="0"/>
        </w:sectPr>
      </w:pPr>
    </w:p>
    <w:bookmarkStart w:id="5" w:name="page6"/>
    <w:bookmarkEnd w:id="5"/>
    <w:p>
      <w:pPr>
        <w:jc w:val="both"/>
        <w:ind w:right="100"/>
        <w:spacing w:after="0"/>
        <w:rPr>
          <w:sz w:val="20"/>
          <w:szCs w:val="20"/>
          <w:color w:val="auto"/>
        </w:rPr>
      </w:pPr>
      <w:r>
        <w:rPr>
          <w:rFonts w:ascii="Arial" w:cs="Arial" w:eastAsia="Arial" w:hAnsi="Arial"/>
          <w:sz w:val="22"/>
          <w:szCs w:val="22"/>
          <w:color w:val="auto"/>
        </w:rPr>
        <w:t>Operating income for the B2B Products Group was $11.8 million in the fourth quarter of fiscal 2023 compared to $7.2 million in fiscal 2022, reflecting a 63% increase. SG&amp;A expenses were relatively flat in the fourth quarter compared to the same period of fiscal year 2022.</w:t>
      </w:r>
    </w:p>
    <w:p>
      <w:pPr>
        <w:spacing w:after="0" w:line="213"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Retail and Wholesale Products Group’s fourth quarter revenues reached $69.2 million, a 14% increase over the prior year, as a result of higher prices. The leading driver of this growth was the 16% increase in domestic cat litter sales, excluding the Company’s co-packaged coarse cat litter business. During fiscal year 2023, Oil-Dri decided to eliminate certain non-strategic cat litter products from its portfolio, and during the fourth quarter, it ceased shipments of these items. As a result, total domestic cat litter volumes declined in the fourth quarter from the prior year. Excluding this non-strategic business, demand for domestic cat litter products increased over last year as a result of organic growth and expanded distribution. Revenues from combined domestic branded and private label lightweight litter items rose 27% in the fourth quarter of fiscal 2023 versus the prior year, exceeding the lightweight litter segment sales growth of 11% for the 13-week period ended July 29, 2023, according to third-party research data for retail sales</w:t>
      </w:r>
      <w:r>
        <w:rPr>
          <w:rFonts w:ascii="Arial" w:cs="Arial" w:eastAsia="Arial" w:hAnsi="Arial"/>
          <w:sz w:val="11"/>
          <w:szCs w:val="11"/>
          <w:color w:val="auto"/>
        </w:rPr>
        <w:t>1</w:t>
      </w:r>
      <w:r>
        <w:rPr>
          <w:rFonts w:ascii="Arial" w:cs="Arial" w:eastAsia="Arial" w:hAnsi="Arial"/>
          <w:sz w:val="20"/>
          <w:szCs w:val="20"/>
          <w:color w:val="auto"/>
        </w:rPr>
        <w:t>. In addition, branded and private label coarse items demonstrated significant sales gains within the quarter versus last year. Net sales of co-packaged products rose by approximately $1.0 million, or 26%, compared to the same period in fiscal year 2022. Higher prices offset a modest decrease in volume. Fourth quarter fiscal 2023 sales of cat litter products from Oil-Dri’s subsidiary in Canada remained flat compared to the same period last year. Domestic industrial and sports products sales were $10.1 million, representing a 3% improvement over the prior year as a result of pricing actions implemented in previous quarters to relieve gross margin pressures.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Operating income for the R&amp;W Products Group was $9.1 million in the fourth quarter of fiscal year 2023 compared to $5.5 million in the prior year, or a 67% gain. Higher sales offset inflation on costs of goods and elevated SG&amp;A spending. SG&amp;A expenses increased as a result of significant advertising spending targeted for the last three months of fiscal year 2023. Oil-Dri expects advertising expenses for the upcoming fiscal year 2024 to be higher than fiscal year 2023 and equally spread over four quarters. These advertising dollars will be spent to promote Cat’s Pride lightweight litter, including the newly launched Cat’s Pride Antibacterial Clumping Litter product. This new lightweight item is the first and only antibacterial cat litter to receive EPA approval in the United States, as it is proven to kill 99.9% of odor-causing bacteria.</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Oil-Dri will host its fourth quarter of fiscal 2023 earnings discussion via webcast on Friday, October 13, 2023 at 10:00 a.m.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Central Time. Participation details are available on the Company’s website’s Events page.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In addition to the results reported in accordance with accounting principles generally accepted in the United States (GAAP) included throughout this press release, the Company has provided information regarding "Segment Operating Income Excluding Nonrecurring Events ", “Net Income Attributable to Oil-Dri excluding Nonrecurring Events”, and “Diluted EPS- Common, excluding Nonrecurring Events” all of which are non-GAAP financial measures. These financial measures exclude a one-time non-cash goodwill impairment charge in fiscal year 2022, as well as pension termination expenses and landfill modification costs in fiscal year 2023. These non-GAAP financial measures are intended to serve as a supplement to the results provided in accordance with GAAP. Management believes that such information provides an additional measurement and consistent historical comparison of the Company's performance and further believes that these non-GAAP financial measures are useful to both management and investors in their analysis of the Company's financial position and results of operations by excluding these nonrecurring events that are not indicative of the Company's operating performance or that may obscure trends useful in evaluating the Company's continuing operating activities. The non-GAAP financial measures, as determined and presented by the Company, may not be comparable to related or similarly titled measures reported by other companies. A reconciliation of the non-GAAP financial measures to the most directly comparable GAAP measures is available in this news release.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jc w:val="both"/>
        <w:spacing w:after="0" w:line="224"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13-week period ended July 29, 2023, for the U.S. xAOC+Pet Supers market. Copyright © 2023 NielsenIQ.</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“Oil-Dri”, “Agsorb”, “Verge”, “Cat’s Pride”, “Sorbiam”, and “Amlan” are registered trademarks of Oil-Dri Corporation of America.</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w:t>
      </w:r>
    </w:p>
    <w:p>
      <w:pPr>
        <w:sectPr>
          <w:pgSz w:w="11900" w:h="16838" w:orient="portrait"/>
          <w:cols w:equalWidth="0" w:num="1">
            <w:col w:w="11240"/>
          </w:cols>
          <w:pgMar w:left="320" w:top="361" w:right="339" w:bottom="47"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price fluctuations and pressures, increases in costs, disruptions to our and our counterparties’</w:t>
      </w:r>
    </w:p>
    <w:p>
      <w:pPr>
        <w:sectPr>
          <w:pgSz w:w="11900" w:h="16838" w:orient="portrait"/>
          <w:cols w:equalWidth="0" w:num="1">
            <w:col w:w="11240"/>
          </w:cols>
          <w:pgMar w:left="320" w:top="361" w:right="339" w:bottom="47"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6"/>
          <w:szCs w:val="16"/>
          <w:i w:val="1"/>
          <w:iCs w:val="1"/>
          <w:color w:val="auto"/>
        </w:rPr>
        <w:t>businesses and operations and other uncertainties and assumptions that are described in Item 1A (Risk Factors) of our most recent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31" w:lineRule="auto"/>
        <w:rPr>
          <w:sz w:val="20"/>
          <w:szCs w:val="20"/>
          <w:color w:val="auto"/>
        </w:rPr>
      </w:pPr>
      <w:r>
        <w:rPr>
          <w:rFonts w:ascii="Arial" w:cs="Arial" w:eastAsia="Arial" w:hAnsi="Arial"/>
          <w:sz w:val="22"/>
          <w:szCs w:val="22"/>
          <w:color w:val="auto"/>
        </w:rPr>
        <w:t>Oil-Dri Corporation of America</w:t>
      </w:r>
    </w:p>
    <w:p>
      <w:pPr>
        <w:spacing w:after="0"/>
        <w:rPr>
          <w:sz w:val="20"/>
          <w:szCs w:val="20"/>
          <w:color w:val="auto"/>
        </w:rPr>
      </w:pPr>
      <w:r>
        <w:rPr>
          <w:rFonts w:ascii="Arial" w:cs="Arial" w:eastAsia="Arial" w:hAnsi="Arial"/>
          <w:sz w:val="22"/>
          <w:szCs w:val="22"/>
          <w:color w:val="0000FF"/>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40"/>
              <w:spacing w:after="0"/>
              <w:rPr>
                <w:sz w:val="20"/>
                <w:szCs w:val="20"/>
                <w:color w:val="auto"/>
              </w:rPr>
            </w:pPr>
            <w:r>
              <w:rPr>
                <w:rFonts w:ascii="Arial" w:cs="Arial" w:eastAsia="Arial" w:hAnsi="Arial"/>
                <w:sz w:val="18"/>
                <w:szCs w:val="18"/>
                <w:b w:val="1"/>
                <w:bCs w:val="1"/>
                <w:color w:val="auto"/>
              </w:rPr>
              <w:t>Fourth Quarter Ended July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107,388</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93,158</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(76,954)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(75,677)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12,709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Gain on Pension Termination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Income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b w:val="1"/>
                <w:bCs w:val="1"/>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13,221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11,919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11,919</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5,196</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Basic Class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4,831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6,795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9" w:name="page10"/>
    <w:bookmarkEnd w:id="9"/>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w w:val="99"/>
              </w:rPr>
              <w:t>Twelve Months Ended July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413,021</w:t>
            </w:r>
          </w:p>
        </w:tc>
        <w:tc>
          <w:tcPr>
            <w:tcW w:w="1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348,589</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Cost of Goods Sold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(309,794)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(286,074)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103,227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62,515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(62,187)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(52,050)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Loss on Impairment of Goodwill</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41,040</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Loss on Pension Termination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Total 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(6,362)</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34,678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Income Taxes Expense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29,483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9"/>
        </w:trPr>
        <w:tc>
          <w:tcPr>
            <w:tcW w:w="528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29,551</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5,674</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280" w:type="dxa"/>
            <w:vAlign w:val="bottom"/>
            <w:vMerge w:val="continue"/>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Basic Class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Class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Basic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Diluted Class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040" w:type="dxa"/>
            <w:vAlign w:val="bottom"/>
          </w:tcPr>
          <w:p>
            <w:pPr>
              <w:spacing w:after="0"/>
              <w:rPr>
                <w:sz w:val="20"/>
                <w:szCs w:val="20"/>
                <w:color w:val="auto"/>
              </w:rPr>
            </w:pPr>
          </w:p>
        </w:tc>
        <w:tc>
          <w:tcPr>
            <w:tcW w:w="1520" w:type="dxa"/>
            <w:vAlign w:val="bottom"/>
            <w:gridSpan w:val="3"/>
            <w:vMerge w:val="restart"/>
          </w:tcPr>
          <w:p>
            <w:pPr>
              <w:jc w:val="right"/>
              <w:ind w:right="70"/>
              <w:spacing w:after="0"/>
              <w:rPr>
                <w:sz w:val="20"/>
                <w:szCs w:val="20"/>
                <w:color w:val="auto"/>
              </w:rPr>
            </w:pPr>
            <w:r>
              <w:rPr>
                <w:rFonts w:ascii="Arial" w:cs="Arial" w:eastAsia="Arial" w:hAnsi="Arial"/>
                <w:sz w:val="18"/>
                <w:szCs w:val="18"/>
                <w:b w:val="1"/>
                <w:bCs w:val="1"/>
                <w:color w:val="auto"/>
              </w:rPr>
              <w:t>As of July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5"/>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31,754</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16,298</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59,287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51,683</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42,612</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40,466</w:t>
            </w: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136,507</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112,111</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120,872</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110,436</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286,235</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249,611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6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17,101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58,768</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48,515</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30,827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31,798</w:t>
            </w: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w:t>
            </w: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50,391</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50,747</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177,076</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286,235</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249,611</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80" w:type="dxa"/>
            <w:vAlign w:val="bottom"/>
            <w:vMerge w:val="continue"/>
          </w:tcPr>
          <w:p>
            <w:pPr>
              <w:spacing w:after="0"/>
              <w:rPr>
                <w:sz w:val="24"/>
                <w:szCs w:val="24"/>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26.10</w:t>
            </w:r>
          </w:p>
        </w:tc>
        <w:tc>
          <w:tcPr>
            <w:tcW w:w="3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481"/>
        </w:trPr>
        <w:tc>
          <w:tcPr>
            <w:tcW w:w="658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Fourth Quarter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6,924</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29"/>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24,368</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22,010</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Fourth Quarter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4,180</w:t>
            </w:r>
          </w:p>
        </w:tc>
        <w:tc>
          <w:tcPr>
            <w:tcW w:w="3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4"/>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Year To Date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15,528</w:t>
            </w:r>
          </w:p>
        </w:tc>
        <w:tc>
          <w:tcPr>
            <w:tcW w:w="3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bl>
    <w:p>
      <w:pPr>
        <w:sectPr>
          <w:pgSz w:w="11900" w:h="16838" w:orient="portrait"/>
          <w:cols w:equalWidth="0" w:num="1">
            <w:col w:w="10320"/>
          </w:cols>
          <w:pgMar w:left="340" w:top="1440" w:right="1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 thousands)</w:t>
            </w:r>
          </w:p>
        </w:tc>
        <w:tc>
          <w:tcPr>
            <w:tcW w:w="31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For the Twelve Months Ended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80" w:type="dxa"/>
            <w:vAlign w:val="bottom"/>
          </w:tcPr>
          <w:p>
            <w:pPr>
              <w:spacing w:after="0"/>
              <w:rPr>
                <w:sz w:val="19"/>
                <w:szCs w:val="19"/>
                <w:color w:val="auto"/>
              </w:rPr>
            </w:pPr>
          </w:p>
        </w:tc>
        <w:tc>
          <w:tcPr>
            <w:tcW w:w="310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July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29,483</w:t>
            </w:r>
          </w:p>
        </w:tc>
        <w:tc>
          <w:tcPr>
            <w:tcW w:w="36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15,528</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Loss on Impairment of Goodwill</w:t>
            </w:r>
          </w:p>
        </w:tc>
        <w:tc>
          <w:tcPr>
            <w:tcW w:w="10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Loss on Pension Termination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4,652</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(7,899)</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(10,654)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(2,204)</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(13,087)</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3,241</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Increase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6,455</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(1,085)</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658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20,281</w:t>
            </w:r>
          </w:p>
        </w:tc>
        <w:tc>
          <w:tcPr>
            <w:tcW w:w="3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49,764</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461"/>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(24,368)</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(22,010)</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(24,567)</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(21,989)</w:t>
            </w:r>
          </w:p>
        </w:tc>
        <w:tc>
          <w:tcPr>
            <w:tcW w:w="0" w:type="dxa"/>
            <w:vAlign w:val="bottom"/>
          </w:tcPr>
          <w:p>
            <w:pPr>
              <w:spacing w:after="0"/>
              <w:rPr>
                <w:sz w:val="1"/>
                <w:szCs w:val="1"/>
                <w:color w:val="auto"/>
              </w:rPr>
            </w:pPr>
          </w:p>
        </w:tc>
      </w:tr>
      <w:tr>
        <w:trPr>
          <w:trHeight w:val="461"/>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Proceeds from Issuance of Notes Payable</w:t>
            </w:r>
          </w:p>
        </w:tc>
        <w:tc>
          <w:tcPr>
            <w:tcW w:w="10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Payment of Debt Issuance costs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Principal Payments on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(7,433)</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34"/>
        </w:trPr>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(11,806)</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466"/>
        </w:trPr>
        <w:tc>
          <w:tcPr>
            <w:tcW w:w="658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88"/>
        </w:trPr>
        <w:tc>
          <w:tcPr>
            <w:tcW w:w="6580" w:type="dxa"/>
            <w:vAlign w:val="bottom"/>
          </w:tcPr>
          <w:p>
            <w:pPr>
              <w:spacing w:after="0"/>
              <w:rPr>
                <w:sz w:val="20"/>
                <w:szCs w:val="20"/>
                <w:color w:val="auto"/>
              </w:rPr>
            </w:pPr>
            <w:r>
              <w:rPr>
                <w:rFonts w:ascii="Arial" w:cs="Arial" w:eastAsia="Arial" w:hAnsi="Arial"/>
                <w:sz w:val="20"/>
                <w:szCs w:val="20"/>
                <w:b w:val="1"/>
                <w:bCs w:val="1"/>
                <w:color w:val="auto"/>
              </w:rPr>
              <w:t>Net Increase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15,456</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31,754</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340" w:top="1440" w:right="1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540" w:type="dxa"/>
            <w:vAlign w:val="bottom"/>
            <w:gridSpan w:val="5"/>
            <w:vMerge w:val="restart"/>
          </w:tcPr>
          <w:p>
            <w:pPr>
              <w:jc w:val="center"/>
              <w:ind w:right="520"/>
              <w:spacing w:after="0"/>
              <w:rPr>
                <w:sz w:val="20"/>
                <w:szCs w:val="20"/>
                <w:color w:val="auto"/>
              </w:rPr>
            </w:pPr>
            <w:r>
              <w:rPr>
                <w:rFonts w:ascii="Arial" w:cs="Arial" w:eastAsia="Arial" w:hAnsi="Arial"/>
                <w:sz w:val="18"/>
                <w:szCs w:val="18"/>
                <w:b w:val="1"/>
                <w:bCs w:val="1"/>
                <w:color w:val="auto"/>
                <w:w w:val="96"/>
              </w:rPr>
              <w:t>Fourth Quarter</w:t>
            </w:r>
          </w:p>
        </w:tc>
        <w:tc>
          <w:tcPr>
            <w:tcW w:w="280" w:type="dxa"/>
            <w:vAlign w:val="bottom"/>
          </w:tcPr>
          <w:p>
            <w:pPr>
              <w:spacing w:after="0"/>
              <w:rPr>
                <w:sz w:val="20"/>
                <w:szCs w:val="20"/>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Year to Date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Ended July 31,</w:t>
            </w:r>
          </w:p>
        </w:tc>
        <w:tc>
          <w:tcPr>
            <w:tcW w:w="280" w:type="dxa"/>
            <w:vAlign w:val="bottom"/>
          </w:tcPr>
          <w:p>
            <w:pPr>
              <w:spacing w:after="0"/>
              <w:rPr>
                <w:sz w:val="20"/>
                <w:szCs w:val="20"/>
                <w:color w:val="auto"/>
              </w:rPr>
            </w:pPr>
          </w:p>
        </w:tc>
        <w:tc>
          <w:tcPr>
            <w:tcW w:w="23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Ended July 31,</w:t>
            </w:r>
          </w:p>
        </w:tc>
        <w:tc>
          <w:tcPr>
            <w:tcW w:w="0" w:type="dxa"/>
            <w:vAlign w:val="bottom"/>
          </w:tcPr>
          <w:p>
            <w:pPr>
              <w:spacing w:after="0"/>
              <w:rPr>
                <w:sz w:val="1"/>
                <w:szCs w:val="1"/>
                <w:color w:val="auto"/>
              </w:rPr>
            </w:pPr>
          </w:p>
        </w:tc>
      </w:tr>
      <w:tr>
        <w:trPr>
          <w:trHeight w:val="223"/>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RETAIL AND WHOLESALE</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b w:val="1"/>
                <w:bCs w:val="1"/>
                <w:color w:val="auto"/>
              </w:rPr>
              <w:t>GAAP: 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5,450</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36,119</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156"/>
        </w:trPr>
        <w:tc>
          <w:tcPr>
            <w:tcW w:w="5380" w:type="dxa"/>
            <w:vAlign w:val="bottom"/>
          </w:tcPr>
          <w:p>
            <w:pPr>
              <w:spacing w:after="0" w:line="156" w:lineRule="exact"/>
              <w:rPr>
                <w:sz w:val="20"/>
                <w:szCs w:val="20"/>
                <w:color w:val="auto"/>
              </w:rPr>
            </w:pPr>
            <w:r>
              <w:rPr>
                <w:rFonts w:ascii="Arial" w:cs="Arial" w:eastAsia="Arial" w:hAnsi="Arial"/>
                <w:sz w:val="18"/>
                <w:szCs w:val="18"/>
                <w:b w:val="1"/>
                <w:bCs w:val="1"/>
                <w:color w:val="auto"/>
                <w:w w:val="98"/>
              </w:rPr>
              <w:t>Non-GAAP: Segment Operating Income excluding Nonrecurring</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5,450</w:t>
            </w:r>
          </w:p>
        </w:tc>
        <w:tc>
          <w:tcPr>
            <w:tcW w:w="24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36,119</w:t>
            </w:r>
          </w:p>
        </w:tc>
        <w:tc>
          <w:tcPr>
            <w:tcW w:w="16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11,896</w:t>
            </w:r>
          </w:p>
        </w:tc>
        <w:tc>
          <w:tcPr>
            <w:tcW w:w="0" w:type="dxa"/>
            <w:vAlign w:val="bottom"/>
          </w:tcPr>
          <w:p>
            <w:pPr>
              <w:spacing w:after="0"/>
              <w:rPr>
                <w:sz w:val="1"/>
                <w:szCs w:val="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b w:val="1"/>
                <w:bCs w:val="1"/>
                <w:color w:val="auto"/>
              </w:rPr>
              <w:t>Events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RESULTS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b w:val="1"/>
                <w:bCs w:val="1"/>
                <w:color w:val="auto"/>
              </w:rPr>
              <w:t>GAAP: Net Income Attributable to Oil-Dri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5,196</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29,551</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Plus: Nonrecurring Events, Net of Tax</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Goodwill Impairment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Landfill Modification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1,977</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380" w:type="dxa"/>
            <w:vAlign w:val="bottom"/>
          </w:tcPr>
          <w:p>
            <w:pPr>
              <w:ind w:left="220"/>
              <w:spacing w:after="0"/>
              <w:rPr>
                <w:sz w:val="20"/>
                <w:szCs w:val="20"/>
                <w:color w:val="auto"/>
              </w:rPr>
            </w:pPr>
            <w:r>
              <w:rPr>
                <w:rFonts w:ascii="Arial" w:cs="Arial" w:eastAsia="Arial" w:hAnsi="Arial"/>
                <w:sz w:val="18"/>
                <w:szCs w:val="18"/>
                <w:b w:val="1"/>
                <w:bCs w:val="1"/>
                <w:color w:val="auto"/>
              </w:rPr>
              <w:t>Pension Termination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4,941</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Nonrecurring Events, Net of Tax</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156"/>
        </w:trPr>
        <w:tc>
          <w:tcPr>
            <w:tcW w:w="5380" w:type="dxa"/>
            <w:vAlign w:val="bottom"/>
          </w:tcPr>
          <w:p>
            <w:pPr>
              <w:spacing w:after="0" w:line="156" w:lineRule="exact"/>
              <w:rPr>
                <w:sz w:val="20"/>
                <w:szCs w:val="20"/>
                <w:color w:val="auto"/>
              </w:rPr>
            </w:pPr>
            <w:r>
              <w:rPr>
                <w:rFonts w:ascii="Arial" w:cs="Arial" w:eastAsia="Arial" w:hAnsi="Arial"/>
                <w:sz w:val="18"/>
                <w:szCs w:val="18"/>
                <w:b w:val="1"/>
                <w:bCs w:val="1"/>
                <w:color w:val="auto"/>
              </w:rPr>
              <w:t>Non-GAAP: Net Income Attributable to Oil-Dri excluding</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12,076</w:t>
            </w:r>
          </w:p>
        </w:tc>
        <w:tc>
          <w:tcPr>
            <w:tcW w:w="16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5,196</w:t>
            </w:r>
          </w:p>
        </w:tc>
        <w:tc>
          <w:tcPr>
            <w:tcW w:w="24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36,469</w:t>
            </w:r>
          </w:p>
        </w:tc>
        <w:tc>
          <w:tcPr>
            <w:tcW w:w="16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b w:val="1"/>
                <w:bCs w:val="1"/>
                <w:color w:val="auto"/>
              </w:rPr>
              <w:t>Nonrecurring Events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GAAP: Diluted EPS -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380" w:type="dxa"/>
            <w:vAlign w:val="bottom"/>
            <w:vMerge w:val="continue"/>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Plus: Nonrecurring Events, Net of Tax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Non-GAAP: Diluted EPS - Common, excluding Nonrecurring Events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20"/>
      </w:cols>
      <w:pgMar w:left="3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2023-10-12T15:22:40Z</dcterms:created>
  <dcterms:modified xsi:type="dcterms:W3CDTF">2023-10-12T15:22:40Z</dcterms:modified>
</cp:coreProperties>
</file>