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24"/>
          <w:szCs w:val="24"/>
          <w:b w:val="1"/>
          <w:bCs w:val="1"/>
          <w:color w:val="auto"/>
        </w:rPr>
        <w:t>ANNUAL REPORT PURSUANT TO SECTION 13 OR 15(d)</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 the fiscal year ended July 31, 2010</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OR</w:t>
      </w:r>
    </w:p>
    <w:p>
      <w:pPr>
        <w:spacing w:after="0" w:line="251" w:lineRule="exact"/>
        <w:rPr>
          <w:sz w:val="24"/>
          <w:szCs w:val="24"/>
          <w:color w:val="auto"/>
        </w:rPr>
      </w:pPr>
    </w:p>
    <w:p>
      <w:pPr>
        <w:ind w:left="2360" w:hanging="240"/>
        <w:spacing w:after="0"/>
        <w:tabs>
          <w:tab w:leader="none" w:pos="2360" w:val="left"/>
        </w:tabs>
        <w:numPr>
          <w:ilvl w:val="0"/>
          <w:numId w:val="1"/>
        </w:numPr>
        <w:rPr>
          <w:rFonts w:ascii="MS PGothic" w:cs="MS PGothic" w:eastAsia="MS PGothic" w:hAnsi="MS PGothic"/>
          <w:sz w:val="22"/>
          <w:szCs w:val="22"/>
          <w:color w:val="auto"/>
        </w:rPr>
      </w:pPr>
      <w:r>
        <w:rPr>
          <w:rFonts w:ascii="Arial" w:cs="Arial" w:eastAsia="Arial" w:hAnsi="Arial"/>
          <w:sz w:val="24"/>
          <w:szCs w:val="24"/>
          <w:b w:val="1"/>
          <w:bCs w:val="1"/>
          <w:color w:val="auto"/>
        </w:rPr>
        <w:t>TRANSITION REPORT PURSUANT TO SECTION 13 OR 15 (d)</w:t>
      </w:r>
    </w:p>
    <w:p>
      <w:pPr>
        <w:spacing w:after="0" w:line="35" w:lineRule="exact"/>
        <w:rPr>
          <w:rFonts w:ascii="MS PGothic" w:cs="MS PGothic" w:eastAsia="MS PGothic" w:hAnsi="MS PGothic"/>
          <w:sz w:val="22"/>
          <w:szCs w:val="22"/>
          <w:color w:val="auto"/>
        </w:rPr>
      </w:pPr>
    </w:p>
    <w:p>
      <w:pPr>
        <w:ind w:left="3000"/>
        <w:spacing w:after="0"/>
        <w:rPr>
          <w:rFonts w:ascii="MS PGothic" w:cs="MS PGothic" w:eastAsia="MS PGothic" w:hAnsi="MS PGothic"/>
          <w:sz w:val="22"/>
          <w:szCs w:val="22"/>
          <w:color w:val="auto"/>
        </w:rPr>
      </w:pPr>
      <w:r>
        <w:rPr>
          <w:rFonts w:ascii="Arial" w:cs="Arial" w:eastAsia="Arial" w:hAnsi="Arial"/>
          <w:sz w:val="24"/>
          <w:szCs w:val="24"/>
          <w:b w:val="1"/>
          <w:bCs w:val="1"/>
          <w:color w:val="auto"/>
        </w:rPr>
        <w:t>OF THE SECURITIES EXCHANGE ACT OF 1934</w:t>
      </w:r>
    </w:p>
    <w:p>
      <w:pPr>
        <w:spacing w:after="0" w:line="223" w:lineRule="exact"/>
        <w:rPr>
          <w:sz w:val="24"/>
          <w:szCs w:val="24"/>
          <w:color w:val="auto"/>
        </w:rPr>
      </w:pPr>
    </w:p>
    <w:p>
      <w:pPr>
        <w:ind w:left="3300"/>
        <w:spacing w:after="0"/>
        <w:rPr>
          <w:sz w:val="20"/>
          <w:szCs w:val="20"/>
          <w:color w:val="auto"/>
        </w:rPr>
      </w:pPr>
      <w:r>
        <w:rPr>
          <w:rFonts w:ascii="Arial" w:cs="Arial" w:eastAsia="Arial" w:hAnsi="Arial"/>
          <w:sz w:val="24"/>
          <w:szCs w:val="24"/>
          <w:b w:val="1"/>
          <w:bCs w:val="1"/>
          <w:color w:val="auto"/>
        </w:rPr>
        <w:t>For the Transition Period from _____ to _____</w:t>
      </w:r>
    </w:p>
    <w:p>
      <w:pPr>
        <w:spacing w:after="0" w:line="36" w:lineRule="exact"/>
        <w:rPr>
          <w:sz w:val="24"/>
          <w:szCs w:val="24"/>
          <w:color w:val="auto"/>
        </w:rPr>
      </w:pPr>
    </w:p>
    <w:p>
      <w:pPr>
        <w:ind w:left="4080"/>
        <w:spacing w:after="0"/>
        <w:rPr>
          <w:sz w:val="20"/>
          <w:szCs w:val="20"/>
          <w:color w:val="auto"/>
        </w:rPr>
      </w:pPr>
      <w:r>
        <w:rPr>
          <w:rFonts w:ascii="Arial" w:cs="Arial" w:eastAsia="Arial" w:hAnsi="Arial"/>
          <w:sz w:val="24"/>
          <w:szCs w:val="24"/>
          <w:b w:val="1"/>
          <w:bCs w:val="1"/>
          <w:color w:val="auto"/>
        </w:rPr>
        <w:t>___________________________</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Commission File Number 001-12622</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OIL-DRI CORPORATION OF AMERICA</w:t>
      </w:r>
    </w:p>
    <w:p>
      <w:pPr>
        <w:sectPr>
          <w:pgSz w:w="11900" w:h="16838" w:orient="portrait"/>
          <w:cols w:equalWidth="0" w:num="1">
            <w:col w:w="11420"/>
          </w:cols>
          <w:pgMar w:left="240" w:top="462" w:right="239" w:bottom="1440" w:gutter="0" w:footer="0" w:header="0"/>
        </w:sectPr>
      </w:pPr>
    </w:p>
    <w:p>
      <w:pPr>
        <w:spacing w:after="0" w:line="244"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Delaware</w:t>
      </w:r>
    </w:p>
    <w:p>
      <w:pPr>
        <w:spacing w:after="0" w:line="42"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(State or other jurisdiction of</w:t>
      </w:r>
    </w:p>
    <w:p>
      <w:pPr>
        <w:spacing w:after="0" w:line="59"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1620"/>
        <w:spacing w:after="0"/>
        <w:rPr>
          <w:sz w:val="20"/>
          <w:szCs w:val="20"/>
          <w:color w:val="auto"/>
        </w:rPr>
      </w:pPr>
      <w:r>
        <w:rPr>
          <w:rFonts w:ascii="Arial" w:cs="Arial" w:eastAsia="Arial" w:hAnsi="Arial"/>
          <w:sz w:val="18"/>
          <w:szCs w:val="18"/>
          <w:b w:val="1"/>
          <w:bCs w:val="1"/>
          <w:color w:val="auto"/>
        </w:rPr>
        <w:t>36-2048898</w:t>
      </w:r>
    </w:p>
    <w:p>
      <w:pPr>
        <w:spacing w:after="0" w:line="42" w:lineRule="exact"/>
        <w:rPr>
          <w:sz w:val="24"/>
          <w:szCs w:val="24"/>
          <w:color w:val="auto"/>
        </w:rPr>
      </w:pPr>
    </w:p>
    <w:p>
      <w:pPr>
        <w:jc w:val="center"/>
        <w:ind w:right="1620"/>
        <w:spacing w:after="0"/>
        <w:rPr>
          <w:sz w:val="20"/>
          <w:szCs w:val="20"/>
          <w:color w:val="auto"/>
        </w:rPr>
      </w:pPr>
      <w:r>
        <w:rPr>
          <w:rFonts w:ascii="Arial" w:cs="Arial" w:eastAsia="Arial" w:hAnsi="Arial"/>
          <w:sz w:val="16"/>
          <w:szCs w:val="16"/>
          <w:color w:val="auto"/>
        </w:rPr>
        <w:t>(IRS. Employer Identification No.)</w:t>
      </w:r>
    </w:p>
    <w:p>
      <w:pPr>
        <w:spacing w:after="0" w:line="443" w:lineRule="exact"/>
        <w:rPr>
          <w:sz w:val="24"/>
          <w:szCs w:val="24"/>
          <w:color w:val="auto"/>
        </w:rPr>
      </w:pPr>
    </w:p>
    <w:p>
      <w:pPr>
        <w:sectPr>
          <w:pgSz w:w="11900" w:h="16838" w:orient="portrait"/>
          <w:cols w:equalWidth="0" w:num="2">
            <w:col w:w="6620" w:space="720"/>
            <w:col w:w="4080"/>
          </w:cols>
          <w:pgMar w:left="240" w:top="462" w:right="239" w:bottom="1440" w:gutter="0" w:footer="0" w:header="0"/>
          <w:type w:val="continuous"/>
        </w:sectPr>
      </w:pP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410 North Michigan Avenue, Suite 400, Chicago, Illinois 60611-4213</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(312) 321-1515</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54" w:lineRule="exact"/>
        <w:rPr>
          <w:sz w:val="24"/>
          <w:szCs w:val="24"/>
          <w:color w:val="auto"/>
        </w:rPr>
      </w:pPr>
    </w:p>
    <w:tbl>
      <w:tblPr>
        <w:tblLayout w:type="fixed"/>
        <w:tblInd w:w="1380" w:type="dxa"/>
        <w:tblCellMar>
          <w:top w:w="0" w:type="dxa"/>
          <w:left w:w="0" w:type="dxa"/>
          <w:bottom w:w="0" w:type="dxa"/>
          <w:right w:w="0" w:type="dxa"/>
        </w:tblCellMar>
      </w:tblPr>
      <w:tr>
        <w:trPr>
          <w:trHeight w:val="217"/>
        </w:trPr>
        <w:tc>
          <w:tcPr>
            <w:tcW w:w="7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20" w:type="dxa"/>
            <w:vAlign w:val="bottom"/>
          </w:tcPr>
          <w:p>
            <w:pPr>
              <w:spacing w:after="0"/>
              <w:rPr>
                <w:sz w:val="18"/>
                <w:szCs w:val="18"/>
                <w:color w:val="auto"/>
              </w:rPr>
            </w:pPr>
          </w:p>
        </w:tc>
        <w:tc>
          <w:tcPr>
            <w:tcW w:w="4700" w:type="dxa"/>
            <w:vAlign w:val="bottom"/>
            <w:gridSpan w:val="3"/>
          </w:tcPr>
          <w:p>
            <w:pPr>
              <w:jc w:val="center"/>
              <w:ind w:left="1172"/>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220" w:type="dxa"/>
            <w:vAlign w:val="bottom"/>
            <w:gridSpan w:val="3"/>
          </w:tcPr>
          <w:p>
            <w:pPr>
              <w:jc w:val="center"/>
              <w:ind w:right="1260"/>
              <w:spacing w:after="0"/>
              <w:rPr>
                <w:sz w:val="20"/>
                <w:szCs w:val="20"/>
                <w:color w:val="auto"/>
              </w:rPr>
            </w:pPr>
            <w:r>
              <w:rPr>
                <w:rFonts w:ascii="Arial" w:cs="Arial" w:eastAsia="Arial" w:hAnsi="Arial"/>
                <w:sz w:val="18"/>
                <w:szCs w:val="18"/>
                <w:color w:val="auto"/>
                <w:w w:val="87"/>
              </w:rPr>
              <w:t>Common Stock, par value $0.10 per share</w:t>
            </w:r>
          </w:p>
        </w:tc>
        <w:tc>
          <w:tcPr>
            <w:tcW w:w="1260" w:type="dxa"/>
            <w:vAlign w:val="bottom"/>
          </w:tcPr>
          <w:p>
            <w:pPr>
              <w:spacing w:after="0"/>
              <w:rPr>
                <w:sz w:val="20"/>
                <w:szCs w:val="20"/>
                <w:color w:val="auto"/>
              </w:rPr>
            </w:pPr>
          </w:p>
        </w:tc>
        <w:tc>
          <w:tcPr>
            <w:tcW w:w="34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New York Stock Exchange</w:t>
            </w:r>
          </w:p>
        </w:tc>
      </w:tr>
    </w:tbl>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Yes o 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Yes o No x</w:t>
      </w:r>
    </w:p>
    <w:p>
      <w:pPr>
        <w:spacing w:after="0" w:line="252"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Yes x 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type w:val="continuous"/>
        </w:sectPr>
      </w:pPr>
    </w:p>
    <w:bookmarkStart w:id="1" w:name="page2"/>
    <w:bookmarkEnd w:id="1"/>
    <w:p>
      <w:pPr>
        <w:jc w:val="both"/>
        <w:ind w:right="2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spacing w:after="0"/>
        <w:rPr>
          <w:sz w:val="20"/>
          <w:szCs w:val="20"/>
          <w:color w:val="auto"/>
        </w:rPr>
      </w:pPr>
      <w:r>
        <w:rPr>
          <w:rFonts w:ascii="Arial" w:cs="Arial" w:eastAsia="Arial" w:hAnsi="Arial"/>
          <w:sz w:val="18"/>
          <w:szCs w:val="18"/>
          <w:color w:val="auto"/>
        </w:rPr>
        <w:t>Yes o No o</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833" w:right="239" w:bottom="1440" w:gutter="0" w:footer="0" w:header="0"/>
        </w:sectPr>
      </w:pPr>
    </w:p>
    <w:p>
      <w:pPr>
        <w:spacing w:after="0" w:line="199"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212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ectPr>
          <w:pgSz w:w="11900" w:h="16838" w:orient="portrait"/>
          <w:cols w:equalWidth="0" w:num="4">
            <w:col w:w="4940" w:space="720"/>
            <w:col w:w="100" w:space="280"/>
            <w:col w:w="2460" w:space="720"/>
            <w:col w:w="2200"/>
          </w:cols>
          <w:pgMar w:left="240" w:top="833" w:right="239" w:bottom="1440" w:gutter="0" w:footer="0" w:header="0"/>
          <w:type w:val="continuous"/>
        </w:sectPr>
      </w:pPr>
    </w:p>
    <w:p>
      <w:pPr>
        <w:spacing w:after="0" w:line="102"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81" w:lineRule="exact"/>
        <w:rPr>
          <w:sz w:val="20"/>
          <w:szCs w:val="20"/>
          <w:color w:val="auto"/>
        </w:rPr>
      </w:pPr>
    </w:p>
    <w:p>
      <w:pPr>
        <w:sectPr>
          <w:pgSz w:w="11900" w:h="16838" w:orient="portrait"/>
          <w:cols w:equalWidth="0" w:num="4">
            <w:col w:w="4940" w:space="720"/>
            <w:col w:w="100" w:space="280"/>
            <w:col w:w="2460" w:space="720"/>
            <w:col w:w="2200"/>
          </w:cols>
          <w:pgMar w:left="240" w:top="833"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833" w:right="23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Yes o No 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Oil-Dri’s Common Stock owned by non-affiliates as of January 29, 2010 was $81,578,000.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each class of Oil-Dri’s capital stock outstanding as of September 30, 2010:</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Stock – 5,084,395 shares</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B Stock – 1,919,476 shares</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A Common Stock – 0 shares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documents are incorporated by reference: Oil-Dri’s Proxy Statement for its 2010 Annual Meeting of Stockholders (“Proxy Statement”), which will be filed with the Securities and Exchange Commission (“SEC”) not later than November 28, 2010 (120 days after the end of Oil-Dri’s fiscal year ended July 31, 2010), is incorporated into Part III of this Annual Report on Form 10-K, as indicated herein.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9160" w:type="dxa"/>
            <w:vAlign w:val="bottom"/>
          </w:tcPr>
          <w:p>
            <w:pPr>
              <w:jc w:val="center"/>
              <w:ind w:left="1192"/>
              <w:spacing w:after="0"/>
              <w:rPr>
                <w:sz w:val="20"/>
                <w:szCs w:val="20"/>
                <w:color w:val="auto"/>
              </w:rPr>
            </w:pPr>
            <w:r>
              <w:rPr>
                <w:rFonts w:ascii="Arial" w:cs="Arial" w:eastAsia="Arial" w:hAnsi="Arial"/>
                <w:sz w:val="18"/>
                <w:szCs w:val="18"/>
                <w:b w:val="1"/>
                <w:bCs w:val="1"/>
                <w:color w:val="auto"/>
                <w:w w:val="96"/>
              </w:rPr>
              <w:t>CONTENTS</w:t>
            </w: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00" w:type="dxa"/>
            <w:vAlign w:val="bottom"/>
          </w:tcPr>
          <w:p>
            <w:pPr>
              <w:ind w:left="120"/>
              <w:spacing w:after="0"/>
              <w:rPr>
                <w:sz w:val="20"/>
                <w:szCs w:val="20"/>
                <w:color w:val="auto"/>
              </w:rPr>
            </w:pPr>
            <w:r>
              <w:rPr>
                <w:rFonts w:ascii="Arial" w:cs="Arial" w:eastAsia="Arial" w:hAnsi="Arial"/>
                <w:sz w:val="18"/>
                <w:szCs w:val="18"/>
                <w:color w:val="auto"/>
              </w:rPr>
              <w:t>Item</w:t>
            </w:r>
          </w:p>
        </w:tc>
        <w:tc>
          <w:tcPr>
            <w:tcW w:w="9160" w:type="dxa"/>
            <w:vAlign w:val="bottom"/>
          </w:tcPr>
          <w:p>
            <w:pPr>
              <w:spacing w:after="0"/>
              <w:rPr>
                <w:sz w:val="21"/>
                <w:szCs w:val="21"/>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color w:val="auto"/>
              </w:rPr>
              <w:t>Page</w:t>
            </w:r>
          </w:p>
        </w:tc>
      </w:tr>
      <w:tr>
        <w:trPr>
          <w:trHeight w:val="243"/>
        </w:trPr>
        <w:tc>
          <w:tcPr>
            <w:tcW w:w="500" w:type="dxa"/>
            <w:vAlign w:val="bottom"/>
            <w:tcBorders>
              <w:top w:val="single" w:sz="8" w:color="auto"/>
            </w:tcBorders>
            <w:shd w:val="clear" w:color="auto" w:fill="C0C0C0"/>
          </w:tcPr>
          <w:p>
            <w:pPr>
              <w:spacing w:after="0"/>
              <w:rPr>
                <w:sz w:val="21"/>
                <w:szCs w:val="21"/>
                <w:color w:val="auto"/>
              </w:rPr>
            </w:pPr>
          </w:p>
        </w:tc>
        <w:tc>
          <w:tcPr>
            <w:tcW w:w="9160" w:type="dxa"/>
            <w:vAlign w:val="bottom"/>
            <w:tcBorders>
              <w:top w:val="single" w:sz="8" w:color="auto"/>
            </w:tcBorders>
            <w:shd w:val="clear" w:color="auto" w:fill="C0C0C0"/>
          </w:tcPr>
          <w:p>
            <w:pPr>
              <w:jc w:val="center"/>
              <w:ind w:left="1172"/>
              <w:spacing w:after="0"/>
              <w:rPr>
                <w:sz w:val="20"/>
                <w:szCs w:val="20"/>
                <w:color w:val="auto"/>
              </w:rPr>
            </w:pPr>
            <w:r>
              <w:rPr>
                <w:rFonts w:ascii="Arial" w:cs="Arial" w:eastAsia="Arial" w:hAnsi="Arial"/>
                <w:sz w:val="18"/>
                <w:szCs w:val="18"/>
                <w:b w:val="1"/>
                <w:bCs w:val="1"/>
                <w:color w:val="auto"/>
                <w:w w:val="98"/>
              </w:rPr>
              <w:t>PART I</w:t>
            </w:r>
          </w:p>
        </w:tc>
        <w:tc>
          <w:tcPr>
            <w:tcW w:w="176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1.</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Business</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 – 11</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1A.</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Risk Factors</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 – 18</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1B.</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Unresolved Staff Comments</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2.</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Properties</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 – 21</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3.</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Legal Proceedings</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4.</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[Reserved]</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0" w:type="dxa"/>
            <w:vAlign w:val="bottom"/>
            <w:shd w:val="clear" w:color="auto" w:fill="C0C0C0"/>
          </w:tcPr>
          <w:p>
            <w:pPr>
              <w:spacing w:after="0"/>
              <w:rPr>
                <w:sz w:val="21"/>
                <w:szCs w:val="21"/>
                <w:color w:val="auto"/>
              </w:rPr>
            </w:pPr>
          </w:p>
        </w:tc>
        <w:tc>
          <w:tcPr>
            <w:tcW w:w="9160" w:type="dxa"/>
            <w:vAlign w:val="bottom"/>
            <w:shd w:val="clear" w:color="auto" w:fill="C0C0C0"/>
          </w:tcPr>
          <w:p>
            <w:pPr>
              <w:jc w:val="center"/>
              <w:ind w:left="1192"/>
              <w:spacing w:after="0"/>
              <w:rPr>
                <w:sz w:val="20"/>
                <w:szCs w:val="20"/>
                <w:color w:val="auto"/>
              </w:rPr>
            </w:pPr>
            <w:r>
              <w:rPr>
                <w:rFonts w:ascii="Arial" w:cs="Arial" w:eastAsia="Arial" w:hAnsi="Arial"/>
                <w:sz w:val="18"/>
                <w:szCs w:val="18"/>
                <w:b w:val="1"/>
                <w:bCs w:val="1"/>
                <w:color w:val="auto"/>
                <w:w w:val="99"/>
              </w:rPr>
              <w:t>PART II</w:t>
            </w:r>
          </w:p>
        </w:tc>
        <w:tc>
          <w:tcPr>
            <w:tcW w:w="1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5.</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 – 25</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6.</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Selected Financial Data</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 – 27</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7.</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 – 39</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7A.</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 – 40</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8.</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Financial Statements and Supplementary Data</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 – 67</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1"/>
                <w:szCs w:val="21"/>
                <w:color w:val="auto"/>
              </w:rPr>
            </w:pP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Management’s Report on Internal Control Over Financial Reporting</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1"/>
                <w:szCs w:val="21"/>
                <w:color w:val="auto"/>
              </w:rPr>
            </w:pP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9.</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9A.</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Controls and Procedures</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9B.</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Other Information</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0" w:type="dxa"/>
            <w:vAlign w:val="bottom"/>
            <w:shd w:val="clear" w:color="auto" w:fill="C0C0C0"/>
          </w:tcPr>
          <w:p>
            <w:pPr>
              <w:spacing w:after="0"/>
              <w:rPr>
                <w:sz w:val="21"/>
                <w:szCs w:val="21"/>
                <w:color w:val="auto"/>
              </w:rPr>
            </w:pPr>
          </w:p>
        </w:tc>
        <w:tc>
          <w:tcPr>
            <w:tcW w:w="9160" w:type="dxa"/>
            <w:vAlign w:val="bottom"/>
            <w:shd w:val="clear" w:color="auto" w:fill="C0C0C0"/>
          </w:tcPr>
          <w:p>
            <w:pPr>
              <w:jc w:val="center"/>
              <w:ind w:left="1172"/>
              <w:spacing w:after="0"/>
              <w:rPr>
                <w:sz w:val="20"/>
                <w:szCs w:val="20"/>
                <w:color w:val="auto"/>
              </w:rPr>
            </w:pPr>
            <w:r>
              <w:rPr>
                <w:rFonts w:ascii="Arial" w:cs="Arial" w:eastAsia="Arial" w:hAnsi="Arial"/>
                <w:sz w:val="18"/>
                <w:szCs w:val="18"/>
                <w:b w:val="1"/>
                <w:bCs w:val="1"/>
                <w:color w:val="auto"/>
              </w:rPr>
              <w:t>PART III</w:t>
            </w:r>
          </w:p>
        </w:tc>
        <w:tc>
          <w:tcPr>
            <w:tcW w:w="1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10.</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Directors, Executive Officers and Corporate Governance</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11.</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Executive Compensation</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12.</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13.</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r>
      <w:tr>
        <w:trPr>
          <w:trHeight w:val="243"/>
        </w:trPr>
        <w:tc>
          <w:tcPr>
            <w:tcW w:w="500" w:type="dxa"/>
            <w:vAlign w:val="bottom"/>
            <w:shd w:val="clear" w:color="auto" w:fill="C0C0C0"/>
          </w:tcPr>
          <w:p>
            <w:pPr>
              <w:spacing w:after="0"/>
              <w:rPr>
                <w:sz w:val="20"/>
                <w:szCs w:val="20"/>
                <w:color w:val="auto"/>
              </w:rPr>
            </w:pPr>
            <w:r>
              <w:rPr>
                <w:rFonts w:ascii="Arial" w:cs="Arial" w:eastAsia="Arial" w:hAnsi="Arial"/>
                <w:sz w:val="18"/>
                <w:szCs w:val="18"/>
                <w:color w:val="auto"/>
              </w:rPr>
              <w:t>14.</w:t>
            </w:r>
          </w:p>
        </w:tc>
        <w:tc>
          <w:tcPr>
            <w:tcW w:w="9160" w:type="dxa"/>
            <w:vAlign w:val="bottom"/>
            <w:shd w:val="clear" w:color="auto" w:fill="C0C0C0"/>
          </w:tcPr>
          <w:p>
            <w:pPr>
              <w:ind w:left="40"/>
              <w:spacing w:after="0"/>
              <w:rPr>
                <w:sz w:val="20"/>
                <w:szCs w:val="20"/>
                <w:color w:val="auto"/>
              </w:rPr>
            </w:pPr>
            <w:r>
              <w:rPr>
                <w:rFonts w:ascii="Arial" w:cs="Arial" w:eastAsia="Arial" w:hAnsi="Arial"/>
                <w:sz w:val="18"/>
                <w:szCs w:val="18"/>
                <w:color w:val="auto"/>
              </w:rPr>
              <w:t>Principal Accountant Fees and Services</w:t>
            </w:r>
          </w:p>
        </w:tc>
        <w:tc>
          <w:tcPr>
            <w:tcW w:w="1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r>
      <w:tr>
        <w:trPr>
          <w:trHeight w:val="457"/>
        </w:trPr>
        <w:tc>
          <w:tcPr>
            <w:tcW w:w="500" w:type="dxa"/>
            <w:vAlign w:val="bottom"/>
          </w:tcPr>
          <w:p>
            <w:pPr>
              <w:spacing w:after="0"/>
              <w:rPr>
                <w:sz w:val="24"/>
                <w:szCs w:val="24"/>
                <w:color w:val="auto"/>
              </w:rPr>
            </w:pPr>
          </w:p>
        </w:tc>
        <w:tc>
          <w:tcPr>
            <w:tcW w:w="9160" w:type="dxa"/>
            <w:vAlign w:val="bottom"/>
          </w:tcPr>
          <w:p>
            <w:pPr>
              <w:jc w:val="center"/>
              <w:ind w:left="1192"/>
              <w:spacing w:after="0"/>
              <w:rPr>
                <w:sz w:val="20"/>
                <w:szCs w:val="20"/>
                <w:color w:val="auto"/>
              </w:rPr>
            </w:pPr>
            <w:r>
              <w:rPr>
                <w:rFonts w:ascii="Arial" w:cs="Arial" w:eastAsia="Arial" w:hAnsi="Arial"/>
                <w:sz w:val="18"/>
                <w:szCs w:val="18"/>
                <w:color w:val="auto"/>
                <w:w w:val="79"/>
              </w:rPr>
              <w:t>3</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500" w:type="dxa"/>
            <w:vAlign w:val="bottom"/>
            <w:tcBorders>
              <w:bottom w:val="single" w:sz="8" w:color="808080"/>
            </w:tcBorders>
          </w:tcPr>
          <w:p>
            <w:pPr>
              <w:spacing w:after="0"/>
              <w:rPr>
                <w:sz w:val="24"/>
                <w:szCs w:val="24"/>
                <w:color w:val="auto"/>
              </w:rPr>
            </w:pPr>
          </w:p>
        </w:tc>
        <w:tc>
          <w:tcPr>
            <w:tcW w:w="91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7340" w:type="dxa"/>
            <w:vAlign w:val="bottom"/>
          </w:tcPr>
          <w:p>
            <w:pPr>
              <w:jc w:val="center"/>
              <w:ind w:right="3972"/>
              <w:spacing w:after="0"/>
              <w:rPr>
                <w:sz w:val="20"/>
                <w:szCs w:val="20"/>
                <w:color w:val="auto"/>
              </w:rPr>
            </w:pPr>
            <w:r>
              <w:rPr>
                <w:rFonts w:ascii="Arial" w:cs="Arial" w:eastAsia="Arial" w:hAnsi="Arial"/>
                <w:sz w:val="18"/>
                <w:szCs w:val="18"/>
                <w:b w:val="1"/>
                <w:bCs w:val="1"/>
                <w:color w:val="auto"/>
                <w:w w:val="98"/>
              </w:rPr>
              <w:t>CONTENTS (CONTINUED)</w:t>
            </w:r>
          </w:p>
        </w:tc>
      </w:tr>
      <w:tr>
        <w:trPr>
          <w:trHeight w:val="252"/>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7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Page</w:t>
            </w:r>
          </w:p>
        </w:tc>
      </w:tr>
      <w:tr>
        <w:trPr>
          <w:trHeight w:val="243"/>
        </w:trPr>
        <w:tc>
          <w:tcPr>
            <w:tcW w:w="4080" w:type="dxa"/>
            <w:vAlign w:val="bottom"/>
            <w:shd w:val="clear" w:color="auto" w:fill="C0C0C0"/>
          </w:tcPr>
          <w:p>
            <w:pPr>
              <w:spacing w:after="0"/>
              <w:rPr>
                <w:sz w:val="21"/>
                <w:szCs w:val="21"/>
                <w:color w:val="auto"/>
              </w:rPr>
            </w:pPr>
          </w:p>
        </w:tc>
        <w:tc>
          <w:tcPr>
            <w:tcW w:w="7340" w:type="dxa"/>
            <w:vAlign w:val="bottom"/>
            <w:shd w:val="clear" w:color="auto" w:fill="C0C0C0"/>
          </w:tcPr>
          <w:p>
            <w:pPr>
              <w:jc w:val="center"/>
              <w:ind w:right="3992"/>
              <w:spacing w:after="0"/>
              <w:rPr>
                <w:sz w:val="20"/>
                <w:szCs w:val="20"/>
                <w:color w:val="auto"/>
              </w:rPr>
            </w:pPr>
            <w:r>
              <w:rPr>
                <w:rFonts w:ascii="Arial" w:cs="Arial" w:eastAsia="Arial" w:hAnsi="Arial"/>
                <w:sz w:val="18"/>
                <w:szCs w:val="18"/>
                <w:b w:val="1"/>
                <w:bCs w:val="1"/>
                <w:color w:val="auto"/>
                <w:w w:val="98"/>
              </w:rPr>
              <w:t>PART IV</w:t>
            </w:r>
          </w:p>
        </w:tc>
      </w:tr>
      <w:tr>
        <w:trPr>
          <w:trHeight w:val="243"/>
        </w:trPr>
        <w:tc>
          <w:tcPr>
            <w:tcW w:w="4080" w:type="dxa"/>
            <w:vAlign w:val="bottom"/>
          </w:tcPr>
          <w:p>
            <w:pPr>
              <w:spacing w:after="0"/>
              <w:rPr>
                <w:sz w:val="21"/>
                <w:szCs w:val="21"/>
                <w:color w:val="auto"/>
              </w:rPr>
            </w:pPr>
          </w:p>
        </w:tc>
        <w:tc>
          <w:tcPr>
            <w:tcW w:w="7340" w:type="dxa"/>
            <w:vAlign w:val="bottom"/>
          </w:tcPr>
          <w:p>
            <w:pPr>
              <w:spacing w:after="0"/>
              <w:rPr>
                <w:sz w:val="21"/>
                <w:szCs w:val="21"/>
                <w:color w:val="auto"/>
              </w:rPr>
            </w:pPr>
          </w:p>
        </w:tc>
      </w:tr>
      <w:tr>
        <w:trPr>
          <w:trHeight w:val="243"/>
        </w:trPr>
        <w:tc>
          <w:tcPr>
            <w:tcW w:w="4080" w:type="dxa"/>
            <w:vAlign w:val="bottom"/>
            <w:shd w:val="clear" w:color="auto" w:fill="C0C0C0"/>
          </w:tcPr>
          <w:p>
            <w:pPr>
              <w:spacing w:after="0"/>
              <w:rPr>
                <w:sz w:val="20"/>
                <w:szCs w:val="20"/>
                <w:color w:val="auto"/>
              </w:rPr>
            </w:pPr>
            <w:r>
              <w:rPr>
                <w:rFonts w:ascii="Arial" w:cs="Arial" w:eastAsia="Arial" w:hAnsi="Arial"/>
                <w:sz w:val="18"/>
                <w:szCs w:val="18"/>
                <w:color w:val="auto"/>
              </w:rPr>
              <w:t>15.   Exhibits and Financial Statement Schedules</w:t>
            </w:r>
          </w:p>
        </w:tc>
        <w:tc>
          <w:tcPr>
            <w:tcW w:w="7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 – 75</w:t>
            </w:r>
          </w:p>
        </w:tc>
      </w:tr>
      <w:tr>
        <w:trPr>
          <w:trHeight w:val="243"/>
        </w:trPr>
        <w:tc>
          <w:tcPr>
            <w:tcW w:w="4080" w:type="dxa"/>
            <w:vAlign w:val="bottom"/>
          </w:tcPr>
          <w:p>
            <w:pPr>
              <w:spacing w:after="0"/>
              <w:rPr>
                <w:sz w:val="21"/>
                <w:szCs w:val="21"/>
                <w:color w:val="auto"/>
              </w:rPr>
            </w:pPr>
          </w:p>
        </w:tc>
        <w:tc>
          <w:tcPr>
            <w:tcW w:w="7340" w:type="dxa"/>
            <w:vAlign w:val="bottom"/>
          </w:tcPr>
          <w:p>
            <w:pPr>
              <w:spacing w:after="0"/>
              <w:rPr>
                <w:sz w:val="21"/>
                <w:szCs w:val="21"/>
                <w:color w:val="auto"/>
              </w:rPr>
            </w:pPr>
          </w:p>
        </w:tc>
      </w:tr>
      <w:tr>
        <w:trPr>
          <w:trHeight w:val="243"/>
        </w:trPr>
        <w:tc>
          <w:tcPr>
            <w:tcW w:w="40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Signatures</w:t>
            </w:r>
          </w:p>
        </w:tc>
        <w:tc>
          <w:tcPr>
            <w:tcW w:w="7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4080" w:type="dxa"/>
            <w:vAlign w:val="bottom"/>
          </w:tcPr>
          <w:p>
            <w:pPr>
              <w:spacing w:after="0"/>
              <w:rPr>
                <w:sz w:val="21"/>
                <w:szCs w:val="21"/>
                <w:color w:val="auto"/>
              </w:rPr>
            </w:pPr>
          </w:p>
        </w:tc>
        <w:tc>
          <w:tcPr>
            <w:tcW w:w="7340" w:type="dxa"/>
            <w:vAlign w:val="bottom"/>
          </w:tcPr>
          <w:p>
            <w:pPr>
              <w:spacing w:after="0"/>
              <w:rPr>
                <w:sz w:val="21"/>
                <w:szCs w:val="21"/>
                <w:color w:val="auto"/>
              </w:rPr>
            </w:pPr>
          </w:p>
        </w:tc>
      </w:tr>
      <w:tr>
        <w:trPr>
          <w:trHeight w:val="243"/>
        </w:trPr>
        <w:tc>
          <w:tcPr>
            <w:tcW w:w="4080" w:type="dxa"/>
            <w:vAlign w:val="bottom"/>
            <w:shd w:val="clear" w:color="auto" w:fill="C0C0C0"/>
          </w:tcPr>
          <w:p>
            <w:pPr>
              <w:ind w:left="520"/>
              <w:spacing w:after="0"/>
              <w:rPr>
                <w:sz w:val="20"/>
                <w:szCs w:val="20"/>
                <w:color w:val="auto"/>
              </w:rPr>
            </w:pPr>
            <w:r>
              <w:rPr>
                <w:rFonts w:ascii="Arial" w:cs="Arial" w:eastAsia="Arial" w:hAnsi="Arial"/>
                <w:sz w:val="18"/>
                <w:szCs w:val="18"/>
                <w:color w:val="auto"/>
                <w:w w:val="92"/>
              </w:rPr>
              <w:t>Schedule II – Valuation and Qualifying Accounts</w:t>
            </w:r>
          </w:p>
        </w:tc>
        <w:tc>
          <w:tcPr>
            <w:tcW w:w="7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4080" w:type="dxa"/>
            <w:vAlign w:val="bottom"/>
          </w:tcPr>
          <w:p>
            <w:pPr>
              <w:spacing w:after="0"/>
              <w:rPr>
                <w:sz w:val="21"/>
                <w:szCs w:val="21"/>
                <w:color w:val="auto"/>
              </w:rPr>
            </w:pPr>
          </w:p>
        </w:tc>
        <w:tc>
          <w:tcPr>
            <w:tcW w:w="7340" w:type="dxa"/>
            <w:vAlign w:val="bottom"/>
          </w:tcPr>
          <w:p>
            <w:pPr>
              <w:spacing w:after="0"/>
              <w:rPr>
                <w:sz w:val="21"/>
                <w:szCs w:val="21"/>
                <w:color w:val="auto"/>
              </w:rPr>
            </w:pPr>
          </w:p>
        </w:tc>
      </w:tr>
      <w:tr>
        <w:trPr>
          <w:trHeight w:val="243"/>
        </w:trPr>
        <w:tc>
          <w:tcPr>
            <w:tcW w:w="40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Exhibit Index</w:t>
            </w:r>
          </w:p>
        </w:tc>
        <w:tc>
          <w:tcPr>
            <w:tcW w:w="7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w:t>
            </w:r>
          </w:p>
        </w:tc>
      </w:tr>
      <w:tr>
        <w:trPr>
          <w:trHeight w:val="457"/>
        </w:trPr>
        <w:tc>
          <w:tcPr>
            <w:tcW w:w="4080" w:type="dxa"/>
            <w:vAlign w:val="bottom"/>
          </w:tcPr>
          <w:p>
            <w:pPr>
              <w:spacing w:after="0"/>
              <w:rPr>
                <w:sz w:val="24"/>
                <w:szCs w:val="24"/>
                <w:color w:val="auto"/>
              </w:rPr>
            </w:pPr>
          </w:p>
        </w:tc>
        <w:tc>
          <w:tcPr>
            <w:tcW w:w="7340" w:type="dxa"/>
            <w:vAlign w:val="bottom"/>
          </w:tcPr>
          <w:p>
            <w:pPr>
              <w:jc w:val="center"/>
              <w:ind w:right="3972"/>
              <w:spacing w:after="0"/>
              <w:rPr>
                <w:sz w:val="20"/>
                <w:szCs w:val="20"/>
                <w:color w:val="auto"/>
              </w:rPr>
            </w:pPr>
            <w:r>
              <w:rPr>
                <w:rFonts w:ascii="Arial" w:cs="Arial" w:eastAsia="Arial" w:hAnsi="Arial"/>
                <w:sz w:val="18"/>
                <w:szCs w:val="18"/>
                <w:b w:val="1"/>
                <w:bCs w:val="1"/>
                <w:color w:val="auto"/>
                <w:w w:val="97"/>
              </w:rPr>
              <w:t>FORWARD-LOOKING STATEMENTS</w:t>
            </w:r>
          </w:p>
        </w:tc>
      </w:tr>
    </w:tbl>
    <w:p>
      <w:pPr>
        <w:spacing w:after="0" w:line="264" w:lineRule="exact"/>
        <w:rPr>
          <w:sz w:val="20"/>
          <w:szCs w:val="20"/>
          <w:color w:val="auto"/>
        </w:rPr>
      </w:pPr>
    </w:p>
    <w:p>
      <w:pPr>
        <w:jc w:val="both"/>
        <w:ind w:firstLine="311"/>
        <w:spacing w:after="0" w:line="289"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we file with the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 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spacing w:after="0" w:line="226"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color w:val="auto"/>
        </w:rPr>
        <w:t>Such statements are subject to certain risks, uncertainties and assumptions that could cause actual results to differ materially including, but not limited to, those described in Item 1A “Risk Factors” below and other reports filed with the SEC. Should one or more of these or other risks or uncertainties materialize, or should underlying assumptions prove incorrect, actual results may vary materially from those anticipated, intended, expected, believed, estimated, projected or planned. You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 mptions or otherwise.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NOTICE</w:t>
      </w:r>
    </w:p>
    <w:p>
      <w:pPr>
        <w:spacing w:after="0" w:line="285"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Agsorb, Calibrin, Cat’s Pride, ConditionAde, Flo-Fre, Jonny Cat, KatKit, Oil-Dri, Pel-Unite, Perform, Poultry Guard, Pro Mound, Pure-Flo, Rapid Dry, Select, Terra-Green, and Ultra-Clear are all registered trademarks of Oil-Dri Corporation of America or of its subsidiaries. Pro’s Choice, Saular and Verge are trademarks of Oil-Dri Corporation of America. Fresh Step is a registered trademark of The Clorox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85" w:lineRule="exact"/>
        <w:rPr>
          <w:sz w:val="20"/>
          <w:szCs w:val="20"/>
          <w:color w:val="auto"/>
        </w:rPr>
      </w:pPr>
    </w:p>
    <w:p>
      <w:pPr>
        <w:jc w:val="both"/>
        <w:ind w:firstLine="419"/>
        <w:spacing w:after="0" w:line="306" w:lineRule="auto"/>
        <w:rPr>
          <w:sz w:val="20"/>
          <w:szCs w:val="20"/>
          <w:color w:val="auto"/>
        </w:rPr>
      </w:pPr>
      <w:r>
        <w:rPr>
          <w:rFonts w:ascii="Arial" w:cs="Arial" w:eastAsia="Arial" w:hAnsi="Arial"/>
          <w:sz w:val="16"/>
          <w:szCs w:val="16"/>
          <w:color w:val="auto"/>
        </w:rPr>
        <w:t>In 1969, Oil-Dri Corporation of America was incorporated in Delaware as the successor to an Illinois corporation incorporated in 1946; the Illinois corporation was the successor to a partnership that commenced business in 1941. Except as otherwise indicated herein or as the context otherwise requires, references to “Oil-Dri,” the “Company,” “we,” “us” or “our” refer to Oil-Dri Corporation of America and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3"/>
          <w:szCs w:val="13"/>
          <w:b w:val="1"/>
          <w:bCs w:val="1"/>
          <w:color w:val="auto"/>
        </w:rPr>
        <w:t>ENERAL</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3"/>
          <w:szCs w:val="13"/>
          <w:b w:val="1"/>
          <w:bCs w:val="1"/>
          <w:color w:val="auto"/>
        </w:rPr>
        <w:t>EVELOPMENTS</w:t>
      </w:r>
    </w:p>
    <w:p>
      <w:pPr>
        <w:spacing w:after="0" w:line="28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During fiscal year 2010, we continued our commitment to create value from sorbent minerals. We put forth considerable effort on new products and maintained our commitment to promote and improve established products. Our diversified product offerings and adherence to our corporate strategy served us well in fiscal 2010 despite a challenging economic environment in which our total tons sold declined. The decision by our largest customer to carry a reduced number of cat litter brands negatively impacted our Retail and Wholesale Products Group; however, our Business to Business Products Group benefited significantly from increased demand for certain of our fluids purification and animal health products in both domestic and some foreign markets. For more information on recent business developments, see Item 7 “Management’s Discussion and Analysis of Financial Condition and Results of Operations”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RINCIPAL</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RODUCTS</w:t>
      </w:r>
    </w:p>
    <w:p>
      <w:pPr>
        <w:spacing w:after="0" w:line="2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a leader in developing, manufacturing and marketing sorbent products. Our sorbent products are principally produced from clay minerals and, to a lesser extent, other sorbent materials. Our sorbent technologies include absorbent and adsorbent products. Absorbents, like sponges, draw liquids up into their many pores. Examples of our absorbent clay products are Cat’s Pride and Jonny Cat premium cat litter and other cat litters. We also produce Oil-Dri branded floor absorbents, Agsorb and Verge agricultural chemical carriers and ConditionAde, Calibrin and Pel-Unite animal feed binders. Adsorbent products attract liquids, impurities, metals and surfactants to themselves and form low-level chemical bonds. Examples of our adsorbent products are Oil-Dri synthetic sorbents, which are used for industrial cleanup, and Pure-Flo, Perform and Select bleac hing clay products, which act as a filtration media for edible oils, fats and tallows. Also, our Ultra-Clear product serves as a clarification aid for petroleum-based oils and by-products. Both our absorbent and adsorbent products are described in more detail below.</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 Litter Products</w:t>
      </w:r>
    </w:p>
    <w:p>
      <w:pPr>
        <w:spacing w:after="0" w:line="279"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We produce two types of cat litter products, traditional coarse and scoopable, both of which have absorbent and odor controlling characteristics. Scoopable litters have the additional characteristic of clumping when exposed to moisture, allowing the consumer to selectively dispose of the used portion of the litter. Our coarse and scoopable products are sold under our Cat’s Pride and Jonny Cat brand names. We also package and market Cat’s Pride Kat Kit and Jonny Cat cat litter in a disposable tray, as well as Jonny Cat litter pan liners. We manufacture the Fresh Step brand of coarse cat litter for The Clorox Company (“Clorox”). We also produce private label cat litters for other customers that are sold through independent food brokers and our sales force to major retail outlets.</w:t>
      </w:r>
    </w:p>
    <w:p>
      <w:pPr>
        <w:spacing w:after="0" w:line="224"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We have two long-term supply arrangements (only one of which is material) under which we manufacture branded traditional litters for other marketers. Under these co-manufacturing relationships, the marketer controls all aspects of sales, marketing, and distribution, as well as the odor control formula, and we are responsible for manufacturing. Our material agreement is with Clorox, under which we have the exclusive right to supply Clorox’s requirements for Fresh Step coarse cat litter up to certain levels.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and Automotive Sorbent Products</w:t>
      </w:r>
    </w:p>
    <w:p>
      <w:pPr>
        <w:spacing w:after="0" w:line="279" w:lineRule="exact"/>
        <w:rPr>
          <w:sz w:val="20"/>
          <w:szCs w:val="20"/>
          <w:color w:val="auto"/>
        </w:rPr>
      </w:pPr>
    </w:p>
    <w:p>
      <w:pPr>
        <w:jc w:val="both"/>
        <w:ind w:firstLine="284"/>
        <w:spacing w:after="0" w:line="254" w:lineRule="auto"/>
        <w:rPr>
          <w:sz w:val="20"/>
          <w:szCs w:val="20"/>
          <w:color w:val="auto"/>
        </w:rPr>
      </w:pPr>
      <w:r>
        <w:rPr>
          <w:rFonts w:ascii="Arial" w:cs="Arial" w:eastAsia="Arial" w:hAnsi="Arial"/>
          <w:sz w:val="18"/>
          <w:szCs w:val="18"/>
          <w:color w:val="auto"/>
        </w:rPr>
        <w:t>We manufacture products from both clay and synthetic materials that absorb oil, grease, water and other types of spills. These products are used in industrial, home and automotive environments. Our clay-based sorbent products, such as Oil-Dri branded floor absorbent, are used for floor maintenance in industrial applications to provide a non-slip and nonflammable surface for workers. These floor absorbents are used in automotive repair facilities and car dealerships to absorb oil and grease. They are also used in home applications in garages and driveways. Our Oil-Dri branded synthetic-based products use polypropylene materials. These products are sold in various forms, such as pads, rolls, socks and spill kits. These products are used to absorb oil, grease, water and most chemical spills.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 w:name="page6"/>
    <w:bookmarkEnd w:id="5"/>
    <w:p>
      <w:pPr>
        <w:jc w:val="both"/>
        <w:ind w:firstLine="324"/>
        <w:spacing w:after="0" w:line="332" w:lineRule="auto"/>
        <w:rPr>
          <w:sz w:val="20"/>
          <w:szCs w:val="20"/>
          <w:color w:val="auto"/>
        </w:rPr>
      </w:pPr>
      <w:r>
        <w:rPr>
          <w:rFonts w:ascii="Arial" w:cs="Arial" w:eastAsia="Arial" w:hAnsi="Arial"/>
          <w:sz w:val="16"/>
          <w:szCs w:val="16"/>
          <w:color w:val="auto"/>
        </w:rPr>
        <w:t>Industrial and automotive sorbent products are sold through a distribution network that includes industrial, auto parts, safety, sanitary supply, chemical and paper distributors. These products are also sold through environmental service companies, mass merchandisers and catalogs.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Bleaching Clay and Clarification Aid Products</w:t>
      </w:r>
    </w:p>
    <w:p>
      <w:pPr>
        <w:spacing w:after="0" w:line="279"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We produce an array of bleaching, purification and filtration applications used by edible oil and jet fuel processors around the world. Bleaching clays are used by edible oil processors to adsorb soluble contaminants that create oxidation problems. Our Pure-Flo and Perform bleaching clays remove impurities, such as trace metals, chlorophyll and color bodies, in various types of edible oils. Perform products provide increased activity for hard-to-bleach oils. Our Select adsorbents are used to remove contaminants in vegetable oil processing and can be used to prepare oil prior to the creation of biodiesel fuel. Our Ultra-Clear clarification aid is used as a filtration and purification medium for jet fuel and other petroleum-based products.</w:t>
      </w:r>
    </w:p>
    <w:p>
      <w:pPr>
        <w:spacing w:after="0" w:line="224" w:lineRule="exact"/>
        <w:rPr>
          <w:sz w:val="20"/>
          <w:szCs w:val="20"/>
          <w:color w:val="auto"/>
        </w:rPr>
      </w:pPr>
    </w:p>
    <w:p>
      <w:pPr>
        <w:jc w:val="both"/>
        <w:ind w:right="20" w:firstLine="270"/>
        <w:spacing w:after="0" w:line="268" w:lineRule="auto"/>
        <w:rPr>
          <w:sz w:val="20"/>
          <w:szCs w:val="20"/>
          <w:color w:val="auto"/>
        </w:rPr>
      </w:pPr>
      <w:r>
        <w:rPr>
          <w:rFonts w:ascii="Arial" w:cs="Arial" w:eastAsia="Arial" w:hAnsi="Arial"/>
          <w:sz w:val="18"/>
          <w:szCs w:val="18"/>
          <w:color w:val="auto"/>
        </w:rPr>
        <w:t>These products are marketed in the United States and in international markets. The products are supported by our team of technical sales employees as well as by agent representatives and the services of our research and development group.</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 and Horticultural Products</w:t>
      </w:r>
    </w:p>
    <w:p>
      <w:pPr>
        <w:spacing w:after="0" w:line="2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produce a wide range of granular and powdered mineral absorbent products that are used as carriers for crop protection chemicals, agricultural drying agents, bulk processing aids, growing media components and sports field products. Our brands include: Agsorb, an agricultural chemical carrier and a drying agent; Verge, an engineered granule agricultural chemical carrier; Flo-Fre, a highly absorbent microgranule flowability aid; Terra-Green, a growing media supplement; and Pro’s Choice, a sports field conditioner.</w:t>
      </w:r>
    </w:p>
    <w:p>
      <w:pPr>
        <w:spacing w:after="0" w:line="251"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6"/>
          <w:szCs w:val="16"/>
          <w:color w:val="auto"/>
        </w:rPr>
        <w:t>Agsorb and Verge carriers are used as an alternative to agricultural sprays. The clay granules absorb crop protection chemicals and are then delivered directly into the ground resulting in a more precise application than chemical sprays. Verge carriers provide added benefits from uniform sized granules and reduced dust. Agsorb drying agent is blended into fertilizer-pesticide blends applied by farmers to absorb moisture and improve flowability. Agsorb also acts as a flowability aid for fertilizers and chemicals used in the lawn and garden market. Flo-Fre microgranules are used by grain processors and other large handlers of bulk products to soak up excess moisture preventing caking. We employ technical sales people to market agricultural products in the United States.</w:t>
      </w:r>
    </w:p>
    <w:p>
      <w:pPr>
        <w:spacing w:after="0" w:line="224" w:lineRule="exact"/>
        <w:rPr>
          <w:sz w:val="20"/>
          <w:szCs w:val="20"/>
          <w:color w:val="auto"/>
        </w:rPr>
      </w:pPr>
    </w:p>
    <w:p>
      <w:pPr>
        <w:jc w:val="both"/>
        <w:ind w:firstLine="378"/>
        <w:spacing w:after="0" w:line="254" w:lineRule="auto"/>
        <w:rPr>
          <w:sz w:val="20"/>
          <w:szCs w:val="20"/>
          <w:color w:val="auto"/>
        </w:rPr>
      </w:pPr>
      <w:r>
        <w:rPr>
          <w:rFonts w:ascii="Arial" w:cs="Arial" w:eastAsia="Arial" w:hAnsi="Arial"/>
          <w:sz w:val="18"/>
          <w:szCs w:val="18"/>
          <w:color w:val="auto"/>
        </w:rPr>
        <w:t>Pro’s Choice sports field products are used on baseball, football and soccer fields and on golf courses. Pro’s Choice soil conditioners are used in field construction or as top dressing to absorb moisture, suppress dust and improve field performance. These products are used to amend sand-based golf green construction, as well as other areas such as tees and fairways, to help retain moisture and nutrients for better grass growth. Pro Mound packing clay is used to construct pitcher’s mounds and batter’s boxes. Rapid Dry drying agent is used to dry up puddles and slick spots after rain. Sports field products are used at all levels of play, including professional, college and high school and on municipal fields. These products are sold through a network of distributors specializing in sports turf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Animal Health and Nutrition Products</w:t>
      </w:r>
    </w:p>
    <w:p>
      <w:pPr>
        <w:spacing w:after="0" w:line="279"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We produce several products used in the livestock feed industry. ConditionAde and Calibrin branded enterosorbent products are used in animal feed to absorb naturally-occurring mycotoxins in the feed and thereby improve animal health and productivity. Pel-Unite and Pel-Unite Plus are specialized animal feed binders used in the manufacture of pelleted feeds. These products are sold through a network of feed products distributors in the United States and primarily through exclusive distribution agreements with animal health and nutrition products distributors in Latin America, Africa and Asia.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6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3"/>
          <w:szCs w:val="13"/>
          <w:b w:val="1"/>
          <w:bCs w:val="1"/>
          <w:color w:val="auto"/>
        </w:rPr>
        <w:t>USINESS</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EGMENTS</w:t>
      </w:r>
    </w:p>
    <w:p>
      <w:pPr>
        <w:spacing w:after="0" w:line="285"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We have two reportable operating segments for financial reporting derived from the different characteristics of our two major customer groups: Retail and Wholesale Products Group and Business to Business Products Group.</w:t>
      </w:r>
    </w:p>
    <w:p>
      <w:pPr>
        <w:spacing w:after="0" w:line="240"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The Retail and Wholesale Products Group customers include mass merchandisers, wholesale clubs, drugstore chains, pet specialty retail outlets, dollar stores, retail grocery stores, distributors of industrial cleanup and automotive products and environmental service companies. The Business to Business Products Group customers include processors and refiners of edible oils, petroleum-based oils and biodiesel fuel, manufacturers of animal feed and agricultural chemicals, marketers of consumer products and sports field product users. Beginning in fiscal 2011, our sports field products will be included in the Retail and Wholesale Products Group to reflect a change in management organization intended to better serve our customers. Certain financial information on both segments is contained in Note 3 of the Notes to the Consolidated Financial Statements and is incorporated herein by reference.</w:t>
      </w:r>
    </w:p>
    <w:p>
      <w:pPr>
        <w:spacing w:after="0" w:line="228"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We do not manage our business, allocate resources or generate revenue data by product line. Any of our products may be sold in one or both of our operating segments. Information concerning total revenue of classes of similar products accounting for more than 10% of consolidated revenues in any of the last three fiscal years is not separately provided because it would be impracticable to do 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3"/>
          <w:szCs w:val="13"/>
          <w:b w:val="1"/>
          <w:bCs w:val="1"/>
          <w:color w:val="auto"/>
        </w:rPr>
        <w:t>OREIGN</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PERATIONS</w:t>
      </w:r>
    </w:p>
    <w:p>
      <w:pPr>
        <w:spacing w:after="0" w:line="28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Our wholly-owned subsidiary, Favorite Products Company, Ltd., is a manufacturer and marketer of branded and private label cat litter in the Canadian market place. Among its leading brands are Saular, Cat’s Pride and Jonny Cat. Our Canadian business also sells clay industrial granule floor absorbents, synthetic polypropylene sorbent materials and agricultural chemical carriers.</w:t>
      </w:r>
    </w:p>
    <w:p>
      <w:pPr>
        <w:spacing w:after="0" w:line="248"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Our wholly-owned subsidiary, Oil-Dri (U.K.) Limited, is a manufacturer and marketer of industrial granule floor absorbents and cat litter. These products are marketed in the United Kingdom and Western Europe. Oil-Dri (U.K.) Limited also sells synthetic polypropylene sorbent materials, filtration units and plastic containment products.</w:t>
      </w:r>
    </w:p>
    <w:p>
      <w:pPr>
        <w:spacing w:after="0" w:line="221"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Our wholly-owned subsidiary, Oil-Dri SARL, is a Swiss company that performs various management, customer service and administrative functions for international business of our domestic operations.</w:t>
      </w:r>
    </w:p>
    <w:p>
      <w:pPr>
        <w:spacing w:after="0" w:line="240"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8"/>
          <w:szCs w:val="18"/>
          <w:color w:val="auto"/>
        </w:rPr>
        <w:t>Our foreign operations are subject to the normal risks of doing business overseas, such as currency devaluations and fluctuations, restrictions on the transfer of funds and import/export duties. We were not materially impacted by these foreign currency fluctuations in any of our last three fiscal years. Certain financial information about our foreign and domestic operations is contained in Note 3 of the Notes to the Consolidated Financial Statements and is incorporated herein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USTOMERS</w:t>
      </w:r>
    </w:p>
    <w:p>
      <w:pPr>
        <w:spacing w:after="0" w:line="285" w:lineRule="exact"/>
        <w:rPr>
          <w:sz w:val="20"/>
          <w:szCs w:val="20"/>
          <w:color w:val="auto"/>
        </w:rPr>
      </w:pPr>
    </w:p>
    <w:p>
      <w:pPr>
        <w:jc w:val="both"/>
        <w:ind w:firstLine="284"/>
        <w:spacing w:after="0" w:line="288" w:lineRule="auto"/>
        <w:rPr>
          <w:sz w:val="20"/>
          <w:szCs w:val="20"/>
          <w:color w:val="auto"/>
        </w:rPr>
      </w:pPr>
      <w:r>
        <w:rPr>
          <w:rFonts w:ascii="Arial" w:cs="Arial" w:eastAsia="Arial" w:hAnsi="Arial"/>
          <w:sz w:val="16"/>
          <w:szCs w:val="16"/>
          <w:color w:val="auto"/>
        </w:rPr>
        <w:t>Sales to Wal-Mart Stores, Inc. (“Wal-Mart”) and its affiliates accounted for approximately 20%, 26% and 25% of our total net sales for the fiscal years ended July 31, 2010, 2009 and 2008, respectively. Wal-Mart is a customer in our Retail and Wholesale Products Group segment. Wal-Mart began to carry a reduced number of cat litter brands in the first month of our fiscal 2010. During the third quarter of fiscal 2010, Wal-Mart reinstated our branded scoopable litter in a limited number of stores; however, the new store count remains materially reduced from the store count at the end of fiscal 2009. There are no customers in the Business to Business Products Group with sales equal to or greater than 10% of our total sales; however, sales to Clorox (a customer in our Business to Business Products Group) and its affiliates accounted for approximate ly 9% of total net sales for fiscal year 2010 and approximately 8% in each of the fiscal years 2009 and 2008. The degree of margin contribution of our significant customers in the Business to Business Products Group varies, with certain customers having a greater effect on our operating results</w:t>
      </w:r>
      <w:r>
        <w:rPr>
          <w:rFonts w:ascii="Arial" w:cs="Arial" w:eastAsia="Arial" w:hAnsi="Arial"/>
          <w:sz w:val="12"/>
          <w:szCs w:val="12"/>
          <w:color w:val="auto"/>
        </w:rPr>
        <w:t>. T</w:t>
      </w:r>
      <w:r>
        <w:rPr>
          <w:rFonts w:ascii="Arial" w:cs="Arial" w:eastAsia="Arial" w:hAnsi="Arial"/>
          <w:sz w:val="16"/>
          <w:szCs w:val="16"/>
          <w:color w:val="auto"/>
        </w:rPr>
        <w:t>he loss of any customer other than those described in this paragraph would not be expected to have a material adverse effect on our business.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OMPETITION</w:t>
      </w:r>
    </w:p>
    <w:p>
      <w:pPr>
        <w:spacing w:after="0" w:line="285" w:lineRule="exact"/>
        <w:rPr>
          <w:sz w:val="20"/>
          <w:szCs w:val="20"/>
          <w:color w:val="auto"/>
        </w:rPr>
      </w:pPr>
    </w:p>
    <w:p>
      <w:pPr>
        <w:jc w:val="both"/>
        <w:ind w:right="20" w:firstLine="392"/>
        <w:spacing w:after="0" w:line="332" w:lineRule="auto"/>
        <w:rPr>
          <w:sz w:val="20"/>
          <w:szCs w:val="20"/>
          <w:color w:val="auto"/>
        </w:rPr>
      </w:pPr>
      <w:r>
        <w:rPr>
          <w:rFonts w:ascii="Arial" w:cs="Arial" w:eastAsia="Arial" w:hAnsi="Arial"/>
          <w:sz w:val="16"/>
          <w:szCs w:val="16"/>
          <w:color w:val="auto"/>
        </w:rPr>
        <w:t>Price, service, marketing, technical support, product quality and delivery are the principal methods of competition in our markets and competition has historically been very vigorous. Some of our competitors are large companies whose financial resources are substantially greater than ours.</w:t>
      </w:r>
    </w:p>
    <w:p>
      <w:pPr>
        <w:spacing w:after="0" w:line="193"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5"/>
          <w:szCs w:val="15"/>
          <w:color w:val="auto"/>
        </w:rPr>
        <w:t>In our Retail and Wholesale Products Group, we have five principal competitors, including one which is also a customer of ours. The cat litter market has been stable in recent years. Scoopable products have a majority of the cat litter market share followed by traditional coarse products. The overwhelming majority of all cat litter is mineral based; however, cat litters based on alternative strata such as paper, various agricultural waste products and silica gels have earned niche positions. The consumer trend away from regional grocery stores towards large national retailers, such as supercenter-type stores and small-box discount stores, has presented competitive challenges as well as opportunities. These stores enjoy substantial negotiating leverage over their suppliers, including us; however, our operations support nation-wide distribution, which give s us a potential advantage over smaller and regional manufacturers in selling to these stores.</w:t>
      </w:r>
    </w:p>
    <w:p>
      <w:pPr>
        <w:spacing w:after="0" w:line="213" w:lineRule="exact"/>
        <w:rPr>
          <w:sz w:val="20"/>
          <w:szCs w:val="20"/>
          <w:color w:val="auto"/>
        </w:rPr>
      </w:pPr>
    </w:p>
    <w:p>
      <w:pPr>
        <w:jc w:val="both"/>
        <w:ind w:firstLine="338"/>
        <w:spacing w:after="0" w:line="298" w:lineRule="auto"/>
        <w:rPr>
          <w:sz w:val="20"/>
          <w:szCs w:val="20"/>
          <w:color w:val="auto"/>
        </w:rPr>
      </w:pPr>
      <w:r>
        <w:rPr>
          <w:rFonts w:ascii="Arial" w:cs="Arial" w:eastAsia="Arial" w:hAnsi="Arial"/>
          <w:sz w:val="16"/>
          <w:szCs w:val="16"/>
          <w:color w:val="auto"/>
        </w:rPr>
        <w:t>In the Business to Business Products Group, we have 14 principal competitors. The agricultural chemical carrier portion of this segment has experienced competition from new technologies in the agricultural and home and garden markets. The bleaching clay and fluids clarification aid portion of this Group operates in a highly cost competitive global marketplace. Product performance is also a primary competitive factor for these products. The animal health portion of this Group also operates in a global marketplace with price and performance competition from multi-national and local competitors.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ATENTS</w:t>
      </w:r>
    </w:p>
    <w:p>
      <w:pPr>
        <w:spacing w:after="0" w:line="285"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We have obtained or applied for patents for certain of our processes and products sold to customers in both the Retail and Wholesale Products Group and the Business to Business Products Group. These patents expire at various times, beginning in April 2011. We expect no material impact on our business from the expiration of patents in the next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3"/>
          <w:szCs w:val="13"/>
          <w:b w:val="1"/>
          <w:bCs w:val="1"/>
          <w:color w:val="auto"/>
        </w:rPr>
        <w:t>ACKLOG</w:t>
      </w:r>
      <w:r>
        <w:rPr>
          <w:rFonts w:ascii="Arial" w:cs="Arial" w:eastAsia="Arial" w:hAnsi="Arial"/>
          <w:sz w:val="18"/>
          <w:szCs w:val="18"/>
          <w:b w:val="1"/>
          <w:bCs w:val="1"/>
          <w:color w:val="auto"/>
        </w:rPr>
        <w:t>; S</w:t>
      </w:r>
      <w:r>
        <w:rPr>
          <w:rFonts w:ascii="Arial" w:cs="Arial" w:eastAsia="Arial" w:hAnsi="Arial"/>
          <w:sz w:val="13"/>
          <w:szCs w:val="13"/>
          <w:b w:val="1"/>
          <w:bCs w:val="1"/>
          <w:color w:val="auto"/>
        </w:rPr>
        <w:t>EASONALITY</w:t>
      </w:r>
    </w:p>
    <w:p>
      <w:pPr>
        <w:spacing w:after="0" w:line="285"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At July 31, 2010, 2009 and 2008, our backlog of orders was approximately $6,368,000, $6,015,000, and $7,139,000, respectively. The value of backlog orders is determined by the number of tons on backlog order and the net selling prices. Backlog orders were higher at July 31, 2008 as our international customers were urged to place orders farther in advance to provide ample time to arrange transportation. All backlog orders are expected to be filled within the next 12 months. We consider our business, taken as a whole, to be only moderately seasonal; however, business activities of certain customers (such as agricultural chemical manufacturers) are subject to such seasonal factors as crop acreage planted and product formulation cycles.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FFECTS OF</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NFLATION</w:t>
      </w:r>
    </w:p>
    <w:p>
      <w:pPr>
        <w:spacing w:after="0" w:line="285"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Inflation generally affects us by increasing the cost of employee wages and benefits, transportation, processing equipment, purchased raw materials and packaging, energy and borrowings under our credit facility. See Item 7 “Management’s Discussion and Analysis of Financial Condition and Results of Operations” and Item 7A “Quantitative and Qualitative Disclosures About Market Risk”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3"/>
          <w:szCs w:val="13"/>
          <w:b w:val="1"/>
          <w:bCs w:val="1"/>
          <w:color w:val="auto"/>
        </w:rPr>
        <w:t>ESERVES</w:t>
      </w:r>
    </w:p>
    <w:p>
      <w:pPr>
        <w:spacing w:after="0" w:line="285" w:lineRule="exact"/>
        <w:rPr>
          <w:sz w:val="20"/>
          <w:szCs w:val="20"/>
          <w:color w:val="auto"/>
        </w:rPr>
      </w:pPr>
    </w:p>
    <w:p>
      <w:pPr>
        <w:jc w:val="both"/>
        <w:ind w:right="20" w:firstLine="297"/>
        <w:spacing w:after="0" w:line="291" w:lineRule="auto"/>
        <w:rPr>
          <w:sz w:val="20"/>
          <w:szCs w:val="20"/>
          <w:color w:val="auto"/>
        </w:rPr>
      </w:pPr>
      <w:r>
        <w:rPr>
          <w:rFonts w:ascii="Arial" w:cs="Arial" w:eastAsia="Arial" w:hAnsi="Arial"/>
          <w:sz w:val="16"/>
          <w:szCs w:val="16"/>
          <w:color w:val="auto"/>
        </w:rPr>
        <w:t>We mine sorbent materials, which we generally refer to as “clay”, on leased or owned land near our manufacturing facilities in Mississippi, Georgia, Illinois and California; we also have reserves in Nevada, Oregon and Tennessee. We estimate our proven reserves of these sorbent materials are approximately 156,103,000 tons in aggregate and our probable reserves are approximately 148,949,000 tons in aggregate, for a total of 305,052,000 tons of mineral reserves. Based on our rate of consumption during fiscal year 2010, and without regard to any of our reserves in Nevada, Oregon and Tennessee, we consider our proven reserves adequate to supply our needs for over 40 years. Although we consider these reserves to be extremely valuable to our business, only a small portion of the reserves, those which were acquired in acquisitions, is reflected at co st on our balance sheet.</w:t>
      </w:r>
    </w:p>
    <w:p>
      <w:pPr>
        <w:spacing w:after="0" w:line="228" w:lineRule="exact"/>
        <w:rPr>
          <w:sz w:val="20"/>
          <w:szCs w:val="20"/>
          <w:color w:val="auto"/>
        </w:rPr>
      </w:pPr>
    </w:p>
    <w:p>
      <w:pPr>
        <w:jc w:val="both"/>
        <w:ind w:right="20" w:firstLine="297"/>
        <w:spacing w:after="0" w:line="294" w:lineRule="auto"/>
        <w:rPr>
          <w:sz w:val="20"/>
          <w:szCs w:val="20"/>
          <w:color w:val="auto"/>
        </w:rPr>
      </w:pPr>
      <w:r>
        <w:rPr>
          <w:rFonts w:ascii="Arial" w:cs="Arial" w:eastAsia="Arial" w:hAnsi="Arial"/>
          <w:sz w:val="16"/>
          <w:szCs w:val="16"/>
          <w:color w:val="auto"/>
        </w:rPr>
        <w:t>It is our policy to attempt to add to reserves in most years, but not necessarily in every year, an amount at least equal to the amount of reserves consumed in that year. We have a program of exploration for additional reserves and, although reserves have been acquired,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the fiscal year ended July 31, 2010, we utilized these reserves to produce substantially all of the sorbent minerals that we sold.</w:t>
      </w:r>
    </w:p>
    <w:p>
      <w:pPr>
        <w:spacing w:after="0" w:line="224" w:lineRule="exact"/>
        <w:rPr>
          <w:sz w:val="20"/>
          <w:szCs w:val="20"/>
          <w:color w:val="auto"/>
        </w:rPr>
      </w:pPr>
    </w:p>
    <w:p>
      <w:pPr>
        <w:jc w:val="both"/>
        <w:ind w:right="20" w:firstLine="311"/>
        <w:spacing w:after="0" w:line="291" w:lineRule="auto"/>
        <w:rPr>
          <w:sz w:val="20"/>
          <w:szCs w:val="20"/>
          <w:color w:val="auto"/>
        </w:rPr>
      </w:pPr>
      <w:r>
        <w:rPr>
          <w:rFonts w:ascii="Arial" w:cs="Arial" w:eastAsia="Arial" w:hAnsi="Arial"/>
          <w:sz w:val="16"/>
          <w:szCs w:val="16"/>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employ geologists and mineral specialists who estimate and evaluate existing and potential reserves in terms of quality, quantity and availability.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3"/>
          <w:szCs w:val="13"/>
          <w:b w:val="1"/>
          <w:bCs w:val="1"/>
          <w:color w:val="auto"/>
        </w:rPr>
        <w:t>INING</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PERATIONS</w:t>
      </w:r>
    </w:p>
    <w:p>
      <w:pPr>
        <w:spacing w:after="0" w:line="285" w:lineRule="exact"/>
        <w:rPr>
          <w:sz w:val="20"/>
          <w:szCs w:val="20"/>
          <w:color w:val="auto"/>
        </w:rPr>
      </w:pPr>
    </w:p>
    <w:p>
      <w:pPr>
        <w:jc w:val="both"/>
        <w:ind w:right="20" w:firstLine="324"/>
        <w:spacing w:after="0" w:line="290" w:lineRule="auto"/>
        <w:rPr>
          <w:sz w:val="20"/>
          <w:szCs w:val="20"/>
          <w:color w:val="auto"/>
        </w:rPr>
      </w:pPr>
      <w:r>
        <w:rPr>
          <w:rFonts w:ascii="Arial" w:cs="Arial" w:eastAsia="Arial" w:hAnsi="Arial"/>
          <w:sz w:val="16"/>
          <w:szCs w:val="16"/>
          <w:color w:val="auto"/>
        </w:rPr>
        <w:t>We have conducted mining operations in Ripley, Mississippi since 1963, in Ochlocknee, Georgia since 1968, in Blue Mountain, Mississippi since 1989, in Mounds, Illinois since 1998 and in Taft, California since 2002. Our raw materials are surface mined on a year-round basis, generally using large earth moving scrapers, bulldozers, excavators or off-road trucks to remove overburden, and then loaded into dump trucks with backhoes or front end loaders for movement to the processing facilities. The mining and hauling of our clay is performed by us and by independent contractors. Our current operating mines range in distance from immediately adjacent to approximately 13 miles from the related processing plants. Processing facilities are generally accessed from the mining areas by private roads and in some instances by public highways. Each of our processing fac ilities maintains inventories of unprocessed clay of approximately one week of production requirements. See Item 2 “Properties” below for additional information regarding our mining properties and operations.</w:t>
      </w:r>
    </w:p>
    <w:p>
      <w:pPr>
        <w:spacing w:after="0" w:line="22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schedule summarizes the net book value of land and other plant and equipment for each of our manufacturing facilities: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3"/>
          </w:tcPr>
          <w:p>
            <w:pPr>
              <w:ind w:left="160"/>
              <w:spacing w:after="0"/>
              <w:rPr>
                <w:sz w:val="20"/>
                <w:szCs w:val="20"/>
                <w:color w:val="auto"/>
              </w:rPr>
            </w:pPr>
            <w:r>
              <w:rPr>
                <w:rFonts w:ascii="Arial" w:cs="Arial" w:eastAsia="Arial" w:hAnsi="Arial"/>
                <w:sz w:val="18"/>
                <w:szCs w:val="18"/>
                <w:b w:val="1"/>
                <w:bCs w:val="1"/>
                <w:color w:val="auto"/>
                <w:w w:val="96"/>
              </w:rPr>
              <w:t>Plant and</w:t>
            </w:r>
          </w:p>
        </w:tc>
      </w:tr>
      <w:tr>
        <w:trPr>
          <w:trHeight w:val="243"/>
        </w:trPr>
        <w:tc>
          <w:tcPr>
            <w:tcW w:w="38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Land</w:t>
            </w:r>
          </w:p>
        </w:tc>
        <w:tc>
          <w:tcPr>
            <w:tcW w:w="960" w:type="dxa"/>
            <w:vAlign w:val="bottom"/>
            <w:gridSpan w:val="3"/>
          </w:tcPr>
          <w:p>
            <w:pPr>
              <w:ind w:left="100"/>
              <w:spacing w:after="0"/>
              <w:rPr>
                <w:sz w:val="20"/>
                <w:szCs w:val="20"/>
                <w:color w:val="auto"/>
              </w:rPr>
            </w:pPr>
            <w:r>
              <w:rPr>
                <w:rFonts w:ascii="Arial" w:cs="Arial" w:eastAsia="Arial" w:hAnsi="Arial"/>
                <w:sz w:val="18"/>
                <w:szCs w:val="18"/>
                <w:b w:val="1"/>
                <w:bCs w:val="1"/>
                <w:color w:val="auto"/>
                <w:w w:val="90"/>
              </w:rPr>
              <w:t>Equipment</w:t>
            </w:r>
          </w:p>
        </w:tc>
      </w:tr>
      <w:tr>
        <w:trPr>
          <w:trHeight w:val="252"/>
        </w:trPr>
        <w:tc>
          <w:tcPr>
            <w:tcW w:w="3820" w:type="dxa"/>
            <w:vAlign w:val="bottom"/>
            <w:tcBorders>
              <w:bottom w:val="single" w:sz="8" w:color="C0C0C0"/>
            </w:tcBorders>
          </w:tcPr>
          <w:p>
            <w:pPr>
              <w:spacing w:after="0"/>
              <w:rPr>
                <w:sz w:val="21"/>
                <w:szCs w:val="21"/>
                <w:color w:val="auto"/>
              </w:rPr>
            </w:pPr>
          </w:p>
        </w:tc>
        <w:tc>
          <w:tcPr>
            <w:tcW w:w="604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b w:val="1"/>
                <w:bCs w:val="1"/>
                <w:color w:val="auto"/>
                <w:w w:val="96"/>
              </w:rPr>
              <w:t>(in thousands)</w:t>
            </w:r>
          </w:p>
        </w:tc>
        <w:tc>
          <w:tcPr>
            <w:tcW w:w="20" w:type="dxa"/>
            <w:vAlign w:val="bottom"/>
          </w:tcPr>
          <w:p>
            <w:pPr>
              <w:spacing w:after="0"/>
              <w:rPr>
                <w:sz w:val="21"/>
                <w:szCs w:val="21"/>
                <w:color w:val="auto"/>
              </w:rPr>
            </w:pPr>
          </w:p>
        </w:tc>
      </w:tr>
      <w:tr>
        <w:trPr>
          <w:trHeight w:val="243"/>
        </w:trPr>
        <w:tc>
          <w:tcPr>
            <w:tcW w:w="3820" w:type="dxa"/>
            <w:vAlign w:val="bottom"/>
            <w:shd w:val="clear" w:color="auto" w:fill="C0C0C0"/>
          </w:tcPr>
          <w:p>
            <w:pPr>
              <w:spacing w:after="0"/>
              <w:rPr>
                <w:sz w:val="20"/>
                <w:szCs w:val="20"/>
                <w:color w:val="auto"/>
              </w:rPr>
            </w:pPr>
            <w:r>
              <w:rPr>
                <w:rFonts w:ascii="Arial" w:cs="Arial" w:eastAsia="Arial" w:hAnsi="Arial"/>
                <w:sz w:val="18"/>
                <w:szCs w:val="18"/>
                <w:color w:val="auto"/>
              </w:rPr>
              <w:t>Ochlocknee, Georgia</w:t>
            </w:r>
          </w:p>
        </w:tc>
        <w:tc>
          <w:tcPr>
            <w:tcW w:w="61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84"/>
              </w:rPr>
              <w:t>7,950</w:t>
            </w:r>
          </w:p>
        </w:tc>
        <w:tc>
          <w:tcPr>
            <w:tcW w:w="32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16,864</w:t>
            </w:r>
          </w:p>
        </w:tc>
        <w:tc>
          <w:tcPr>
            <w:tcW w:w="20" w:type="dxa"/>
            <w:vAlign w:val="bottom"/>
          </w:tcPr>
          <w:p>
            <w:pPr>
              <w:spacing w:after="0"/>
              <w:rPr>
                <w:sz w:val="21"/>
                <w:szCs w:val="21"/>
                <w:color w:val="auto"/>
              </w:rPr>
            </w:pPr>
          </w:p>
        </w:tc>
      </w:tr>
      <w:tr>
        <w:trPr>
          <w:trHeight w:val="235"/>
        </w:trPr>
        <w:tc>
          <w:tcPr>
            <w:tcW w:w="3820" w:type="dxa"/>
            <w:vAlign w:val="bottom"/>
          </w:tcPr>
          <w:p>
            <w:pPr>
              <w:spacing w:after="0"/>
              <w:rPr>
                <w:sz w:val="20"/>
                <w:szCs w:val="20"/>
                <w:color w:val="auto"/>
              </w:rPr>
            </w:pPr>
            <w:r>
              <w:rPr>
                <w:rFonts w:ascii="Arial" w:cs="Arial" w:eastAsia="Arial" w:hAnsi="Arial"/>
                <w:sz w:val="18"/>
                <w:szCs w:val="18"/>
                <w:color w:val="auto"/>
              </w:rPr>
              <w:t>Ripley, Mississippi</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1,773</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13,454</w:t>
            </w:r>
          </w:p>
        </w:tc>
      </w:tr>
      <w:tr>
        <w:trPr>
          <w:trHeight w:val="251"/>
        </w:trPr>
        <w:tc>
          <w:tcPr>
            <w:tcW w:w="3820" w:type="dxa"/>
            <w:vAlign w:val="bottom"/>
            <w:shd w:val="clear" w:color="auto" w:fill="C0C0C0"/>
          </w:tcPr>
          <w:p>
            <w:pPr>
              <w:spacing w:after="0"/>
              <w:rPr>
                <w:sz w:val="20"/>
                <w:szCs w:val="20"/>
                <w:color w:val="auto"/>
              </w:rPr>
            </w:pPr>
            <w:r>
              <w:rPr>
                <w:rFonts w:ascii="Arial" w:cs="Arial" w:eastAsia="Arial" w:hAnsi="Arial"/>
                <w:sz w:val="18"/>
                <w:szCs w:val="18"/>
                <w:color w:val="auto"/>
              </w:rPr>
              <w:t>Mounds, Illinois</w:t>
            </w:r>
          </w:p>
        </w:tc>
        <w:tc>
          <w:tcPr>
            <w:tcW w:w="61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84"/>
              </w:rPr>
              <w:t>1,545</w:t>
            </w:r>
          </w:p>
        </w:tc>
        <w:tc>
          <w:tcPr>
            <w:tcW w:w="32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4,508</w:t>
            </w:r>
          </w:p>
        </w:tc>
        <w:tc>
          <w:tcPr>
            <w:tcW w:w="20" w:type="dxa"/>
            <w:vAlign w:val="bottom"/>
          </w:tcPr>
          <w:p>
            <w:pPr>
              <w:spacing w:after="0"/>
              <w:rPr>
                <w:sz w:val="21"/>
                <w:szCs w:val="21"/>
                <w:color w:val="auto"/>
              </w:rPr>
            </w:pPr>
          </w:p>
        </w:tc>
      </w:tr>
      <w:tr>
        <w:trPr>
          <w:trHeight w:val="235"/>
        </w:trPr>
        <w:tc>
          <w:tcPr>
            <w:tcW w:w="3820" w:type="dxa"/>
            <w:vAlign w:val="bottom"/>
          </w:tcPr>
          <w:p>
            <w:pPr>
              <w:spacing w:after="0"/>
              <w:rPr>
                <w:sz w:val="20"/>
                <w:szCs w:val="20"/>
                <w:color w:val="auto"/>
              </w:rPr>
            </w:pPr>
            <w:r>
              <w:rPr>
                <w:rFonts w:ascii="Arial" w:cs="Arial" w:eastAsia="Arial" w:hAnsi="Arial"/>
                <w:sz w:val="18"/>
                <w:szCs w:val="18"/>
                <w:color w:val="auto"/>
              </w:rPr>
              <w:t>Blue Mountain, Mississippi</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922</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3,728</w:t>
            </w:r>
          </w:p>
        </w:tc>
      </w:tr>
      <w:tr>
        <w:trPr>
          <w:trHeight w:val="251"/>
        </w:trPr>
        <w:tc>
          <w:tcPr>
            <w:tcW w:w="3820" w:type="dxa"/>
            <w:vAlign w:val="bottom"/>
            <w:shd w:val="clear" w:color="auto" w:fill="C0C0C0"/>
          </w:tcPr>
          <w:p>
            <w:pPr>
              <w:spacing w:after="0"/>
              <w:rPr>
                <w:sz w:val="20"/>
                <w:szCs w:val="20"/>
                <w:color w:val="auto"/>
              </w:rPr>
            </w:pPr>
            <w:r>
              <w:rPr>
                <w:rFonts w:ascii="Arial" w:cs="Arial" w:eastAsia="Arial" w:hAnsi="Arial"/>
                <w:sz w:val="18"/>
                <w:szCs w:val="18"/>
                <w:color w:val="auto"/>
              </w:rPr>
              <w:t>Taft, California</w:t>
            </w:r>
          </w:p>
        </w:tc>
        <w:tc>
          <w:tcPr>
            <w:tcW w:w="61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84"/>
              </w:rPr>
              <w:t>1,391</w:t>
            </w:r>
          </w:p>
        </w:tc>
        <w:tc>
          <w:tcPr>
            <w:tcW w:w="32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3,146</w:t>
            </w:r>
          </w:p>
        </w:tc>
        <w:tc>
          <w:tcPr>
            <w:tcW w:w="20" w:type="dxa"/>
            <w:vAlign w:val="bottom"/>
          </w:tcPr>
          <w:p>
            <w:pPr>
              <w:spacing w:after="0"/>
              <w:rPr>
                <w:sz w:val="21"/>
                <w:szCs w:val="21"/>
                <w:color w:val="auto"/>
              </w:rPr>
            </w:pPr>
          </w:p>
        </w:tc>
      </w:tr>
      <w:tr>
        <w:trPr>
          <w:trHeight w:val="457"/>
        </w:trPr>
        <w:tc>
          <w:tcPr>
            <w:tcW w:w="3820" w:type="dxa"/>
            <w:vAlign w:val="bottom"/>
          </w:tcPr>
          <w:p>
            <w:pPr>
              <w:spacing w:after="0"/>
              <w:rPr>
                <w:sz w:val="24"/>
                <w:szCs w:val="24"/>
                <w:color w:val="auto"/>
              </w:rPr>
            </w:pPr>
          </w:p>
        </w:tc>
        <w:tc>
          <w:tcPr>
            <w:tcW w:w="6040" w:type="dxa"/>
            <w:vAlign w:val="bottom"/>
          </w:tcPr>
          <w:p>
            <w:pPr>
              <w:jc w:val="right"/>
              <w:ind w:right="40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382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9" w:name="page10"/>
    <w:bookmarkEnd w:id="9"/>
    <w:p>
      <w:pPr>
        <w:jc w:val="both"/>
        <w:ind w:firstLine="324"/>
        <w:spacing w:after="0" w:line="259" w:lineRule="auto"/>
        <w:rPr>
          <w:sz w:val="20"/>
          <w:szCs w:val="20"/>
          <w:color w:val="auto"/>
        </w:rPr>
      </w:pPr>
      <w:r>
        <w:rPr>
          <w:rFonts w:ascii="Arial" w:cs="Arial" w:eastAsia="Arial" w:hAnsi="Arial"/>
          <w:sz w:val="18"/>
          <w:szCs w:val="18"/>
          <w:color w:val="auto"/>
        </w:rPr>
        <w:t>Our mining operations are subject to regulation by the Mine Safety and Health Administration (“MSHA”) under authority of the Federal Mine Safety and Health Act of 1977, as amended (the “Mine Act”). The following table summarizes MSHA’s enforcement activity at our facilities during the fiscal year ended July 31, 2010. Section references in the table refer to sections of the Mine Act.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60" w:type="dxa"/>
            <w:vAlign w:val="bottom"/>
          </w:tcPr>
          <w:p>
            <w:pPr>
              <w:spacing w:after="0"/>
              <w:rPr>
                <w:sz w:val="20"/>
                <w:szCs w:val="20"/>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w w:val="92"/>
              </w:rPr>
              <w:t>“Significant</w:t>
            </w:r>
          </w:p>
        </w:tc>
        <w:tc>
          <w:tcPr>
            <w:tcW w:w="7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Citations</w:t>
            </w:r>
          </w:p>
        </w:tc>
        <w:tc>
          <w:tcPr>
            <w:tcW w:w="92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Imminent</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3"/>
        </w:trPr>
        <w:tc>
          <w:tcPr>
            <w:tcW w:w="5860" w:type="dxa"/>
            <w:vAlign w:val="bottom"/>
          </w:tcPr>
          <w:p>
            <w:pPr>
              <w:spacing w:after="0"/>
              <w:rPr>
                <w:sz w:val="21"/>
                <w:szCs w:val="21"/>
                <w:color w:val="auto"/>
              </w:rPr>
            </w:pPr>
          </w:p>
        </w:tc>
        <w:tc>
          <w:tcPr>
            <w:tcW w:w="1080" w:type="dxa"/>
            <w:vAlign w:val="bottom"/>
          </w:tcPr>
          <w:p>
            <w:pPr>
              <w:jc w:val="center"/>
              <w:ind w:right="12"/>
              <w:spacing w:after="0"/>
              <w:rPr>
                <w:sz w:val="20"/>
                <w:szCs w:val="20"/>
                <w:color w:val="auto"/>
              </w:rPr>
            </w:pPr>
            <w:r>
              <w:rPr>
                <w:rFonts w:ascii="Arial" w:cs="Arial" w:eastAsia="Arial" w:hAnsi="Arial"/>
                <w:sz w:val="18"/>
                <w:szCs w:val="18"/>
                <w:color w:val="auto"/>
                <w:w w:val="86"/>
              </w:rPr>
              <w:t>and</w:t>
            </w:r>
          </w:p>
        </w:tc>
        <w:tc>
          <w:tcPr>
            <w:tcW w:w="720" w:type="dxa"/>
            <w:vAlign w:val="bottom"/>
          </w:tcPr>
          <w:p>
            <w:pPr>
              <w:ind w:left="120"/>
              <w:spacing w:after="0"/>
              <w:rPr>
                <w:sz w:val="20"/>
                <w:szCs w:val="20"/>
                <w:color w:val="auto"/>
              </w:rPr>
            </w:pPr>
            <w:r>
              <w:rPr>
                <w:rFonts w:ascii="Arial" w:cs="Arial" w:eastAsia="Arial" w:hAnsi="Arial"/>
                <w:sz w:val="18"/>
                <w:szCs w:val="18"/>
                <w:color w:val="auto"/>
              </w:rPr>
              <w:t>Orders</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and Orders</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Flagrant</w:t>
            </w:r>
          </w:p>
        </w:tc>
        <w:tc>
          <w:tcPr>
            <w:tcW w:w="880" w:type="dxa"/>
            <w:vAlign w:val="bottom"/>
          </w:tcPr>
          <w:p>
            <w:pPr>
              <w:ind w:left="200"/>
              <w:spacing w:after="0"/>
              <w:rPr>
                <w:sz w:val="20"/>
                <w:szCs w:val="20"/>
                <w:color w:val="auto"/>
              </w:rPr>
            </w:pPr>
            <w:r>
              <w:rPr>
                <w:rFonts w:ascii="Arial" w:cs="Arial" w:eastAsia="Arial" w:hAnsi="Arial"/>
                <w:sz w:val="18"/>
                <w:szCs w:val="18"/>
                <w:color w:val="auto"/>
              </w:rPr>
              <w:t>Danger</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5860" w:type="dxa"/>
            <w:vAlign w:val="bottom"/>
          </w:tcPr>
          <w:p>
            <w:pPr>
              <w:spacing w:after="0"/>
              <w:rPr>
                <w:sz w:val="21"/>
                <w:szCs w:val="21"/>
                <w:color w:val="auto"/>
              </w:rPr>
            </w:pPr>
          </w:p>
        </w:tc>
        <w:tc>
          <w:tcPr>
            <w:tcW w:w="1080" w:type="dxa"/>
            <w:vAlign w:val="bottom"/>
          </w:tcPr>
          <w:p>
            <w:pPr>
              <w:jc w:val="center"/>
              <w:ind w:right="12"/>
              <w:spacing w:after="0"/>
              <w:rPr>
                <w:sz w:val="20"/>
                <w:szCs w:val="20"/>
                <w:color w:val="auto"/>
              </w:rPr>
            </w:pPr>
            <w:r>
              <w:rPr>
                <w:rFonts w:ascii="Arial" w:cs="Arial" w:eastAsia="Arial" w:hAnsi="Arial"/>
                <w:sz w:val="18"/>
                <w:szCs w:val="18"/>
                <w:color w:val="auto"/>
                <w:w w:val="90"/>
              </w:rPr>
              <w:t>Substantial”</w:t>
            </w:r>
          </w:p>
        </w:tc>
        <w:tc>
          <w:tcPr>
            <w:tcW w:w="720" w:type="dxa"/>
            <w:vAlign w:val="bottom"/>
          </w:tcPr>
          <w:p>
            <w:pPr>
              <w:ind w:left="140"/>
              <w:spacing w:after="0"/>
              <w:rPr>
                <w:sz w:val="20"/>
                <w:szCs w:val="20"/>
                <w:color w:val="auto"/>
              </w:rPr>
            </w:pPr>
            <w:r>
              <w:rPr>
                <w:rFonts w:ascii="Arial" w:cs="Arial" w:eastAsia="Arial" w:hAnsi="Arial"/>
                <w:sz w:val="18"/>
                <w:szCs w:val="18"/>
                <w:color w:val="auto"/>
              </w:rPr>
              <w:t>Issued</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Violations</w:t>
            </w:r>
          </w:p>
        </w:tc>
        <w:tc>
          <w:tcPr>
            <w:tcW w:w="880" w:type="dxa"/>
            <w:vAlign w:val="bottom"/>
          </w:tcPr>
          <w:p>
            <w:pPr>
              <w:ind w:left="200"/>
              <w:spacing w:after="0"/>
              <w:rPr>
                <w:sz w:val="20"/>
                <w:szCs w:val="20"/>
                <w:color w:val="auto"/>
              </w:rPr>
            </w:pPr>
            <w:r>
              <w:rPr>
                <w:rFonts w:ascii="Arial" w:cs="Arial" w:eastAsia="Arial" w:hAnsi="Arial"/>
                <w:sz w:val="18"/>
                <w:szCs w:val="18"/>
                <w:color w:val="auto"/>
              </w:rPr>
              <w:t>Orders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58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Violations</w:t>
            </w:r>
          </w:p>
        </w:tc>
        <w:tc>
          <w:tcPr>
            <w:tcW w:w="720" w:type="dxa"/>
            <w:vAlign w:val="bottom"/>
          </w:tcPr>
          <w:p>
            <w:pPr>
              <w:ind w:left="140"/>
              <w:spacing w:after="0"/>
              <w:rPr>
                <w:sz w:val="20"/>
                <w:szCs w:val="20"/>
                <w:color w:val="auto"/>
              </w:rPr>
            </w:pPr>
            <w:r>
              <w:rPr>
                <w:rFonts w:ascii="Arial" w:cs="Arial" w:eastAsia="Arial" w:hAnsi="Arial"/>
                <w:sz w:val="18"/>
                <w:szCs w:val="18"/>
                <w:color w:val="auto"/>
              </w:rPr>
              <w:t>Under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Under</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Under</w:t>
            </w:r>
          </w:p>
        </w:tc>
        <w:tc>
          <w:tcPr>
            <w:tcW w:w="880" w:type="dxa"/>
            <w:vAlign w:val="bottom"/>
          </w:tcPr>
          <w:p>
            <w:pPr>
              <w:ind w:left="220"/>
              <w:spacing w:after="0"/>
              <w:rPr>
                <w:sz w:val="20"/>
                <w:szCs w:val="20"/>
                <w:color w:val="auto"/>
              </w:rPr>
            </w:pPr>
            <w:r>
              <w:rPr>
                <w:rFonts w:ascii="Arial" w:cs="Arial" w:eastAsia="Arial" w:hAnsi="Arial"/>
                <w:sz w:val="18"/>
                <w:szCs w:val="18"/>
                <w:color w:val="auto"/>
              </w:rPr>
              <w:t>Under</w:t>
            </w:r>
          </w:p>
        </w:tc>
        <w:tc>
          <w:tcPr>
            <w:tcW w:w="2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w w:val="83"/>
              </w:rPr>
              <w:t>Proposed</w:t>
            </w:r>
          </w:p>
        </w:tc>
      </w:tr>
      <w:tr>
        <w:trPr>
          <w:trHeight w:val="243"/>
        </w:trPr>
        <w:tc>
          <w:tcPr>
            <w:tcW w:w="58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Under</w:t>
            </w:r>
          </w:p>
        </w:tc>
        <w:tc>
          <w:tcPr>
            <w:tcW w:w="720" w:type="dxa"/>
            <w:vAlign w:val="bottom"/>
          </w:tcPr>
          <w:p>
            <w:pPr>
              <w:jc w:val="right"/>
              <w:spacing w:after="0"/>
              <w:rPr>
                <w:sz w:val="20"/>
                <w:szCs w:val="20"/>
                <w:color w:val="auto"/>
              </w:rPr>
            </w:pPr>
            <w:r>
              <w:rPr>
                <w:rFonts w:ascii="Arial" w:cs="Arial" w:eastAsia="Arial" w:hAnsi="Arial"/>
                <w:sz w:val="18"/>
                <w:szCs w:val="18"/>
                <w:color w:val="auto"/>
              </w:rPr>
              <w:t>Section</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Section</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Section</w:t>
            </w:r>
          </w:p>
        </w:tc>
        <w:tc>
          <w:tcPr>
            <w:tcW w:w="200" w:type="dxa"/>
            <w:vAlign w:val="bottom"/>
          </w:tcPr>
          <w:p>
            <w:pPr>
              <w:spacing w:after="0"/>
              <w:rPr>
                <w:sz w:val="21"/>
                <w:szCs w:val="21"/>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MSHA</w:t>
            </w:r>
          </w:p>
        </w:tc>
      </w:tr>
      <w:tr>
        <w:trPr>
          <w:trHeight w:val="252"/>
        </w:trPr>
        <w:tc>
          <w:tcPr>
            <w:tcW w:w="5860" w:type="dxa"/>
            <w:vAlign w:val="bottom"/>
            <w:tcBorders>
              <w:bottom w:val="single" w:sz="8" w:color="C0C0C0"/>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Section 104</w:t>
            </w: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104(b)</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104(d)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110(b)(2)</w:t>
            </w: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107(a)</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2"/>
              </w:rPr>
              <w:t>Assessments</w:t>
            </w:r>
          </w:p>
        </w:tc>
      </w:tr>
      <w:tr>
        <w:trPr>
          <w:trHeight w:val="257"/>
        </w:trPr>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Ochlocknee, Georgia</w:t>
            </w: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47,690</w:t>
            </w:r>
          </w:p>
        </w:tc>
      </w:tr>
      <w:tr>
        <w:trPr>
          <w:trHeight w:val="235"/>
        </w:trPr>
        <w:tc>
          <w:tcPr>
            <w:tcW w:w="5860" w:type="dxa"/>
            <w:vAlign w:val="bottom"/>
          </w:tcPr>
          <w:p>
            <w:pPr>
              <w:spacing w:after="0"/>
              <w:rPr>
                <w:sz w:val="20"/>
                <w:szCs w:val="20"/>
                <w:color w:val="auto"/>
              </w:rPr>
            </w:pPr>
            <w:r>
              <w:rPr>
                <w:rFonts w:ascii="Arial" w:cs="Arial" w:eastAsia="Arial" w:hAnsi="Arial"/>
                <w:sz w:val="18"/>
                <w:szCs w:val="18"/>
                <w:color w:val="auto"/>
              </w:rPr>
              <w:t>Ripley, Mississippi</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1,317</w:t>
            </w:r>
          </w:p>
        </w:tc>
      </w:tr>
      <w:tr>
        <w:trPr>
          <w:trHeight w:val="251"/>
        </w:trPr>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Mounds, Illinois</w:t>
            </w: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775</w:t>
            </w:r>
          </w:p>
        </w:tc>
      </w:tr>
      <w:tr>
        <w:trPr>
          <w:trHeight w:val="235"/>
        </w:trPr>
        <w:tc>
          <w:tcPr>
            <w:tcW w:w="5860" w:type="dxa"/>
            <w:vAlign w:val="bottom"/>
          </w:tcPr>
          <w:p>
            <w:pPr>
              <w:spacing w:after="0"/>
              <w:rPr>
                <w:sz w:val="20"/>
                <w:szCs w:val="20"/>
                <w:color w:val="auto"/>
              </w:rPr>
            </w:pPr>
            <w:r>
              <w:rPr>
                <w:rFonts w:ascii="Arial" w:cs="Arial" w:eastAsia="Arial" w:hAnsi="Arial"/>
                <w:sz w:val="18"/>
                <w:szCs w:val="18"/>
                <w:color w:val="auto"/>
              </w:rPr>
              <w:t>Blue Mountain, Mississippi</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1,849</w:t>
            </w:r>
          </w:p>
        </w:tc>
      </w:tr>
      <w:tr>
        <w:trPr>
          <w:trHeight w:val="251"/>
        </w:trPr>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Taft, California</w:t>
            </w: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6,570</w:t>
            </w:r>
          </w:p>
        </w:tc>
      </w:tr>
    </w:tbl>
    <w:p>
      <w:pPr>
        <w:spacing w:after="0" w:line="262" w:lineRule="exact"/>
        <w:rPr>
          <w:sz w:val="20"/>
          <w:szCs w:val="20"/>
          <w:color w:val="auto"/>
        </w:rPr>
      </w:pPr>
    </w:p>
    <w:p>
      <w:pPr>
        <w:jc w:val="both"/>
        <w:ind w:right="20" w:firstLine="270"/>
        <w:spacing w:after="0" w:line="268" w:lineRule="auto"/>
        <w:rPr>
          <w:sz w:val="20"/>
          <w:szCs w:val="20"/>
          <w:color w:val="auto"/>
        </w:rPr>
      </w:pPr>
      <w:r>
        <w:rPr>
          <w:rFonts w:ascii="Arial" w:cs="Arial" w:eastAsia="Arial" w:hAnsi="Arial"/>
          <w:sz w:val="18"/>
          <w:szCs w:val="18"/>
          <w:color w:val="auto"/>
        </w:rPr>
        <w:t>We had no mining-related fatalities at any of our facilities during this fiscal year. At July 31, 2010, we were contesting 222 citations, representing $109,305 in proposed MSHA assessments in the aggregate, before the Federal Mine Safety and Health Review Commission.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MPLOYEES</w:t>
      </w:r>
    </w:p>
    <w:p>
      <w:pPr>
        <w:spacing w:after="0" w:line="2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July 31, 2010, we employed 812 persons, 57 of whom were employed by our foreign subsidiaries. Our corporate offices, research and development center and manufacturing facilities are adequately staffed and no material labor shortages are anticipated. Approximately 49 of our employees in the U.S. and approximately 22 of our employees in Canada are represented by labor unions, with whom we have entered into separate collective bargaining agreements. We consider our employee relations to be satisfactory.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NVIRONMENTAL</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OMPLIANCE</w:t>
      </w:r>
    </w:p>
    <w:p>
      <w:pPr>
        <w:spacing w:after="0" w:line="285"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Our mining and manufacturing operations and facilities in Georgia, Mississippi, California and Illinois are required to comply with state surface mining statutes and various other federal, state and local statutes, regulations and ordinances which govern the discharge of materials, water and waste into the environment and restrict mining on wetlands or otherwise regulate our operations. In recent years, environmental regulation has grown increasingly stringent, a trend that we expect will continue. We endeavor to be in compliance in all material respects at all times with all applicable environmental controls and regulations. As a result, expenditures relating to environmental compliance have increased over the years; however, these expenditures have not been material. As part of our ongoing environmental compliance activities, we incur expenses in conne ction with reclaiming exhausted mining sites. Historically, reclamation expenses have not had a material effect on our cost of sales.</w:t>
      </w:r>
    </w:p>
    <w:p>
      <w:pPr>
        <w:spacing w:after="0" w:line="226"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In addition to the environmental requirements relating to mining and manufacturing operations and facilities, there is increasing federal and state regulation with respect to the content, labeling, use, and disposal after use, of various products we sell. We endeavor to be in compliance in all material respects at all times with that regulation and to assist our customers in that compliance.</w:t>
      </w:r>
    </w:p>
    <w:p>
      <w:pPr>
        <w:spacing w:after="0" w:line="248"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We cannot assure that, despite all commercially reasonable efforts, we will always be in compliance in all material respects with all applicable environmental regulation or with requirements regarding the content, labeling, use, and disposal after use, of our products; nor can we assure that from time to time enforcement of such requirements will not have a material adverse effect on our business. See Item 1A “Risk Factors” below for a discussion of these and other risks to our business.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NERGY</w:t>
      </w:r>
    </w:p>
    <w:p>
      <w:pPr>
        <w:spacing w:after="0" w:line="2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 natural gas, recycled fuel oil and coal as permitted for energy sources in the processing of our clay products. Consistent with prior years, we have switched among the various energy sources during certain months due to seasonal availability and cost. See Item 7A “Quantitative and Qualitative Disclosures About Market Risk” below with respect to our use of forward contracts.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3"/>
          <w:szCs w:val="13"/>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3"/>
          <w:szCs w:val="13"/>
          <w:b w:val="1"/>
          <w:bCs w:val="1"/>
          <w:color w:val="auto"/>
        </w:rPr>
        <w:t>EVELOPMENT</w:t>
      </w:r>
    </w:p>
    <w:p>
      <w:pPr>
        <w:spacing w:after="0" w:line="2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our research and development facility in Vernon Hills, Illinois, we develop new products and applications and improve existing products. The facility’s staff (and various consultants they engage from time to time) consists of geologists, mineralogists and chemists. In the past several years, our research efforts have resulted in a number of new sorbent products and processes. The facility produces prototype samples and tests new products for customer trial and evaluation.</w:t>
      </w:r>
    </w:p>
    <w:p>
      <w:pPr>
        <w:spacing w:after="0" w:line="251"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We spent approximately $1,826,000, $2,099,000, and $2,497,000 during the fiscal years ended July 31, 2010, 2009 and 2008, respectively, for research and development. None of this research and development was customer sponsored, and all research and development costs are expensed in the period in which incurred. See Note 1 of the Notes to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3"/>
          <w:szCs w:val="13"/>
          <w:b w:val="1"/>
          <w:bCs w:val="1"/>
          <w:color w:val="auto"/>
        </w:rPr>
        <w:t>VAILABLE</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NFORMATION</w:t>
      </w:r>
    </w:p>
    <w:p>
      <w:pPr>
        <w:spacing w:after="0" w:line="28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This Annual Report on Form 10-K, as well as our quarterly reports on Form 10-Q, current reports on Form 8-K and any amendments to all of the foregoing reports, are made available free of charge on or through the “Investor Information” section of our website (www.oildri.com) as soon as reasonably practicable after such reports are electronically filed with or furnished to the SEC.</w:t>
      </w:r>
    </w:p>
    <w:p>
      <w:pPr>
        <w:spacing w:after="0" w:line="248"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8"/>
          <w:szCs w:val="18"/>
          <w:color w:val="auto"/>
        </w:rPr>
        <w:t>Information relating to corporate governance at Oil-Dri, including its Code of Ethics and Business Conduct, information concerning executive officers, directors and Board committees (including committee charters), and transactions in Oil-Dri securities by directors and officers, is available free of charge on or through the “Investor Information” section of our website at www.oildri.com. We are not including the information on our website as a part of, or incorporating it by reference into, this Annual Report on Form 10-K.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 RISK FACTORS</w:t>
      </w:r>
    </w:p>
    <w:p>
      <w:pPr>
        <w:spacing w:after="0" w:line="285"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8"/>
          <w:szCs w:val="18"/>
          <w:i w:val="1"/>
          <w:iCs w:val="1"/>
          <w:color w:val="auto"/>
        </w:rPr>
        <w:t>In addition to the other information in this report and our other filings with the SEC, you should carefully consider the risks described below. If any of the following risks occur, our business, financial condition or operating results could be materially and adversely affected.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financial performance depend in large part on successful new product introductions.</w:t>
      </w:r>
    </w:p>
    <w:p>
      <w:pPr>
        <w:spacing w:after="0" w:line="279" w:lineRule="exact"/>
        <w:rPr>
          <w:sz w:val="20"/>
          <w:szCs w:val="20"/>
          <w:color w:val="auto"/>
        </w:rPr>
      </w:pPr>
    </w:p>
    <w:p>
      <w:pPr>
        <w:jc w:val="both"/>
        <w:ind w:firstLine="338"/>
        <w:spacing w:after="0" w:line="310" w:lineRule="auto"/>
        <w:rPr>
          <w:sz w:val="20"/>
          <w:szCs w:val="20"/>
          <w:color w:val="auto"/>
        </w:rPr>
      </w:pPr>
      <w:r>
        <w:rPr>
          <w:rFonts w:ascii="Arial" w:cs="Arial" w:eastAsia="Arial" w:hAnsi="Arial"/>
          <w:sz w:val="15"/>
          <w:szCs w:val="15"/>
          <w:color w:val="auto"/>
        </w:rPr>
        <w:t>A significant portion of our net sales comes from the sale of mature products, such as coarse cat litter, floor absorbent and agricultural chemical carriers, which have had little or no volume growth (or even volume declines) in recent fiscal years.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 ing out of the intellectual property rights of others, launch difficulties, customer rejection and unexpectedly short product life cycles may occur even after substantial effort and expense on our part. Even in the case of a successful launch of a new product, the ultimate benefit we realize may be uncertain if the new product “cannibalizes” sales of our existing products beyond expected levels.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markets.</w:t>
      </w:r>
    </w:p>
    <w:p>
      <w:pPr>
        <w:spacing w:after="0" w:line="279"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color w:val="auto"/>
        </w:rPr>
        <w:t>Our markets are highly competitive and we expect that both direct and indirect competition will increase in the future. Our overall competitive position depends on a number of factors including price, customer service and technical support, product quality and delivery. Some of our competitors, particularly in the sale of cat litter (the largest product in our Retail and Wholesale Products Group), are much larger and have substantially greater financial resources. The competition in the future may, in some cases, result in price reductions, reduced margins or loss of market share, any of which could materially and adversely affect our business, operating results and financial condition. If we fail to compete successfully based on these or other factors, our business and future financial results could be materially and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be volatile.</w:t>
      </w:r>
    </w:p>
    <w:p>
      <w:pPr>
        <w:spacing w:after="0" w:line="279"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Factors that may affect our quarterly operating results include:</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fluctuating demand for our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size and timing of sales of our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mix of products with varying profitability sold in a given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Arial" w:cs="Arial" w:eastAsia="Arial" w:hAnsi="Arial"/>
          <w:sz w:val="18"/>
          <w:szCs w:val="18"/>
          <w:color w:val="auto"/>
        </w:rPr>
        <w:t>changes in our operating costs including raw materials, energy, transportation, packaging, overburden removal, trade spending, health care costs and other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anticipate and adapt to rapidly changing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introduction of new products and services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720"/>
        <w:spacing w:after="0" w:line="250" w:lineRule="auto"/>
        <w:rPr>
          <w:sz w:val="20"/>
          <w:szCs w:val="20"/>
          <w:color w:val="auto"/>
        </w:rPr>
      </w:pPr>
      <w:r>
        <w:rPr>
          <w:rFonts w:ascii="Arial" w:cs="Arial" w:eastAsia="Arial" w:hAnsi="Arial"/>
          <w:sz w:val="18"/>
          <w:szCs w:val="18"/>
          <w:color w:val="auto"/>
        </w:rPr>
        <w:t>our ability to successfully implement price increases and surcharges, as well as other changes in our pricing policies or those of our competitors; variations in purchasing patterns by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-95885</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ability of major customers and other debtors to meet their obligations to us as they come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 w:name="page13"/>
    <w:bookmarkEnd w:id="12"/>
    <w:p>
      <w:pPr>
        <w:ind w:left="540"/>
        <w:spacing w:after="0"/>
        <w:rPr>
          <w:sz w:val="20"/>
          <w:szCs w:val="20"/>
          <w:color w:val="auto"/>
        </w:rPr>
      </w:pPr>
      <w:r>
        <w:rPr>
          <w:rFonts w:ascii="Arial" w:cs="Arial" w:eastAsia="Arial" w:hAnsi="Arial"/>
          <w:sz w:val="18"/>
          <w:szCs w:val="18"/>
          <w:color w:val="auto"/>
        </w:rPr>
        <w:t>our ability to successfully manage regulatory, tax and 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incurrence of restructuring, impairment or other charges;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general economic conditions and specific economic conditions in our industry and the industries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Accordingly, we believe that quarter-to-quarter comparisons of our operating results are not necessarily meaningful. Investors should not rely on the results of one quarter as an indication of our future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a number of risks, any of which could cause us not to realize the anticipated benefits.</w:t>
      </w:r>
    </w:p>
    <w:p>
      <w:pPr>
        <w:spacing w:after="0" w:line="279" w:lineRule="exact"/>
        <w:rPr>
          <w:sz w:val="20"/>
          <w:szCs w:val="20"/>
          <w:color w:val="auto"/>
        </w:rPr>
      </w:pPr>
    </w:p>
    <w:p>
      <w:pPr>
        <w:jc w:val="both"/>
        <w:ind w:firstLine="284"/>
        <w:spacing w:after="0" w:line="298" w:lineRule="auto"/>
        <w:rPr>
          <w:sz w:val="20"/>
          <w:szCs w:val="20"/>
          <w:color w:val="auto"/>
        </w:rPr>
      </w:pPr>
      <w:r>
        <w:rPr>
          <w:rFonts w:ascii="Arial" w:cs="Arial" w:eastAsia="Arial" w:hAnsi="Arial"/>
          <w:sz w:val="16"/>
          <w:szCs w:val="16"/>
          <w:color w:val="auto"/>
        </w:rPr>
        <w:t>We intend from time to time to strategically explore potential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results of operations. Acquisitions involve a number of inherent risks, including:</w:t>
      </w:r>
    </w:p>
    <w:p>
      <w:pPr>
        <w:spacing w:after="0" w:line="126"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uncertainties in assessing the value, strengths, and potential profitability of acquisition candidates, and in identifying the extent of all weaknesses, risks, contingent and other liabilities (including environmental or mining safety liabilities), of those candidates; the potential loss of key customers, management and employees of an acquired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-370840</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-96520</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440"/>
        <w:spacing w:after="0" w:line="250" w:lineRule="auto"/>
        <w:rPr>
          <w:sz w:val="20"/>
          <w:szCs w:val="20"/>
          <w:color w:val="auto"/>
        </w:rPr>
      </w:pPr>
      <w:r>
        <w:rPr>
          <w:rFonts w:ascii="Arial" w:cs="Arial" w:eastAsia="Arial" w:hAnsi="Arial"/>
          <w:sz w:val="18"/>
          <w:szCs w:val="18"/>
          <w:color w:val="auto"/>
        </w:rPr>
        <w:t>the ability to achieve identified operating and financial synergies anticipated to result from an acquisition; problems that could arise from the integration of the acquired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-95885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61" w:lineRule="auto"/>
        <w:rPr>
          <w:sz w:val="20"/>
          <w:szCs w:val="20"/>
          <w:color w:val="auto"/>
        </w:rPr>
      </w:pPr>
      <w:r>
        <w:rPr>
          <w:rFonts w:ascii="Arial" w:cs="Arial" w:eastAsia="Arial" w:hAnsi="Arial"/>
          <w:sz w:val="18"/>
          <w:szCs w:val="18"/>
          <w:color w:val="auto"/>
        </w:rPr>
        <w:t>unanticipated changes in business, industry or general economic conditions that affect the assumptions underlying our rationale for pursuing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-245110</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Any one or more of these factors could cause us not to realize the benefits we anticipate to result from an acquisition. Moreover, any acquisition opportunities we pursue could materially affect our liquidity and capital resources and may require us to incur indebtedness, seek equity capital or both. In addition, future acquisitions could result in our assuming more long-term liabilities relative to the value of the acquired assets than we have assumed in our previous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customers for a large portion of our net sales.</w:t>
      </w:r>
    </w:p>
    <w:p>
      <w:pPr>
        <w:spacing w:after="0" w:line="279" w:lineRule="exact"/>
        <w:rPr>
          <w:sz w:val="20"/>
          <w:szCs w:val="20"/>
          <w:color w:val="auto"/>
        </w:rPr>
      </w:pPr>
    </w:p>
    <w:p>
      <w:pPr>
        <w:jc w:val="both"/>
        <w:ind w:firstLine="284"/>
        <w:spacing w:after="0" w:line="254" w:lineRule="auto"/>
        <w:rPr>
          <w:sz w:val="20"/>
          <w:szCs w:val="20"/>
          <w:color w:val="auto"/>
        </w:rPr>
      </w:pPr>
      <w:r>
        <w:rPr>
          <w:rFonts w:ascii="Arial" w:cs="Arial" w:eastAsia="Arial" w:hAnsi="Arial"/>
          <w:sz w:val="18"/>
          <w:szCs w:val="18"/>
          <w:color w:val="auto"/>
        </w:rPr>
        <w:t>A limited number of customers account for a large percentage of our net sales. Our largest customer, Wal-Mart and its affiliates, accounted for approximately 20%, 26% and 25% of our net sales for the fiscal years ended July 31, 2010, 2009 and 2008, respectively. Sales to The Clorox Company and its affiliates accounted for approximately 9%, 8% and 8% of our net sales for the fiscal years ended July 31, 2010, 2009 and 2008, respectively. The loss of or a substantial decrease in the volume of purchases by Wal-Mart, Clorox or any of our other top customers would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252" w:lineRule="exact"/>
        <w:rPr>
          <w:sz w:val="20"/>
          <w:szCs w:val="20"/>
          <w:color w:val="auto"/>
        </w:rPr>
      </w:pPr>
    </w:p>
    <w:p>
      <w:pPr>
        <w:jc w:val="both"/>
        <w:ind w:firstLine="365"/>
        <w:spacing w:after="0" w:line="287" w:lineRule="auto"/>
        <w:rPr>
          <w:sz w:val="20"/>
          <w:szCs w:val="20"/>
          <w:color w:val="auto"/>
        </w:rPr>
      </w:pPr>
      <w:r>
        <w:rPr>
          <w:rFonts w:ascii="Arial" w:cs="Arial" w:eastAsia="Arial" w:hAnsi="Arial"/>
          <w:sz w:val="16"/>
          <w:szCs w:val="16"/>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they carry or a shift of shelf space to private label products (a change Wal-Mart in fact implemented with respect to cat litter products in August 2009) or increased use of global or centralized procurement initiatives.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 ve long-term contracts with certain of our customers, including Clorox,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 adverse impact on our results of operations. If we lose a significant customer or if sales of our products to a significant customer materially decrease, it may have a material adverse effect on our business,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i w:val="1"/>
          <w:iCs w:val="1"/>
          <w:color w:val="auto"/>
        </w:rPr>
        <w:t>Providing price concessions or trade terms that are acceptable to our customers, or the failure to do so, could adversely affect our sales and profitability.</w:t>
      </w:r>
    </w:p>
    <w:p>
      <w:pPr>
        <w:spacing w:after="0" w:line="314" w:lineRule="exact"/>
        <w:rPr>
          <w:sz w:val="20"/>
          <w:szCs w:val="20"/>
          <w:color w:val="auto"/>
        </w:rPr>
      </w:pPr>
    </w:p>
    <w:p>
      <w:pPr>
        <w:jc w:val="both"/>
        <w:ind w:firstLine="284"/>
        <w:spacing w:after="0" w:line="289" w:lineRule="auto"/>
        <w:rPr>
          <w:sz w:val="20"/>
          <w:szCs w:val="20"/>
          <w:color w:val="auto"/>
        </w:rPr>
      </w:pPr>
      <w:r>
        <w:rPr>
          <w:rFonts w:ascii="Arial" w:cs="Arial" w:eastAsia="Arial" w:hAnsi="Arial"/>
          <w:sz w:val="16"/>
          <w:szCs w:val="16"/>
          <w:color w:val="auto"/>
        </w:rPr>
        <w:t>The products we sell are subject to significant price competition. From time to time, we may need to reduce the prices for some of our products to respond to competitive and customer pressures and to maintain market share. These pressures are often exacerbated during an economic downturn.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Increases in energy and other commodity prices would increase our operating costs, and we may be unable to pass all these increases on to our customers in the form of higher prices.</w:t>
      </w:r>
    </w:p>
    <w:p>
      <w:pPr>
        <w:spacing w:after="0" w:line="240"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If our energy costs increase disproportionately to our net sales, our earnings could be significantly reduced. Because we use energy, including natural gas, fuel oil, coal, electricity, diesel fuel and gasoline, to manufacture and transport our products, our operating costs increase if our energy costs rise. Increases in our operating costs may reduce our profitability if we are unable to pass all the increases on to our customers through price increases or surcharges. Sustained price increases or surcharges in turn may lead to declines in volume, and while we seek to project tradeoffs between price increases and surcharges, on the one hand, and volume, there can be no assurance that our projections will prove to be accurate.</w:t>
      </w:r>
    </w:p>
    <w:p>
      <w:pPr>
        <w:spacing w:after="0" w:line="224"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6"/>
          <w:szCs w:val="16"/>
          <w:color w:val="auto"/>
        </w:rPr>
        <w:t>Our most significant energy requirements typically are for natural gas and fuel oil. We are subject to volatility in the price and availability of natural gas and fuel oil, as well as other sources of energy. In the past, we have endeavored to reallocate a portion of our energy needs among these different sources due to seasonal supply limitations and the higher cost of one particular fuel relative to other fuels; however, there can be no assurance that we will be able to effectively reallocate among different fuels in the future. From time to time, we may use forward purchase contracts or financial instruments to hedge the volatility of a portion of our natural gas and fuel oil costs. The success or failure of any such hedging transactions depends on a number of factors including, but not limited to, our ability to anticipate and manage volatility in en ergy prices, the general demand for natural gas and fuel oil by the manufacturing sector, seasonality and the weather patterns throughout the United States and the world.</w:t>
      </w:r>
    </w:p>
    <w:p>
      <w:pPr>
        <w:spacing w:after="0" w:line="226"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The prices of other commodities such as paper, plastic resins, synthetic rubber and steel significantly influence the costs of packaging, replacement parts and equipment we use in the manufacture of our products and the maintenance of our facilities. As a result, increases in the prices of these commodities generally increase the costs of the related materials we use. These increased materials costs present the same types of risks as described above with respect to increased energy costs.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Reductions in inventory by our customers could adversely affect our sales and increase our inventory risk.</w:t>
      </w:r>
    </w:p>
    <w:p>
      <w:pPr>
        <w:spacing w:after="0" w:line="279" w:lineRule="exact"/>
        <w:rPr>
          <w:sz w:val="20"/>
          <w:szCs w:val="20"/>
          <w:color w:val="auto"/>
        </w:rPr>
      </w:pPr>
    </w:p>
    <w:p>
      <w:pPr>
        <w:jc w:val="both"/>
        <w:ind w:firstLine="297"/>
        <w:spacing w:after="0" w:line="254" w:lineRule="auto"/>
        <w:rPr>
          <w:sz w:val="20"/>
          <w:szCs w:val="20"/>
          <w:color w:val="auto"/>
        </w:rPr>
      </w:pPr>
      <w:r>
        <w:rPr>
          <w:rFonts w:ascii="Arial" w:cs="Arial" w:eastAsia="Arial" w:hAnsi="Arial"/>
          <w:sz w:val="18"/>
          <w:szCs w:val="18"/>
          <w:color w:val="auto"/>
        </w:rPr>
        <w:t>From time to time, customers in both our Retail and Wholesale Products Group and our Business to Business Products Group have reduced inventory levels as part of managing their working capital requirements. Any reduction in inventory levels by our customers would harm our operating results for the financial periods affected by the reductions. In particular, continued consolidation within the retail industry could potentially reduce inventory levels maintained by our retail customers, which could adversely affect our results of operations for the financial periods affected by the reductions. Similarly, inventory reductions by our agricultural chemical carrier customers or our contract cat litter manufacturing customers could also adversely affect our results of operations for the financial periods in which the reductions occur.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14" w:name="page15"/>
    <w:bookmarkEnd w:id="14"/>
    <w:p>
      <w:pPr>
        <w:jc w:val="both"/>
        <w:ind w:firstLine="270"/>
        <w:spacing w:after="0" w:line="255" w:lineRule="auto"/>
        <w:rPr>
          <w:sz w:val="20"/>
          <w:szCs w:val="20"/>
          <w:color w:val="auto"/>
        </w:rPr>
      </w:pPr>
      <w:r>
        <w:rPr>
          <w:rFonts w:ascii="Arial" w:cs="Arial" w:eastAsia="Arial" w:hAnsi="Arial"/>
          <w:sz w:val="18"/>
          <w:szCs w:val="18"/>
          <w:color w:val="auto"/>
        </w:rPr>
        <w:t>The value of our inventory may decline as a result of surplus inventory, price reductions or obsolescence. We must identify the right product mix and maintain sufficient inventory on hand to meet customer orders. Failure to do so could adversely affect our revenue and operating results. If circumstances change (for example, an unexpected shift in market demand, pricing or customer defaults) there could be a material impact on the net realizable value of our inventory. We maintain an inventory valuation reserve account against diminution in the value or salability of our inventory; however, there is no guaranty that these arrangements will be sufficient to avoid write-offs in excess of our reserves.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Increasing market acceptance of genetically enhanced and treated agricultural products, particularly genetically modified and treated seeds, could continue to adversely affect our business.</w:t>
      </w:r>
    </w:p>
    <w:p>
      <w:pPr>
        <w:spacing w:after="0" w:line="240"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In our Business to Business Products Group, we sell clay granules which are used by agricultural chemical formulators as carriers for crop protection chemicals, including herbicides, fungicides and insecticides. The increased use of genetically modified and treated seeds has reduced the need for certain crop production chemicals (and the carriers for those chemicals) in the past and may continue to do so in the future. Demand for these products could also be adversely affected by increased consumer acceptance of genetically modified products, as well as governmental policies, laws and regulations that affect the development, manufacture and distribution of those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matters create potential compliance and other liability risks.</w:t>
      </w:r>
    </w:p>
    <w:p>
      <w:pPr>
        <w:spacing w:after="0" w:line="279"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We are subject to a variety of federal, state, local and foreign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protection, reclamation and restoration of mining properties after mining is completed, the discharge of materials into the environment, and the effects that mining has on groundwater quality and availability. We believe we have obtained all material permits and licenses required to conduct our present operations. We will, however, need additional permits and renewals of permits in the future.</w:t>
      </w:r>
    </w:p>
    <w:p>
      <w:pPr>
        <w:spacing w:after="0" w:line="224" w:lineRule="exact"/>
        <w:rPr>
          <w:sz w:val="20"/>
          <w:szCs w:val="20"/>
          <w:color w:val="auto"/>
        </w:rPr>
      </w:pPr>
    </w:p>
    <w:p>
      <w:pPr>
        <w:jc w:val="both"/>
        <w:ind w:firstLine="419"/>
        <w:spacing w:after="0" w:line="286" w:lineRule="auto"/>
        <w:rPr>
          <w:sz w:val="20"/>
          <w:szCs w:val="20"/>
          <w:color w:val="auto"/>
        </w:rPr>
      </w:pPr>
      <w:r>
        <w:rPr>
          <w:rFonts w:ascii="Arial" w:cs="Arial" w:eastAsia="Arial" w:hAnsi="Arial"/>
          <w:sz w:val="16"/>
          <w:szCs w:val="16"/>
          <w:color w:val="auto"/>
        </w:rPr>
        <w:t>The expense, liabilities and requirements associated with environmental, health and safety regulations are costly and time-consuming and may delay commencement or continuation of exploration, mining or manufacturing operations. We have incurred, and will continue to incur, significant capital and operating expenditures and other costs in complying with environmental, health and safety laws and regulations. In recent years, regulation of environmental, health and safety matters has grown increasingly stringent, a trend that we expect will continue. Substantial penalties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 nd capital expenditures, in addition to fines and administrative, civil or criminal sanctions, third-party claims for property damage or personal injury, cleanup and site restoration costs and liens, the issuance of injunctions to limit or cease operations, the suspension or revocation of permits and other enforcement measures that could have the effect of limiting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deposits or could require us to acquire costly equipment or to incur other significant expenses in connection with our business. There can be no assurance that future events, including changes in any environmental requirements and the costs associated with complying with such requirements, will not hav e a material adverse effect on us.</w:t>
      </w:r>
    </w:p>
    <w:p>
      <w:pPr>
        <w:spacing w:after="0" w:line="20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Government regulation imposes significant costs on us, and future regulatory changes (or related customer responses to regulatory changes) could increase those costs or limit our ability to produce and sell our products.</w:t>
      </w:r>
    </w:p>
    <w:p>
      <w:pPr>
        <w:spacing w:after="0" w:line="240"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In addition to the regulatory matters described above, our operations are subject to various federal, state, local and foreign laws and regulations relating to the manufacture, packaging, labeling, content, storage, distribution and advertising of our products and the conduct of our business operations. For example, in the United States, many of our products are regulated by the Food and Drug Administration, the Consumer Product Safety Commission and the Environmental Protection Agency and our product claims and advertising are regulated by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European Union, there is also increasing government scrutiny and regulation of the food chain and products entering or affecting the food chain.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15" w:name="page16"/>
    <w:bookmarkEnd w:id="15"/>
    <w:p>
      <w:pPr>
        <w:jc w:val="both"/>
        <w:ind w:firstLine="324"/>
        <w:spacing w:after="0" w:line="289" w:lineRule="auto"/>
        <w:rPr>
          <w:sz w:val="20"/>
          <w:szCs w:val="20"/>
          <w:color w:val="auto"/>
        </w:rPr>
      </w:pPr>
      <w:r>
        <w:rPr>
          <w:rFonts w:ascii="Arial" w:cs="Arial" w:eastAsia="Arial" w:hAnsi="Arial"/>
          <w:sz w:val="16"/>
          <w:szCs w:val="16"/>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If these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current or future governmental regulation will not have a material adverse effect on our business or that we will be able to obtain or renew required governmental authorizations in the future.</w:t>
      </w:r>
    </w:p>
    <w:p>
      <w:pPr>
        <w:spacing w:after="0" w:line="226" w:lineRule="exact"/>
        <w:rPr>
          <w:sz w:val="20"/>
          <w:szCs w:val="20"/>
          <w:color w:val="auto"/>
        </w:rPr>
      </w:pPr>
    </w:p>
    <w:p>
      <w:pPr>
        <w:jc w:val="both"/>
        <w:ind w:firstLine="311"/>
        <w:spacing w:after="0" w:line="254" w:lineRule="auto"/>
        <w:rPr>
          <w:sz w:val="20"/>
          <w:szCs w:val="20"/>
          <w:color w:val="auto"/>
        </w:rPr>
      </w:pPr>
      <w:r>
        <w:rPr>
          <w:rFonts w:ascii="Arial" w:cs="Arial" w:eastAsia="Arial" w:hAnsi="Arial"/>
          <w:sz w:val="18"/>
          <w:szCs w:val="18"/>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or other requirements that are different from, and more onerous than, applicable laws and regulations. As a result, the failure of our products to meet these additional requirements may result in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mining operations for substantially all of our supply of sorbent minerals.</w:t>
      </w:r>
    </w:p>
    <w:p>
      <w:pPr>
        <w:spacing w:after="0" w:line="279"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Our principal raw materials, the sorbent minerals commonly known as fuller’s earth, are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and natural disasters, such as heavy rains and flooding, equipment failures and other unexpected maintenance problems, variations in the amount of rock and soil overlying deposits, variations in geological conditions, fires and other accidents, fluctuations in the price or availability of supplies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acquiring adequate additional reserves in the future.</w:t>
      </w:r>
    </w:p>
    <w:p>
      <w:pPr>
        <w:spacing w:after="0" w:line="279"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from other companies for attractive properties,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compliance may restrict explorati on or use of lands that might otherwise be utilized as a source of reserves.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face risks as a result of our international sales and business operations.</w:t>
      </w:r>
    </w:p>
    <w:p>
      <w:pPr>
        <w:spacing w:after="0" w:line="279"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8"/>
          <w:szCs w:val="18"/>
          <w:color w:val="auto"/>
        </w:rPr>
        <w:t>We derived approximately 18% of our net sales from sales outside of the United States in the fiscal year ended July 31, 2010. Our ability to sell our products and conduct our operations outside of the United States is subject to a number of risks. Local economic, political and labor conditions in each country could adversely affect demand for our products or disrupt our operations in these markets, particularly when local political and economic conditions are unstable. In addition, international sales and operations are subject to currency exchange fluctuations, fund transfer restrictions and import/export duties, and international operations are subject to foreign regulatory requirements and issues, including with respect to environmental matters. Any of these matters could result in sudden, and potentially prolonged, changes in demand for our products. Also, we may have difficulty enforcing agreements and coll ecting accounts receivable through a foreign country’s legal system.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product liability claims that are costly and create adverse publicity.</w:t>
      </w:r>
    </w:p>
    <w:p>
      <w:pPr>
        <w:spacing w:after="0" w:line="279"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If any of the products that we sell cause harm to any of our customers or to consumers, we could be exposed to product liability lawsuits. If we are found liable under product liability claims, we could be required to pay substantial monetary damages. Further, even if we successfully defend ourselves against this type of claim, we could be forced to spend a substantial amount of money in litigation expenses, our management could be required to spend valuable time in the defense against these claims and our reputation could suffer, any of which could harm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maintain effective internal control over financial reporting could have a material adverse effect on our business, operating results and stock price.</w:t>
      </w:r>
    </w:p>
    <w:p>
      <w:pPr>
        <w:spacing w:after="0" w:line="314" w:lineRule="exact"/>
        <w:rPr>
          <w:sz w:val="20"/>
          <w:szCs w:val="20"/>
          <w:color w:val="auto"/>
        </w:rPr>
      </w:pPr>
    </w:p>
    <w:p>
      <w:pPr>
        <w:jc w:val="both"/>
        <w:ind w:firstLine="311"/>
        <w:spacing w:after="0" w:line="288" w:lineRule="auto"/>
        <w:rPr>
          <w:sz w:val="20"/>
          <w:szCs w:val="20"/>
          <w:color w:val="auto"/>
        </w:rPr>
      </w:pPr>
      <w:r>
        <w:rPr>
          <w:rFonts w:ascii="Arial" w:cs="Arial" w:eastAsia="Arial" w:hAnsi="Arial"/>
          <w:sz w:val="16"/>
          <w:szCs w:val="16"/>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2010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Accordingly, we cannot assure that we will be able to conclude o n an ongoing basis that we have effective internal control over financial reporting in accordance with Section 404 of the Sarbanes-Oxley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principal stockholders have the ability to control matters requiring a stockholder vote and could delay, deter or prevent a change of control in our company.</w:t>
      </w:r>
    </w:p>
    <w:p>
      <w:pPr>
        <w:spacing w:after="0" w:line="240"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Under our Certificate of Incorporation, the holders of our Common Stock are entitled to one vote per share and the holders of our Class B Stock are entitled to 10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us and thus limit the ability of other stockholders to influence corporate matters. Beneficial ownership of Common Stock and Class B Stock by the Jaffee Investment Partnership, L.P., and its affiliates (including Richard M. Jaffee, our Chairman, and Daniel S. Jaffee, his son and our President and Chief Executive Officer) provides them with the ability to control the election of our Board of Directors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17" w:name="page18"/>
    <w:bookmarkEnd w:id="17"/>
    <w:p>
      <w:pPr>
        <w:jc w:val="both"/>
        <w:spacing w:after="0" w:line="268"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240"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We are a “controlled company” under the New York Stock Exchange Corporate Governance Standards. As a controlled company, we may rely on exemptions from certain NYSE corporate governance requirements that otherwise would be applicable, including the requirements:</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that a majority of the board of directors consists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Arial" w:cs="Arial" w:eastAsia="Arial" w:hAnsi="Arial"/>
          <w:sz w:val="18"/>
          <w:szCs w:val="18"/>
          <w:color w:val="auto"/>
        </w:rPr>
        <w:t>that we have a nominating and governance committee composed entirely of independent directors with a written charter addressing the committee’s purpose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Arial" w:cs="Arial" w:eastAsia="Arial" w:hAnsi="Arial"/>
          <w:sz w:val="18"/>
          <w:szCs w:val="18"/>
          <w:color w:val="auto"/>
        </w:rPr>
        <w:t>that we have a compensation committee composed entirely of independent directors with a written charter addressing the committee’s purpose and responsibilities;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that we conduct an annual performance evaluation of the nominating and corporate governance and compensation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have previously relied on these exemptions, and we intend to continue to rely on them in the future. As a result, you may not have the same benefits and information available to stockholders of NYSE-listed companies that are subject to all of the NYSE corporate governance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7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8"/>
          <w:szCs w:val="18"/>
          <w:color w:val="auto"/>
        </w:rPr>
        <w:t>In recent periods, there has been volatility in the market price for our Common Stock. Furthermore, the market price of our Common Stock could fluctuate substantially in the future in response to a number of factors, including the following:</w:t>
      </w:r>
    </w:p>
    <w:p>
      <w:pPr>
        <w:spacing w:after="0" w:line="145" w:lineRule="exact"/>
        <w:rPr>
          <w:sz w:val="20"/>
          <w:szCs w:val="20"/>
          <w:color w:val="auto"/>
        </w:rPr>
      </w:pPr>
    </w:p>
    <w:p>
      <w:pPr>
        <w:ind w:left="540" w:right="4640"/>
        <w:spacing w:after="0" w:line="286" w:lineRule="auto"/>
        <w:rPr>
          <w:sz w:val="20"/>
          <w:szCs w:val="20"/>
          <w:color w:val="auto"/>
        </w:rPr>
      </w:pPr>
      <w:r>
        <w:rPr>
          <w:rFonts w:ascii="Arial" w:cs="Arial" w:eastAsia="Arial" w:hAnsi="Arial"/>
          <w:sz w:val="16"/>
          <w:szCs w:val="16"/>
          <w:color w:val="auto"/>
        </w:rPr>
        <w:t>fluctuations in our quarterly operating results or the operating results of our competitors; changes in general conditions in the economy, the financial markets, or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-96520</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500"/>
        <w:spacing w:after="0" w:line="250" w:lineRule="auto"/>
        <w:rPr>
          <w:sz w:val="20"/>
          <w:szCs w:val="20"/>
          <w:color w:val="auto"/>
        </w:rPr>
      </w:pPr>
      <w:r>
        <w:rPr>
          <w:rFonts w:ascii="Arial" w:cs="Arial" w:eastAsia="Arial" w:hAnsi="Arial"/>
          <w:sz w:val="18"/>
          <w:szCs w:val="18"/>
          <w:color w:val="auto"/>
        </w:rPr>
        <w:t>announcements of significant acquisitions, strategic alliances or joint ventures by us, our customers or our competitors; introduction of new products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-95885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increases in the price of energy sources and other raw materials;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other developments affecting us, our industry, customers or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effect on the market prices of securities issued by many companies for reasons unrelated to their operating performance. These broad market fluctuations may materially adversely affect our Common Stock price, regardless of our operating results. Given its relatively small public float and average daily trading volume, our Common Stock may be relatively more susceptible to volatility arising from any of these factors. There can be no assurance that the price of our Common Stock will increase in the future or be maintained at its recent levels.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depress its market price.</w:t>
      </w:r>
    </w:p>
    <w:p>
      <w:pPr>
        <w:spacing w:after="0" w:line="279"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8"/>
        </w:trPr>
        <w:tc>
          <w:tcPr>
            <w:tcW w:w="3880" w:type="dxa"/>
            <w:vAlign w:val="bottom"/>
          </w:tcPr>
          <w:p>
            <w:pPr>
              <w:spacing w:after="0"/>
              <w:rPr>
                <w:sz w:val="20"/>
                <w:szCs w:val="20"/>
                <w:color w:val="auto"/>
              </w:rPr>
            </w:pPr>
            <w:r>
              <w:rPr>
                <w:rFonts w:ascii="Arial" w:cs="Arial" w:eastAsia="Arial" w:hAnsi="Arial"/>
                <w:sz w:val="18"/>
                <w:szCs w:val="18"/>
                <w:b w:val="1"/>
                <w:bCs w:val="1"/>
                <w:color w:val="auto"/>
                <w:w w:val="99"/>
              </w:rPr>
              <w:t>ITEM 1B – UNRESOLVED STAFF COMMENTS</w:t>
            </w:r>
          </w:p>
        </w:tc>
        <w:tc>
          <w:tcPr>
            <w:tcW w:w="1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86"/>
        </w:trPr>
        <w:tc>
          <w:tcPr>
            <w:tcW w:w="3880" w:type="dxa"/>
            <w:vAlign w:val="bottom"/>
          </w:tcPr>
          <w:p>
            <w:pPr>
              <w:ind w:left="280"/>
              <w:spacing w:after="0"/>
              <w:rPr>
                <w:sz w:val="20"/>
                <w:szCs w:val="20"/>
                <w:color w:val="auto"/>
              </w:rPr>
            </w:pPr>
            <w:r>
              <w:rPr>
                <w:rFonts w:ascii="Arial" w:cs="Arial" w:eastAsia="Arial" w:hAnsi="Arial"/>
                <w:sz w:val="18"/>
                <w:szCs w:val="18"/>
                <w:color w:val="auto"/>
              </w:rPr>
              <w:t>None.</w:t>
            </w: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9"/>
        </w:trPr>
        <w:tc>
          <w:tcPr>
            <w:tcW w:w="3880" w:type="dxa"/>
            <w:vAlign w:val="bottom"/>
          </w:tcPr>
          <w:p>
            <w:pPr>
              <w:spacing w:after="0"/>
              <w:rPr>
                <w:sz w:val="20"/>
                <w:szCs w:val="20"/>
                <w:color w:val="auto"/>
              </w:rPr>
            </w:pPr>
            <w:r>
              <w:rPr>
                <w:rFonts w:ascii="Arial" w:cs="Arial" w:eastAsia="Arial" w:hAnsi="Arial"/>
                <w:sz w:val="18"/>
                <w:szCs w:val="18"/>
                <w:b w:val="1"/>
                <w:bCs w:val="1"/>
                <w:color w:val="auto"/>
              </w:rPr>
              <w:t>ITEM 2 – PROPERTIES</w:t>
            </w: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9"/>
        </w:trPr>
        <w:tc>
          <w:tcPr>
            <w:tcW w:w="3880" w:type="dxa"/>
            <w:vAlign w:val="bottom"/>
          </w:tcPr>
          <w:p>
            <w:pPr>
              <w:spacing w:after="0"/>
              <w:rPr>
                <w:sz w:val="24"/>
                <w:szCs w:val="24"/>
                <w:color w:val="auto"/>
              </w:rPr>
            </w:pPr>
          </w:p>
        </w:tc>
        <w:tc>
          <w:tcPr>
            <w:tcW w:w="4280" w:type="dxa"/>
            <w:vAlign w:val="bottom"/>
            <w:gridSpan w:val="4"/>
          </w:tcPr>
          <w:p>
            <w:pPr>
              <w:jc w:val="right"/>
              <w:ind w:right="632"/>
              <w:spacing w:after="0"/>
              <w:rPr>
                <w:sz w:val="20"/>
                <w:szCs w:val="20"/>
                <w:color w:val="auto"/>
              </w:rPr>
            </w:pPr>
            <w:r>
              <w:rPr>
                <w:rFonts w:ascii="Arial" w:cs="Arial" w:eastAsia="Arial" w:hAnsi="Arial"/>
                <w:sz w:val="18"/>
                <w:szCs w:val="18"/>
                <w:b w:val="1"/>
                <w:bCs w:val="1"/>
                <w:color w:val="auto"/>
                <w:w w:val="90"/>
              </w:rPr>
              <w:t>Real Property Holdings and Mineral Reserves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73"/>
        </w:trPr>
        <w:tc>
          <w:tcPr>
            <w:tcW w:w="3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center"/>
              <w:ind w:left="12"/>
              <w:spacing w:after="0"/>
              <w:rPr>
                <w:sz w:val="20"/>
                <w:szCs w:val="20"/>
                <w:color w:val="auto"/>
              </w:rPr>
            </w:pPr>
            <w:r>
              <w:rPr>
                <w:rFonts w:ascii="Arial" w:cs="Arial" w:eastAsia="Arial" w:hAnsi="Arial"/>
                <w:sz w:val="18"/>
                <w:szCs w:val="18"/>
                <w:b w:val="1"/>
                <w:bCs w:val="1"/>
                <w:color w:val="auto"/>
                <w:w w:val="92"/>
              </w:rPr>
              <w:t>Land</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Estimated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Estimated</w:t>
            </w:r>
          </w:p>
        </w:tc>
        <w:tc>
          <w:tcPr>
            <w:tcW w:w="640" w:type="dxa"/>
            <w:vAlign w:val="bottom"/>
          </w:tcPr>
          <w:p>
            <w:pPr>
              <w:spacing w:after="0"/>
              <w:rPr>
                <w:sz w:val="24"/>
                <w:szCs w:val="24"/>
                <w:color w:val="auto"/>
              </w:rPr>
            </w:pPr>
          </w:p>
        </w:tc>
      </w:tr>
      <w:tr>
        <w:trPr>
          <w:trHeight w:val="243"/>
        </w:trPr>
        <w:tc>
          <w:tcPr>
            <w:tcW w:w="38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Land</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Land</w:t>
            </w:r>
          </w:p>
        </w:tc>
        <w:tc>
          <w:tcPr>
            <w:tcW w:w="118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Unpatented</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center"/>
              <w:ind w:right="12"/>
              <w:spacing w:after="0"/>
              <w:rPr>
                <w:sz w:val="20"/>
                <w:szCs w:val="20"/>
                <w:color w:val="auto"/>
              </w:rPr>
            </w:pPr>
            <w:r>
              <w:rPr>
                <w:rFonts w:ascii="Arial" w:cs="Arial" w:eastAsia="Arial" w:hAnsi="Arial"/>
                <w:sz w:val="18"/>
                <w:szCs w:val="18"/>
                <w:b w:val="1"/>
                <w:bCs w:val="1"/>
                <w:color w:val="auto"/>
                <w:w w:val="86"/>
              </w:rPr>
              <w:t>proven</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probable</w:t>
            </w:r>
          </w:p>
        </w:tc>
        <w:tc>
          <w:tcPr>
            <w:tcW w:w="640" w:type="dxa"/>
            <w:vAlign w:val="bottom"/>
          </w:tcPr>
          <w:p>
            <w:pPr>
              <w:spacing w:after="0"/>
              <w:rPr>
                <w:sz w:val="21"/>
                <w:szCs w:val="21"/>
                <w:color w:val="auto"/>
              </w:rPr>
            </w:pPr>
          </w:p>
        </w:tc>
      </w:tr>
      <w:tr>
        <w:trPr>
          <w:trHeight w:val="243"/>
        </w:trPr>
        <w:tc>
          <w:tcPr>
            <w:tcW w:w="38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w w:val="86"/>
              </w:rPr>
              <w:t>Owned</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6"/>
              </w:rPr>
              <w:t>Leased</w:t>
            </w:r>
          </w:p>
        </w:tc>
        <w:tc>
          <w:tcPr>
            <w:tcW w:w="1180" w:type="dxa"/>
            <w:vAlign w:val="bottom"/>
          </w:tcPr>
          <w:p>
            <w:pPr>
              <w:jc w:val="center"/>
              <w:ind w:left="12"/>
              <w:spacing w:after="0"/>
              <w:rPr>
                <w:sz w:val="20"/>
                <w:szCs w:val="20"/>
                <w:color w:val="auto"/>
              </w:rPr>
            </w:pPr>
            <w:r>
              <w:rPr>
                <w:rFonts w:ascii="Arial" w:cs="Arial" w:eastAsia="Arial" w:hAnsi="Arial"/>
                <w:sz w:val="18"/>
                <w:szCs w:val="18"/>
                <w:b w:val="1"/>
                <w:bCs w:val="1"/>
                <w:color w:val="auto"/>
                <w:w w:val="85"/>
              </w:rPr>
              <w:t>claims</w:t>
            </w:r>
          </w:p>
        </w:tc>
        <w:tc>
          <w:tcPr>
            <w:tcW w:w="7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3"/>
              </w:rPr>
              <w:t>reserves</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3"/>
              </w:rPr>
              <w:t>reserves</w:t>
            </w: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r>
      <w:tr>
        <w:trPr>
          <w:trHeight w:val="252"/>
        </w:trPr>
        <w:tc>
          <w:tcPr>
            <w:tcW w:w="3880" w:type="dxa"/>
            <w:vAlign w:val="bottom"/>
            <w:tcBorders>
              <w:bottom w:val="single" w:sz="8" w:color="C0C0C0"/>
            </w:tcBorders>
          </w:tcPr>
          <w:p>
            <w:pPr>
              <w:spacing w:after="0"/>
              <w:rPr>
                <w:sz w:val="21"/>
                <w:szCs w:val="21"/>
                <w:color w:val="auto"/>
              </w:rPr>
            </w:pPr>
          </w:p>
        </w:tc>
        <w:tc>
          <w:tcPr>
            <w:tcW w:w="1840" w:type="dxa"/>
            <w:vAlign w:val="bottom"/>
            <w:tcBorders>
              <w:bottom w:val="single" w:sz="8" w:color="C0C0C0"/>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w w:val="81"/>
              </w:rPr>
              <w:t>(acres)</w:t>
            </w:r>
          </w:p>
        </w:tc>
        <w:tc>
          <w:tcPr>
            <w:tcW w:w="580" w:type="dxa"/>
            <w:vAlign w:val="bottom"/>
            <w:tcBorders>
              <w:bottom w:val="single" w:sz="8" w:color="auto"/>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(000’s of tons)</w:t>
            </w:r>
          </w:p>
        </w:tc>
        <w:tc>
          <w:tcPr>
            <w:tcW w:w="640" w:type="dxa"/>
            <w:vAlign w:val="bottom"/>
            <w:tcBorders>
              <w:bottom w:val="single" w:sz="8" w:color="auto"/>
            </w:tcBorders>
          </w:tcPr>
          <w:p>
            <w:pPr>
              <w:spacing w:after="0"/>
              <w:rPr>
                <w:sz w:val="21"/>
                <w:szCs w:val="21"/>
                <w:color w:val="auto"/>
              </w:rPr>
            </w:pPr>
          </w:p>
        </w:tc>
      </w:tr>
      <w:tr>
        <w:trPr>
          <w:trHeight w:val="243"/>
        </w:trPr>
        <w:tc>
          <w:tcPr>
            <w:tcW w:w="3880" w:type="dxa"/>
            <w:vAlign w:val="bottom"/>
            <w:shd w:val="clear" w:color="auto" w:fill="C0C0C0"/>
          </w:tcPr>
          <w:p>
            <w:pPr>
              <w:spacing w:after="0"/>
              <w:rPr>
                <w:sz w:val="20"/>
                <w:szCs w:val="20"/>
                <w:color w:val="auto"/>
              </w:rPr>
            </w:pPr>
            <w:r>
              <w:rPr>
                <w:rFonts w:ascii="Arial" w:cs="Arial" w:eastAsia="Arial" w:hAnsi="Arial"/>
                <w:sz w:val="18"/>
                <w:szCs w:val="18"/>
                <w:color w:val="auto"/>
              </w:rPr>
              <w:t>California</w:t>
            </w:r>
          </w:p>
        </w:tc>
        <w:tc>
          <w:tcPr>
            <w:tcW w:w="248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795</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1,030</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1,825</w:t>
            </w:r>
          </w:p>
        </w:tc>
        <w:tc>
          <w:tcPr>
            <w:tcW w:w="1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4,998</w:t>
            </w: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11,226</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16,224</w:t>
            </w:r>
          </w:p>
        </w:tc>
      </w:tr>
      <w:tr>
        <w:trPr>
          <w:trHeight w:val="235"/>
        </w:trPr>
        <w:tc>
          <w:tcPr>
            <w:tcW w:w="3880" w:type="dxa"/>
            <w:vAlign w:val="bottom"/>
          </w:tcPr>
          <w:p>
            <w:pPr>
              <w:spacing w:after="0"/>
              <w:rPr>
                <w:sz w:val="20"/>
                <w:szCs w:val="20"/>
                <w:color w:val="auto"/>
              </w:rPr>
            </w:pPr>
            <w:r>
              <w:rPr>
                <w:rFonts w:ascii="Arial" w:cs="Arial" w:eastAsia="Arial" w:hAnsi="Arial"/>
                <w:sz w:val="18"/>
                <w:szCs w:val="18"/>
                <w:color w:val="auto"/>
              </w:rPr>
              <w:t>Georgia</w:t>
            </w:r>
          </w:p>
        </w:tc>
        <w:tc>
          <w:tcPr>
            <w:tcW w:w="2480" w:type="dxa"/>
            <w:vAlign w:val="bottom"/>
            <w:gridSpan w:val="2"/>
          </w:tcPr>
          <w:p>
            <w:pPr>
              <w:jc w:val="right"/>
              <w:ind w:right="12"/>
              <w:spacing w:after="0"/>
              <w:rPr>
                <w:sz w:val="20"/>
                <w:szCs w:val="20"/>
                <w:color w:val="auto"/>
              </w:rPr>
            </w:pPr>
            <w:r>
              <w:rPr>
                <w:rFonts w:ascii="Arial" w:cs="Arial" w:eastAsia="Arial" w:hAnsi="Arial"/>
                <w:sz w:val="18"/>
                <w:szCs w:val="18"/>
                <w:color w:val="auto"/>
              </w:rPr>
              <w:t>3,526</w:t>
            </w:r>
          </w:p>
        </w:tc>
        <w:tc>
          <w:tcPr>
            <w:tcW w:w="620" w:type="dxa"/>
            <w:vAlign w:val="bottom"/>
          </w:tcPr>
          <w:p>
            <w:pPr>
              <w:jc w:val="right"/>
              <w:spacing w:after="0"/>
              <w:rPr>
                <w:sz w:val="20"/>
                <w:szCs w:val="20"/>
                <w:color w:val="auto"/>
              </w:rPr>
            </w:pPr>
            <w:r>
              <w:rPr>
                <w:rFonts w:ascii="Arial" w:cs="Arial" w:eastAsia="Arial" w:hAnsi="Arial"/>
                <w:sz w:val="18"/>
                <w:szCs w:val="18"/>
                <w:color w:val="auto"/>
              </w:rPr>
              <w:t>1,840</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5,366</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33,129</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27,939</w:t>
            </w:r>
          </w:p>
        </w:tc>
        <w:tc>
          <w:tcPr>
            <w:tcW w:w="640" w:type="dxa"/>
            <w:vAlign w:val="bottom"/>
          </w:tcPr>
          <w:p>
            <w:pPr>
              <w:jc w:val="right"/>
              <w:spacing w:after="0"/>
              <w:rPr>
                <w:sz w:val="20"/>
                <w:szCs w:val="20"/>
                <w:color w:val="auto"/>
              </w:rPr>
            </w:pPr>
            <w:r>
              <w:rPr>
                <w:rFonts w:ascii="Arial" w:cs="Arial" w:eastAsia="Arial" w:hAnsi="Arial"/>
                <w:sz w:val="18"/>
                <w:szCs w:val="18"/>
                <w:color w:val="auto"/>
              </w:rPr>
              <w:t>61,068</w:t>
            </w:r>
          </w:p>
        </w:tc>
      </w:tr>
      <w:tr>
        <w:trPr>
          <w:trHeight w:val="251"/>
        </w:trPr>
        <w:tc>
          <w:tcPr>
            <w:tcW w:w="3880" w:type="dxa"/>
            <w:vAlign w:val="bottom"/>
            <w:shd w:val="clear" w:color="auto" w:fill="C0C0C0"/>
          </w:tcPr>
          <w:p>
            <w:pPr>
              <w:spacing w:after="0"/>
              <w:rPr>
                <w:sz w:val="20"/>
                <w:szCs w:val="20"/>
                <w:color w:val="auto"/>
              </w:rPr>
            </w:pPr>
            <w:r>
              <w:rPr>
                <w:rFonts w:ascii="Arial" w:cs="Arial" w:eastAsia="Arial" w:hAnsi="Arial"/>
                <w:sz w:val="18"/>
                <w:szCs w:val="18"/>
                <w:color w:val="auto"/>
              </w:rPr>
              <w:t>Illinois</w:t>
            </w:r>
          </w:p>
        </w:tc>
        <w:tc>
          <w:tcPr>
            <w:tcW w:w="248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82</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598</w:t>
            </w:r>
          </w:p>
        </w:tc>
        <w:tc>
          <w:tcPr>
            <w:tcW w:w="11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680</w:t>
            </w:r>
          </w:p>
        </w:tc>
        <w:tc>
          <w:tcPr>
            <w:tcW w:w="1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5,064</w:t>
            </w: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6,150</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11,214</w:t>
            </w:r>
          </w:p>
        </w:tc>
      </w:tr>
      <w:tr>
        <w:trPr>
          <w:trHeight w:val="235"/>
        </w:trPr>
        <w:tc>
          <w:tcPr>
            <w:tcW w:w="3880" w:type="dxa"/>
            <w:vAlign w:val="bottom"/>
          </w:tcPr>
          <w:p>
            <w:pPr>
              <w:spacing w:after="0"/>
              <w:rPr>
                <w:sz w:val="20"/>
                <w:szCs w:val="20"/>
                <w:color w:val="auto"/>
              </w:rPr>
            </w:pPr>
            <w:r>
              <w:rPr>
                <w:rFonts w:ascii="Arial" w:cs="Arial" w:eastAsia="Arial" w:hAnsi="Arial"/>
                <w:sz w:val="18"/>
                <w:szCs w:val="18"/>
                <w:color w:val="auto"/>
              </w:rPr>
              <w:t>Mississippi</w:t>
            </w:r>
          </w:p>
        </w:tc>
        <w:tc>
          <w:tcPr>
            <w:tcW w:w="2480" w:type="dxa"/>
            <w:vAlign w:val="bottom"/>
            <w:gridSpan w:val="2"/>
          </w:tcPr>
          <w:p>
            <w:pPr>
              <w:jc w:val="right"/>
              <w:ind w:right="12"/>
              <w:spacing w:after="0"/>
              <w:rPr>
                <w:sz w:val="20"/>
                <w:szCs w:val="20"/>
                <w:color w:val="auto"/>
              </w:rPr>
            </w:pPr>
            <w:r>
              <w:rPr>
                <w:rFonts w:ascii="Arial" w:cs="Arial" w:eastAsia="Arial" w:hAnsi="Arial"/>
                <w:sz w:val="18"/>
                <w:szCs w:val="18"/>
                <w:color w:val="auto"/>
              </w:rPr>
              <w:t>2,182</w:t>
            </w:r>
          </w:p>
        </w:tc>
        <w:tc>
          <w:tcPr>
            <w:tcW w:w="620" w:type="dxa"/>
            <w:vAlign w:val="bottom"/>
          </w:tcPr>
          <w:p>
            <w:pPr>
              <w:jc w:val="right"/>
              <w:spacing w:after="0"/>
              <w:rPr>
                <w:sz w:val="20"/>
                <w:szCs w:val="20"/>
                <w:color w:val="auto"/>
              </w:rPr>
            </w:pPr>
            <w:r>
              <w:rPr>
                <w:rFonts w:ascii="Arial" w:cs="Arial" w:eastAsia="Arial" w:hAnsi="Arial"/>
                <w:sz w:val="18"/>
                <w:szCs w:val="18"/>
                <w:color w:val="auto"/>
              </w:rPr>
              <w:t>978</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3,160</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86,596</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97,633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184,229</w:t>
            </w:r>
          </w:p>
        </w:tc>
      </w:tr>
      <w:tr>
        <w:trPr>
          <w:trHeight w:val="251"/>
        </w:trPr>
        <w:tc>
          <w:tcPr>
            <w:tcW w:w="3880" w:type="dxa"/>
            <w:vAlign w:val="bottom"/>
            <w:shd w:val="clear" w:color="auto" w:fill="C0C0C0"/>
          </w:tcPr>
          <w:p>
            <w:pPr>
              <w:spacing w:after="0"/>
              <w:rPr>
                <w:sz w:val="20"/>
                <w:szCs w:val="20"/>
                <w:color w:val="auto"/>
              </w:rPr>
            </w:pPr>
            <w:r>
              <w:rPr>
                <w:rFonts w:ascii="Arial" w:cs="Arial" w:eastAsia="Arial" w:hAnsi="Arial"/>
                <w:sz w:val="18"/>
                <w:szCs w:val="18"/>
                <w:color w:val="auto"/>
              </w:rPr>
              <w:t>Nevada</w:t>
            </w:r>
          </w:p>
        </w:tc>
        <w:tc>
          <w:tcPr>
            <w:tcW w:w="248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535</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23,316</w:t>
            </w: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2,976</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26,292</w:t>
            </w:r>
          </w:p>
        </w:tc>
      </w:tr>
      <w:tr>
        <w:trPr>
          <w:trHeight w:val="235"/>
        </w:trPr>
        <w:tc>
          <w:tcPr>
            <w:tcW w:w="3880" w:type="dxa"/>
            <w:vAlign w:val="bottom"/>
          </w:tcPr>
          <w:p>
            <w:pPr>
              <w:spacing w:after="0"/>
              <w:rPr>
                <w:sz w:val="20"/>
                <w:szCs w:val="20"/>
                <w:color w:val="auto"/>
              </w:rPr>
            </w:pPr>
            <w:r>
              <w:rPr>
                <w:rFonts w:ascii="Arial" w:cs="Arial" w:eastAsia="Arial" w:hAnsi="Arial"/>
                <w:sz w:val="18"/>
                <w:szCs w:val="18"/>
                <w:color w:val="auto"/>
              </w:rPr>
              <w:t>Oregon</w:t>
            </w:r>
          </w:p>
        </w:tc>
        <w:tc>
          <w:tcPr>
            <w:tcW w:w="2480" w:type="dxa"/>
            <w:vAlign w:val="bottom"/>
            <w:gridSpan w:val="2"/>
          </w:tcPr>
          <w:p>
            <w:pPr>
              <w:jc w:val="right"/>
              <w:ind w:right="12"/>
              <w:spacing w:after="0"/>
              <w:rPr>
                <w:sz w:val="20"/>
                <w:szCs w:val="20"/>
                <w:color w:val="auto"/>
              </w:rPr>
            </w:pPr>
            <w:r>
              <w:rPr>
                <w:rFonts w:ascii="Arial" w:cs="Arial" w:eastAsia="Arial" w:hAnsi="Arial"/>
                <w:sz w:val="18"/>
                <w:szCs w:val="18"/>
                <w:color w:val="auto"/>
              </w:rPr>
              <w:t>340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44"/>
        </w:trPr>
        <w:tc>
          <w:tcPr>
            <w:tcW w:w="3880" w:type="dxa"/>
            <w:vAlign w:val="bottom"/>
            <w:shd w:val="clear" w:color="auto" w:fill="C0C0C0"/>
          </w:tcPr>
          <w:p>
            <w:pPr>
              <w:spacing w:after="0"/>
              <w:rPr>
                <w:sz w:val="20"/>
                <w:szCs w:val="20"/>
                <w:color w:val="auto"/>
              </w:rPr>
            </w:pPr>
            <w:r>
              <w:rPr>
                <w:rFonts w:ascii="Arial" w:cs="Arial" w:eastAsia="Arial" w:hAnsi="Arial"/>
                <w:sz w:val="18"/>
                <w:szCs w:val="18"/>
                <w:color w:val="auto"/>
              </w:rPr>
              <w:t>Tennessee</w:t>
            </w:r>
          </w:p>
        </w:tc>
        <w:tc>
          <w:tcPr>
            <w:tcW w:w="1840" w:type="dxa"/>
            <w:vAlign w:val="bottom"/>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178</w:t>
            </w: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3,000</w:t>
            </w:r>
          </w:p>
        </w:tc>
        <w:tc>
          <w:tcPr>
            <w:tcW w:w="10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3,000</w:t>
            </w: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6,000</w:t>
            </w:r>
          </w:p>
        </w:tc>
      </w:tr>
      <w:tr>
        <w:trPr>
          <w:trHeight w:val="250"/>
        </w:trPr>
        <w:tc>
          <w:tcPr>
            <w:tcW w:w="38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7,638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18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156,103</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148,949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305,052</w:t>
            </w:r>
          </w:p>
        </w:tc>
      </w:tr>
    </w:tbl>
    <w:p>
      <w:pPr>
        <w:spacing w:after="0" w:line="262"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6"/>
          <w:szCs w:val="16"/>
          <w:color w:val="auto"/>
        </w:rPr>
        <w:t>The Mississippi, Georgia, Tennessee, Nevada, California and Illinois properties are primarily mineral in nature, except our research and development facility which is included in the Illinois owned land. The table above includes additional land we acquired in Georgia during fiscal 2010, which increased our real property holdings and mineral reserves. We mine sorbent minerals primarily consisting of montmorillonite, attapulgite or diatomite. We employ geologists and mineral specialists who prepared the estimated reserves of these minerals in the table above. See also Item 1 “Business” above for further information on our reserves. The locations in the table above collectively produced approximately 863,000 tons in fiscal year 2010, 943,000 tons in fiscal year 2009 and 995,000 tons in fiscal year 2008. Parcels of such land are also sites of manufacturing facilities operated by us. We own approximately one acre of land in Laval, Quebec, Canada, which is the site of the processing and packaging facility for our Canadian subsidiary</w:t>
      </w:r>
      <w:r>
        <w:rPr>
          <w:rFonts w:ascii="Arial" w:cs="Arial" w:eastAsia="Arial" w:hAnsi="Arial"/>
          <w:sz w:val="16"/>
          <w:szCs w:val="16"/>
          <w:b w:val="1"/>
          <w:bCs w:val="1"/>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3"/>
          <w:szCs w:val="13"/>
          <w:b w:val="1"/>
          <w:bCs w:val="1"/>
          <w:color w:val="auto"/>
        </w:rPr>
        <w:t>INING</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ROPERTIES</w:t>
      </w:r>
    </w:p>
    <w:p>
      <w:pPr>
        <w:spacing w:after="0" w:line="285"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6"/>
          <w:szCs w:val="16"/>
          <w:color w:val="auto"/>
        </w:rPr>
        <w:t>Our mining operations are conducted on leased or owned land. The Georgia, Illinois and Mississippi mining leases generally require that we pay a minimum monthly rental to continue the lease term. The rental payments are generally applied against a stated royalty related to the number of unprocessed, or in some cases processed, tons of mineral extracted from the leased property. Many of our mining leases have no stated expiration dates. Some of our Georgia and Mississippi leases, however, do have expiration dates ranging from 2015 to 2053.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 See also Item 1 “Business” above for further information on our reserves.</w:t>
      </w:r>
    </w:p>
    <w:p>
      <w:pPr>
        <w:spacing w:after="0" w:line="226"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3"/>
          <w:szCs w:val="13"/>
          <w:b w:val="1"/>
          <w:bCs w:val="1"/>
          <w:color w:val="auto"/>
        </w:rPr>
        <w:t>INING AND</w:t>
      </w:r>
      <w:r>
        <w:rPr>
          <w:rFonts w:ascii="Arial" w:cs="Arial" w:eastAsia="Arial" w:hAnsi="Arial"/>
          <w:sz w:val="18"/>
          <w:szCs w:val="18"/>
          <w:b w:val="1"/>
          <w:bCs w:val="1"/>
          <w:color w:val="auto"/>
        </w:rPr>
        <w:t xml:space="preserve"> M</w:t>
      </w:r>
      <w:r>
        <w:rPr>
          <w:rFonts w:ascii="Arial" w:cs="Arial" w:eastAsia="Arial" w:hAnsi="Arial"/>
          <w:sz w:val="13"/>
          <w:szCs w:val="13"/>
          <w:b w:val="1"/>
          <w:bCs w:val="1"/>
          <w:color w:val="auto"/>
        </w:rPr>
        <w:t>ANUFACTURING</w:t>
      </w:r>
      <w:r>
        <w:rPr>
          <w:rFonts w:ascii="Arial" w:cs="Arial" w:eastAsia="Arial" w:hAnsi="Arial"/>
          <w:sz w:val="18"/>
          <w:szCs w:val="18"/>
          <w:b w:val="1"/>
          <w:bCs w:val="1"/>
          <w:color w:val="auto"/>
        </w:rPr>
        <w:t xml:space="preserve"> M</w:t>
      </w:r>
      <w:r>
        <w:rPr>
          <w:rFonts w:ascii="Arial" w:cs="Arial" w:eastAsia="Arial" w:hAnsi="Arial"/>
          <w:sz w:val="13"/>
          <w:szCs w:val="13"/>
          <w:b w:val="1"/>
          <w:bCs w:val="1"/>
          <w:color w:val="auto"/>
        </w:rPr>
        <w:t>ETHODS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 and Hauling</w:t>
      </w:r>
    </w:p>
    <w:p>
      <w:pPr>
        <w:spacing w:after="0" w:line="279"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We mine sorbent minerals (which we refer to generally as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13 miles.</w:t>
      </w:r>
    </w:p>
    <w:p>
      <w:pPr>
        <w:spacing w:after="0" w:line="22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At our California mines the clay is excavated and hauled to a hopper. An initial crushing and screening operation is performed at the mine site before the trucks are loaded for delivery to the processing plant.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Processing</w:t>
      </w:r>
    </w:p>
    <w:p>
      <w:pPr>
        <w:spacing w:after="0" w:line="279" w:lineRule="exact"/>
        <w:rPr>
          <w:sz w:val="20"/>
          <w:szCs w:val="20"/>
          <w:color w:val="auto"/>
        </w:rPr>
      </w:pPr>
    </w:p>
    <w:p>
      <w:pPr>
        <w:jc w:val="both"/>
        <w:ind w:firstLine="297"/>
        <w:spacing w:after="0" w:line="268" w:lineRule="auto"/>
        <w:rPr>
          <w:sz w:val="20"/>
          <w:szCs w:val="20"/>
          <w:color w:val="auto"/>
        </w:rPr>
      </w:pPr>
      <w:r>
        <w:rPr>
          <w:rFonts w:ascii="Arial" w:cs="Arial" w:eastAsia="Arial" w:hAnsi="Arial"/>
          <w:sz w:val="18"/>
          <w:szCs w:val="18"/>
          <w:color w:val="auto"/>
        </w:rPr>
        <w:t>The processing of our clay varies depending on the level of moisture desired in the clay after the drying process. The moisture level is referred to as regular volatile moisture (“RVM”) or low volatile moisture (“LVM”)</w:t>
      </w:r>
    </w:p>
    <w:p>
      <w:pPr>
        <w:spacing w:after="0" w:line="240"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6"/>
          <w:szCs w:val="16"/>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224"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8"/>
          <w:szCs w:val="18"/>
          <w:color w:val="auto"/>
        </w:rPr>
        <w:t>LVM Clay: RVM clay is fed from storage tanks into the LVM kiln where the moisture content is further reduced. The clay then proceeds into a rotary cooler, then on to a screening circuit which separates the clay into the desired particle sizes.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Packaging</w:t>
      </w:r>
    </w:p>
    <w:p>
      <w:pPr>
        <w:spacing w:after="0" w:line="27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Once the clay has been dried to the desired level and sized the clay will be packaged. Our products have package sizes ranging from bags and jugs of cat litter to railcars of agricultural products. We also package some of our products into bulk (approximately one ton) bags and into bulk trucks. The size and delivery configuration of the finished product is determined by customer requirements.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3"/>
          <w:szCs w:val="13"/>
          <w:b w:val="1"/>
          <w:bCs w:val="1"/>
          <w:color w:val="auto"/>
        </w:rPr>
        <w:t>ACILITIES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operate manufacturing facilities on property owned or leased by us as shown on the map below:</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Plant Site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169545</wp:posOffset>
            </wp:positionV>
            <wp:extent cx="4202430" cy="40563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02430" cy="405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Facilities</w:t>
            </w:r>
          </w:p>
        </w:tc>
      </w:tr>
      <w:tr>
        <w:trPr>
          <w:trHeight w:val="237"/>
        </w:trPr>
        <w:tc>
          <w:tcPr>
            <w:tcW w:w="2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17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w w:val="94"/>
              </w:rPr>
              <w:t>Owned/Leased</w:t>
            </w:r>
          </w:p>
        </w:tc>
        <w:tc>
          <w:tcPr>
            <w:tcW w:w="71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Function</w:t>
            </w:r>
          </w:p>
        </w:tc>
      </w:tr>
      <w:tr>
        <w:trPr>
          <w:trHeight w:val="243"/>
        </w:trPr>
        <w:tc>
          <w:tcPr>
            <w:tcW w:w="20" w:type="dxa"/>
            <w:vAlign w:val="bottom"/>
          </w:tcPr>
          <w:p>
            <w:pPr>
              <w:spacing w:after="0"/>
              <w:rPr>
                <w:sz w:val="21"/>
                <w:szCs w:val="21"/>
                <w:color w:val="auto"/>
              </w:rPr>
            </w:pPr>
          </w:p>
        </w:tc>
        <w:tc>
          <w:tcPr>
            <w:tcW w:w="2480" w:type="dxa"/>
            <w:vAlign w:val="bottom"/>
            <w:shd w:val="clear" w:color="auto" w:fill="C0C0C0"/>
          </w:tcPr>
          <w:p>
            <w:pPr>
              <w:spacing w:after="0"/>
              <w:rPr>
                <w:sz w:val="20"/>
                <w:szCs w:val="20"/>
                <w:color w:val="auto"/>
              </w:rPr>
            </w:pPr>
            <w:r>
              <w:rPr>
                <w:rFonts w:ascii="Arial" w:cs="Arial" w:eastAsia="Arial" w:hAnsi="Arial"/>
                <w:sz w:val="18"/>
                <w:szCs w:val="18"/>
                <w:color w:val="auto"/>
              </w:rPr>
              <w:t>Alpharetta, Georgia</w:t>
            </w:r>
          </w:p>
        </w:tc>
        <w:tc>
          <w:tcPr>
            <w:tcW w:w="1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Leased</w:t>
            </w:r>
          </w:p>
        </w:tc>
        <w:tc>
          <w:tcPr>
            <w:tcW w:w="71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Non-clay processing and packaging</w:t>
            </w:r>
          </w:p>
        </w:tc>
      </w:tr>
      <w:tr>
        <w:trPr>
          <w:trHeight w:val="235"/>
        </w:trPr>
        <w:tc>
          <w:tcPr>
            <w:tcW w:w="2500" w:type="dxa"/>
            <w:vAlign w:val="bottom"/>
            <w:gridSpan w:val="2"/>
          </w:tcPr>
          <w:p>
            <w:pPr>
              <w:spacing w:after="0"/>
              <w:rPr>
                <w:sz w:val="20"/>
                <w:szCs w:val="20"/>
                <w:color w:val="auto"/>
              </w:rPr>
            </w:pPr>
            <w:r>
              <w:rPr>
                <w:rFonts w:ascii="Arial" w:cs="Arial" w:eastAsia="Arial" w:hAnsi="Arial"/>
                <w:sz w:val="18"/>
                <w:szCs w:val="18"/>
                <w:color w:val="auto"/>
              </w:rPr>
              <w:t>Blue Mountain, Mississippi</w:t>
            </w:r>
          </w:p>
        </w:tc>
        <w:tc>
          <w:tcPr>
            <w:tcW w:w="1760" w:type="dxa"/>
            <w:vAlign w:val="bottom"/>
          </w:tcPr>
          <w:p>
            <w:pPr>
              <w:ind w:left="540"/>
              <w:spacing w:after="0"/>
              <w:rPr>
                <w:sz w:val="20"/>
                <w:szCs w:val="20"/>
                <w:color w:val="auto"/>
              </w:rPr>
            </w:pPr>
            <w:r>
              <w:rPr>
                <w:rFonts w:ascii="Arial" w:cs="Arial" w:eastAsia="Arial" w:hAnsi="Arial"/>
                <w:sz w:val="18"/>
                <w:szCs w:val="18"/>
                <w:color w:val="auto"/>
              </w:rPr>
              <w:t>Both</w:t>
            </w:r>
          </w:p>
        </w:tc>
        <w:tc>
          <w:tcPr>
            <w:tcW w:w="7160" w:type="dxa"/>
            <w:vAlign w:val="bottom"/>
          </w:tcPr>
          <w:p>
            <w:pPr>
              <w:ind w:left="100"/>
              <w:spacing w:after="0"/>
              <w:rPr>
                <w:sz w:val="20"/>
                <w:szCs w:val="20"/>
                <w:color w:val="auto"/>
              </w:rPr>
            </w:pPr>
            <w:r>
              <w:rPr>
                <w:rFonts w:ascii="Arial" w:cs="Arial" w:eastAsia="Arial" w:hAnsi="Arial"/>
                <w:sz w:val="18"/>
                <w:szCs w:val="18"/>
                <w:color w:val="auto"/>
              </w:rPr>
              <w:t>Clay mining, manufacturing and packaging</w:t>
            </w:r>
          </w:p>
        </w:tc>
      </w:tr>
      <w:tr>
        <w:trPr>
          <w:trHeight w:val="251"/>
        </w:trPr>
        <w:tc>
          <w:tcPr>
            <w:tcW w:w="20" w:type="dxa"/>
            <w:vAlign w:val="bottom"/>
          </w:tcPr>
          <w:p>
            <w:pPr>
              <w:spacing w:after="0"/>
              <w:rPr>
                <w:sz w:val="21"/>
                <w:szCs w:val="21"/>
                <w:color w:val="auto"/>
              </w:rPr>
            </w:pPr>
          </w:p>
        </w:tc>
        <w:tc>
          <w:tcPr>
            <w:tcW w:w="2480" w:type="dxa"/>
            <w:vAlign w:val="bottom"/>
            <w:shd w:val="clear" w:color="auto" w:fill="C0C0C0"/>
          </w:tcPr>
          <w:p>
            <w:pPr>
              <w:spacing w:after="0"/>
              <w:rPr>
                <w:sz w:val="20"/>
                <w:szCs w:val="20"/>
                <w:color w:val="auto"/>
              </w:rPr>
            </w:pPr>
            <w:r>
              <w:rPr>
                <w:rFonts w:ascii="Arial" w:cs="Arial" w:eastAsia="Arial" w:hAnsi="Arial"/>
                <w:sz w:val="18"/>
                <w:szCs w:val="18"/>
                <w:color w:val="auto"/>
              </w:rPr>
              <w:t>Chicago, Illinois</w:t>
            </w:r>
          </w:p>
        </w:tc>
        <w:tc>
          <w:tcPr>
            <w:tcW w:w="1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Leased</w:t>
            </w:r>
          </w:p>
        </w:tc>
        <w:tc>
          <w:tcPr>
            <w:tcW w:w="71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Principal executive office</w:t>
            </w:r>
          </w:p>
        </w:tc>
      </w:tr>
      <w:tr>
        <w:trPr>
          <w:trHeight w:val="235"/>
        </w:trPr>
        <w:tc>
          <w:tcPr>
            <w:tcW w:w="2500" w:type="dxa"/>
            <w:vAlign w:val="bottom"/>
            <w:gridSpan w:val="2"/>
          </w:tcPr>
          <w:p>
            <w:pPr>
              <w:spacing w:after="0"/>
              <w:rPr>
                <w:sz w:val="20"/>
                <w:szCs w:val="20"/>
                <w:color w:val="auto"/>
              </w:rPr>
            </w:pPr>
            <w:r>
              <w:rPr>
                <w:rFonts w:ascii="Arial" w:cs="Arial" w:eastAsia="Arial" w:hAnsi="Arial"/>
                <w:sz w:val="18"/>
                <w:szCs w:val="18"/>
                <w:color w:val="auto"/>
              </w:rPr>
              <w:t>Mounds, Illinois</w:t>
            </w:r>
          </w:p>
        </w:tc>
        <w:tc>
          <w:tcPr>
            <w:tcW w:w="1760" w:type="dxa"/>
            <w:vAlign w:val="bottom"/>
          </w:tcPr>
          <w:p>
            <w:pPr>
              <w:ind w:left="540"/>
              <w:spacing w:after="0"/>
              <w:rPr>
                <w:sz w:val="20"/>
                <w:szCs w:val="20"/>
                <w:color w:val="auto"/>
              </w:rPr>
            </w:pPr>
            <w:r>
              <w:rPr>
                <w:rFonts w:ascii="Arial" w:cs="Arial" w:eastAsia="Arial" w:hAnsi="Arial"/>
                <w:sz w:val="18"/>
                <w:szCs w:val="18"/>
                <w:color w:val="auto"/>
              </w:rPr>
              <w:t>Owned</w:t>
            </w:r>
          </w:p>
        </w:tc>
        <w:tc>
          <w:tcPr>
            <w:tcW w:w="7160" w:type="dxa"/>
            <w:vAlign w:val="bottom"/>
          </w:tcPr>
          <w:p>
            <w:pPr>
              <w:ind w:left="100"/>
              <w:spacing w:after="0"/>
              <w:rPr>
                <w:sz w:val="20"/>
                <w:szCs w:val="20"/>
                <w:color w:val="auto"/>
              </w:rPr>
            </w:pPr>
            <w:r>
              <w:rPr>
                <w:rFonts w:ascii="Arial" w:cs="Arial" w:eastAsia="Arial" w:hAnsi="Arial"/>
                <w:sz w:val="18"/>
                <w:szCs w:val="18"/>
                <w:color w:val="auto"/>
              </w:rPr>
              <w:t>Clay mining, manufacturing and packaging</w:t>
            </w:r>
          </w:p>
        </w:tc>
      </w:tr>
      <w:tr>
        <w:trPr>
          <w:trHeight w:val="251"/>
        </w:trPr>
        <w:tc>
          <w:tcPr>
            <w:tcW w:w="20" w:type="dxa"/>
            <w:vAlign w:val="bottom"/>
          </w:tcPr>
          <w:p>
            <w:pPr>
              <w:spacing w:after="0"/>
              <w:rPr>
                <w:sz w:val="21"/>
                <w:szCs w:val="21"/>
                <w:color w:val="auto"/>
              </w:rPr>
            </w:pPr>
          </w:p>
        </w:tc>
        <w:tc>
          <w:tcPr>
            <w:tcW w:w="2480" w:type="dxa"/>
            <w:vAlign w:val="bottom"/>
            <w:shd w:val="clear" w:color="auto" w:fill="C0C0C0"/>
          </w:tcPr>
          <w:p>
            <w:pPr>
              <w:spacing w:after="0"/>
              <w:rPr>
                <w:sz w:val="20"/>
                <w:szCs w:val="20"/>
                <w:color w:val="auto"/>
              </w:rPr>
            </w:pPr>
            <w:r>
              <w:rPr>
                <w:rFonts w:ascii="Arial" w:cs="Arial" w:eastAsia="Arial" w:hAnsi="Arial"/>
                <w:sz w:val="18"/>
                <w:szCs w:val="18"/>
                <w:color w:val="auto"/>
              </w:rPr>
              <w:t>Coppet, Switzerland</w:t>
            </w:r>
          </w:p>
        </w:tc>
        <w:tc>
          <w:tcPr>
            <w:tcW w:w="1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Leased</w:t>
            </w:r>
          </w:p>
        </w:tc>
        <w:tc>
          <w:tcPr>
            <w:tcW w:w="71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Customer service office</w:t>
            </w:r>
          </w:p>
        </w:tc>
      </w:tr>
      <w:tr>
        <w:trPr>
          <w:trHeight w:val="235"/>
        </w:trPr>
        <w:tc>
          <w:tcPr>
            <w:tcW w:w="2500" w:type="dxa"/>
            <w:vAlign w:val="bottom"/>
            <w:gridSpan w:val="2"/>
          </w:tcPr>
          <w:p>
            <w:pPr>
              <w:spacing w:after="0"/>
              <w:rPr>
                <w:sz w:val="20"/>
                <w:szCs w:val="20"/>
                <w:color w:val="auto"/>
              </w:rPr>
            </w:pPr>
            <w:r>
              <w:rPr>
                <w:rFonts w:ascii="Arial" w:cs="Arial" w:eastAsia="Arial" w:hAnsi="Arial"/>
                <w:sz w:val="18"/>
                <w:szCs w:val="18"/>
                <w:color w:val="auto"/>
              </w:rPr>
              <w:t>Laval, Quebec, Canada</w:t>
            </w:r>
          </w:p>
        </w:tc>
        <w:tc>
          <w:tcPr>
            <w:tcW w:w="1760" w:type="dxa"/>
            <w:vAlign w:val="bottom"/>
          </w:tcPr>
          <w:p>
            <w:pPr>
              <w:ind w:left="540"/>
              <w:spacing w:after="0"/>
              <w:rPr>
                <w:sz w:val="20"/>
                <w:szCs w:val="20"/>
                <w:color w:val="auto"/>
              </w:rPr>
            </w:pPr>
            <w:r>
              <w:rPr>
                <w:rFonts w:ascii="Arial" w:cs="Arial" w:eastAsia="Arial" w:hAnsi="Arial"/>
                <w:sz w:val="18"/>
                <w:szCs w:val="18"/>
                <w:color w:val="auto"/>
              </w:rPr>
              <w:t>Owned</w:t>
            </w:r>
          </w:p>
        </w:tc>
        <w:tc>
          <w:tcPr>
            <w:tcW w:w="7160" w:type="dxa"/>
            <w:vAlign w:val="bottom"/>
          </w:tcPr>
          <w:p>
            <w:pPr>
              <w:ind w:left="100"/>
              <w:spacing w:after="0"/>
              <w:rPr>
                <w:sz w:val="20"/>
                <w:szCs w:val="20"/>
                <w:color w:val="auto"/>
              </w:rPr>
            </w:pPr>
            <w:r>
              <w:rPr>
                <w:rFonts w:ascii="Arial" w:cs="Arial" w:eastAsia="Arial" w:hAnsi="Arial"/>
                <w:sz w:val="18"/>
                <w:szCs w:val="18"/>
                <w:color w:val="auto"/>
              </w:rPr>
              <w:t>Non-clay production and clay and non-clay packaging</w:t>
            </w:r>
          </w:p>
        </w:tc>
      </w:tr>
      <w:tr>
        <w:trPr>
          <w:trHeight w:val="251"/>
        </w:trPr>
        <w:tc>
          <w:tcPr>
            <w:tcW w:w="20" w:type="dxa"/>
            <w:vAlign w:val="bottom"/>
          </w:tcPr>
          <w:p>
            <w:pPr>
              <w:spacing w:after="0"/>
              <w:rPr>
                <w:sz w:val="21"/>
                <w:szCs w:val="21"/>
                <w:color w:val="auto"/>
              </w:rPr>
            </w:pPr>
          </w:p>
        </w:tc>
        <w:tc>
          <w:tcPr>
            <w:tcW w:w="2480" w:type="dxa"/>
            <w:vAlign w:val="bottom"/>
            <w:shd w:val="clear" w:color="auto" w:fill="C0C0C0"/>
          </w:tcPr>
          <w:p>
            <w:pPr>
              <w:spacing w:after="0"/>
              <w:rPr>
                <w:sz w:val="20"/>
                <w:szCs w:val="20"/>
                <w:color w:val="auto"/>
              </w:rPr>
            </w:pPr>
            <w:r>
              <w:rPr>
                <w:rFonts w:ascii="Arial" w:cs="Arial" w:eastAsia="Arial" w:hAnsi="Arial"/>
                <w:sz w:val="18"/>
                <w:szCs w:val="18"/>
                <w:color w:val="auto"/>
              </w:rPr>
              <w:t>Ochlocknee, Georgia</w:t>
            </w:r>
          </w:p>
        </w:tc>
        <w:tc>
          <w:tcPr>
            <w:tcW w:w="1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Owned</w:t>
            </w:r>
          </w:p>
        </w:tc>
        <w:tc>
          <w:tcPr>
            <w:tcW w:w="71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Clay mining, manufacturing and packaging</w:t>
            </w:r>
          </w:p>
        </w:tc>
      </w:tr>
      <w:tr>
        <w:trPr>
          <w:trHeight w:val="235"/>
        </w:trPr>
        <w:tc>
          <w:tcPr>
            <w:tcW w:w="2500" w:type="dxa"/>
            <w:vAlign w:val="bottom"/>
            <w:gridSpan w:val="2"/>
          </w:tcPr>
          <w:p>
            <w:pPr>
              <w:spacing w:after="0"/>
              <w:rPr>
                <w:sz w:val="20"/>
                <w:szCs w:val="20"/>
                <w:color w:val="auto"/>
              </w:rPr>
            </w:pPr>
            <w:r>
              <w:rPr>
                <w:rFonts w:ascii="Arial" w:cs="Arial" w:eastAsia="Arial" w:hAnsi="Arial"/>
                <w:sz w:val="18"/>
                <w:szCs w:val="18"/>
                <w:color w:val="auto"/>
              </w:rPr>
              <w:t>Ripley, Mississippi</w:t>
            </w:r>
          </w:p>
        </w:tc>
        <w:tc>
          <w:tcPr>
            <w:tcW w:w="1760" w:type="dxa"/>
            <w:vAlign w:val="bottom"/>
          </w:tcPr>
          <w:p>
            <w:pPr>
              <w:ind w:left="540"/>
              <w:spacing w:after="0"/>
              <w:rPr>
                <w:sz w:val="20"/>
                <w:szCs w:val="20"/>
                <w:color w:val="auto"/>
              </w:rPr>
            </w:pPr>
            <w:r>
              <w:rPr>
                <w:rFonts w:ascii="Arial" w:cs="Arial" w:eastAsia="Arial" w:hAnsi="Arial"/>
                <w:sz w:val="18"/>
                <w:szCs w:val="18"/>
                <w:color w:val="auto"/>
              </w:rPr>
              <w:t>Owned</w:t>
            </w:r>
          </w:p>
        </w:tc>
        <w:tc>
          <w:tcPr>
            <w:tcW w:w="7160" w:type="dxa"/>
            <w:vAlign w:val="bottom"/>
          </w:tcPr>
          <w:p>
            <w:pPr>
              <w:ind w:left="100"/>
              <w:spacing w:after="0"/>
              <w:rPr>
                <w:sz w:val="20"/>
                <w:szCs w:val="20"/>
                <w:color w:val="auto"/>
              </w:rPr>
            </w:pPr>
            <w:r>
              <w:rPr>
                <w:rFonts w:ascii="Arial" w:cs="Arial" w:eastAsia="Arial" w:hAnsi="Arial"/>
                <w:sz w:val="18"/>
                <w:szCs w:val="18"/>
                <w:color w:val="auto"/>
              </w:rPr>
              <w:t>Clay mining, manufacturing and packaging</w:t>
            </w:r>
          </w:p>
        </w:tc>
      </w:tr>
      <w:tr>
        <w:trPr>
          <w:trHeight w:val="251"/>
        </w:trPr>
        <w:tc>
          <w:tcPr>
            <w:tcW w:w="20" w:type="dxa"/>
            <w:vAlign w:val="bottom"/>
          </w:tcPr>
          <w:p>
            <w:pPr>
              <w:spacing w:after="0"/>
              <w:rPr>
                <w:sz w:val="21"/>
                <w:szCs w:val="21"/>
                <w:color w:val="auto"/>
              </w:rPr>
            </w:pPr>
          </w:p>
        </w:tc>
        <w:tc>
          <w:tcPr>
            <w:tcW w:w="2480" w:type="dxa"/>
            <w:vAlign w:val="bottom"/>
            <w:shd w:val="clear" w:color="auto" w:fill="C0C0C0"/>
          </w:tcPr>
          <w:p>
            <w:pPr>
              <w:spacing w:after="0"/>
              <w:rPr>
                <w:sz w:val="20"/>
                <w:szCs w:val="20"/>
                <w:color w:val="auto"/>
              </w:rPr>
            </w:pPr>
            <w:r>
              <w:rPr>
                <w:rFonts w:ascii="Arial" w:cs="Arial" w:eastAsia="Arial" w:hAnsi="Arial"/>
                <w:sz w:val="18"/>
                <w:szCs w:val="18"/>
                <w:color w:val="auto"/>
              </w:rPr>
              <w:t>Taft, California</w:t>
            </w:r>
          </w:p>
        </w:tc>
        <w:tc>
          <w:tcPr>
            <w:tcW w:w="1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Owned</w:t>
            </w:r>
          </w:p>
        </w:tc>
        <w:tc>
          <w:tcPr>
            <w:tcW w:w="71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Clay mining, manufacturing and packaging</w:t>
            </w:r>
          </w:p>
        </w:tc>
      </w:tr>
      <w:tr>
        <w:trPr>
          <w:trHeight w:val="235"/>
        </w:trPr>
        <w:tc>
          <w:tcPr>
            <w:tcW w:w="2500" w:type="dxa"/>
            <w:vAlign w:val="bottom"/>
            <w:gridSpan w:val="2"/>
          </w:tcPr>
          <w:p>
            <w:pPr>
              <w:spacing w:after="0"/>
              <w:rPr>
                <w:sz w:val="20"/>
                <w:szCs w:val="20"/>
                <w:color w:val="auto"/>
              </w:rPr>
            </w:pPr>
            <w:r>
              <w:rPr>
                <w:rFonts w:ascii="Arial" w:cs="Arial" w:eastAsia="Arial" w:hAnsi="Arial"/>
                <w:sz w:val="18"/>
                <w:szCs w:val="18"/>
                <w:color w:val="auto"/>
              </w:rPr>
              <w:t>Vernon Hills, Illinois</w:t>
            </w:r>
          </w:p>
        </w:tc>
        <w:tc>
          <w:tcPr>
            <w:tcW w:w="1760" w:type="dxa"/>
            <w:vAlign w:val="bottom"/>
          </w:tcPr>
          <w:p>
            <w:pPr>
              <w:ind w:left="540"/>
              <w:spacing w:after="0"/>
              <w:rPr>
                <w:sz w:val="20"/>
                <w:szCs w:val="20"/>
                <w:color w:val="auto"/>
              </w:rPr>
            </w:pPr>
            <w:r>
              <w:rPr>
                <w:rFonts w:ascii="Arial" w:cs="Arial" w:eastAsia="Arial" w:hAnsi="Arial"/>
                <w:sz w:val="18"/>
                <w:szCs w:val="18"/>
                <w:color w:val="auto"/>
              </w:rPr>
              <w:t>Owned</w:t>
            </w:r>
          </w:p>
        </w:tc>
        <w:tc>
          <w:tcPr>
            <w:tcW w:w="716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r>
      <w:tr>
        <w:trPr>
          <w:trHeight w:val="251"/>
        </w:trPr>
        <w:tc>
          <w:tcPr>
            <w:tcW w:w="20" w:type="dxa"/>
            <w:vAlign w:val="bottom"/>
          </w:tcPr>
          <w:p>
            <w:pPr>
              <w:spacing w:after="0"/>
              <w:rPr>
                <w:sz w:val="21"/>
                <w:szCs w:val="21"/>
                <w:color w:val="auto"/>
              </w:rPr>
            </w:pPr>
          </w:p>
        </w:tc>
        <w:tc>
          <w:tcPr>
            <w:tcW w:w="2480" w:type="dxa"/>
            <w:vAlign w:val="bottom"/>
            <w:shd w:val="clear" w:color="auto" w:fill="C0C0C0"/>
          </w:tcPr>
          <w:p>
            <w:pPr>
              <w:spacing w:after="0"/>
              <w:rPr>
                <w:sz w:val="20"/>
                <w:szCs w:val="20"/>
                <w:color w:val="auto"/>
              </w:rPr>
            </w:pPr>
            <w:r>
              <w:rPr>
                <w:rFonts w:ascii="Arial" w:cs="Arial" w:eastAsia="Arial" w:hAnsi="Arial"/>
                <w:sz w:val="18"/>
                <w:szCs w:val="18"/>
                <w:color w:val="auto"/>
              </w:rPr>
              <w:t>Wisbech, United Kingdom</w:t>
            </w:r>
          </w:p>
        </w:tc>
        <w:tc>
          <w:tcPr>
            <w:tcW w:w="1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Leased</w:t>
            </w:r>
          </w:p>
        </w:tc>
        <w:tc>
          <w:tcPr>
            <w:tcW w:w="71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Non-clay production and clay and non-clay packaging</w:t>
            </w:r>
          </w:p>
        </w:tc>
      </w:tr>
    </w:tbl>
    <w:p>
      <w:pPr>
        <w:spacing w:after="0" w:line="262"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6"/>
          <w:szCs w:val="16"/>
          <w:color w:val="auto"/>
        </w:rPr>
        <w:t>We have no mortgages on the real property we own. The lease for the Alpharetta, Georgia facility expires in 2013. The lease for the Chicago, Illinois corporate office space expires in 2018. The lease for the Wisbech, United Kingdom facility expires in 2032. The lease for the Coppet, Switzerland office is on a year-to-year basis. We consider that our properties are generally in good condition, are well maintained and are suitable and adequate to carry on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 LEGAL PROCEEDINGS</w:t>
      </w:r>
    </w:p>
    <w:p>
      <w:pPr>
        <w:spacing w:after="0" w:line="28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or other lawsuits, we believe that none of the pending proceedings will have a material adverse effect on our business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[RESERVED]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234"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Our Common Stock is traded on the NYSE under the symbol ODC. There is no established trading market for our Class B Stock. The number of holders of record of Common Stock and Class B Stock on September 30, 2010 were 700 and 31, respectively, as reported by our transfer agent. There are no shares of Class A Common Stock currently outstanding. In the last three years, we have not sold any securities which were not registered under the Securities Act of 1933.</w:t>
      </w:r>
    </w:p>
    <w:p>
      <w:pPr>
        <w:spacing w:after="0" w:line="215"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sales price for the Common Stock on the NYSE and dividends per share paid on the Common Stock and Class B Stock.</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Common Stock</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4"/>
          </w:tcPr>
          <w:p>
            <w:pPr>
              <w:jc w:val="right"/>
              <w:ind w:right="112"/>
              <w:spacing w:after="0"/>
              <w:rPr>
                <w:sz w:val="20"/>
                <w:szCs w:val="20"/>
                <w:color w:val="auto"/>
              </w:rPr>
            </w:pPr>
            <w:r>
              <w:rPr>
                <w:rFonts w:ascii="Arial" w:cs="Arial" w:eastAsia="Arial" w:hAnsi="Arial"/>
                <w:sz w:val="18"/>
                <w:szCs w:val="18"/>
                <w:b w:val="1"/>
                <w:bCs w:val="1"/>
                <w:color w:val="auto"/>
                <w:w w:val="91"/>
              </w:rPr>
              <w:t>Cash Dividends</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3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8"/>
                <w:szCs w:val="18"/>
                <w:b w:val="1"/>
                <w:bCs w:val="1"/>
                <w:color w:val="auto"/>
              </w:rPr>
              <w:t>Price Range</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Class B</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Common</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Common</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300" w:type="dxa"/>
            <w:vAlign w:val="bottom"/>
            <w:tcBorders>
              <w:bottom w:val="single" w:sz="8" w:color="C0C0C0"/>
            </w:tcBorders>
          </w:tcPr>
          <w:p>
            <w:pPr>
              <w:spacing w:after="0"/>
              <w:rPr>
                <w:sz w:val="21"/>
                <w:szCs w:val="21"/>
                <w:color w:val="auto"/>
              </w:rPr>
            </w:pPr>
          </w:p>
        </w:tc>
        <w:tc>
          <w:tcPr>
            <w:tcW w:w="2900" w:type="dxa"/>
            <w:vAlign w:val="bottom"/>
            <w:tcBorders>
              <w:bottom w:val="single" w:sz="8" w:color="C0C0C0"/>
            </w:tcBorders>
          </w:tcPr>
          <w:p>
            <w:pPr>
              <w:spacing w:after="0"/>
              <w:rPr>
                <w:sz w:val="21"/>
                <w:szCs w:val="21"/>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Low</w:t>
            </w:r>
          </w:p>
        </w:tc>
        <w:tc>
          <w:tcPr>
            <w:tcW w:w="1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4"/>
              </w:rPr>
              <w:t>High</w:t>
            </w:r>
          </w:p>
        </w:tc>
        <w:tc>
          <w:tcPr>
            <w:tcW w:w="18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Stock</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Fiscal 2010:</w:t>
            </w:r>
          </w:p>
        </w:tc>
        <w:tc>
          <w:tcPr>
            <w:tcW w:w="290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$14.05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17.40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0.1500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0.1125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Second Quarter</w:t>
            </w:r>
          </w:p>
        </w:tc>
        <w:tc>
          <w:tcPr>
            <w:tcW w:w="3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14.75</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16.54</w:t>
            </w: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0.1500</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0.1125</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15.10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0.1500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0.1125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Fourth Quarter</w:t>
            </w:r>
          </w:p>
        </w:tc>
        <w:tc>
          <w:tcPr>
            <w:tcW w:w="3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18.50</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23.53</w:t>
            </w:r>
          </w:p>
        </w:tc>
        <w:tc>
          <w:tcPr>
            <w:tcW w:w="1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8"/>
              </w:rPr>
              <w:t>0.1600</w:t>
            </w:r>
          </w:p>
        </w:tc>
        <w:tc>
          <w:tcPr>
            <w:tcW w:w="1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0.1200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tcPr>
          <w:p>
            <w:pPr>
              <w:ind w:left="600"/>
              <w:spacing w:after="0"/>
              <w:rPr>
                <w:sz w:val="20"/>
                <w:szCs w:val="20"/>
                <w:color w:val="auto"/>
              </w:rPr>
            </w:pPr>
            <w:r>
              <w:rPr>
                <w:rFonts w:ascii="Arial" w:cs="Arial" w:eastAsia="Arial" w:hAnsi="Arial"/>
                <w:sz w:val="18"/>
                <w:szCs w:val="18"/>
                <w:color w:val="auto"/>
              </w:rPr>
              <w:t>Total</w:t>
            </w:r>
          </w:p>
        </w:tc>
        <w:tc>
          <w:tcPr>
            <w:tcW w:w="2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0.6100</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0.4575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3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Fiscal 2009</w:t>
            </w:r>
          </w:p>
        </w:tc>
        <w:tc>
          <w:tcPr>
            <w:tcW w:w="290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$10.19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18.50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0.1400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0.1050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Second Quarter</w:t>
            </w:r>
          </w:p>
        </w:tc>
        <w:tc>
          <w:tcPr>
            <w:tcW w:w="3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19.00</w:t>
            </w: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0.1400</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0.1050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12.85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0.1400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0.1050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Fourth Quarter</w:t>
            </w:r>
          </w:p>
        </w:tc>
        <w:tc>
          <w:tcPr>
            <w:tcW w:w="3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13.78</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19.20</w:t>
            </w:r>
          </w:p>
        </w:tc>
        <w:tc>
          <w:tcPr>
            <w:tcW w:w="1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8"/>
              </w:rPr>
              <w:t>0.1500</w:t>
            </w:r>
          </w:p>
        </w:tc>
        <w:tc>
          <w:tcPr>
            <w:tcW w:w="1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0.1125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tcPr>
          <w:p>
            <w:pPr>
              <w:ind w:left="600"/>
              <w:spacing w:after="0"/>
              <w:rPr>
                <w:sz w:val="20"/>
                <w:szCs w:val="20"/>
                <w:color w:val="auto"/>
              </w:rPr>
            </w:pPr>
            <w:r>
              <w:rPr>
                <w:rFonts w:ascii="Arial" w:cs="Arial" w:eastAsia="Arial" w:hAnsi="Arial"/>
                <w:sz w:val="18"/>
                <w:szCs w:val="18"/>
                <w:color w:val="auto"/>
              </w:rPr>
              <w:t>Total</w:t>
            </w:r>
          </w:p>
        </w:tc>
        <w:tc>
          <w:tcPr>
            <w:tcW w:w="2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0.5700</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0.4275</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 Our Board of Directors determines the timing and amount of any dividends. The declaration and payment of future dividends, if any, will depend,</w:t>
      </w:r>
      <w:r>
        <w:rPr>
          <w:rFonts w:ascii="Arial" w:cs="Arial" w:eastAsia="Arial" w:hAnsi="Arial"/>
          <w:sz w:val="16"/>
          <w:szCs w:val="16"/>
          <w:b w:val="1"/>
          <w:bCs w:val="1"/>
          <w:color w:val="auto"/>
        </w:rPr>
        <w:t xml:space="preserve"> </w:t>
      </w:r>
      <w:r>
        <w:rPr>
          <w:rFonts w:ascii="Arial" w:cs="Arial" w:eastAsia="Arial" w:hAnsi="Arial"/>
          <w:sz w:val="16"/>
          <w:szCs w:val="16"/>
          <w:color w:val="auto"/>
        </w:rPr>
        <w:t>among other things, upon our future earnings, capital requirements, financial condition, legal requirements, contractual restrictions and other factors that our board of directors deems relevant. Our 1998 Note Agreement with Prudential Financial, our Credit Agreement with Harris N.A. and our 2005 Note Agreement with The Prudential Insurance Company of America and Prudential Retirement Insurance and Annuity Company require that certain minimum net worth and tangible net worth levels are to be maintained. To the extent that these balances are not attained, our ability to pay dividends may be impaired. See Note 4 of the Notes to the Consolidated Financial Statements. Our Board of Directors may change its dividend practice at any time.</w:t>
      </w:r>
    </w:p>
    <w:p>
      <w:pPr>
        <w:spacing w:after="0" w:line="219"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b w:val="1"/>
          <w:bCs w:val="1"/>
          <w:color w:val="auto"/>
        </w:rPr>
        <w:t xml:space="preserve">Issuer Repurchase of Equity Securities. </w:t>
      </w:r>
      <w:r>
        <w:rPr>
          <w:rFonts w:ascii="Arial" w:cs="Arial" w:eastAsia="Arial" w:hAnsi="Arial"/>
          <w:sz w:val="18"/>
          <w:szCs w:val="18"/>
          <w:color w:val="auto"/>
        </w:rPr>
        <w:t>On October 10, 2005, our Board of Directors authorized the repurchase of up to 500,000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with repurchases to be made from time to time in the discretion of our management and in accordance with applicable laws, rules and regulations. On March 11, 2010, our Board of Directors authorized the repurchase of an additional 250,000 shares of Common Stock. These authorizations do not have a stated expiration date. We do not have any current authorization from our Board of Directors to repurchase shares of Class B Stock, and no shares of Class A Common Stock are currently outstanding.</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3" w:name="page24"/>
    <w:bookmarkEnd w:id="23"/>
    <w:p>
      <w:pPr>
        <w:ind w:left="280"/>
        <w:spacing w:after="0"/>
        <w:rPr>
          <w:sz w:val="20"/>
          <w:szCs w:val="20"/>
          <w:color w:val="auto"/>
        </w:rPr>
      </w:pPr>
      <w:r>
        <w:rPr>
          <w:rFonts w:ascii="Arial" w:cs="Arial" w:eastAsia="Arial" w:hAnsi="Arial"/>
          <w:sz w:val="18"/>
          <w:szCs w:val="18"/>
          <w:color w:val="auto"/>
        </w:rPr>
        <w:t>The following chart summarizes Common Stock repurchases during the three months ended July 31, 2010.</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ISSUER PURCHASES OF EQUITY SECURITIES</w:t>
      </w:r>
      <w:r>
        <w:rPr>
          <w:rFonts w:ascii="Arial" w:cs="Arial" w:eastAsia="Arial" w:hAnsi="Arial"/>
          <w:sz w:val="24"/>
          <w:szCs w:val="24"/>
          <w:b w:val="1"/>
          <w:bCs w:val="1"/>
          <w:u w:val="single" w:color="auto"/>
          <w:color w:val="auto"/>
          <w:vertAlign w:val="superscript"/>
        </w:rPr>
        <w:t>1</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484"/>
        </w:trPr>
        <w:tc>
          <w:tcPr>
            <w:tcW w:w="2320" w:type="dxa"/>
            <w:vAlign w:val="bottom"/>
            <w:tcBorders>
              <w:top w:val="single" w:sz="8" w:color="auto"/>
              <w:left w:val="single" w:sz="8" w:color="auto"/>
              <w:right w:val="single" w:sz="8" w:color="auto"/>
            </w:tcBorders>
          </w:tcPr>
          <w:p>
            <w:pPr>
              <w:spacing w:after="0"/>
              <w:rPr>
                <w:sz w:val="24"/>
                <w:szCs w:val="24"/>
                <w:color w:val="auto"/>
              </w:rPr>
            </w:pPr>
          </w:p>
        </w:tc>
        <w:tc>
          <w:tcPr>
            <w:tcW w:w="1840" w:type="dxa"/>
            <w:vAlign w:val="bottom"/>
            <w:tcBorders>
              <w:top w:val="single" w:sz="8" w:color="auto"/>
              <w:right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spacing w:after="0"/>
              <w:rPr>
                <w:sz w:val="24"/>
                <w:szCs w:val="24"/>
                <w:color w:val="auto"/>
              </w:rPr>
            </w:pP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 Total Number</w:t>
            </w:r>
          </w:p>
        </w:tc>
        <w:tc>
          <w:tcPr>
            <w:tcW w:w="2420" w:type="dxa"/>
            <w:vAlign w:val="bottom"/>
            <w:tcBorders>
              <w:top w:val="single" w:sz="8" w:color="auto"/>
              <w:right w:val="single" w:sz="8" w:color="auto"/>
            </w:tcBorders>
          </w:tcPr>
          <w:p>
            <w:pPr>
              <w:spacing w:after="0"/>
              <w:rPr>
                <w:sz w:val="24"/>
                <w:szCs w:val="24"/>
                <w:color w:val="auto"/>
              </w:rPr>
            </w:pPr>
          </w:p>
        </w:tc>
      </w:tr>
      <w:tr>
        <w:trPr>
          <w:trHeight w:val="243"/>
        </w:trPr>
        <w:tc>
          <w:tcPr>
            <w:tcW w:w="2320" w:type="dxa"/>
            <w:vAlign w:val="bottom"/>
            <w:tcBorders>
              <w:left w:val="single" w:sz="8" w:color="auto"/>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1740" w:type="dxa"/>
            <w:vAlign w:val="bottom"/>
            <w:tcBorders>
              <w:right w:val="single" w:sz="8" w:color="auto"/>
            </w:tcBorders>
          </w:tcPr>
          <w:p>
            <w:pPr>
              <w:spacing w:after="0"/>
              <w:rPr>
                <w:sz w:val="21"/>
                <w:szCs w:val="21"/>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 Maximum</w:t>
            </w:r>
          </w:p>
        </w:tc>
      </w:tr>
      <w:tr>
        <w:trPr>
          <w:trHeight w:val="243"/>
        </w:trPr>
        <w:tc>
          <w:tcPr>
            <w:tcW w:w="2320" w:type="dxa"/>
            <w:vAlign w:val="bottom"/>
            <w:tcBorders>
              <w:left w:val="single" w:sz="8" w:color="auto"/>
              <w:right w:val="single" w:sz="8" w:color="auto"/>
            </w:tcBorders>
          </w:tcPr>
          <w:p>
            <w:pPr>
              <w:spacing w:after="0"/>
              <w:rPr>
                <w:sz w:val="21"/>
                <w:szCs w:val="21"/>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 Total</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(b)</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 as Part</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Number of Shares</w:t>
            </w:r>
          </w:p>
        </w:tc>
      </w:tr>
      <w:tr>
        <w:trPr>
          <w:trHeight w:val="243"/>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 the Three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Average</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of Publicly</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that may yet be</w:t>
            </w:r>
          </w:p>
        </w:tc>
      </w:tr>
      <w:tr>
        <w:trPr>
          <w:trHeight w:val="243"/>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Months Ended</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Price Paid</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Announced Plans</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Purchased Under</w:t>
            </w:r>
          </w:p>
        </w:tc>
      </w:tr>
      <w:tr>
        <w:trPr>
          <w:trHeight w:val="266"/>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July 31, 2010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 Share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or Programs</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Plans or Programs</w:t>
            </w:r>
            <w:r>
              <w:rPr>
                <w:rFonts w:ascii="Arial" w:cs="Arial" w:eastAsia="Arial" w:hAnsi="Arial"/>
                <w:sz w:val="12"/>
                <w:szCs w:val="12"/>
                <w:b w:val="1"/>
                <w:bCs w:val="1"/>
                <w:color w:val="auto"/>
                <w:w w:val="87"/>
              </w:rPr>
              <w:t>2</w:t>
            </w:r>
          </w:p>
        </w:tc>
      </w:tr>
      <w:tr>
        <w:trPr>
          <w:trHeight w:val="471"/>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May 1, 2010 to</w:t>
            </w:r>
          </w:p>
        </w:tc>
        <w:tc>
          <w:tcPr>
            <w:tcW w:w="184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r>
      <w:tr>
        <w:trPr>
          <w:trHeight w:val="243"/>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May 31, 2010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35,086</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$20.99</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35,086</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375,028</w:t>
            </w:r>
          </w:p>
        </w:tc>
      </w:tr>
      <w:tr>
        <w:trPr>
          <w:trHeight w:val="259"/>
        </w:trPr>
        <w:tc>
          <w:tcPr>
            <w:tcW w:w="2320" w:type="dxa"/>
            <w:vAlign w:val="bottom"/>
            <w:tcBorders>
              <w:left w:val="single" w:sz="8" w:color="auto"/>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spacing w:after="0"/>
              <w:rPr>
                <w:sz w:val="22"/>
                <w:szCs w:val="22"/>
                <w:color w:val="auto"/>
              </w:rPr>
            </w:pPr>
          </w:p>
        </w:tc>
        <w:tc>
          <w:tcPr>
            <w:tcW w:w="2420" w:type="dxa"/>
            <w:vAlign w:val="bottom"/>
            <w:tcBorders>
              <w:bottom w:val="single" w:sz="8" w:color="auto"/>
              <w:right w:val="single" w:sz="8" w:color="auto"/>
            </w:tcBorders>
          </w:tcPr>
          <w:p>
            <w:pPr>
              <w:spacing w:after="0"/>
              <w:rPr>
                <w:sz w:val="22"/>
                <w:szCs w:val="22"/>
                <w:color w:val="auto"/>
              </w:rPr>
            </w:pPr>
          </w:p>
        </w:tc>
      </w:tr>
      <w:tr>
        <w:trPr>
          <w:trHeight w:val="464"/>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June 1, 2010 to</w:t>
            </w:r>
          </w:p>
        </w:tc>
        <w:tc>
          <w:tcPr>
            <w:tcW w:w="184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r>
      <w:tr>
        <w:trPr>
          <w:trHeight w:val="243"/>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June 30, 2010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55,416</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$22.63</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55,416</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319,612</w:t>
            </w:r>
          </w:p>
        </w:tc>
      </w:tr>
      <w:tr>
        <w:trPr>
          <w:trHeight w:val="259"/>
        </w:trPr>
        <w:tc>
          <w:tcPr>
            <w:tcW w:w="2320" w:type="dxa"/>
            <w:vAlign w:val="bottom"/>
            <w:tcBorders>
              <w:left w:val="single" w:sz="8" w:color="auto"/>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spacing w:after="0"/>
              <w:rPr>
                <w:sz w:val="22"/>
                <w:szCs w:val="22"/>
                <w:color w:val="auto"/>
              </w:rPr>
            </w:pPr>
          </w:p>
        </w:tc>
        <w:tc>
          <w:tcPr>
            <w:tcW w:w="2420" w:type="dxa"/>
            <w:vAlign w:val="bottom"/>
            <w:tcBorders>
              <w:bottom w:val="single" w:sz="8" w:color="auto"/>
              <w:right w:val="single" w:sz="8" w:color="auto"/>
            </w:tcBorders>
          </w:tcPr>
          <w:p>
            <w:pPr>
              <w:spacing w:after="0"/>
              <w:rPr>
                <w:sz w:val="22"/>
                <w:szCs w:val="22"/>
                <w:color w:val="auto"/>
              </w:rPr>
            </w:pPr>
          </w:p>
        </w:tc>
      </w:tr>
      <w:tr>
        <w:trPr>
          <w:trHeight w:val="464"/>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July 1, 2010 to</w:t>
            </w:r>
          </w:p>
        </w:tc>
        <w:tc>
          <w:tcPr>
            <w:tcW w:w="184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r>
      <w:tr>
        <w:trPr>
          <w:trHeight w:val="243"/>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July 31, 2010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85,612</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$23.00</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85,612</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234,000</w:t>
            </w:r>
          </w:p>
        </w:tc>
      </w:tr>
      <w:tr>
        <w:trPr>
          <w:trHeight w:val="259"/>
        </w:trPr>
        <w:tc>
          <w:tcPr>
            <w:tcW w:w="2320" w:type="dxa"/>
            <w:vAlign w:val="bottom"/>
            <w:tcBorders>
              <w:left w:val="single" w:sz="8" w:color="auto"/>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spacing w:after="0"/>
              <w:rPr>
                <w:sz w:val="22"/>
                <w:szCs w:val="22"/>
                <w:color w:val="auto"/>
              </w:rPr>
            </w:pPr>
          </w:p>
        </w:tc>
        <w:tc>
          <w:tcPr>
            <w:tcW w:w="2420" w:type="dxa"/>
            <w:vAlign w:val="bottom"/>
            <w:tcBorders>
              <w:bottom w:val="single" w:sz="8" w:color="auto"/>
              <w:right w:val="single" w:sz="8" w:color="auto"/>
            </w:tcBorders>
          </w:tcPr>
          <w:p>
            <w:pPr>
              <w:spacing w:after="0"/>
              <w:rPr>
                <w:sz w:val="22"/>
                <w:szCs w:val="22"/>
                <w:color w:val="auto"/>
              </w:rPr>
            </w:pPr>
          </w:p>
        </w:tc>
      </w:tr>
    </w:tbl>
    <w:p>
      <w:pPr>
        <w:spacing w:after="0" w:line="262" w:lineRule="exact"/>
        <w:rPr>
          <w:sz w:val="20"/>
          <w:szCs w:val="20"/>
          <w:color w:val="auto"/>
        </w:rPr>
      </w:pPr>
    </w:p>
    <w:p>
      <w:pPr>
        <w:jc w:val="both"/>
        <w:ind w:firstLine="278"/>
        <w:spacing w:after="0" w:line="235" w:lineRule="auto"/>
        <w:tabs>
          <w:tab w:leader="none" w:pos="376" w:val="left"/>
        </w:tabs>
        <w:numPr>
          <w:ilvl w:val="0"/>
          <w:numId w:val="2"/>
        </w:numPr>
        <w:rPr>
          <w:rFonts w:ascii="Arial" w:cs="Arial" w:eastAsia="Arial" w:hAnsi="Arial"/>
          <w:sz w:val="24"/>
          <w:szCs w:val="24"/>
          <w:color w:val="auto"/>
          <w:vertAlign w:val="superscript"/>
        </w:rPr>
      </w:pPr>
      <w:r>
        <w:rPr>
          <w:rFonts w:ascii="Arial" w:cs="Arial" w:eastAsia="Arial" w:hAnsi="Arial"/>
          <w:sz w:val="17"/>
          <w:szCs w:val="17"/>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Note 7 of the Notes to the Consolidated Financial Statements.</w:t>
      </w:r>
    </w:p>
    <w:p>
      <w:pPr>
        <w:spacing w:after="0" w:line="265" w:lineRule="exact"/>
        <w:rPr>
          <w:sz w:val="20"/>
          <w:szCs w:val="20"/>
          <w:color w:val="auto"/>
        </w:rPr>
      </w:pPr>
    </w:p>
    <w:p>
      <w:pPr>
        <w:ind w:firstLine="292"/>
        <w:spacing w:after="0" w:line="212" w:lineRule="auto"/>
        <w:tabs>
          <w:tab w:leader="none" w:pos="394"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share numbers in this column indicate the number of shares of Common Stock that may yet be repurchased under our Board of Director authorizations described above.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PERFORMANCE GRAPH</w:t>
      </w:r>
    </w:p>
    <w:p>
      <w:pPr>
        <w:spacing w:after="0" w:line="285"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The following graph shows the annual cumulative total stockholders’ return for the five years ending July 31, 2010 on an assumed investment of $100 on July 31, 2005 in our Common Stock, the Russell Microcap Index and the Russell 2000-Material and Processing Economic Sector Index. Our Common Stock is included in the Russell Microcap Index and we consider the Russell 2000-Material and Processing Economic Sector Index to be our peer group. The graph assumes all dividends were reinvested. The historical stock price performance of our Common Stock is not necessarily indicative of future stock performance.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Five-Year Total Returns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Russell Microcap Index , Russell 2000-Materials &amp; Processing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results through 7/31/2010)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13985" cy="2838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140" w:type="dxa"/>
            <w:vAlign w:val="bottom"/>
            <w:tcBorders>
              <w:top w:val="single" w:sz="8" w:color="auto"/>
              <w:left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right w:val="single" w:sz="8" w:color="auto"/>
            </w:tcBorders>
          </w:tcPr>
          <w:p>
            <w:pPr>
              <w:spacing w:after="0"/>
              <w:rPr>
                <w:sz w:val="21"/>
                <w:szCs w:val="21"/>
                <w:color w:val="auto"/>
              </w:rPr>
            </w:pP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2005</w:t>
            </w:r>
          </w:p>
        </w:tc>
        <w:tc>
          <w:tcPr>
            <w:tcW w:w="1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2007</w:t>
            </w:r>
          </w:p>
        </w:tc>
        <w:tc>
          <w:tcPr>
            <w:tcW w:w="3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w w:val="89"/>
              </w:rPr>
              <w:t>2008</w:t>
            </w:r>
          </w:p>
        </w:tc>
        <w:tc>
          <w:tcPr>
            <w:tcW w:w="4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right w:val="single" w:sz="8" w:color="auto"/>
            </w:tcBorders>
          </w:tcPr>
          <w:p>
            <w:pPr>
              <w:jc w:val="right"/>
              <w:ind w:right="372"/>
              <w:spacing w:after="0"/>
              <w:rPr>
                <w:sz w:val="20"/>
                <w:szCs w:val="20"/>
                <w:color w:val="auto"/>
              </w:rPr>
            </w:pPr>
            <w:r>
              <w:rPr>
                <w:rFonts w:ascii="Arial" w:cs="Arial" w:eastAsia="Arial" w:hAnsi="Arial"/>
                <w:sz w:val="18"/>
                <w:szCs w:val="18"/>
                <w:color w:val="auto"/>
                <w:w w:val="84"/>
              </w:rPr>
              <w:t>2009</w:t>
            </w:r>
          </w:p>
        </w:tc>
        <w:tc>
          <w:tcPr>
            <w:tcW w:w="4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right w:val="single" w:sz="8" w:color="auto"/>
            </w:tcBorders>
          </w:tcPr>
          <w:p>
            <w:pPr>
              <w:jc w:val="right"/>
              <w:ind w:right="372"/>
              <w:spacing w:after="0"/>
              <w:rPr>
                <w:sz w:val="20"/>
                <w:szCs w:val="20"/>
                <w:color w:val="auto"/>
              </w:rPr>
            </w:pPr>
            <w:r>
              <w:rPr>
                <w:rFonts w:ascii="Arial" w:cs="Arial" w:eastAsia="Arial" w:hAnsi="Arial"/>
                <w:sz w:val="18"/>
                <w:szCs w:val="18"/>
                <w:color w:val="auto"/>
                <w:w w:val="84"/>
              </w:rPr>
              <w:t>2010</w:t>
            </w:r>
          </w:p>
        </w:tc>
      </w:tr>
      <w:tr>
        <w:trPr>
          <w:trHeight w:val="237"/>
        </w:trPr>
        <w:tc>
          <w:tcPr>
            <w:tcW w:w="31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ODC</w:t>
            </w:r>
          </w:p>
        </w:tc>
        <w:tc>
          <w:tcPr>
            <w:tcW w:w="10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o</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$100.00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$113.62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$121.90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18"/>
                <w:szCs w:val="18"/>
                <w:color w:val="auto"/>
                <w:w w:val="83"/>
              </w:rPr>
              <w:t>129.45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8"/>
                <w:szCs w:val="18"/>
                <w:color w:val="auto"/>
                <w:w w:val="83"/>
              </w:rPr>
              <w:t>122.40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8"/>
                <w:szCs w:val="18"/>
                <w:color w:val="auto"/>
                <w:w w:val="83"/>
              </w:rPr>
              <w:t>176.22</w:t>
            </w:r>
          </w:p>
        </w:tc>
      </w:tr>
      <w:tr>
        <w:trPr>
          <w:trHeight w:val="236"/>
        </w:trPr>
        <w:tc>
          <w:tcPr>
            <w:tcW w:w="31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Russell Microcap</w:t>
            </w:r>
          </w:p>
        </w:tc>
        <w:tc>
          <w:tcPr>
            <w:tcW w:w="10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$100.00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$102.79</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$113.29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18"/>
                <w:szCs w:val="18"/>
                <w:color w:val="auto"/>
              </w:rPr>
              <w:t>95.04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8"/>
                <w:szCs w:val="18"/>
                <w:color w:val="auto"/>
              </w:rPr>
              <w:t>75.34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8"/>
                <w:szCs w:val="18"/>
                <w:color w:val="auto"/>
              </w:rPr>
              <w:t>87.33</w:t>
            </w:r>
          </w:p>
        </w:tc>
      </w:tr>
      <w:tr>
        <w:trPr>
          <w:trHeight w:val="243"/>
        </w:trPr>
        <w:tc>
          <w:tcPr>
            <w:tcW w:w="31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8"/>
              </w:rPr>
              <w:t>Russell 2000-Materials &amp; Processing</w:t>
            </w:r>
          </w:p>
        </w:tc>
        <w:tc>
          <w:tcPr>
            <w:tcW w:w="10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$100.00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$116.98</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$155.24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18"/>
                <w:szCs w:val="18"/>
                <w:color w:val="auto"/>
                <w:w w:val="83"/>
              </w:rPr>
              <w:t>157.54</w:t>
            </w:r>
          </w:p>
        </w:tc>
        <w:tc>
          <w:tcPr>
            <w:tcW w:w="1240" w:type="dxa"/>
            <w:vAlign w:val="bottom"/>
            <w:tcBorders>
              <w:bottom w:val="single" w:sz="8" w:color="auto"/>
              <w:right w:val="single" w:sz="8" w:color="auto"/>
            </w:tcBorders>
            <w:gridSpan w:val="2"/>
          </w:tcPr>
          <w:p>
            <w:pPr>
              <w:jc w:val="right"/>
              <w:ind w:right="252"/>
              <w:spacing w:after="0"/>
              <w:rPr>
                <w:sz w:val="20"/>
                <w:szCs w:val="20"/>
                <w:color w:val="auto"/>
              </w:rPr>
            </w:pPr>
            <w:r>
              <w:rPr>
                <w:rFonts w:ascii="Arial" w:cs="Arial" w:eastAsia="Arial" w:hAnsi="Arial"/>
                <w:sz w:val="18"/>
                <w:szCs w:val="18"/>
                <w:color w:val="auto"/>
              </w:rPr>
              <w:t>$114.44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8"/>
                <w:szCs w:val="18"/>
                <w:color w:val="auto"/>
                <w:w w:val="83"/>
              </w:rPr>
              <w:t>141.01</w:t>
            </w:r>
          </w:p>
        </w:tc>
      </w:tr>
    </w:tbl>
    <w:p>
      <w:pPr>
        <w:spacing w:after="0" w:line="262"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This performance graph and accompanying disclosure is not soliciting material, is not deemed filed with the SEC, and is not incorporated by reference in any of our filings under the Securities Act or the Exchange Act, whether made on, before or after the date of this filing and irrespective of any general incorporation language in such filing.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3"/>
          <w:szCs w:val="13"/>
          <w:b w:val="1"/>
          <w:bCs w:val="1"/>
          <w:color w:val="auto"/>
        </w:rPr>
        <w:t>IVE</w:t>
      </w:r>
      <w:r>
        <w:rPr>
          <w:rFonts w:ascii="Arial" w:cs="Arial" w:eastAsia="Arial" w:hAnsi="Arial"/>
          <w:sz w:val="18"/>
          <w:szCs w:val="18"/>
          <w:b w:val="1"/>
          <w:bCs w:val="1"/>
          <w:color w:val="auto"/>
        </w:rPr>
        <w:t xml:space="preserve"> Y</w:t>
      </w:r>
      <w:r>
        <w:rPr>
          <w:rFonts w:ascii="Arial" w:cs="Arial" w:eastAsia="Arial" w:hAnsi="Arial"/>
          <w:sz w:val="13"/>
          <w:szCs w:val="13"/>
          <w:b w:val="1"/>
          <w:bCs w:val="1"/>
          <w:color w:val="auto"/>
        </w:rPr>
        <w:t>EAR</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UMMARY OF</w:t>
      </w:r>
      <w:r>
        <w:rPr>
          <w:rFonts w:ascii="Arial" w:cs="Arial" w:eastAsia="Arial" w:hAnsi="Arial"/>
          <w:sz w:val="18"/>
          <w:szCs w:val="18"/>
          <w:b w:val="1"/>
          <w:bCs w:val="1"/>
          <w:color w:val="auto"/>
        </w:rPr>
        <w:t xml:space="preserve"> F</w:t>
      </w:r>
      <w:r>
        <w:rPr>
          <w:rFonts w:ascii="Arial" w:cs="Arial" w:eastAsia="Arial" w:hAnsi="Arial"/>
          <w:sz w:val="13"/>
          <w:szCs w:val="13"/>
          <w:b w:val="1"/>
          <w:bCs w:val="1"/>
          <w:color w:val="auto"/>
        </w:rPr>
        <w:t>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D</w:t>
      </w:r>
      <w:r>
        <w:rPr>
          <w:rFonts w:ascii="Arial" w:cs="Arial" w:eastAsia="Arial" w:hAnsi="Arial"/>
          <w:sz w:val="13"/>
          <w:szCs w:val="13"/>
          <w:b w:val="1"/>
          <w:bCs w:val="1"/>
          <w:color w:val="auto"/>
        </w:rPr>
        <w:t>ATA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3"/>
          <w:szCs w:val="13"/>
          <w:b w:val="1"/>
          <w:bCs w:val="1"/>
          <w:color w:val="auto"/>
        </w:rPr>
        <w:t>IN THOUSANDS EXCEPT FOR PER SHARE</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MOUNTS</w:t>
      </w:r>
      <w:r>
        <w:rPr>
          <w:rFonts w:ascii="Arial" w:cs="Arial" w:eastAsia="Arial" w:hAnsi="Arial"/>
          <w:sz w:val="18"/>
          <w:szCs w:val="18"/>
          <w:b w:val="1"/>
          <w:bCs w:val="1"/>
          <w:color w:val="auto"/>
        </w:rPr>
        <w:t>)</w:t>
      </w:r>
    </w:p>
    <w:p>
      <w:pPr>
        <w:spacing w:after="0" w:line="50"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Fiscal Year Ended July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6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2007</w:t>
            </w:r>
          </w:p>
        </w:tc>
        <w:tc>
          <w:tcPr>
            <w:tcW w:w="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1"/>
                <w:szCs w:val="21"/>
                <w:color w:val="auto"/>
              </w:rPr>
            </w:pPr>
          </w:p>
        </w:tc>
      </w:tr>
      <w:tr>
        <w:trPr>
          <w:trHeight w:val="243"/>
        </w:trPr>
        <w:tc>
          <w:tcPr>
            <w:tcW w:w="46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Summary of Operations</w:t>
            </w:r>
          </w:p>
        </w:tc>
        <w:tc>
          <w:tcPr>
            <w:tcW w:w="18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4660" w:type="dxa"/>
            <w:vAlign w:val="bottom"/>
          </w:tcPr>
          <w:p>
            <w:pPr>
              <w:spacing w:after="0"/>
              <w:rPr>
                <w:sz w:val="20"/>
                <w:szCs w:val="20"/>
                <w:color w:val="auto"/>
              </w:rPr>
            </w:pPr>
            <w:r>
              <w:rPr>
                <w:rFonts w:ascii="Arial" w:cs="Arial" w:eastAsia="Arial" w:hAnsi="Arial"/>
                <w:sz w:val="18"/>
                <w:szCs w:val="18"/>
                <w:color w:val="auto"/>
              </w:rPr>
              <w:t>Net Sales</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5"/>
              </w:rPr>
              <w:t>219,050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236,245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$ 232,359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212,117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205,210</w:t>
            </w:r>
          </w:p>
        </w:tc>
        <w:tc>
          <w:tcPr>
            <w:tcW w:w="20" w:type="dxa"/>
            <w:vAlign w:val="bottom"/>
          </w:tcPr>
          <w:p>
            <w:pPr>
              <w:spacing w:after="0"/>
              <w:rPr>
                <w:sz w:val="20"/>
                <w:szCs w:val="20"/>
                <w:color w:val="auto"/>
              </w:rPr>
            </w:pPr>
          </w:p>
        </w:tc>
      </w:tr>
      <w:tr>
        <w:trPr>
          <w:trHeight w:val="250"/>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Cost of Sales (1)</w:t>
            </w:r>
          </w:p>
        </w:tc>
        <w:tc>
          <w:tcPr>
            <w:tcW w:w="18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88"/>
              </w:rPr>
              <w:t>(169,362)</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8"/>
              </w:rPr>
              <w:t>(186,861)</w:t>
            </w:r>
          </w:p>
        </w:tc>
        <w:tc>
          <w:tcPr>
            <w:tcW w:w="96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(186,289)</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8"/>
              </w:rPr>
              <w:t>(166,417)</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8"/>
              </w:rPr>
              <w:t>(167,136)</w:t>
            </w:r>
          </w:p>
        </w:tc>
        <w:tc>
          <w:tcPr>
            <w:tcW w:w="20" w:type="dxa"/>
            <w:vAlign w:val="bottom"/>
          </w:tcPr>
          <w:p>
            <w:pPr>
              <w:spacing w:after="0"/>
              <w:rPr>
                <w:sz w:val="21"/>
                <w:szCs w:val="2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Gross Profit</w:t>
            </w:r>
          </w:p>
        </w:tc>
        <w:tc>
          <w:tcPr>
            <w:tcW w:w="1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49,688</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49,384</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46,070</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45,700</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38,074</w:t>
            </w:r>
          </w:p>
        </w:tc>
        <w:tc>
          <w:tcPr>
            <w:tcW w:w="20" w:type="dxa"/>
            <w:vAlign w:val="bottom"/>
          </w:tcPr>
          <w:p>
            <w:pPr>
              <w:spacing w:after="0"/>
              <w:rPr>
                <w:sz w:val="19"/>
                <w:szCs w:val="19"/>
                <w:color w:val="auto"/>
              </w:rPr>
            </w:pPr>
          </w:p>
        </w:tc>
      </w:tr>
      <w:tr>
        <w:trPr>
          <w:trHeight w:val="250"/>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Gain on the Sale of Long-Lived Assets</w:t>
            </w:r>
          </w:p>
        </w:tc>
        <w:tc>
          <w:tcPr>
            <w:tcW w:w="18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21"/>
                <w:szCs w:val="21"/>
                <w:color w:val="auto"/>
              </w:rPr>
            </w:pPr>
          </w:p>
        </w:tc>
      </w:tr>
      <w:tr>
        <w:trPr>
          <w:trHeight w:val="237"/>
        </w:trPr>
        <w:tc>
          <w:tcPr>
            <w:tcW w:w="46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8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(36,139)</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(34,801)</w:t>
            </w:r>
          </w:p>
        </w:tc>
        <w:tc>
          <w:tcPr>
            <w:tcW w:w="1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(33,340)</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(35,163)</w:t>
            </w:r>
          </w:p>
        </w:tc>
        <w:tc>
          <w:tcPr>
            <w:tcW w:w="1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(29,735)</w:t>
            </w:r>
          </w:p>
        </w:tc>
        <w:tc>
          <w:tcPr>
            <w:tcW w:w="20" w:type="dxa"/>
            <w:vAlign w:val="bottom"/>
          </w:tcPr>
          <w:p>
            <w:pPr>
              <w:spacing w:after="0"/>
              <w:rPr>
                <w:sz w:val="20"/>
                <w:szCs w:val="20"/>
                <w:color w:val="auto"/>
              </w:rPr>
            </w:pPr>
          </w:p>
        </w:tc>
      </w:tr>
      <w:tr>
        <w:trPr>
          <w:trHeight w:val="243"/>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Income from Operations</w:t>
            </w:r>
          </w:p>
        </w:tc>
        <w:tc>
          <w:tcPr>
            <w:tcW w:w="18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13,549</w:t>
            </w:r>
          </w:p>
        </w:tc>
        <w:tc>
          <w:tcPr>
            <w:tcW w:w="2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14,583</w:t>
            </w:r>
          </w:p>
        </w:tc>
        <w:tc>
          <w:tcPr>
            <w:tcW w:w="1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12,730</w:t>
            </w:r>
          </w:p>
        </w:tc>
        <w:tc>
          <w:tcPr>
            <w:tcW w:w="2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10,537</w:t>
            </w:r>
          </w:p>
        </w:tc>
        <w:tc>
          <w:tcPr>
            <w:tcW w:w="1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8,754</w:t>
            </w:r>
          </w:p>
        </w:tc>
        <w:tc>
          <w:tcPr>
            <w:tcW w:w="20" w:type="dxa"/>
            <w:vAlign w:val="bottom"/>
          </w:tcPr>
          <w:p>
            <w:pPr>
              <w:spacing w:after="0"/>
              <w:rPr>
                <w:sz w:val="21"/>
                <w:szCs w:val="2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Other Income (Expense)</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46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Income</w:t>
            </w:r>
          </w:p>
        </w:tc>
        <w:tc>
          <w:tcPr>
            <w:tcW w:w="18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126</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1,070</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1,415</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1,106</w:t>
            </w:r>
          </w:p>
        </w:tc>
        <w:tc>
          <w:tcPr>
            <w:tcW w:w="20" w:type="dxa"/>
            <w:vAlign w:val="bottom"/>
          </w:tcPr>
          <w:p>
            <w:pPr>
              <w:spacing w:after="0"/>
              <w:rPr>
                <w:sz w:val="21"/>
                <w:szCs w:val="21"/>
                <w:color w:val="auto"/>
              </w:rPr>
            </w:pPr>
          </w:p>
        </w:tc>
      </w:tr>
      <w:tr>
        <w:trPr>
          <w:trHeight w:val="236"/>
        </w:trPr>
        <w:tc>
          <w:tcPr>
            <w:tcW w:w="466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(1,345)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(2,255)</w:t>
            </w:r>
          </w:p>
        </w:tc>
        <w:tc>
          <w:tcPr>
            <w:tcW w:w="20" w:type="dxa"/>
            <w:vAlign w:val="bottom"/>
          </w:tcPr>
          <w:p>
            <w:pPr>
              <w:spacing w:after="0"/>
              <w:rPr>
                <w:sz w:val="20"/>
                <w:szCs w:val="20"/>
                <w:color w:val="auto"/>
              </w:rPr>
            </w:pPr>
          </w:p>
        </w:tc>
      </w:tr>
      <w:tr>
        <w:trPr>
          <w:trHeight w:val="250"/>
        </w:trPr>
        <w:tc>
          <w:tcPr>
            <w:tcW w:w="46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Foreign Exchange (Losses) Gains</w:t>
            </w:r>
          </w:p>
        </w:tc>
        <w:tc>
          <w:tcPr>
            <w:tcW w:w="18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(213)</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1"/>
                <w:szCs w:val="21"/>
                <w:color w:val="auto"/>
              </w:rPr>
            </w:pPr>
          </w:p>
        </w:tc>
      </w:tr>
      <w:tr>
        <w:trPr>
          <w:trHeight w:val="237"/>
        </w:trPr>
        <w:tc>
          <w:tcPr>
            <w:tcW w:w="466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Other, Net (2)</w:t>
            </w:r>
          </w:p>
        </w:tc>
        <w:tc>
          <w:tcPr>
            <w:tcW w:w="18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595</w:t>
            </w:r>
          </w:p>
        </w:tc>
        <w:tc>
          <w:tcPr>
            <w:tcW w:w="1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905</w:t>
            </w:r>
          </w:p>
        </w:tc>
        <w:tc>
          <w:tcPr>
            <w:tcW w:w="1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20"/>
                <w:szCs w:val="20"/>
                <w:color w:val="auto"/>
              </w:rPr>
            </w:pPr>
          </w:p>
        </w:tc>
      </w:tr>
      <w:tr>
        <w:trPr>
          <w:trHeight w:val="243"/>
        </w:trPr>
        <w:tc>
          <w:tcPr>
            <w:tcW w:w="46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Other Expense, Net</w:t>
            </w:r>
          </w:p>
        </w:tc>
        <w:tc>
          <w:tcPr>
            <w:tcW w:w="18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(735)</w:t>
            </w:r>
          </w:p>
        </w:tc>
        <w:tc>
          <w:tcPr>
            <w:tcW w:w="2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(1,274)</w:t>
            </w:r>
          </w:p>
        </w:tc>
        <w:tc>
          <w:tcPr>
            <w:tcW w:w="1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21"/>
                <w:szCs w:val="2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12,814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13,309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7,896</w:t>
            </w:r>
          </w:p>
        </w:tc>
        <w:tc>
          <w:tcPr>
            <w:tcW w:w="20" w:type="dxa"/>
            <w:vAlign w:val="bottom"/>
          </w:tcPr>
          <w:p>
            <w:pPr>
              <w:spacing w:after="0"/>
              <w:rPr>
                <w:sz w:val="19"/>
                <w:szCs w:val="19"/>
                <w:color w:val="auto"/>
              </w:rPr>
            </w:pPr>
          </w:p>
        </w:tc>
      </w:tr>
      <w:tr>
        <w:trPr>
          <w:trHeight w:val="250"/>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Income Taxes</w:t>
            </w:r>
          </w:p>
        </w:tc>
        <w:tc>
          <w:tcPr>
            <w:tcW w:w="18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(3,356)</w:t>
            </w:r>
          </w:p>
        </w:tc>
        <w:tc>
          <w:tcPr>
            <w:tcW w:w="2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(3,723)</w:t>
            </w:r>
          </w:p>
        </w:tc>
        <w:tc>
          <w:tcPr>
            <w:tcW w:w="1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(3,136)</w:t>
            </w:r>
          </w:p>
        </w:tc>
        <w:tc>
          <w:tcPr>
            <w:tcW w:w="2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(2,785)</w:t>
            </w:r>
          </w:p>
        </w:tc>
        <w:tc>
          <w:tcPr>
            <w:tcW w:w="1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(2,637)</w:t>
            </w:r>
          </w:p>
        </w:tc>
        <w:tc>
          <w:tcPr>
            <w:tcW w:w="20" w:type="dxa"/>
            <w:vAlign w:val="bottom"/>
          </w:tcPr>
          <w:p>
            <w:pPr>
              <w:spacing w:after="0"/>
              <w:rPr>
                <w:sz w:val="21"/>
                <w:szCs w:val="21"/>
                <w:color w:val="auto"/>
              </w:rPr>
            </w:pPr>
          </w:p>
        </w:tc>
      </w:tr>
      <w:tr>
        <w:trPr>
          <w:trHeight w:val="244"/>
        </w:trPr>
        <w:tc>
          <w:tcPr>
            <w:tcW w:w="4660" w:type="dxa"/>
            <w:vAlign w:val="bottom"/>
          </w:tcPr>
          <w:p>
            <w:pPr>
              <w:spacing w:after="0"/>
              <w:rPr>
                <w:sz w:val="20"/>
                <w:szCs w:val="20"/>
                <w:color w:val="auto"/>
              </w:rPr>
            </w:pPr>
            <w:r>
              <w:rPr>
                <w:rFonts w:ascii="Arial" w:cs="Arial" w:eastAsia="Arial" w:hAnsi="Arial"/>
                <w:sz w:val="18"/>
                <w:szCs w:val="18"/>
                <w:color w:val="auto"/>
              </w:rPr>
              <w:t>Net Income</w:t>
            </w:r>
          </w:p>
        </w:tc>
        <w:tc>
          <w:tcPr>
            <w:tcW w:w="18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9,458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9,586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9,039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7,660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5,259</w:t>
            </w:r>
          </w:p>
        </w:tc>
        <w:tc>
          <w:tcPr>
            <w:tcW w:w="20" w:type="dxa"/>
            <w:vAlign w:val="bottom"/>
          </w:tcPr>
          <w:p>
            <w:pPr>
              <w:spacing w:after="0"/>
              <w:rPr>
                <w:sz w:val="21"/>
                <w:szCs w:val="21"/>
                <w:color w:val="auto"/>
              </w:rPr>
            </w:pPr>
          </w:p>
        </w:tc>
      </w:tr>
      <w:tr>
        <w:trPr>
          <w:trHeight w:val="243"/>
        </w:trPr>
        <w:tc>
          <w:tcPr>
            <w:tcW w:w="46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b w:val="1"/>
                <w:bCs w:val="1"/>
                <w:color w:val="auto"/>
              </w:rPr>
              <w:t>Average Shares Outstanding</w:t>
            </w:r>
          </w:p>
        </w:tc>
        <w:tc>
          <w:tcPr>
            <w:tcW w:w="188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72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740" w:type="dxa"/>
            <w:vAlign w:val="bottom"/>
            <w:tcBorders>
              <w:top w:val="single" w:sz="8" w:color="auto"/>
            </w:tcBorders>
            <w:shd w:val="clear" w:color="auto" w:fill="C0C0C0"/>
          </w:tcPr>
          <w:p>
            <w:pPr>
              <w:spacing w:after="0"/>
              <w:rPr>
                <w:sz w:val="21"/>
                <w:szCs w:val="21"/>
                <w:color w:val="auto"/>
              </w:rPr>
            </w:pPr>
          </w:p>
        </w:tc>
        <w:tc>
          <w:tcPr>
            <w:tcW w:w="18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66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740" w:type="dxa"/>
            <w:vAlign w:val="bottom"/>
            <w:tcBorders>
              <w:top w:val="single" w:sz="8" w:color="auto"/>
            </w:tcBorders>
            <w:shd w:val="clear" w:color="auto" w:fill="C0C0C0"/>
          </w:tcPr>
          <w:p>
            <w:pPr>
              <w:spacing w:after="0"/>
              <w:rPr>
                <w:sz w:val="21"/>
                <w:szCs w:val="21"/>
                <w:color w:val="auto"/>
              </w:rPr>
            </w:pPr>
          </w:p>
        </w:tc>
        <w:tc>
          <w:tcPr>
            <w:tcW w:w="18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74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660" w:type="dxa"/>
            <w:vAlign w:val="bottom"/>
          </w:tcPr>
          <w:p>
            <w:pPr>
              <w:ind w:left="320"/>
              <w:spacing w:after="0"/>
              <w:rPr>
                <w:sz w:val="20"/>
                <w:szCs w:val="20"/>
                <w:color w:val="auto"/>
              </w:rPr>
            </w:pPr>
            <w:r>
              <w:rPr>
                <w:rFonts w:ascii="Arial" w:cs="Arial" w:eastAsia="Arial" w:hAnsi="Arial"/>
                <w:sz w:val="18"/>
                <w:szCs w:val="18"/>
                <w:color w:val="auto"/>
              </w:rPr>
              <w:t>Diluted (3)</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7,275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7,200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6,945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7,179</w:t>
            </w:r>
          </w:p>
        </w:tc>
        <w:tc>
          <w:tcPr>
            <w:tcW w:w="20" w:type="dxa"/>
            <w:vAlign w:val="bottom"/>
          </w:tcPr>
          <w:p>
            <w:pPr>
              <w:spacing w:after="0"/>
              <w:rPr>
                <w:sz w:val="19"/>
                <w:szCs w:val="19"/>
                <w:color w:val="auto"/>
              </w:rPr>
            </w:pPr>
          </w:p>
        </w:tc>
      </w:tr>
      <w:tr>
        <w:trPr>
          <w:trHeight w:val="258"/>
        </w:trPr>
        <w:tc>
          <w:tcPr>
            <w:tcW w:w="46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Net Income per Share</w:t>
            </w:r>
          </w:p>
        </w:tc>
        <w:tc>
          <w:tcPr>
            <w:tcW w:w="18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2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r>
      <w:tr>
        <w:trPr>
          <w:trHeight w:val="236"/>
        </w:trPr>
        <w:tc>
          <w:tcPr>
            <w:tcW w:w="4660" w:type="dxa"/>
            <w:vAlign w:val="bottom"/>
          </w:tcPr>
          <w:p>
            <w:pPr>
              <w:ind w:left="320"/>
              <w:spacing w:after="0"/>
              <w:rPr>
                <w:sz w:val="20"/>
                <w:szCs w:val="20"/>
                <w:color w:val="auto"/>
              </w:rPr>
            </w:pPr>
            <w:r>
              <w:rPr>
                <w:rFonts w:ascii="Arial" w:cs="Arial" w:eastAsia="Arial" w:hAnsi="Arial"/>
                <w:sz w:val="18"/>
                <w:szCs w:val="18"/>
                <w:color w:val="auto"/>
              </w:rPr>
              <w:t>Basic Common (3)</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0.82</w:t>
            </w:r>
          </w:p>
        </w:tc>
        <w:tc>
          <w:tcPr>
            <w:tcW w:w="20" w:type="dxa"/>
            <w:vAlign w:val="bottom"/>
          </w:tcPr>
          <w:p>
            <w:pPr>
              <w:spacing w:after="0"/>
              <w:rPr>
                <w:sz w:val="20"/>
                <w:szCs w:val="20"/>
                <w:color w:val="auto"/>
              </w:rPr>
            </w:pPr>
          </w:p>
        </w:tc>
      </w:tr>
      <w:tr>
        <w:trPr>
          <w:trHeight w:val="250"/>
        </w:trPr>
        <w:tc>
          <w:tcPr>
            <w:tcW w:w="46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Basic Class B Common (3)</w:t>
            </w:r>
          </w:p>
        </w:tc>
        <w:tc>
          <w:tcPr>
            <w:tcW w:w="198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1.07</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1.09</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0.90</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0.62</w:t>
            </w:r>
          </w:p>
        </w:tc>
        <w:tc>
          <w:tcPr>
            <w:tcW w:w="20" w:type="dxa"/>
            <w:vAlign w:val="bottom"/>
          </w:tcPr>
          <w:p>
            <w:pPr>
              <w:spacing w:after="0"/>
              <w:rPr>
                <w:sz w:val="21"/>
                <w:szCs w:val="21"/>
                <w:color w:val="auto"/>
              </w:rPr>
            </w:pPr>
          </w:p>
        </w:tc>
      </w:tr>
      <w:tr>
        <w:trPr>
          <w:trHeight w:val="228"/>
        </w:trPr>
        <w:tc>
          <w:tcPr>
            <w:tcW w:w="4660" w:type="dxa"/>
            <w:vAlign w:val="bottom"/>
          </w:tcPr>
          <w:p>
            <w:pPr>
              <w:ind w:left="320"/>
              <w:spacing w:after="0"/>
              <w:rPr>
                <w:sz w:val="20"/>
                <w:szCs w:val="20"/>
                <w:color w:val="auto"/>
              </w:rPr>
            </w:pPr>
            <w:r>
              <w:rPr>
                <w:rFonts w:ascii="Arial" w:cs="Arial" w:eastAsia="Arial" w:hAnsi="Arial"/>
                <w:sz w:val="18"/>
                <w:szCs w:val="18"/>
                <w:color w:val="auto"/>
              </w:rPr>
              <w:t>Diluted (3)</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0.73</w:t>
            </w:r>
          </w:p>
        </w:tc>
        <w:tc>
          <w:tcPr>
            <w:tcW w:w="20" w:type="dxa"/>
            <w:vAlign w:val="bottom"/>
          </w:tcPr>
          <w:p>
            <w:pPr>
              <w:spacing w:after="0"/>
              <w:rPr>
                <w:sz w:val="19"/>
                <w:szCs w:val="19"/>
                <w:color w:val="auto"/>
              </w:rPr>
            </w:pPr>
          </w:p>
        </w:tc>
      </w:tr>
      <w:tr>
        <w:trPr>
          <w:trHeight w:val="258"/>
        </w:trPr>
        <w:tc>
          <w:tcPr>
            <w:tcW w:w="46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Important Highlights</w:t>
            </w:r>
          </w:p>
        </w:tc>
        <w:tc>
          <w:tcPr>
            <w:tcW w:w="18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2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r>
      <w:tr>
        <w:trPr>
          <w:trHeight w:val="236"/>
        </w:trPr>
        <w:tc>
          <w:tcPr>
            <w:tcW w:w="46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5"/>
              </w:rPr>
              <w:t>153,982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149,261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$ 148,988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142,087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139,547</w:t>
            </w:r>
          </w:p>
        </w:tc>
        <w:tc>
          <w:tcPr>
            <w:tcW w:w="20" w:type="dxa"/>
            <w:vAlign w:val="bottom"/>
          </w:tcPr>
          <w:p>
            <w:pPr>
              <w:spacing w:after="0"/>
              <w:rPr>
                <w:sz w:val="20"/>
                <w:szCs w:val="20"/>
                <w:color w:val="auto"/>
              </w:rPr>
            </w:pPr>
          </w:p>
        </w:tc>
      </w:tr>
      <w:tr>
        <w:trPr>
          <w:trHeight w:val="250"/>
        </w:trPr>
        <w:tc>
          <w:tcPr>
            <w:tcW w:w="46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Long-Term Debt</w:t>
            </w:r>
          </w:p>
        </w:tc>
        <w:tc>
          <w:tcPr>
            <w:tcW w:w="198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14,800</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18,300</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21,500</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27,080</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31,160</w:t>
            </w:r>
          </w:p>
        </w:tc>
        <w:tc>
          <w:tcPr>
            <w:tcW w:w="20" w:type="dxa"/>
            <w:vAlign w:val="bottom"/>
          </w:tcPr>
          <w:p>
            <w:pPr>
              <w:spacing w:after="0"/>
              <w:rPr>
                <w:sz w:val="21"/>
                <w:szCs w:val="21"/>
                <w:color w:val="auto"/>
              </w:rPr>
            </w:pPr>
          </w:p>
        </w:tc>
      </w:tr>
      <w:tr>
        <w:trPr>
          <w:trHeight w:val="236"/>
        </w:trPr>
        <w:tc>
          <w:tcPr>
            <w:tcW w:w="4660" w:type="dxa"/>
            <w:vAlign w:val="bottom"/>
          </w:tcPr>
          <w:p>
            <w:pPr>
              <w:ind w:left="320"/>
              <w:spacing w:after="0"/>
              <w:rPr>
                <w:sz w:val="20"/>
                <w:szCs w:val="20"/>
                <w:color w:val="auto"/>
              </w:rPr>
            </w:pPr>
            <w:r>
              <w:rPr>
                <w:rFonts w:ascii="Arial" w:cs="Arial" w:eastAsia="Arial" w:hAnsi="Arial"/>
                <w:sz w:val="18"/>
                <w:szCs w:val="18"/>
                <w:color w:val="auto"/>
              </w:rPr>
              <w:t>Working Capital</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48,398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49,949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52,550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50,895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48,589</w:t>
            </w:r>
          </w:p>
        </w:tc>
        <w:tc>
          <w:tcPr>
            <w:tcW w:w="20" w:type="dxa"/>
            <w:vAlign w:val="bottom"/>
          </w:tcPr>
          <w:p>
            <w:pPr>
              <w:spacing w:after="0"/>
              <w:rPr>
                <w:sz w:val="20"/>
                <w:szCs w:val="20"/>
                <w:color w:val="auto"/>
              </w:rPr>
            </w:pPr>
          </w:p>
        </w:tc>
      </w:tr>
      <w:tr>
        <w:trPr>
          <w:trHeight w:val="250"/>
        </w:trPr>
        <w:tc>
          <w:tcPr>
            <w:tcW w:w="46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Working Capital Ratio</w:t>
            </w:r>
          </w:p>
        </w:tc>
        <w:tc>
          <w:tcPr>
            <w:tcW w:w="18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2.7</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r>
      <w:tr>
        <w:trPr>
          <w:trHeight w:val="236"/>
        </w:trPr>
        <w:tc>
          <w:tcPr>
            <w:tcW w:w="4660" w:type="dxa"/>
            <w:vAlign w:val="bottom"/>
          </w:tcPr>
          <w:p>
            <w:pPr>
              <w:ind w:left="320"/>
              <w:spacing w:after="0"/>
              <w:rPr>
                <w:sz w:val="20"/>
                <w:szCs w:val="20"/>
                <w:color w:val="auto"/>
              </w:rPr>
            </w:pPr>
            <w:r>
              <w:rPr>
                <w:rFonts w:ascii="Arial" w:cs="Arial" w:eastAsia="Arial" w:hAnsi="Arial"/>
                <w:sz w:val="18"/>
                <w:szCs w:val="18"/>
                <w:color w:val="auto"/>
              </w:rPr>
              <w:t>Book Value per Share</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12.77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12.76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12.66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11.91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10.73</w:t>
            </w:r>
          </w:p>
        </w:tc>
        <w:tc>
          <w:tcPr>
            <w:tcW w:w="20" w:type="dxa"/>
            <w:vAlign w:val="bottom"/>
          </w:tcPr>
          <w:p>
            <w:pPr>
              <w:spacing w:after="0"/>
              <w:rPr>
                <w:sz w:val="20"/>
                <w:szCs w:val="20"/>
                <w:color w:val="auto"/>
              </w:rPr>
            </w:pPr>
          </w:p>
        </w:tc>
      </w:tr>
      <w:tr>
        <w:trPr>
          <w:trHeight w:val="250"/>
        </w:trPr>
        <w:tc>
          <w:tcPr>
            <w:tcW w:w="46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Dividends Declared</w:t>
            </w:r>
          </w:p>
        </w:tc>
        <w:tc>
          <w:tcPr>
            <w:tcW w:w="198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4,041</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3,759</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3,463</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3,117</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2,598</w:t>
            </w:r>
          </w:p>
        </w:tc>
        <w:tc>
          <w:tcPr>
            <w:tcW w:w="20" w:type="dxa"/>
            <w:vAlign w:val="bottom"/>
          </w:tcPr>
          <w:p>
            <w:pPr>
              <w:spacing w:after="0"/>
              <w:rPr>
                <w:sz w:val="21"/>
                <w:szCs w:val="21"/>
                <w:color w:val="auto"/>
              </w:rPr>
            </w:pPr>
          </w:p>
        </w:tc>
      </w:tr>
      <w:tr>
        <w:trPr>
          <w:trHeight w:val="236"/>
        </w:trPr>
        <w:tc>
          <w:tcPr>
            <w:tcW w:w="4660" w:type="dxa"/>
            <w:vAlign w:val="bottom"/>
          </w:tcPr>
          <w:p>
            <w:pPr>
              <w:ind w:left="320"/>
              <w:spacing w:after="0"/>
              <w:rPr>
                <w:sz w:val="20"/>
                <w:szCs w:val="20"/>
                <w:color w:val="auto"/>
              </w:rPr>
            </w:pPr>
            <w:r>
              <w:rPr>
                <w:rFonts w:ascii="Arial" w:cs="Arial" w:eastAsia="Arial" w:hAnsi="Arial"/>
                <w:sz w:val="18"/>
                <w:szCs w:val="18"/>
                <w:color w:val="auto"/>
              </w:rPr>
              <w:t>Dividends Declared per Common Share</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0.6100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0.5700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0.5300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0.4900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0.4000</w:t>
            </w:r>
          </w:p>
        </w:tc>
        <w:tc>
          <w:tcPr>
            <w:tcW w:w="20" w:type="dxa"/>
            <w:vAlign w:val="bottom"/>
          </w:tcPr>
          <w:p>
            <w:pPr>
              <w:spacing w:after="0"/>
              <w:rPr>
                <w:sz w:val="20"/>
                <w:szCs w:val="20"/>
                <w:color w:val="auto"/>
              </w:rPr>
            </w:pPr>
          </w:p>
        </w:tc>
      </w:tr>
      <w:tr>
        <w:trPr>
          <w:trHeight w:val="250"/>
        </w:trPr>
        <w:tc>
          <w:tcPr>
            <w:tcW w:w="46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Dividends Declared per Class B Common Share</w:t>
            </w:r>
          </w:p>
        </w:tc>
        <w:tc>
          <w:tcPr>
            <w:tcW w:w="198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0.4575</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0.4275</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0.3975</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0.3675</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0.2800</w:t>
            </w:r>
          </w:p>
        </w:tc>
        <w:tc>
          <w:tcPr>
            <w:tcW w:w="20" w:type="dxa"/>
            <w:vAlign w:val="bottom"/>
          </w:tcPr>
          <w:p>
            <w:pPr>
              <w:spacing w:after="0"/>
              <w:rPr>
                <w:sz w:val="21"/>
                <w:szCs w:val="21"/>
                <w:color w:val="auto"/>
              </w:rPr>
            </w:pPr>
          </w:p>
        </w:tc>
      </w:tr>
      <w:tr>
        <w:trPr>
          <w:trHeight w:val="236"/>
        </w:trPr>
        <w:tc>
          <w:tcPr>
            <w:tcW w:w="466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10,413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15,253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7,302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7,757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10,827</w:t>
            </w:r>
          </w:p>
        </w:tc>
        <w:tc>
          <w:tcPr>
            <w:tcW w:w="20" w:type="dxa"/>
            <w:vAlign w:val="bottom"/>
          </w:tcPr>
          <w:p>
            <w:pPr>
              <w:spacing w:after="0"/>
              <w:rPr>
                <w:sz w:val="20"/>
                <w:szCs w:val="20"/>
                <w:color w:val="auto"/>
              </w:rPr>
            </w:pPr>
          </w:p>
        </w:tc>
      </w:tr>
      <w:tr>
        <w:trPr>
          <w:trHeight w:val="250"/>
        </w:trPr>
        <w:tc>
          <w:tcPr>
            <w:tcW w:w="46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Depreciation and Amortization</w:t>
            </w:r>
          </w:p>
        </w:tc>
        <w:tc>
          <w:tcPr>
            <w:tcW w:w="198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7,371</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7,406</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7,455</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7,498</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7,212</w:t>
            </w:r>
          </w:p>
        </w:tc>
        <w:tc>
          <w:tcPr>
            <w:tcW w:w="20" w:type="dxa"/>
            <w:vAlign w:val="bottom"/>
          </w:tcPr>
          <w:p>
            <w:pPr>
              <w:spacing w:after="0"/>
              <w:rPr>
                <w:sz w:val="21"/>
                <w:szCs w:val="21"/>
                <w:color w:val="auto"/>
              </w:rPr>
            </w:pPr>
          </w:p>
        </w:tc>
      </w:tr>
      <w:tr>
        <w:trPr>
          <w:trHeight w:val="236"/>
        </w:trPr>
        <w:tc>
          <w:tcPr>
            <w:tcW w:w="4660" w:type="dxa"/>
            <w:vAlign w:val="bottom"/>
          </w:tcPr>
          <w:p>
            <w:pPr>
              <w:ind w:left="320"/>
              <w:spacing w:after="0"/>
              <w:rPr>
                <w:sz w:val="20"/>
                <w:szCs w:val="20"/>
                <w:color w:val="auto"/>
              </w:rPr>
            </w:pPr>
            <w:r>
              <w:rPr>
                <w:rFonts w:ascii="Arial" w:cs="Arial" w:eastAsia="Arial" w:hAnsi="Arial"/>
                <w:sz w:val="18"/>
                <w:szCs w:val="18"/>
                <w:color w:val="auto"/>
              </w:rPr>
              <w:t>Net Income as a Percent of Net Sales</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r>
      <w:tr>
        <w:trPr>
          <w:trHeight w:val="250"/>
        </w:trPr>
        <w:tc>
          <w:tcPr>
            <w:tcW w:w="46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Return on Average Stockholders’ Equity</w:t>
            </w:r>
          </w:p>
        </w:tc>
        <w:tc>
          <w:tcPr>
            <w:tcW w:w="18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10.5%</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1"/>
                <w:szCs w:val="21"/>
                <w:color w:val="auto"/>
              </w:rPr>
            </w:pPr>
          </w:p>
        </w:tc>
      </w:tr>
      <w:tr>
        <w:trPr>
          <w:trHeight w:val="236"/>
        </w:trPr>
        <w:tc>
          <w:tcPr>
            <w:tcW w:w="4660" w:type="dxa"/>
            <w:vAlign w:val="bottom"/>
          </w:tcPr>
          <w:p>
            <w:pPr>
              <w:ind w:left="320"/>
              <w:spacing w:after="0"/>
              <w:rPr>
                <w:sz w:val="20"/>
                <w:szCs w:val="20"/>
                <w:color w:val="auto"/>
              </w:rPr>
            </w:pPr>
            <w:r>
              <w:rPr>
                <w:rFonts w:ascii="Arial" w:cs="Arial" w:eastAsia="Arial" w:hAnsi="Arial"/>
                <w:sz w:val="18"/>
                <w:szCs w:val="18"/>
                <w:color w:val="auto"/>
              </w:rPr>
              <w:t>Gross Profit as a Percent of Net Sales</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0"/>
                <w:szCs w:val="20"/>
                <w:color w:val="auto"/>
              </w:rPr>
            </w:pPr>
          </w:p>
        </w:tc>
      </w:tr>
      <w:tr>
        <w:trPr>
          <w:trHeight w:val="250"/>
        </w:trPr>
        <w:tc>
          <w:tcPr>
            <w:tcW w:w="46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Operating Expenses as a Percent of Net Sales</w:t>
            </w:r>
          </w:p>
        </w:tc>
        <w:tc>
          <w:tcPr>
            <w:tcW w:w="18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16.5%</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1"/>
                <w:szCs w:val="21"/>
                <w:color w:val="auto"/>
              </w:rPr>
            </w:pPr>
          </w:p>
        </w:tc>
      </w:tr>
      <w:tr>
        <w:trPr>
          <w:trHeight w:val="457"/>
        </w:trPr>
        <w:tc>
          <w:tcPr>
            <w:tcW w:w="4660" w:type="dxa"/>
            <w:vAlign w:val="bottom"/>
          </w:tcPr>
          <w:p>
            <w:pPr>
              <w:spacing w:after="0"/>
              <w:rPr>
                <w:sz w:val="24"/>
                <w:szCs w:val="24"/>
                <w:color w:val="auto"/>
              </w:rPr>
            </w:pPr>
          </w:p>
        </w:tc>
        <w:tc>
          <w:tcPr>
            <w:tcW w:w="1880" w:type="dxa"/>
            <w:vAlign w:val="bottom"/>
          </w:tcPr>
          <w:p>
            <w:pPr>
              <w:jc w:val="right"/>
              <w:ind w:right="65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466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26" w:name="page27"/>
    <w:bookmarkEnd w:id="26"/>
    <w:p>
      <w:pPr>
        <w:ind w:firstLine="8"/>
        <w:spacing w:after="0" w:line="268" w:lineRule="auto"/>
        <w:tabs>
          <w:tab w:leader="none" w:pos="25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fiscal year 2008, cost of sales was reduced by pre-tax net proceeds of $831,000 from the sale of emission reduction credits to unaffiliated third parties. See Note 2 of the Notes to the Consolidated Financial Statements.</w:t>
      </w:r>
    </w:p>
    <w:p>
      <w:pPr>
        <w:spacing w:after="0" w:line="212"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fiscal year 2007, Other Income (Expense) included pre-tax proceeds of $389,000 from life insurance on former employees.</w:t>
      </w:r>
    </w:p>
    <w:p>
      <w:pPr>
        <w:spacing w:after="0" w:line="252" w:lineRule="exact"/>
        <w:rPr>
          <w:rFonts w:ascii="Arial" w:cs="Arial" w:eastAsia="Arial" w:hAnsi="Arial"/>
          <w:sz w:val="18"/>
          <w:szCs w:val="18"/>
          <w:color w:val="auto"/>
        </w:rPr>
      </w:pPr>
    </w:p>
    <w:p>
      <w:pPr>
        <w:jc w:val="both"/>
        <w:ind w:firstLine="8"/>
        <w:spacing w:after="0" w:line="256" w:lineRule="auto"/>
        <w:tabs>
          <w:tab w:leader="none" w:pos="253"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fiscal year 2010, we adopted guidance under Accounting Standards Codification Topic (“ASC”) 260-10,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which required our unvested restricted stock awards to be considered participating securities and to be included in the computation of earnings per share pursuant to the two-class method. Upon adoption, we were required to retrospectively adjust earnings per share data to conform to this standard. Accordingly, we have restated diluted average shares outstanding and net income per share for all periods presented.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285"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in Item 1A “Risk Factors”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3"/>
          <w:szCs w:val="13"/>
          <w:b w:val="1"/>
          <w:bCs w:val="1"/>
          <w:color w:val="auto"/>
        </w:rPr>
        <w:t>VERVIEW</w:t>
      </w:r>
    </w:p>
    <w:p>
      <w:pPr>
        <w:spacing w:after="0" w:line="285"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We develop, mine, manufacture and market sorbent products principally produced from clay minerals and, to a lesser extent, other sorbent materials. Our principal products include cat litter, industrial and automotive floor absorbents, fluids purification and filtration bleaching clays, agricultural chemical carriers, animal health and nutrition products and sports field products. Our products are sold to two primary customer groups, including customers who resell our products as originally produced to the end customer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Each operating segm ent is discussed individually below. Additional detailed descriptions of the operating segments are included in Item 1 “Business” above.</w:t>
      </w:r>
    </w:p>
    <w:p>
      <w:pPr>
        <w:spacing w:after="0" w:line="226"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Consolidated net income was $9,458,000, or $1.30 per diluted share, for the year ended July 31, 2010, a 1% decrease from net income of $9,586,000, or $1.33 per diluted share, for the year ended July 31, 2009. Net income was negatively impacted by a decrease in tons sold for both of our operating segments. Net income was positively impacted by the mix of products sold, with a greater proportion of sales from higher margin products, and by certain lower costs.</w:t>
      </w:r>
    </w:p>
    <w:p>
      <w:pPr>
        <w:spacing w:after="0" w:line="215"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Our diversified product offerings helped sustain our business through a challenging economic environment that impacted demand for our products during fiscal 2010. Lower segment operating income for the Retail and Wholesale Products Group reflected the negative impact of Wal-Mart’s decision to carry a reduced number of cat litter brands in August 2009. The ongoing slump in the manufacturing and automotive industries further reduced demand for our industrial absorbents. Higher segment operating income for the Business to Business Products Group, however, resulted from increased demand for certain of our fluids purification and animal health products in both domestic and some foreign markets. Our consolidated gross margin improved during fiscal 2010 due in part to a greater proportion of sales from higher margin products and significantly lower costs for natural gas used to dry our clay. Our consolidated balance sheet remained strong during fiscal year 2010. Cash and cash equivalents increased, not withstanding cash payments for required debt payments, investment in capital assets, treasury stock repurchases and increased dividend payments.</w:t>
      </w:r>
    </w:p>
    <w:p>
      <w:pPr>
        <w:spacing w:after="0" w:line="226"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During fiscal 2010, we continued our commitment to create value from sorbent minerals. We put forth considerable effort on our new engineered granule agricultural chemical carrier product and on our recently introduced enterosorbent animal health products. We were also committed to our established products through increased product promotion of our branded cat litter. In addition, our research and development center worked on both new product development and improvements to existing products.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3"/>
          <w:szCs w:val="13"/>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PERATIONS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3"/>
          <w:szCs w:val="13"/>
          <w:b w:val="1"/>
          <w:bCs w:val="1"/>
          <w:color w:val="auto"/>
        </w:rPr>
        <w:t>ISCAL</w:t>
      </w:r>
      <w:r>
        <w:rPr>
          <w:rFonts w:ascii="Arial" w:cs="Arial" w:eastAsia="Arial" w:hAnsi="Arial"/>
          <w:sz w:val="18"/>
          <w:szCs w:val="18"/>
          <w:b w:val="1"/>
          <w:bCs w:val="1"/>
          <w:color w:val="auto"/>
        </w:rPr>
        <w:t xml:space="preserve"> 2010 C</w:t>
      </w:r>
      <w:r>
        <w:rPr>
          <w:rFonts w:ascii="Arial" w:cs="Arial" w:eastAsia="Arial" w:hAnsi="Arial"/>
          <w:sz w:val="13"/>
          <w:szCs w:val="13"/>
          <w:b w:val="1"/>
          <w:bCs w:val="1"/>
          <w:color w:val="auto"/>
        </w:rPr>
        <w:t>OMPARED TO</w:t>
      </w:r>
      <w:r>
        <w:rPr>
          <w:rFonts w:ascii="Arial" w:cs="Arial" w:eastAsia="Arial" w:hAnsi="Arial"/>
          <w:sz w:val="18"/>
          <w:szCs w:val="18"/>
          <w:b w:val="1"/>
          <w:bCs w:val="1"/>
          <w:color w:val="auto"/>
        </w:rPr>
        <w:t xml:space="preserve"> F</w:t>
      </w:r>
      <w:r>
        <w:rPr>
          <w:rFonts w:ascii="Arial" w:cs="Arial" w:eastAsia="Arial" w:hAnsi="Arial"/>
          <w:sz w:val="13"/>
          <w:szCs w:val="13"/>
          <w:b w:val="1"/>
          <w:bCs w:val="1"/>
          <w:color w:val="auto"/>
        </w:rPr>
        <w:t>ISCAL</w:t>
      </w:r>
      <w:r>
        <w:rPr>
          <w:rFonts w:ascii="Arial" w:cs="Arial" w:eastAsia="Arial" w:hAnsi="Arial"/>
          <w:sz w:val="18"/>
          <w:szCs w:val="18"/>
          <w:b w:val="1"/>
          <w:bCs w:val="1"/>
          <w:color w:val="auto"/>
        </w:rPr>
        <w:t xml:space="preserve"> </w:t>
      </w:r>
      <w:r>
        <w:rPr>
          <w:rFonts w:ascii="Arial" w:cs="Arial" w:eastAsia="Arial" w:hAnsi="Arial"/>
          <w:sz w:val="21"/>
          <w:szCs w:val="21"/>
          <w:b w:val="1"/>
          <w:bCs w:val="1"/>
          <w:color w:val="auto"/>
        </w:rPr>
        <w:t>2009</w:t>
      </w:r>
    </w:p>
    <w:p>
      <w:pPr>
        <w:spacing w:after="0" w:line="267" w:lineRule="exact"/>
        <w:rPr>
          <w:sz w:val="20"/>
          <w:szCs w:val="20"/>
          <w:color w:val="auto"/>
        </w:rPr>
      </w:pPr>
    </w:p>
    <w:p>
      <w:pPr>
        <w:jc w:val="both"/>
        <w:ind w:firstLine="297"/>
        <w:spacing w:after="0" w:line="291" w:lineRule="auto"/>
        <w:rPr>
          <w:sz w:val="20"/>
          <w:szCs w:val="20"/>
          <w:color w:val="auto"/>
        </w:rPr>
      </w:pPr>
      <w:r>
        <w:rPr>
          <w:rFonts w:ascii="Arial" w:cs="Arial" w:eastAsia="Arial" w:hAnsi="Arial"/>
          <w:sz w:val="16"/>
          <w:szCs w:val="16"/>
          <w:color w:val="auto"/>
        </w:rPr>
        <w:t>Consolidated net sales for the year ended July 31, 2010 were $219,050,000, a 7% decrease from net sales of $236,245,000 in fiscal 2009. The decline in net sales was driven by our Retail and Wholesale Products Group as discussed below. Net income for fiscal 2010 was $9,458,000, a 1% decrease from net income of $9,586,000 in fiscal 2009. Fiscal 2010 net income was negatively affected by 7% fewer tons sold; however, increased sales of higher margin products and lower costs for natural gas used to dry our clay positively impacted this year’s results. The Retail and Wholesale Products Group’s segment operating income declined as a reduction in tons sold prevailed over the benefit of lower costs. The Business to Business Products Group’s segment operating income improved as increased sales of higher margin products outweighed the impact of fe wer tons sold.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79" w:lineRule="exact"/>
        <w:rPr>
          <w:sz w:val="20"/>
          <w:szCs w:val="20"/>
          <w:color w:val="auto"/>
        </w:rPr>
      </w:pPr>
    </w:p>
    <w:p>
      <w:pPr>
        <w:jc w:val="both"/>
        <w:ind w:firstLine="297"/>
        <w:spacing w:after="0" w:line="285" w:lineRule="auto"/>
        <w:rPr>
          <w:sz w:val="20"/>
          <w:szCs w:val="20"/>
          <w:color w:val="auto"/>
        </w:rPr>
      </w:pPr>
      <w:r>
        <w:rPr>
          <w:rFonts w:ascii="Arial" w:cs="Arial" w:eastAsia="Arial" w:hAnsi="Arial"/>
          <w:sz w:val="16"/>
          <w:szCs w:val="16"/>
          <w:color w:val="auto"/>
        </w:rPr>
        <w:t>Net sales of the Business to Business Products Group for fiscal 2010 were $77,423,000, an increase of $1,374,000, or 2%, from net sales of $76,049,000 in fiscal 2009. Increased sales of higher margin products in fiscal 2010 more than offset a 4% decrease in tons sold for the Group compared to fiscal 2009. Net sales of fluid purification and animal health and nutrition products increased, while net sales of co-packaged cat litter and agricultural chemical carrier products decreased. Net sales of fluid purification products increased 21% from fiscal 2009, with a 17% increase in tons sold. Sales to new customers and a greater proportion of sales from higher margin products contributed to the higher fluid purification products net sales. Sales in some export markets improved in part due to a weaker U.S. dollar relative to certain foreign currencies, which ma de our products more competitive in the global marketplace. A decline in the quality of oil from this year’s soybean crop also resulted in increased demand for our fluid purification products. In addition, sales of our fluid purification products used in the biodiesel industry and in palm oil processing increased compared to fiscal 2009. Net sales of animal health and nutrition products rose 6% in fiscal 2010. Higher sales of our enterosorbent animal health products, which were introduced during fiscal 2009, overcame a decline in sales of our traditional animal health and nutrition products. Increased net sales of these products were partially offset by a 19% decline in net sales of our agricultural chemical carriers in fiscal 2010 compared to fiscal 2009. The agricultural chemical carriers market continued to experience economic challenges, which resulted in 18% fewer tons sold. Economic conditions and price competition impacted net sales of our flowability aid product used in animal feed, which decli ned 24% in fiscal 2010. In addition, our co-packaged traditional coarse cat litter net sales decreased 10%, with 4% fewer tons sold. Net sales were adversely affected by a lower net selling price during most of fiscal 2010; however, the net selling price increased in April 2010 under our agreement with Clorox. Both the loss of a small co-packaging customer during the latter part of fiscal 2009 and a decline in the coarse cat litter market also contributed to the decreased net sales and tons sold.</w:t>
      </w:r>
    </w:p>
    <w:p>
      <w:pPr>
        <w:spacing w:after="0" w:line="234" w:lineRule="exact"/>
        <w:rPr>
          <w:sz w:val="20"/>
          <w:szCs w:val="20"/>
          <w:color w:val="auto"/>
        </w:rPr>
      </w:pPr>
    </w:p>
    <w:p>
      <w:pPr>
        <w:jc w:val="both"/>
        <w:ind w:firstLine="297"/>
        <w:spacing w:after="0" w:line="287" w:lineRule="auto"/>
        <w:rPr>
          <w:sz w:val="20"/>
          <w:szCs w:val="20"/>
          <w:color w:val="auto"/>
        </w:rPr>
      </w:pPr>
      <w:r>
        <w:rPr>
          <w:rFonts w:ascii="Arial" w:cs="Arial" w:eastAsia="Arial" w:hAnsi="Arial"/>
          <w:sz w:val="16"/>
          <w:szCs w:val="16"/>
          <w:color w:val="auto"/>
        </w:rPr>
        <w:t>The Business to Business Products Group’s operating income was $19,797,000 in fiscal 2010, an increase of $4,849,000, or 32%, from operating income of $14,948,000 in fiscal 2009. This increase was driven primarily by a greater proportion of sales from higher margin products. The Group’s combined packaging, freight and material costs in fiscal 2010 were comparable with fiscal 2009, as lower packaging and freight costs were offset by higher material costs. Packaging costs declined approximately 4% due primarily to price fluctuations for resin and paper commodities used in packaging materials. Freight costs decreased approximately 1% due primarily to changes in the price of diesel fuel and the cost of ocean freight. Material costs increased 1% as the negative cost impact of fewer tons produced at some of our manufacturing facilities prevailed ov er the benefit of lower energy-related costs in our mining and manufacturing processes. The Group’s selling and administrative expenses were 7% higher in fiscal 2010 compared to fiscal 2009, including higher sales bonuses and commissions based on the improved operating results. Fiscal 2010 selling and administrative expenses also included additional costs for personnel, market research, product promotion and technical services related to our new agricultural engineered granule product, which more than offset the decrease in similar costs related to our animal health enterosorbent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79" w:lineRule="exact"/>
        <w:rPr>
          <w:sz w:val="20"/>
          <w:szCs w:val="20"/>
          <w:color w:val="auto"/>
        </w:rPr>
      </w:pPr>
    </w:p>
    <w:p>
      <w:pPr>
        <w:jc w:val="both"/>
        <w:ind w:firstLine="284"/>
        <w:spacing w:after="0" w:line="286" w:lineRule="auto"/>
        <w:rPr>
          <w:sz w:val="20"/>
          <w:szCs w:val="20"/>
          <w:color w:val="auto"/>
        </w:rPr>
      </w:pPr>
      <w:r>
        <w:rPr>
          <w:rFonts w:ascii="Arial" w:cs="Arial" w:eastAsia="Arial" w:hAnsi="Arial"/>
          <w:sz w:val="16"/>
          <w:szCs w:val="16"/>
          <w:color w:val="auto"/>
        </w:rPr>
        <w:t>Net sales of the Retail and Wholesale Products Group for fiscal 2010 were $141,627,000, a decrease of $18,569,000, or 12%, from net sales of $160,196,000 in fiscal 2009. The decline in net sales was driven by lower tons sold, a lower average net selling price and a lower proportion of sales from higher margin products. The Group’s total tons sold decreased 9% compared fiscal 2009. Cat litter net sales were down approximately 17% compared to fiscal 2009 due primarily to 11% lower tons sold. The average net selling price for cat litter declined in part due to increased trade spending for product promotions, which were deducted from net sales, and a lower proportion of sales from higher margin products. Net sales of branded cat litter decreased 28% due primarily to 18% fewer tons sold. Wal-Mart began to carry a reduced number of cat litter brands in A ugust 2009. During the third quarter of fiscal 2010, Wal-Mart reinstated our branded scoopable litter in a limited number of stores; however, the new store count remains materially reduced from the store count at the end of fiscal 2009. Incremental net sales at customers other than Wal-Mart and increased marketing to promote brand awareness partially offset the overall sales decline. Net sales of private label cat litter decreased 6% compared to fiscal 2009 due to 8% fewer tons sold. The reduction in tons sold was due primarily to a continued overall decline in the coarse cat litter category. In contrast, sales of cat litter box liners increased 17% due primarily to increased distribution to an existing customer. Net sales of industrial absorbents decreased 3% compared to fiscal 2009. Tons sold decreased 6% due primarily to continued weak economic conditions in the manufacturing and automotive industries. See Foreign Operations below for further information regarding our foreign subsidiaries’ results.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8" w:name="page29"/>
    <w:bookmarkEnd w:id="28"/>
    <w:p>
      <w:pPr>
        <w:jc w:val="both"/>
        <w:ind w:firstLine="324"/>
        <w:spacing w:after="0" w:line="289" w:lineRule="auto"/>
        <w:rPr>
          <w:sz w:val="20"/>
          <w:szCs w:val="20"/>
          <w:color w:val="auto"/>
        </w:rPr>
      </w:pPr>
      <w:r>
        <w:rPr>
          <w:rFonts w:ascii="Arial" w:cs="Arial" w:eastAsia="Arial" w:hAnsi="Arial"/>
          <w:sz w:val="16"/>
          <w:szCs w:val="16"/>
          <w:color w:val="auto"/>
        </w:rPr>
        <w:t>The Retail and Wholesale Products Group’s segment operating income for fiscal 2010 was $11,797,000, a decrease of $5,210,000, or 31%, from operating income of $17,007,000 in fiscal 2009. The decrease is attributed to the lower net sales described above that prevailed over a decrease of approximately 3% for the Group’s combined freight, materials and packaging costs. Packaging costs decreased approximately 10% due to price fluctuations for resin and paper commodities. Freight costs decreased approximately 4% due primarily to changes in the price of diesel fuel. The decline in packaging and freight costs was partially offset by a 1% increase in material costs. Material costs increased as the negative cost impact of lower tons produced at some of our manufacturing facilities prevailed over the benefit of lower energy-related costs in our mining and manufacturing processes. The Group’s selling, gen eral and administrative expenses increased 2% compared to fiscal 2009 due primarily to increased advertising costs and broker commissions, which were partially offset by lower bad debt expense.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79"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Consolidated gross profit as a percentage of net sales in fiscal 2010 increased to 23% from 21% in fiscal 2009. Gross profit was positively impacted by increased sales of higher margin products and lower costs for packaging, freight and fuel used in our manufacturing processes. The cost of fuel was 36% lower in fiscal 2010 compared to fiscal 2009. We use natural gas, fuel oil and coal in the manufacturing process to operate kilns that dry our clay. Gross profit for fiscal 2010, however, was negatively impacted by an 11% increase in non-fuel manufacturing costs per ton produced, which included depreciation and amortization. This cost increase per ton was driven primarily by 8% fewer tons produced and increased expenditures for employee benefits and repairs. Many of the other non-fuel manufacturing costs, such as salaries and certain labor costs, and depre ciation, were relatively consistent with fiscal 2009 levels, despite the reduced number of tons produced, due to their generally fixed nature.</w:t>
      </w:r>
    </w:p>
    <w:p>
      <w:pPr>
        <w:spacing w:after="0" w:line="226"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Selling, general and administrative expenses as a percentage of net sales were 17% in fiscal 2010 compared to 15% in fiscal 2009. The discussion of the Groups’ operating income above describes the increased selling and administrative expenses that were allocated to the operating segments. The remaining unallocated corporate expenses in fiscal 2010 included a higher estimated annual incentive plan bonus accrual and higher employee postretirement benefit costs. The higher incentive bonus expense was based on performance targets that are established for each fiscal year. The postretirement benefit costs are based on actuarial calculations as described in Note 9 of the Notes to the Consolidated Financial Statements. These higher costs were partially offset by lower costs for outside legal services, reduced spending for research and development and lowe r stock option compensation expense. Research and development costs were lower compared to fiscal 2009 as fewer new products were in the development stage. Stock option compensation was lower as more stock options became fully vested and no new options were issued.</w:t>
      </w:r>
    </w:p>
    <w:p>
      <w:pPr>
        <w:spacing w:after="0" w:line="226" w:lineRule="exact"/>
        <w:rPr>
          <w:sz w:val="20"/>
          <w:szCs w:val="20"/>
          <w:color w:val="auto"/>
        </w:rPr>
      </w:pPr>
    </w:p>
    <w:p>
      <w:pPr>
        <w:jc w:val="both"/>
        <w:ind w:right="20" w:firstLine="338"/>
        <w:spacing w:after="0" w:line="332" w:lineRule="auto"/>
        <w:rPr>
          <w:sz w:val="20"/>
          <w:szCs w:val="20"/>
          <w:color w:val="auto"/>
        </w:rPr>
      </w:pPr>
      <w:r>
        <w:rPr>
          <w:rFonts w:ascii="Arial" w:cs="Arial" w:eastAsia="Arial" w:hAnsi="Arial"/>
          <w:sz w:val="16"/>
          <w:szCs w:val="16"/>
          <w:color w:val="auto"/>
        </w:rPr>
        <w:t>Interest expense in fiscal 2010 decreased $565,000 from fiscal 2009 due to a reduction in debt outstanding and the capitalized interest expense for a new product-related capital project. Interest income in fiscal 2010 decreased $239,000 from fiscal 2009 due to lower average interest rates.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Other income in fiscal 2010 increased $102,000 from fiscal 2009 due to higher royalty income, miscellaneous investment income and insurance proceeds.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29" w:name="page30"/>
    <w:bookmarkEnd w:id="29"/>
    <w:p>
      <w:pPr>
        <w:jc w:val="both"/>
        <w:ind w:right="20" w:firstLine="324"/>
        <w:spacing w:after="0" w:line="268" w:lineRule="auto"/>
        <w:rPr>
          <w:sz w:val="20"/>
          <w:szCs w:val="20"/>
          <w:color w:val="auto"/>
        </w:rPr>
      </w:pPr>
      <w:r>
        <w:rPr>
          <w:rFonts w:ascii="Arial" w:cs="Arial" w:eastAsia="Arial" w:hAnsi="Arial"/>
          <w:sz w:val="18"/>
          <w:szCs w:val="18"/>
          <w:color w:val="auto"/>
        </w:rPr>
        <w:t>Our effective tax rate was 26.2% of pre-tax income in fiscal 2010 compared to 28% in fiscal 2009. The effective tax rate was lower in fiscal 2010 due to utilization of prior period Alternative Minimum Tax credits.</w:t>
      </w:r>
    </w:p>
    <w:p>
      <w:pPr>
        <w:spacing w:after="0" w:line="240"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Total assets increased $4,721,000, or 3%, during fiscal 2010. Current assets increased $2,472,000, or 3%, from fiscal 2009 year-end balances due primarily to higher cash and cash equivalents and deferred income taxes. These increases were partially offset by lower investment in short-term securities, accounts receivable, inventories and prepaid expenses. The changes in current assets are described in the Liquidity and Capital Resources section below. Property, plant and equipment, net of accumulated depreciation, increased $3,017,000 due primarily to purchases of land and machinery and equipment and increased construction in progress. These increases were partially offset by additional accumulated depreciation. Other noncurrent assets decreased $768,000 due to a reduction in a lease receivable and amortization of intangible assets, which were partially o ffset by an increase in the cash surrender value of life insurance policies on key employees.</w:t>
      </w:r>
    </w:p>
    <w:p>
      <w:pPr>
        <w:spacing w:after="0" w:line="255" w:lineRule="exact"/>
        <w:rPr>
          <w:sz w:val="20"/>
          <w:szCs w:val="20"/>
          <w:color w:val="auto"/>
        </w:rPr>
      </w:pPr>
    </w:p>
    <w:p>
      <w:pPr>
        <w:jc w:val="both"/>
        <w:ind w:firstLine="297"/>
        <w:spacing w:after="0" w:line="291" w:lineRule="auto"/>
        <w:rPr>
          <w:sz w:val="20"/>
          <w:szCs w:val="20"/>
          <w:color w:val="auto"/>
        </w:rPr>
      </w:pPr>
      <w:r>
        <w:rPr>
          <w:rFonts w:ascii="Arial" w:cs="Arial" w:eastAsia="Arial" w:hAnsi="Arial"/>
          <w:sz w:val="16"/>
          <w:szCs w:val="16"/>
          <w:color w:val="auto"/>
        </w:rPr>
        <w:t>Total liabilities increased $3,695,000, or 6%, during fiscal 2010. Current liabilities increased $4,023,000, or 17%, during fiscal 2010. The changes in current liabilities are described in the Liquidity and Capital Resources section below. Noncurrent liabilities decreased $328,000, or 1%, due primarily to schedule payments that reduced long term debt. This decrease was partially offset by higher accruals for pension and postretirement health benefits, deferred compensation and reclamation costs for mining properties. See Note 9 of the Notes to the Consolidated Financial Statements for more information on pension and postretirement health benefit plans. Deferred compensation accruals increased due to new deferrals and earnings on deferred balances in excess of payouts. The higher reclamation liability is the result of ongoing mining activities and acquisi tion of mining property during fiscal 2010.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3"/>
          <w:szCs w:val="13"/>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PERATIONS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3"/>
          <w:szCs w:val="13"/>
          <w:b w:val="1"/>
          <w:bCs w:val="1"/>
          <w:color w:val="auto"/>
        </w:rPr>
        <w:t>ISCAL</w:t>
      </w:r>
      <w:r>
        <w:rPr>
          <w:rFonts w:ascii="Arial" w:cs="Arial" w:eastAsia="Arial" w:hAnsi="Arial"/>
          <w:sz w:val="18"/>
          <w:szCs w:val="18"/>
          <w:b w:val="1"/>
          <w:bCs w:val="1"/>
          <w:color w:val="auto"/>
        </w:rPr>
        <w:t xml:space="preserve"> 2009 C</w:t>
      </w:r>
      <w:r>
        <w:rPr>
          <w:rFonts w:ascii="Arial" w:cs="Arial" w:eastAsia="Arial" w:hAnsi="Arial"/>
          <w:sz w:val="13"/>
          <w:szCs w:val="13"/>
          <w:b w:val="1"/>
          <w:bCs w:val="1"/>
          <w:color w:val="auto"/>
        </w:rPr>
        <w:t>OMPARED TO</w:t>
      </w:r>
      <w:r>
        <w:rPr>
          <w:rFonts w:ascii="Arial" w:cs="Arial" w:eastAsia="Arial" w:hAnsi="Arial"/>
          <w:sz w:val="18"/>
          <w:szCs w:val="18"/>
          <w:b w:val="1"/>
          <w:bCs w:val="1"/>
          <w:color w:val="auto"/>
        </w:rPr>
        <w:t xml:space="preserve"> F</w:t>
      </w:r>
      <w:r>
        <w:rPr>
          <w:rFonts w:ascii="Arial" w:cs="Arial" w:eastAsia="Arial" w:hAnsi="Arial"/>
          <w:sz w:val="13"/>
          <w:szCs w:val="13"/>
          <w:b w:val="1"/>
          <w:bCs w:val="1"/>
          <w:color w:val="auto"/>
        </w:rPr>
        <w:t>ISCAL</w:t>
      </w:r>
      <w:r>
        <w:rPr>
          <w:rFonts w:ascii="Arial" w:cs="Arial" w:eastAsia="Arial" w:hAnsi="Arial"/>
          <w:sz w:val="18"/>
          <w:szCs w:val="18"/>
          <w:b w:val="1"/>
          <w:bCs w:val="1"/>
          <w:color w:val="auto"/>
        </w:rPr>
        <w:t xml:space="preserve"> </w:t>
      </w:r>
      <w:r>
        <w:rPr>
          <w:rFonts w:ascii="Arial" w:cs="Arial" w:eastAsia="Arial" w:hAnsi="Arial"/>
          <w:sz w:val="21"/>
          <w:szCs w:val="21"/>
          <w:b w:val="1"/>
          <w:bCs w:val="1"/>
          <w:color w:val="auto"/>
        </w:rPr>
        <w:t>2008</w:t>
      </w:r>
    </w:p>
    <w:p>
      <w:pPr>
        <w:spacing w:after="0" w:line="267"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Consolidated net sales for the year ended July 31, 2009 were $236,245,000, an increase of 2% from net sales of $232,359,000 in fiscal 2008. Both our Retail and Wholesale Products Group and our Business to Business Products Group contributed to the net sales increase. Net income for the year was $9,586,000, an increase of 6% from net income of $9,039,000 in fiscal 2008. The Retail and Wholesale Products Group contributed to the improved net income as higher average net selling prices overcame lower volume and increased costs; however, in the Business to Business Products Group the lower volume and higher costs prevailed over higher average net selling prices.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79" w:lineRule="exact"/>
        <w:rPr>
          <w:sz w:val="20"/>
          <w:szCs w:val="20"/>
          <w:color w:val="auto"/>
        </w:rPr>
      </w:pPr>
    </w:p>
    <w:p>
      <w:pPr>
        <w:jc w:val="both"/>
        <w:ind w:firstLine="297"/>
        <w:spacing w:after="0" w:line="286" w:lineRule="auto"/>
        <w:rPr>
          <w:sz w:val="20"/>
          <w:szCs w:val="20"/>
          <w:color w:val="auto"/>
        </w:rPr>
      </w:pPr>
      <w:r>
        <w:rPr>
          <w:rFonts w:ascii="Arial" w:cs="Arial" w:eastAsia="Arial" w:hAnsi="Arial"/>
          <w:sz w:val="16"/>
          <w:szCs w:val="16"/>
          <w:color w:val="auto"/>
        </w:rPr>
        <w:t>Net sales of the Business to Business Products Group for fiscal 2009 were $76,049,000, an increase of $1,001,000, or 1%, from net sales of $75,048,000 in fiscal 2008. Higher average net selling prices and a favorable product sales mix provided for increased sales in fiscal 2009 despite 9% lower tons sold for the Group compared to fiscal 2008. Net sales of co-packaged cat litter, animal health and nutrition and agricultural chemical carrier products all increased, while net sales of fluids purification and sports-related products decreased. Our co-packaged traditional coarse cat litter net sales were up 8% in fiscal 2009. A 4% increase in tons sold due to product improvements and a higher average net selling price more than offset the loss of a small co-package customer during fiscal 2009. Net sales of animal health and nutrition products rose 2% due prim arily to increased average net selling prices and the introduction of new enterosorbent animal health products. Net sales of agricultural chemical carriers were up approximately 12% due primarily to a higher average net selling price that more than offset approximately 11% lower tons sold. Agricultural chemical carriers tons sold declined in the agricultural and the lawn and garden markets due primarily to the poor economy. Net sales of bleaching earth and fluid purification products were down 3% from fiscal 2008 as a 9% decline in tons sold outweighed a higher average net selling price. The lower tons sold for bleaching earth products resulted from a weak global economy and a good quality soybean crop, which required less bleaching clay to process the oil. Sales of our baseball-related products declined 7% due to the negative impact of economic conditions on municipalities and other recreational baseball customers.</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Business to Business Products Group’s operating income decreased 5% to $14,948,000 in fiscal 2009 from $15,782,000 in fiscal 2008.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 higher combined materials, packaging and freight costs more than offset a higher average net selling price. Materials costs increased approximately 11%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higher cost for fuel used to dry our clay-based products compared to the prior fiscal year. Freight costs were approximately 5% higher compared to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2008. Although diesel fuel and ocean freight prices declined, particularly in the later part of fiscal 2009, the average cost for fiscal 2009 was greater than for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2008. Conversely, packaging costs declined approximately 8% due primarily to lower costs of paper used in packaging. Selling and administrative expenses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 higher in fiscal 2009 compared to fiscal 2008 due primarily to marketing and promotional activities for our new enterosorbent animal health product.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RETAIL AND WHOLESALE PRODUCTS GROUP</w:t>
      </w:r>
    </w:p>
    <w:p>
      <w:pPr>
        <w:spacing w:after="0" w:line="279" w:lineRule="exact"/>
        <w:rPr>
          <w:sz w:val="20"/>
          <w:szCs w:val="20"/>
          <w:color w:val="auto"/>
        </w:rPr>
      </w:pPr>
    </w:p>
    <w:p>
      <w:pPr>
        <w:jc w:val="both"/>
        <w:ind w:firstLine="262"/>
        <w:spacing w:after="0" w:line="287" w:lineRule="auto"/>
        <w:rPr>
          <w:sz w:val="20"/>
          <w:szCs w:val="20"/>
          <w:color w:val="auto"/>
        </w:rPr>
      </w:pPr>
      <w:r>
        <w:rPr>
          <w:rFonts w:ascii="Arial" w:cs="Arial" w:eastAsia="Arial" w:hAnsi="Arial"/>
          <w:sz w:val="16"/>
          <w:szCs w:val="16"/>
          <w:color w:val="auto"/>
        </w:rPr>
        <w:t>Net sales of the Retail and Wholesale Products Group for fiscal 2009 were $160,196,000, an increase of $2,885,000, or 2%, from net sales of $157,311,000 in fiscal 2008. The Group’s net sales growth was driven by increased average net selling prices and a favorable product sales mix that overcame a 4% decrease in tons sold. Net sales of cat litter products increased approximately 6% in fiscal 2009. Private label cat litter net sales increased approximately 7% due to higher average net selling prices accompanied by a 1% increase in tons sold. Branded cat litter net sales also increased approximately 5% due to a higher average net selling price that offset a 7% decline in tons sold. Branded coarse cat litter tons sold declined; however, our branded scoopable cat litter tons sold increased as a result of new natural products and marketing programs. Net sales of domestic industrial absorbents were flat as a higher average net selling price offset a 7% decline in tons sold due to poor economic conditions in the manufacturing and automotive industries. Net sales of our foreign subsidiaries decreased 24% with a 16% decline in tons sold. Both our United Kingdom and Canadian subsidiaries have been negatively impacted by unfavorable local currency fluctuations compared to the U.S. Dollar and the worldwide economic slowdown. See Foreign Operations below for further information regarding our foreign subsidiaries’ results.</w:t>
      </w:r>
    </w:p>
    <w:p>
      <w:pPr>
        <w:spacing w:after="0" w:line="231" w:lineRule="exact"/>
        <w:rPr>
          <w:sz w:val="20"/>
          <w:szCs w:val="20"/>
          <w:color w:val="auto"/>
        </w:rPr>
      </w:pPr>
    </w:p>
    <w:p>
      <w:pPr>
        <w:jc w:val="both"/>
        <w:ind w:firstLine="261"/>
        <w:spacing w:after="0" w:line="271" w:lineRule="auto"/>
        <w:rPr>
          <w:sz w:val="20"/>
          <w:szCs w:val="20"/>
          <w:color w:val="auto"/>
        </w:rPr>
      </w:pPr>
      <w:r>
        <w:rPr>
          <w:rFonts w:ascii="Arial" w:cs="Arial" w:eastAsia="Arial" w:hAnsi="Arial"/>
          <w:sz w:val="17"/>
          <w:szCs w:val="17"/>
          <w:color w:val="auto"/>
        </w:rPr>
        <w:t>The Retail and Wholesale Products Group’s operating income increased 14% to $17,007,000 in fiscal 2009 from $14,973,000 in fiscal 2008. A higher average net selling price overcame an approximate 3% increase in combined freight, materials and packaging costs. Packaging costs increased approximately 3% due primarily to higher resin costs. Material costs increased approximately 5% due primarily to the higher cost for fuel used to dry our clay-based products compared to the prior fiscal year. Freight costs were 3% less than the prior fiscal year as lower diesel prices reduced domestic freight costs, particularly in the later part of fiscal 2009. Selling and administrative expenses were 13% greater in fiscal 2009 compared to fiscal 2008. In fiscal 2009 advertising costs increased due to several marketing campaigns to enhance our brand awareness.</w:t>
      </w:r>
      <w:r>
        <w:rPr>
          <w:rFonts w:ascii="Arial" w:cs="Arial" w:eastAsia="Arial" w:hAnsi="Arial"/>
          <w:sz w:val="20"/>
          <w:szCs w:val="20"/>
          <w:color w:val="auto"/>
        </w:rPr>
        <w:t>&lt; /div&gt;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79" w:lineRule="exact"/>
        <w:rPr>
          <w:sz w:val="20"/>
          <w:szCs w:val="20"/>
          <w:color w:val="auto"/>
        </w:rPr>
      </w:pPr>
    </w:p>
    <w:p>
      <w:pPr>
        <w:jc w:val="both"/>
        <w:ind w:firstLine="294"/>
        <w:spacing w:after="0" w:line="318" w:lineRule="auto"/>
        <w:rPr>
          <w:sz w:val="20"/>
          <w:szCs w:val="20"/>
          <w:color w:val="auto"/>
        </w:rPr>
      </w:pPr>
      <w:r>
        <w:rPr>
          <w:rFonts w:ascii="Arial" w:cs="Arial" w:eastAsia="Arial" w:hAnsi="Arial"/>
          <w:sz w:val="15"/>
          <w:szCs w:val="15"/>
          <w:color w:val="auto"/>
        </w:rPr>
        <w:t>Consolidated gross profit as a percentage of net sales in fiscal 2009 increased to 21% from 20% in fiscal 2008. Cost of sales for fiscal 2008 was reduced by $831,000 as a result of the sale of emission reduction credits, as described in Note 2 of the Notes to the Consolidated Financial Statements. Gross profit improved in fiscal 2009 due primarily to a higher average net selling price, which overcame increased manufacturing and packaging costs. The cost of fuel used in the manufacturing process was 19% higher in fiscal 2009 compared to fiscal 2008. Non-fuel manufacturing costs, including depreciation and amortization, increased 13% over the same period of the prior fiscal year. Significant manufacturing cost increases were in purchased materials, repairs, labor and non-kiln fuel.</w:t>
      </w:r>
    </w:p>
    <w:p>
      <w:pPr>
        <w:spacing w:after="0" w:line="208" w:lineRule="exact"/>
        <w:rPr>
          <w:sz w:val="20"/>
          <w:szCs w:val="20"/>
          <w:color w:val="auto"/>
        </w:rPr>
      </w:pPr>
    </w:p>
    <w:p>
      <w:pPr>
        <w:jc w:val="both"/>
        <w:ind w:firstLine="331"/>
        <w:spacing w:after="0" w:line="291" w:lineRule="auto"/>
        <w:rPr>
          <w:sz w:val="20"/>
          <w:szCs w:val="20"/>
          <w:color w:val="auto"/>
        </w:rPr>
      </w:pPr>
      <w:r>
        <w:rPr>
          <w:rFonts w:ascii="Arial" w:cs="Arial" w:eastAsia="Arial" w:hAnsi="Arial"/>
          <w:sz w:val="16"/>
          <w:szCs w:val="16"/>
          <w:color w:val="auto"/>
        </w:rPr>
        <w:t>Selling, general and administrative expenses as a percentage of net sales increased in fiscal 2009 to 15% from 14% in fiscal 2008. The discussion of the Groups’ operating income above describes the increased selling and administrative expenses that were allocated to our operating segments. The remaining unallocated corporate expenses were lower in fiscal 2009 due primarily to lower expenses for the estimated incentive bonus, research and development and stock option compensation. The lower fiscal 2009 incentive bonus expense was based on performance targets that are established for each year. Research and development costs were lower as we moved further through the development cycle for several new products. Stock option compensation was lower as more stock options became fully vested and no new options were issued. These lower expenses were partia lly offset by higher pension and rent expenses.</w:t>
      </w:r>
    </w:p>
    <w:p>
      <w:pPr>
        <w:spacing w:after="0" w:line="228" w:lineRule="exact"/>
        <w:rPr>
          <w:sz w:val="20"/>
          <w:szCs w:val="20"/>
          <w:color w:val="auto"/>
        </w:rPr>
      </w:pPr>
    </w:p>
    <w:p>
      <w:pPr>
        <w:jc w:val="both"/>
        <w:ind w:right="20" w:firstLine="262"/>
        <w:spacing w:after="0" w:line="268" w:lineRule="auto"/>
        <w:rPr>
          <w:sz w:val="20"/>
          <w:szCs w:val="20"/>
          <w:color w:val="auto"/>
        </w:rPr>
      </w:pPr>
      <w:r>
        <w:rPr>
          <w:rFonts w:ascii="Arial" w:cs="Arial" w:eastAsia="Arial" w:hAnsi="Arial"/>
          <w:sz w:val="18"/>
          <w:szCs w:val="18"/>
          <w:color w:val="auto"/>
        </w:rPr>
        <w:t>Interest expense in fiscal 2009 decreased $279,000 from fiscal 2008 due to a reduction in debt outstanding. Interest income in fiscal 2009 decreased $705,000 from fiscal 2008 due to lower average interest rates and lower average investment balances.</w:t>
      </w:r>
    </w:p>
    <w:p>
      <w:pPr>
        <w:spacing w:after="0" w:line="240" w:lineRule="exact"/>
        <w:rPr>
          <w:sz w:val="20"/>
          <w:szCs w:val="20"/>
          <w:color w:val="auto"/>
        </w:rPr>
      </w:pPr>
    </w:p>
    <w:p>
      <w:pPr>
        <w:jc w:val="both"/>
        <w:ind w:right="20" w:firstLine="313"/>
        <w:spacing w:after="0" w:line="332" w:lineRule="auto"/>
        <w:rPr>
          <w:sz w:val="20"/>
          <w:szCs w:val="20"/>
          <w:color w:val="auto"/>
        </w:rPr>
      </w:pPr>
      <w:r>
        <w:rPr>
          <w:rFonts w:ascii="Arial" w:cs="Arial" w:eastAsia="Arial" w:hAnsi="Arial"/>
          <w:sz w:val="16"/>
          <w:szCs w:val="16"/>
          <w:color w:val="auto"/>
        </w:rPr>
        <w:t>Other income in fiscal 2009 increased $195,000 from fiscal 2008. Other income in fiscal 2009 included income relating to a lease arrangement with a co-packaging partner. Other income in fiscal 2008 included expenses associated with examinations by regulatory agencies.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31" w:name="page32"/>
    <w:bookmarkEnd w:id="31"/>
    <w:p>
      <w:pPr>
        <w:jc w:val="both"/>
        <w:ind w:right="20" w:firstLine="295"/>
        <w:spacing w:after="0" w:line="332" w:lineRule="auto"/>
        <w:rPr>
          <w:sz w:val="20"/>
          <w:szCs w:val="20"/>
          <w:color w:val="auto"/>
        </w:rPr>
      </w:pPr>
      <w:r>
        <w:rPr>
          <w:rFonts w:ascii="Arial" w:cs="Arial" w:eastAsia="Arial" w:hAnsi="Arial"/>
          <w:sz w:val="16"/>
          <w:szCs w:val="16"/>
          <w:color w:val="auto"/>
        </w:rPr>
        <w:t>Our effective tax rate was 28% of pre-tax income in fiscal 2009 compared to 25.8% in fiscal 2008. The effective tax rate was higher in fiscal 2009 due to a lower deduction for mining depletion due to reduced tonnage and an unfavorable tax impact from the results of foreign operations.</w:t>
      </w:r>
    </w:p>
    <w:p>
      <w:pPr>
        <w:spacing w:after="0" w:line="193" w:lineRule="exact"/>
        <w:rPr>
          <w:sz w:val="20"/>
          <w:szCs w:val="20"/>
          <w:color w:val="auto"/>
        </w:rPr>
      </w:pPr>
    </w:p>
    <w:p>
      <w:pPr>
        <w:jc w:val="both"/>
        <w:ind w:firstLine="329"/>
        <w:spacing w:after="0" w:line="294" w:lineRule="auto"/>
        <w:rPr>
          <w:sz w:val="20"/>
          <w:szCs w:val="20"/>
          <w:color w:val="auto"/>
        </w:rPr>
      </w:pPr>
      <w:r>
        <w:rPr>
          <w:rFonts w:ascii="Arial" w:cs="Arial" w:eastAsia="Arial" w:hAnsi="Arial"/>
          <w:sz w:val="16"/>
          <w:szCs w:val="16"/>
          <w:color w:val="auto"/>
        </w:rPr>
        <w:t>Total assets increased $273,000 during fiscal 2009. Current assets decreased $8,934,000, or 11%, from the fiscal 2008 year-end balances primarily due to decreased investments in Treasury securities and accounts receivable. These decreases were partially offset by increased cash and cash equivalents and prepaid expenses. These changes are described in the Liquidity and Capital Resources section below. Property, plant and equipment, net of accumulated depreciation, increased $8,045,000 due primarily to capital projects related to new product development at our manufacturing facilities and the purchase of land. Other noncurrent assets increased $1,162,000 from fiscal 2008 due to a higher deferred tax asset partially offset by a decrease in a lease receivable.</w:t>
      </w:r>
    </w:p>
    <w:p>
      <w:pPr>
        <w:spacing w:after="0" w:line="224" w:lineRule="exact"/>
        <w:rPr>
          <w:sz w:val="20"/>
          <w:szCs w:val="20"/>
          <w:color w:val="auto"/>
        </w:rPr>
      </w:pPr>
    </w:p>
    <w:p>
      <w:pPr>
        <w:jc w:val="both"/>
        <w:ind w:firstLine="277"/>
        <w:spacing w:after="0" w:line="291" w:lineRule="auto"/>
        <w:rPr>
          <w:sz w:val="20"/>
          <w:szCs w:val="20"/>
          <w:color w:val="auto"/>
        </w:rPr>
      </w:pPr>
      <w:r>
        <w:rPr>
          <w:rFonts w:ascii="Arial" w:cs="Arial" w:eastAsia="Arial" w:hAnsi="Arial"/>
          <w:sz w:val="16"/>
          <w:szCs w:val="16"/>
          <w:color w:val="auto"/>
        </w:rPr>
        <w:t>Total liabilities decreased $1,664,000, or 3%, during fiscal 2009. Current liabilities decreased $6,333,000, or 21%, during fiscal 2009. The changes in current liabilities are described in the Liquidity and Capital Resources section below. Noncurrent liabilities increased $4,669,000 due primarily to higher accruals for pension and postretirement health benefits and deferred compensation partially offset by a reduction in long term debt due to scheduled payments. The increased pension and postretirement health benefit accruals were driven by the actuarially calculated benefit obligations and lower pension asset values as of July 31, 2009. See Note 9 of the Notes to the Consolidated Financial Statements for more information on employee benefit plans. Deferred compensation accruals increased due to new deferrals and earnings on deferred balances in excess o f payouts.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3"/>
          <w:szCs w:val="13"/>
          <w:b w:val="1"/>
          <w:bCs w:val="1"/>
          <w:color w:val="auto"/>
        </w:rPr>
        <w:t>OREIGN</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PERATIONS</w:t>
      </w:r>
    </w:p>
    <w:p>
      <w:pPr>
        <w:spacing w:after="0" w:line="285" w:lineRule="exact"/>
        <w:rPr>
          <w:sz w:val="20"/>
          <w:szCs w:val="20"/>
          <w:color w:val="auto"/>
        </w:rPr>
      </w:pPr>
    </w:p>
    <w:p>
      <w:pPr>
        <w:jc w:val="both"/>
        <w:ind w:firstLine="278"/>
        <w:spacing w:after="0" w:line="291" w:lineRule="auto"/>
        <w:rPr>
          <w:sz w:val="20"/>
          <w:szCs w:val="20"/>
          <w:color w:val="auto"/>
        </w:rPr>
      </w:pPr>
      <w:r>
        <w:rPr>
          <w:rFonts w:ascii="Arial" w:cs="Arial" w:eastAsia="Arial" w:hAnsi="Arial"/>
          <w:sz w:val="16"/>
          <w:szCs w:val="16"/>
          <w:color w:val="auto"/>
        </w:rPr>
        <w:t>Net sales by our foreign subsidiaries during fiscal 2010 were $13,728,000, an increase of $281,000, or 2%, from net sales of $13,447,000 during fiscal 2009. Net sales by our foreign subsidiaries represented 6% of our consolidated net sales during fiscal year 2010. Tons sold increased 5% in our Canadian subsidiary, but decreased 21% in our United Kingdom subsidiary. Net sales of our Canadian subsidiary increased due to higher sales of industrial products and a favorable exchange rate for the Canadian Dollar. The Canadian Dollar was about 11% stronger on average against the U.S. Dollar during fiscal 2010 compared fiscal 2009, which resulted in higher sales values after translation to U.S. Dollars. Partially offsetting the higher Canadian net sales was a decline in net sales of industrial absorbents by our United Kingdom subsidiary due primarily to the loss of a key distributor.</w:t>
      </w:r>
    </w:p>
    <w:p>
      <w:pPr>
        <w:spacing w:after="0" w:line="228" w:lineRule="exact"/>
        <w:rPr>
          <w:sz w:val="20"/>
          <w:szCs w:val="20"/>
          <w:color w:val="auto"/>
        </w:rPr>
      </w:pPr>
    </w:p>
    <w:p>
      <w:pPr>
        <w:jc w:val="both"/>
        <w:ind w:firstLine="294"/>
        <w:spacing w:after="0" w:line="290" w:lineRule="auto"/>
        <w:rPr>
          <w:sz w:val="20"/>
          <w:szCs w:val="20"/>
          <w:color w:val="auto"/>
        </w:rPr>
      </w:pPr>
      <w:r>
        <w:rPr>
          <w:rFonts w:ascii="Arial" w:cs="Arial" w:eastAsia="Arial" w:hAnsi="Arial"/>
          <w:sz w:val="16"/>
          <w:szCs w:val="16"/>
          <w:color w:val="auto"/>
        </w:rPr>
        <w:t>For fiscal 2010, our foreign subsidiaries reported a net loss of $519,000, compared to a net loss of $559,000 in fiscal 2009. The decrease in the net loss was due in part to the higher sales for our Canadian subsidiary, which more than offset the sales decline of our United Kingdom subsidiary. In addition, the currency translation loss reported by our foreign operations in fiscal 2010 was significantly less than the loss reported in fiscal 2009. The British Pound declined significantly in value compared to the U.S. Dollar during fiscal 2009, which resulted in a substantial currency translation loss. During fiscal 2010, the British Pound did not fluctuate considerably in value compared to the U.S. Dollar. Negatively impacting the foreign subsidiaries’ operating results were higher packaging and freight costs in our Canadian subsidiary. Packaging cos ts increased due to fluctuations in the cost of polystyrene and freight costs included a multi-year withholding tax charge on our leased railcars.</w:t>
      </w:r>
    </w:p>
    <w:p>
      <w:pPr>
        <w:spacing w:after="0" w:line="226" w:lineRule="exact"/>
        <w:rPr>
          <w:sz w:val="20"/>
          <w:szCs w:val="20"/>
          <w:color w:val="auto"/>
        </w:rPr>
      </w:pPr>
    </w:p>
    <w:p>
      <w:pPr>
        <w:jc w:val="both"/>
        <w:ind w:firstLine="277"/>
        <w:spacing w:after="0" w:line="259" w:lineRule="auto"/>
        <w:rPr>
          <w:sz w:val="20"/>
          <w:szCs w:val="20"/>
          <w:color w:val="auto"/>
        </w:rPr>
      </w:pPr>
      <w:r>
        <w:rPr>
          <w:rFonts w:ascii="Arial" w:cs="Arial" w:eastAsia="Arial" w:hAnsi="Arial"/>
          <w:sz w:val="18"/>
          <w:szCs w:val="18"/>
          <w:color w:val="auto"/>
        </w:rPr>
        <w:t>Identifiable assets of our foreign subsidiaries as of July 31, 2010 were $9,424,000 compared to $9,692,000 as of July 31, 2009. The decrease is primarily due to lower fixed assets that resulted from the sale of a building in our United Kingdom subsidiary and lower accounts receivable and inventories. These decreases were partially offset by higher cash and cash equivalents balances.</w:t>
      </w:r>
    </w:p>
    <w:p>
      <w:pPr>
        <w:spacing w:after="0" w:line="248" w:lineRule="exact"/>
        <w:rPr>
          <w:sz w:val="20"/>
          <w:szCs w:val="20"/>
          <w:color w:val="auto"/>
        </w:rPr>
      </w:pPr>
    </w:p>
    <w:p>
      <w:pPr>
        <w:jc w:val="both"/>
        <w:ind w:firstLine="295"/>
        <w:spacing w:after="0" w:line="291" w:lineRule="auto"/>
        <w:rPr>
          <w:sz w:val="20"/>
          <w:szCs w:val="20"/>
          <w:color w:val="auto"/>
        </w:rPr>
      </w:pPr>
      <w:r>
        <w:rPr>
          <w:rFonts w:ascii="Arial" w:cs="Arial" w:eastAsia="Arial" w:hAnsi="Arial"/>
          <w:sz w:val="16"/>
          <w:szCs w:val="16"/>
          <w:color w:val="auto"/>
        </w:rPr>
        <w:t>Net sales by our foreign subsidiaries during fiscal 2009 were $13,447,000, a decrease of $4,140,000, or 24%, from net sales were $17,587,000 during fiscal 2008. Net sales by our foreign subsidiaries represented 6% of our consolidated net sales during fiscal 2009. Net sales and tons sold decreased in both our Canadian and United Kingdom subsidiaries. Industrial absorbent sales were down for both subsidiaries as the worldwide economic slowdown impacted sales through reduced orders. Aggressive competition in the Canadian cat litter market also resulted in some reduced sales and the loss of a customer. In addition, the British Pound was approximately 5% weaker and the Canadian Dollar was approximately 17% weaker against the U.S. Dollar for fiscal 2009 compared to fiscal 2008, which resulted in lower sales values after translation to U.S. Dollars.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32" w:name="page33"/>
    <w:bookmarkEnd w:id="32"/>
    <w:p>
      <w:pPr>
        <w:jc w:val="both"/>
        <w:ind w:right="20" w:firstLine="278"/>
        <w:spacing w:after="0" w:line="332" w:lineRule="auto"/>
        <w:rPr>
          <w:sz w:val="20"/>
          <w:szCs w:val="20"/>
          <w:color w:val="auto"/>
        </w:rPr>
      </w:pPr>
      <w:r>
        <w:rPr>
          <w:rFonts w:ascii="Arial" w:cs="Arial" w:eastAsia="Arial" w:hAnsi="Arial"/>
          <w:sz w:val="16"/>
          <w:szCs w:val="16"/>
          <w:color w:val="auto"/>
        </w:rPr>
        <w:t>For fiscal 2009, our foreign subsidiaries reported a net loss of $559,000, a decrease of $1,444,000 from the $885,000 net income reported in fiscal 2008. The lower tons sold and currency impacts described above contributed to the net loss, along with increased material and freight costs.</w:t>
      </w:r>
    </w:p>
    <w:p>
      <w:pPr>
        <w:spacing w:after="0" w:line="193" w:lineRule="exact"/>
        <w:rPr>
          <w:sz w:val="20"/>
          <w:szCs w:val="20"/>
          <w:color w:val="auto"/>
        </w:rPr>
      </w:pPr>
    </w:p>
    <w:p>
      <w:pPr>
        <w:jc w:val="both"/>
        <w:ind w:firstLine="330"/>
        <w:spacing w:after="0" w:line="268" w:lineRule="auto"/>
        <w:rPr>
          <w:sz w:val="20"/>
          <w:szCs w:val="20"/>
          <w:color w:val="auto"/>
        </w:rPr>
      </w:pPr>
      <w:r>
        <w:rPr>
          <w:rFonts w:ascii="Arial" w:cs="Arial" w:eastAsia="Arial" w:hAnsi="Arial"/>
          <w:sz w:val="18"/>
          <w:szCs w:val="18"/>
          <w:color w:val="auto"/>
        </w:rPr>
        <w:t>Identifiable assets of our foreign subsidiaries as of July 31, 2009 were $9,692,000 compared to $10,857,000 as of July 31, 2008. Most of the decrease in identifiable assets was in cash and cash equivalents, accounts receivable and inventories.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3"/>
          <w:szCs w:val="13"/>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ESOURCES</w:t>
      </w:r>
    </w:p>
    <w:p>
      <w:pPr>
        <w:spacing w:after="0" w:line="285" w:lineRule="exact"/>
        <w:rPr>
          <w:sz w:val="20"/>
          <w:szCs w:val="20"/>
          <w:color w:val="auto"/>
        </w:rPr>
      </w:pPr>
    </w:p>
    <w:p>
      <w:pPr>
        <w:jc w:val="both"/>
        <w:ind w:firstLine="329"/>
        <w:spacing w:after="0" w:line="298" w:lineRule="auto"/>
        <w:rPr>
          <w:sz w:val="20"/>
          <w:szCs w:val="20"/>
          <w:color w:val="auto"/>
        </w:rPr>
      </w:pPr>
      <w:r>
        <w:rPr>
          <w:rFonts w:ascii="Arial" w:cs="Arial" w:eastAsia="Arial" w:hAnsi="Arial"/>
          <w:sz w:val="16"/>
          <w:szCs w:val="16"/>
          <w:color w:val="auto"/>
        </w:rPr>
        <w:t>Our principal capital requirements include funding working capital needs, purchasing and upgrading real estate, equipment and facilities, and investing in infrastructure and potential acquisitions. We have principally used cash generated from operations and, to the extent needed, issuance of debt securities and borrowings under our credit facilities to fund these requirements. Cash and cash equivalents totaled $18,762,000, $11,839,000 and $6,848,000 at July 31, 2010, 2009 and 2008, respectively. As of July 31, 2010, there were no outstanding borrowings under our revolving credit facility with Harris N.A.</w:t>
      </w:r>
    </w:p>
    <w:p>
      <w:pPr>
        <w:spacing w:after="0" w:line="221" w:lineRule="exact"/>
        <w:rPr>
          <w:sz w:val="20"/>
          <w:szCs w:val="20"/>
          <w:color w:val="auto"/>
        </w:rPr>
      </w:pPr>
    </w:p>
    <w:tbl>
      <w:tblPr>
        <w:tblLayout w:type="fixed"/>
        <w:tblInd w:w="260" w:type="dxa"/>
        <w:tblCellMar>
          <w:top w:w="0" w:type="dxa"/>
          <w:left w:w="0" w:type="dxa"/>
          <w:bottom w:w="0" w:type="dxa"/>
          <w:right w:w="0" w:type="dxa"/>
        </w:tblCellMar>
      </w:tblP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w w:val="96"/>
              </w:rPr>
              <w:t>The following table sets forth certain elements of our Consolidated Statements of Cash Flows (in thousands):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82"/>
        </w:trPr>
        <w:tc>
          <w:tcPr>
            <w:tcW w:w="4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52"/>
              <w:spacing w:after="0"/>
              <w:rPr>
                <w:sz w:val="20"/>
                <w:szCs w:val="20"/>
                <w:color w:val="auto"/>
              </w:rPr>
            </w:pPr>
            <w:r>
              <w:rPr>
                <w:rFonts w:ascii="Arial" w:cs="Arial" w:eastAsia="Arial" w:hAnsi="Arial"/>
                <w:sz w:val="18"/>
                <w:szCs w:val="18"/>
                <w:color w:val="auto"/>
                <w:w w:val="87"/>
              </w:rPr>
              <w:t>Fiscal Year Ended</w:t>
            </w:r>
          </w:p>
        </w:tc>
      </w:tr>
      <w:tr>
        <w:trPr>
          <w:trHeight w:val="228"/>
        </w:trPr>
        <w:tc>
          <w:tcPr>
            <w:tcW w:w="4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800" w:type="dxa"/>
            <w:vAlign w:val="bottom"/>
            <w:gridSpan w:val="2"/>
          </w:tcPr>
          <w:p>
            <w:pPr>
              <w:jc w:val="right"/>
              <w:ind w:right="72"/>
              <w:spacing w:after="0"/>
              <w:rPr>
                <w:sz w:val="20"/>
                <w:szCs w:val="20"/>
                <w:color w:val="auto"/>
              </w:rPr>
            </w:pPr>
            <w:r>
              <w:rPr>
                <w:rFonts w:ascii="Arial" w:cs="Arial" w:eastAsia="Arial" w:hAnsi="Arial"/>
                <w:sz w:val="18"/>
                <w:szCs w:val="18"/>
                <w:color w:val="auto"/>
                <w:w w:val="99"/>
              </w:rPr>
              <w:t>July 31,</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July 31,</w:t>
            </w:r>
          </w:p>
        </w:tc>
        <w:tc>
          <w:tcPr>
            <w:tcW w:w="20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86"/>
              </w:rPr>
              <w:t>July 31,</w:t>
            </w:r>
          </w:p>
        </w:tc>
      </w:tr>
      <w:tr>
        <w:trPr>
          <w:trHeight w:val="252"/>
        </w:trPr>
        <w:tc>
          <w:tcPr>
            <w:tcW w:w="40" w:type="dxa"/>
            <w:vAlign w:val="bottom"/>
          </w:tcPr>
          <w:p>
            <w:pPr>
              <w:spacing w:after="0"/>
              <w:rPr>
                <w:sz w:val="21"/>
                <w:szCs w:val="21"/>
                <w:color w:val="auto"/>
              </w:rPr>
            </w:pPr>
          </w:p>
        </w:tc>
        <w:tc>
          <w:tcPr>
            <w:tcW w:w="83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2010</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9"/>
              </w:rPr>
              <w:t>2009</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2008</w:t>
            </w:r>
          </w:p>
        </w:tc>
      </w:tr>
      <w:tr>
        <w:trPr>
          <w:trHeight w:val="243"/>
        </w:trPr>
        <w:tc>
          <w:tcPr>
            <w:tcW w:w="40" w:type="dxa"/>
            <w:vAlign w:val="bottom"/>
          </w:tcPr>
          <w:p>
            <w:pPr>
              <w:spacing w:after="0"/>
              <w:rPr>
                <w:sz w:val="21"/>
                <w:szCs w:val="21"/>
                <w:color w:val="auto"/>
              </w:rPr>
            </w:pPr>
          </w:p>
        </w:tc>
        <w:tc>
          <w:tcPr>
            <w:tcW w:w="8320" w:type="dxa"/>
            <w:vAlign w:val="bottom"/>
            <w:shd w:val="clear" w:color="auto" w:fill="C0C0C0"/>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4"/>
              </w:rPr>
              <w:t>26,216</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83"/>
              </w:rPr>
              <w:t>15,814</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8"/>
              </w:rPr>
              <w:t>11,341</w:t>
            </w:r>
          </w:p>
        </w:tc>
      </w:tr>
      <w:tr>
        <w:trPr>
          <w:trHeight w:val="235"/>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(7,890)</w:t>
            </w:r>
          </w:p>
        </w:tc>
        <w:tc>
          <w:tcPr>
            <w:tcW w:w="20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1"/>
              </w:rPr>
              <w:t>(2,189)</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(10,890)</w:t>
            </w:r>
          </w:p>
        </w:tc>
      </w:tr>
      <w:tr>
        <w:trPr>
          <w:trHeight w:val="251"/>
        </w:trPr>
        <w:tc>
          <w:tcPr>
            <w:tcW w:w="40" w:type="dxa"/>
            <w:vAlign w:val="bottom"/>
          </w:tcPr>
          <w:p>
            <w:pPr>
              <w:spacing w:after="0"/>
              <w:rPr>
                <w:sz w:val="21"/>
                <w:szCs w:val="21"/>
                <w:color w:val="auto"/>
              </w:rPr>
            </w:pPr>
          </w:p>
        </w:tc>
        <w:tc>
          <w:tcPr>
            <w:tcW w:w="8320" w:type="dxa"/>
            <w:vAlign w:val="bottom"/>
            <w:shd w:val="clear" w:color="auto" w:fill="C0C0C0"/>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86"/>
              </w:rPr>
              <w:t>(11,314)</w:t>
            </w:r>
          </w:p>
        </w:tc>
        <w:tc>
          <w:tcPr>
            <w:tcW w:w="20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1"/>
              </w:rPr>
              <w:t>(9,082)</w:t>
            </w:r>
          </w:p>
        </w:tc>
        <w:tc>
          <w:tcPr>
            <w:tcW w:w="20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(5,666)</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0"/>
                <w:szCs w:val="20"/>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0"/>
        </w:trPr>
        <w:tc>
          <w:tcPr>
            <w:tcW w:w="40" w:type="dxa"/>
            <w:vAlign w:val="bottom"/>
          </w:tcPr>
          <w:p>
            <w:pPr>
              <w:spacing w:after="0"/>
              <w:rPr>
                <w:sz w:val="21"/>
                <w:szCs w:val="21"/>
                <w:color w:val="auto"/>
              </w:rPr>
            </w:pPr>
          </w:p>
        </w:tc>
        <w:tc>
          <w:tcPr>
            <w:tcW w:w="8320" w:type="dxa"/>
            <w:vAlign w:val="bottom"/>
            <w:tcBorders>
              <w:top w:val="single" w:sz="8" w:color="C0C0C0"/>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6,923</w:t>
            </w:r>
          </w:p>
        </w:tc>
        <w:tc>
          <w:tcPr>
            <w:tcW w:w="2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4,991</w:t>
            </w:r>
          </w:p>
        </w:tc>
        <w:tc>
          <w:tcPr>
            <w:tcW w:w="2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(5,285)</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79" w:lineRule="exact"/>
        <w:rPr>
          <w:sz w:val="20"/>
          <w:szCs w:val="20"/>
          <w:color w:val="auto"/>
        </w:rPr>
      </w:pPr>
    </w:p>
    <w:p>
      <w:pPr>
        <w:jc w:val="both"/>
        <w:ind w:firstLine="278"/>
        <w:spacing w:after="0" w:line="290" w:lineRule="auto"/>
        <w:rPr>
          <w:sz w:val="20"/>
          <w:szCs w:val="20"/>
          <w:color w:val="auto"/>
        </w:rPr>
      </w:pPr>
      <w:r>
        <w:rPr>
          <w:rFonts w:ascii="Arial" w:cs="Arial" w:eastAsia="Arial" w:hAnsi="Arial"/>
          <w:sz w:val="16"/>
          <w:szCs w:val="16"/>
          <w:color w:val="auto"/>
        </w:rPr>
        <w:t>In fiscal 2010, net cash provided by operations was $26,216,000, an increase of $10,402,000 from fiscal 2009, due primarily to changes in working capital, a decrease in other assets and an increase in other liabilities. Other assets decreased due primarily to payments received on a lease receivable and amortization of intangible assets. These decreases were partially offset by an increase in the cash surrender value of life insurance on key employees. Other liabilities increased due primarily to higher accruals for postretirement benefits, deferred compensation and reclamation costs for mining properties. The postretirement benefits are based on actuarially calculated benefit obligations. See Note 9 of the Notes to the Consolidated Financial Statements for more information regarding our employee benefit plans. Deferred compensation increased due to conti nued deferrals and earnings on deferred balances in excess of payout. The higher reclamation liability is the result of ongoing mining activities and acquisition of mining property during fiscal 2010.</w:t>
      </w:r>
    </w:p>
    <w:p>
      <w:pPr>
        <w:spacing w:after="0" w:line="226" w:lineRule="exact"/>
        <w:rPr>
          <w:sz w:val="20"/>
          <w:szCs w:val="20"/>
          <w:color w:val="auto"/>
        </w:rPr>
      </w:pPr>
    </w:p>
    <w:p>
      <w:pPr>
        <w:jc w:val="both"/>
        <w:ind w:firstLine="294"/>
        <w:spacing w:after="0" w:line="256" w:lineRule="auto"/>
        <w:rPr>
          <w:sz w:val="20"/>
          <w:szCs w:val="20"/>
          <w:color w:val="auto"/>
        </w:rPr>
      </w:pPr>
      <w:r>
        <w:rPr>
          <w:rFonts w:ascii="Arial" w:cs="Arial" w:eastAsia="Arial" w:hAnsi="Arial"/>
          <w:sz w:val="18"/>
          <w:szCs w:val="18"/>
          <w:color w:val="auto"/>
        </w:rPr>
        <w:t>In fiscal 2009, net cash provided by operations was $15,814,000, an increase of $4,473,000 from fiscal 2008, due primarily to an increase in other liabilities and changes in working capital. Other liabilities increased in fiscal 2009 due to higher postretirement benefit liabilities based on actuarially calculated benefit obligations and lower pension asset values as of July 31, 2009. Deferred compensation also increased due to continued deferrals and earnings on deferred balances in excess of payouts.</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changes in the primary components of working capital and other accounts that impacted operating cash flows for these years are as follows:</w:t>
      </w:r>
    </w:p>
    <w:p>
      <w:pPr>
        <w:spacing w:after="0" w:line="302" w:lineRule="exact"/>
        <w:rPr>
          <w:sz w:val="20"/>
          <w:szCs w:val="20"/>
          <w:color w:val="auto"/>
        </w:rPr>
      </w:pPr>
    </w:p>
    <w:p>
      <w:pPr>
        <w:jc w:val="both"/>
        <w:ind w:firstLine="277"/>
        <w:spacing w:after="0" w:line="256" w:lineRule="auto"/>
        <w:rPr>
          <w:sz w:val="20"/>
          <w:szCs w:val="20"/>
          <w:color w:val="auto"/>
        </w:rPr>
      </w:pPr>
      <w:r>
        <w:rPr>
          <w:rFonts w:ascii="Arial" w:cs="Arial" w:eastAsia="Arial" w:hAnsi="Arial"/>
          <w:sz w:val="18"/>
          <w:szCs w:val="18"/>
          <w:color w:val="auto"/>
        </w:rPr>
        <w:t>Accounts receivable, less allowance for doubtful accounts, decreased $1,822,000 at fiscal year-end 2010 compared to fiscal year-end 2009. The decrease was due primarily to lower fiscal 2010 fourth quarter sales compared to fiscal 2009 fourth quarter sales. Accounts receivable, less allowance for doubtful accounts, decreased $2,383,000 at fiscal year-end 2009 compared to fiscal year-end 2008. The decrease was due primarily to lower fiscal 2009 fourth quarter sales, particularly during the month of July, compared to 2008 fourth quarter sales.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33" w:name="page34"/>
    <w:bookmarkEnd w:id="33"/>
    <w:p>
      <w:pPr>
        <w:jc w:val="both"/>
        <w:ind w:firstLine="313"/>
        <w:spacing w:after="0" w:line="306" w:lineRule="auto"/>
        <w:rPr>
          <w:sz w:val="20"/>
          <w:szCs w:val="20"/>
          <w:color w:val="auto"/>
        </w:rPr>
      </w:pPr>
      <w:r>
        <w:rPr>
          <w:rFonts w:ascii="Arial" w:cs="Arial" w:eastAsia="Arial" w:hAnsi="Arial"/>
          <w:sz w:val="16"/>
          <w:szCs w:val="16"/>
          <w:color w:val="auto"/>
        </w:rPr>
        <w:t>Inventories were $1,772,000 lower at fiscal year-end 2010 compared to fiscal year-end 2009. Finished goods and packaging inventories were down due to lower sales requirements. Lower packaging costs also contributed to lower packaging inventories. Inventories were up $51,000 at fiscal year-end 2009 compared to fiscal year-end 2008 due to a higher finished goods inventory that offset a lower packaging inventory.</w:t>
      </w:r>
    </w:p>
    <w:p>
      <w:pPr>
        <w:spacing w:after="0" w:line="215" w:lineRule="exact"/>
        <w:rPr>
          <w:sz w:val="20"/>
          <w:szCs w:val="20"/>
          <w:color w:val="auto"/>
        </w:rPr>
      </w:pPr>
    </w:p>
    <w:p>
      <w:pPr>
        <w:jc w:val="both"/>
        <w:ind w:firstLine="264"/>
        <w:spacing w:after="0" w:line="255" w:lineRule="auto"/>
        <w:rPr>
          <w:sz w:val="20"/>
          <w:szCs w:val="20"/>
          <w:color w:val="auto"/>
        </w:rPr>
      </w:pPr>
      <w:r>
        <w:rPr>
          <w:rFonts w:ascii="Arial" w:cs="Arial" w:eastAsia="Arial" w:hAnsi="Arial"/>
          <w:sz w:val="18"/>
          <w:szCs w:val="18"/>
          <w:color w:val="auto"/>
        </w:rPr>
        <w:t>Accounts payable increased $1,702,000 at fiscal year-end 2010 compared to fiscal year-end 2009 due primarily to higher income taxes payable. Income taxes payable increased due to current year tax accruals and increased deferred tax assets related to accrued expenses. See Note 6 of the Notes to the Consolidated Financial Statements for additional information about income taxes. Accounts payable decreased $2,187,000 at fiscal year-end 2009 compared to fiscal year-end 2008 as the result of fewer purchases due to lower sales and production levels during the fourth quarter of fiscal 2009. Changes in all periods are also subject to normal fluctuations in the timing of payments.</w:t>
      </w:r>
    </w:p>
    <w:p>
      <w:pPr>
        <w:spacing w:after="0" w:line="251"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8"/>
          <w:szCs w:val="18"/>
          <w:color w:val="auto"/>
        </w:rPr>
        <w:t>Accrued expenses increased $2,496,000 at fiscal year-end 2010 compared to fiscal year-end 2009. Accrued expenses included a higher discretionary bonus accrual for fiscal 2010. Accrued freight and other accrued operating expenses increased due to timing of payments. Accrued trade promotions and advertising increased due to more marketing programs. Accrued expenses decreased $1,841,000 at fiscal year-end 2009 compared to fiscal year-end 2008. Accrued freight decreased $1,272,000 and other accrued expenses decreased $732,000 at fiscal year-end 2009 due primarily to lower sales and production levels during the fourth quarter of fiscal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9" w:lineRule="exact"/>
        <w:rPr>
          <w:sz w:val="20"/>
          <w:szCs w:val="20"/>
          <w:color w:val="auto"/>
        </w:rPr>
      </w:pPr>
    </w:p>
    <w:p>
      <w:pPr>
        <w:jc w:val="both"/>
        <w:ind w:firstLine="279"/>
        <w:spacing w:after="0" w:line="255" w:lineRule="auto"/>
        <w:rPr>
          <w:sz w:val="20"/>
          <w:szCs w:val="20"/>
          <w:color w:val="auto"/>
        </w:rPr>
      </w:pPr>
      <w:r>
        <w:rPr>
          <w:rFonts w:ascii="Arial" w:cs="Arial" w:eastAsia="Arial" w:hAnsi="Arial"/>
          <w:sz w:val="18"/>
          <w:szCs w:val="18"/>
          <w:color w:val="auto"/>
        </w:rPr>
        <w:t>Cash used in investing activities was $7,890,000 in fiscal 2010 compared to $2,189,000 in fiscal 2009. During fiscal 2010, cash provided by net dispositions of short-term investment securities was $2,148,000 compared to $13,037,000 in fiscal 2009. In fiscal 2009, the additional proceeds from disposition of short-term securities were used to fund higher debt payments and capital expenditures, including projects related to new product development at our manufacturing facilities. Capital expenditures were $15,253,000 in fiscal 2009 compared to $10,413,000 in fiscal 2010. Fiscal 2010 capital expenditures included $3,000,000 to purchase land and mineral rights near our Georgia production plant.</w:t>
      </w:r>
    </w:p>
    <w:p>
      <w:pPr>
        <w:spacing w:after="0" w:line="251" w:lineRule="exact"/>
        <w:rPr>
          <w:sz w:val="20"/>
          <w:szCs w:val="20"/>
          <w:color w:val="auto"/>
        </w:rPr>
      </w:pPr>
    </w:p>
    <w:p>
      <w:pPr>
        <w:jc w:val="both"/>
        <w:ind w:firstLine="313"/>
        <w:spacing w:after="0" w:line="290" w:lineRule="auto"/>
        <w:rPr>
          <w:sz w:val="20"/>
          <w:szCs w:val="20"/>
          <w:color w:val="auto"/>
        </w:rPr>
      </w:pPr>
      <w:r>
        <w:rPr>
          <w:rFonts w:ascii="Arial" w:cs="Arial" w:eastAsia="Arial" w:hAnsi="Arial"/>
          <w:sz w:val="16"/>
          <w:szCs w:val="16"/>
          <w:color w:val="auto"/>
        </w:rPr>
        <w:t>Cash used in investing activities was $2,189,000 in fiscal 2009 compared to $10,890,000 in fiscal 2008. During fiscal 2009, net dispositions of short-term investment securities were $13,037,000 compared to net purchases of short-term investment securities of $2,331,000 in fiscal 2008. In fiscal 2009, proceeds from disposition of investment securities were used to fund higher requirements for capital expenditures and debt payments. In addition, during fiscal 2008 we modified our investment strategy to allocate a greater portion of our financial resources to investments versus cash. Purchases and dispositions of investment securities in both periods are also subject to variations in the timing of investment maturities. Capital expenditures were $15,253,000 during fiscal 2009 compared to $7,302,000 in fiscal 2008. Significant capital projects related to new product development at our manufacturing facilities and the purchase of land used cash in fiscal 2009. During fiscal 2008, we also used $1,300,000 to purchase strategic intangible assets in the Retail and Wholesale Products Group.</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79" w:lineRule="exact"/>
        <w:rPr>
          <w:sz w:val="20"/>
          <w:szCs w:val="20"/>
          <w:color w:val="auto"/>
        </w:rPr>
      </w:pPr>
    </w:p>
    <w:p>
      <w:pPr>
        <w:jc w:val="both"/>
        <w:ind w:firstLine="263"/>
        <w:spacing w:after="0" w:line="255" w:lineRule="auto"/>
        <w:rPr>
          <w:sz w:val="20"/>
          <w:szCs w:val="20"/>
          <w:color w:val="auto"/>
        </w:rPr>
      </w:pPr>
      <w:r>
        <w:rPr>
          <w:rFonts w:ascii="Arial" w:cs="Arial" w:eastAsia="Arial" w:hAnsi="Arial"/>
          <w:sz w:val="18"/>
          <w:szCs w:val="18"/>
          <w:color w:val="auto"/>
        </w:rPr>
        <w:t>Cash used in financing activities was $11,314,000 in fiscal 2010 compared to $9,082,000 in fiscal 2009. Cash was used in fiscal 2010 primarily for purchases of treasury stock, payments of dividends and principal payments on long-term debt. In fiscal 2010, payments for purchases of treasury stock and for dividends were $5,332,000 and $308,000 higher, respectively, compared to fiscal 2009; however, payments on long-term debt were $2,380,000 lower in accordance with our debt agreements. In addition, proceeds from re-issuance of treasury stock and issuance of new Common Stock during fiscal 2010 were $695,000 higher as a result of more stock option exercises.</w:t>
      </w:r>
    </w:p>
    <w:p>
      <w:pPr>
        <w:spacing w:after="0" w:line="251"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8"/>
          <w:szCs w:val="18"/>
          <w:color w:val="auto"/>
        </w:rPr>
        <w:t>Cash used in financing activities was $9,082,000 in fiscal 2009 compared to $5,666,000 in fiscal 2008. We used cash in fiscal 2009 primarily for principal payments on long-term debt, dividends and purchases of treasury stock. Payments on long-term debt were $1,500,000 higher in fiscal 2009 in accordance with our debt agreements. Cash used to purchase treasury stock was $636,000 higher in fiscal 2009. Dividends paid were $307,000 higher in fiscal 2009 due to a dividend increase. In addition, proceeds from re-issuance of treasury stock and issuance of new Common Stock during fiscal 2009 were $811,000 lower as a result of less stock option exercise activity.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Other</w:t>
      </w:r>
    </w:p>
    <w:p>
      <w:pPr>
        <w:spacing w:after="0" w:line="279" w:lineRule="exact"/>
        <w:rPr>
          <w:sz w:val="20"/>
          <w:szCs w:val="20"/>
          <w:color w:val="auto"/>
        </w:rPr>
      </w:pPr>
    </w:p>
    <w:p>
      <w:pPr>
        <w:jc w:val="both"/>
        <w:ind w:firstLine="414"/>
        <w:spacing w:after="0" w:line="268" w:lineRule="auto"/>
        <w:rPr>
          <w:sz w:val="20"/>
          <w:szCs w:val="20"/>
          <w:color w:val="auto"/>
        </w:rPr>
      </w:pPr>
      <w:r>
        <w:rPr>
          <w:rFonts w:ascii="Arial" w:cs="Arial" w:eastAsia="Arial" w:hAnsi="Arial"/>
          <w:sz w:val="18"/>
          <w:szCs w:val="18"/>
          <w:color w:val="auto"/>
        </w:rPr>
        <w:t>Total cash and investment balances held by our foreign subsidiaries at July 31, 2010, 2009 and 2008 were $1,773,000, $1,030,000 and $1,607,000, respectively. Cash and investment balances fluctuated due to normal business operations.</w:t>
      </w:r>
    </w:p>
    <w:p>
      <w:pPr>
        <w:spacing w:after="0" w:line="240" w:lineRule="exact"/>
        <w:rPr>
          <w:sz w:val="20"/>
          <w:szCs w:val="20"/>
          <w:color w:val="auto"/>
        </w:rPr>
      </w:pPr>
    </w:p>
    <w:p>
      <w:pPr>
        <w:jc w:val="both"/>
        <w:ind w:firstLine="260"/>
        <w:spacing w:after="0" w:line="259" w:lineRule="auto"/>
        <w:rPr>
          <w:sz w:val="20"/>
          <w:szCs w:val="20"/>
          <w:color w:val="auto"/>
        </w:rPr>
      </w:pPr>
      <w:r>
        <w:rPr>
          <w:rFonts w:ascii="Arial" w:cs="Arial" w:eastAsia="Arial" w:hAnsi="Arial"/>
          <w:sz w:val="18"/>
          <w:szCs w:val="18"/>
          <w:color w:val="auto"/>
        </w:rPr>
        <w:t>As part of the normal course of business, we guarantee certain debts and trade payables of our wholly-owned subsidiaries. These arrangements are made at the request of the subsidiaries’ creditors, as separate financial statements are not distributed for the wholly-owned subsidiaries. As of July 31, 2010, the value of these guarantees was $129,000 of lease liabilities.</w:t>
      </w:r>
    </w:p>
    <w:p>
      <w:pPr>
        <w:spacing w:after="0" w:line="248"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We have a $15,000,000 unsecured revolving credit agreement with Harris N.A. (“Harris”) which will expire December 31, 2011. The credit agreement provides that we may select a variable rate based on either Harris’ prime rate or a LIBOR-based rate, plus a margin which varies depending on our debt to earnings ratio, or a fixed rate as agreed between us and Harris. At July 31, 2010, the variable rates would have been 3.3% for the Harris’ prime-based rate or 1.6%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July 31, 2010 and 2009, there were no outstanding bo rrowings under this credit facility and we were in compliance with its covenants.</w:t>
      </w:r>
    </w:p>
    <w:p>
      <w:pPr>
        <w:spacing w:after="0" w:line="228" w:lineRule="exact"/>
        <w:rPr>
          <w:sz w:val="20"/>
          <w:szCs w:val="20"/>
          <w:color w:val="auto"/>
        </w:rPr>
      </w:pPr>
    </w:p>
    <w:p>
      <w:pPr>
        <w:jc w:val="both"/>
        <w:ind w:firstLine="260"/>
        <w:spacing w:after="0" w:line="314" w:lineRule="auto"/>
        <w:rPr>
          <w:sz w:val="20"/>
          <w:szCs w:val="20"/>
          <w:color w:val="auto"/>
        </w:rPr>
      </w:pPr>
      <w:r>
        <w:rPr>
          <w:rFonts w:ascii="Arial" w:cs="Arial" w:eastAsia="Arial" w:hAnsi="Arial"/>
          <w:sz w:val="15"/>
          <w:szCs w:val="15"/>
          <w:color w:val="auto"/>
        </w:rPr>
        <w:t>We believe that cash flow from operations, availability under our revolving credit facility and current cash and investment balances will provide adequate cash funds for foreseeable working capital needs, capital expenditures at existing facilities and debt service obligations for at least the next 12 months. We expect cash requirements for capital expenditures in fiscal 2011 to be slightly higher than capital expenditures in fiscal 2010.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 w business ventures or acquisitions that we complete may also impact our cash 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BLIGATIONS AND</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C</w:t>
      </w:r>
      <w:r>
        <w:rPr>
          <w:rFonts w:ascii="Arial" w:cs="Arial" w:eastAsia="Arial" w:hAnsi="Arial"/>
          <w:sz w:val="13"/>
          <w:szCs w:val="13"/>
          <w:b w:val="1"/>
          <w:bCs w:val="1"/>
          <w:color w:val="auto"/>
        </w:rPr>
        <w:t>OMMITMENTS</w:t>
      </w:r>
    </w:p>
    <w:p>
      <w:pPr>
        <w:spacing w:after="0" w:line="285"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Our capital requirements are subject to change as business conditions warrant and opportunities arise. The following tables summarize our significant contractual obligations and commercial commitments at July 31, 2010 and the effect such obligations are expected to have on liquidity and cash flows in future periods: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9"/>
          </w:tcPr>
          <w:p>
            <w:pPr>
              <w:jc w:val="right"/>
              <w:ind w:right="780"/>
              <w:spacing w:after="0"/>
              <w:rPr>
                <w:sz w:val="20"/>
                <w:szCs w:val="20"/>
                <w:color w:val="auto"/>
              </w:rPr>
            </w:pPr>
            <w:r>
              <w:rPr>
                <w:rFonts w:ascii="Arial" w:cs="Arial" w:eastAsia="Arial" w:hAnsi="Arial"/>
                <w:sz w:val="18"/>
                <w:szCs w:val="18"/>
                <w:b w:val="1"/>
                <w:bCs w:val="1"/>
                <w:color w:val="auto"/>
              </w:rPr>
              <w:t>Payments Due by Period</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6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Less Than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w w:val="98"/>
              </w:rPr>
              <w:t>After 5</w:t>
            </w:r>
          </w:p>
        </w:tc>
        <w:tc>
          <w:tcPr>
            <w:tcW w:w="20" w:type="dxa"/>
            <w:vAlign w:val="bottom"/>
          </w:tcPr>
          <w:p>
            <w:pPr>
              <w:spacing w:after="0"/>
              <w:rPr>
                <w:sz w:val="19"/>
                <w:szCs w:val="19"/>
                <w:color w:val="auto"/>
              </w:rPr>
            </w:pPr>
          </w:p>
        </w:tc>
      </w:tr>
      <w:tr>
        <w:trPr>
          <w:trHeight w:val="251"/>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Contractual Obligations</w:t>
            </w:r>
          </w:p>
        </w:tc>
        <w:tc>
          <w:tcPr>
            <w:tcW w:w="140" w:type="dxa"/>
            <w:vAlign w:val="bottom"/>
            <w:tcBorders>
              <w:bottom w:val="single" w:sz="8" w:color="C0C0C0"/>
            </w:tcBorders>
          </w:tcPr>
          <w:p>
            <w:pPr>
              <w:spacing w:after="0"/>
              <w:rPr>
                <w:sz w:val="21"/>
                <w:szCs w:val="21"/>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Year</w:t>
            </w:r>
          </w:p>
        </w:tc>
        <w:tc>
          <w:tcPr>
            <w:tcW w:w="140" w:type="dxa"/>
            <w:vAlign w:val="bottom"/>
            <w:tcBorders>
              <w:bottom w:val="single" w:sz="8" w:color="C0C0C0"/>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1 – 3 Years</w:t>
            </w:r>
          </w:p>
        </w:tc>
        <w:tc>
          <w:tcPr>
            <w:tcW w:w="8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4 – 5 Years</w:t>
            </w:r>
          </w:p>
        </w:tc>
        <w:tc>
          <w:tcPr>
            <w:tcW w:w="14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Years</w:t>
            </w:r>
          </w:p>
        </w:tc>
        <w:tc>
          <w:tcPr>
            <w:tcW w:w="20" w:type="dxa"/>
            <w:vAlign w:val="bottom"/>
          </w:tcPr>
          <w:p>
            <w:pPr>
              <w:spacing w:after="0"/>
              <w:rPr>
                <w:sz w:val="21"/>
                <w:szCs w:val="21"/>
                <w:color w:val="auto"/>
              </w:rPr>
            </w:pPr>
          </w:p>
        </w:tc>
      </w:tr>
      <w:tr>
        <w:trPr>
          <w:trHeight w:val="243"/>
        </w:trPr>
        <w:tc>
          <w:tcPr>
            <w:tcW w:w="6220" w:type="dxa"/>
            <w:vAlign w:val="bottom"/>
            <w:shd w:val="clear" w:color="auto" w:fill="C0C0C0"/>
          </w:tcPr>
          <w:p>
            <w:pPr>
              <w:spacing w:after="0"/>
              <w:rPr>
                <w:sz w:val="20"/>
                <w:szCs w:val="20"/>
                <w:color w:val="auto"/>
              </w:rPr>
            </w:pPr>
            <w:r>
              <w:rPr>
                <w:rFonts w:ascii="Arial" w:cs="Arial" w:eastAsia="Arial" w:hAnsi="Arial"/>
                <w:sz w:val="18"/>
                <w:szCs w:val="18"/>
                <w:color w:val="auto"/>
              </w:rPr>
              <w:t>Long-Term Debt</w:t>
            </w:r>
          </w:p>
        </w:tc>
        <w:tc>
          <w:tcPr>
            <w:tcW w:w="10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8"/>
              </w:rPr>
              <w:t>$ 18,300,000</w:t>
            </w:r>
          </w:p>
        </w:tc>
        <w:tc>
          <w:tcPr>
            <w:tcW w:w="30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3,500,000</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7,400,000</w:t>
            </w:r>
          </w:p>
        </w:tc>
        <w:tc>
          <w:tcPr>
            <w:tcW w:w="80" w:type="dxa"/>
            <w:vAlign w:val="bottom"/>
            <w:shd w:val="clear" w:color="auto" w:fill="C0C0C0"/>
          </w:tcPr>
          <w:p>
            <w:pPr>
              <w:spacing w:after="0"/>
              <w:rPr>
                <w:sz w:val="21"/>
                <w:szCs w:val="21"/>
                <w:color w:val="auto"/>
              </w:rPr>
            </w:pP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2"/>
              </w:rPr>
              <w:t>7,000,000</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21"/>
                <w:szCs w:val="21"/>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8"/>
                <w:szCs w:val="18"/>
                <w:color w:val="auto"/>
              </w:rPr>
              <w:t>Interest on Long-Term</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2,969,000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1,067,000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1,431,000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459,000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12,000</w:t>
            </w:r>
          </w:p>
        </w:tc>
      </w:tr>
      <w:tr>
        <w:trPr>
          <w:trHeight w:val="251"/>
        </w:trPr>
        <w:tc>
          <w:tcPr>
            <w:tcW w:w="6220" w:type="dxa"/>
            <w:vAlign w:val="bottom"/>
          </w:tcPr>
          <w:p>
            <w:pPr>
              <w:spacing w:after="0"/>
              <w:rPr>
                <w:sz w:val="20"/>
                <w:szCs w:val="20"/>
                <w:color w:val="auto"/>
              </w:rPr>
            </w:pPr>
            <w:r>
              <w:rPr>
                <w:rFonts w:ascii="Arial" w:cs="Arial" w:eastAsia="Arial" w:hAnsi="Arial"/>
                <w:sz w:val="18"/>
                <w:szCs w:val="18"/>
                <w:color w:val="auto"/>
              </w:rPr>
              <w:t>Debt</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1"/>
        </w:trPr>
        <w:tc>
          <w:tcPr>
            <w:tcW w:w="6220" w:type="dxa"/>
            <w:vAlign w:val="bottom"/>
            <w:shd w:val="clear" w:color="auto" w:fill="C0C0C0"/>
          </w:tcPr>
          <w:p>
            <w:pPr>
              <w:spacing w:after="0"/>
              <w:rPr>
                <w:sz w:val="20"/>
                <w:szCs w:val="20"/>
                <w:color w:val="auto"/>
              </w:rPr>
            </w:pPr>
            <w:r>
              <w:rPr>
                <w:rFonts w:ascii="Arial" w:cs="Arial" w:eastAsia="Arial" w:hAnsi="Arial"/>
                <w:sz w:val="18"/>
                <w:szCs w:val="18"/>
                <w:color w:val="auto"/>
              </w:rPr>
              <w:t>Capital Leases</w:t>
            </w:r>
          </w:p>
        </w:tc>
        <w:tc>
          <w:tcPr>
            <w:tcW w:w="10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81,000</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49,000</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32,000</w:t>
            </w:r>
          </w:p>
        </w:tc>
        <w:tc>
          <w:tcPr>
            <w:tcW w:w="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5"/>
        </w:trPr>
        <w:tc>
          <w:tcPr>
            <w:tcW w:w="6220" w:type="dxa"/>
            <w:vAlign w:val="bottom"/>
          </w:tcPr>
          <w:p>
            <w:pPr>
              <w:spacing w:after="0"/>
              <w:rPr>
                <w:sz w:val="20"/>
                <w:szCs w:val="20"/>
                <w:color w:val="auto"/>
              </w:rPr>
            </w:pPr>
            <w:r>
              <w:rPr>
                <w:rFonts w:ascii="Arial" w:cs="Arial" w:eastAsia="Arial" w:hAnsi="Arial"/>
                <w:sz w:val="18"/>
                <w:szCs w:val="18"/>
                <w:color w:val="auto"/>
              </w:rPr>
              <w:t>Operating Leases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11,103,000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1,972,000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2,813,000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1,809,000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4,509,000</w:t>
            </w:r>
          </w:p>
        </w:tc>
      </w:tr>
      <w:tr>
        <w:trPr>
          <w:trHeight w:val="235"/>
        </w:trPr>
        <w:tc>
          <w:tcPr>
            <w:tcW w:w="6220" w:type="dxa"/>
            <w:vAlign w:val="bottom"/>
            <w:shd w:val="clear" w:color="auto" w:fill="C0C0C0"/>
          </w:tcPr>
          <w:p>
            <w:pPr>
              <w:spacing w:after="0"/>
              <w:rPr>
                <w:sz w:val="20"/>
                <w:szCs w:val="20"/>
                <w:color w:val="auto"/>
              </w:rPr>
            </w:pPr>
            <w:r>
              <w:rPr>
                <w:rFonts w:ascii="Arial" w:cs="Arial" w:eastAsia="Arial" w:hAnsi="Arial"/>
                <w:sz w:val="18"/>
                <w:szCs w:val="18"/>
                <w:color w:val="auto"/>
              </w:rPr>
              <w:t>Unconditional Purchase</w:t>
            </w:r>
          </w:p>
        </w:tc>
        <w:tc>
          <w:tcPr>
            <w:tcW w:w="14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59"/>
        </w:trPr>
        <w:tc>
          <w:tcPr>
            <w:tcW w:w="6220" w:type="dxa"/>
            <w:vAlign w:val="bottom"/>
            <w:shd w:val="clear" w:color="auto" w:fill="C0C0C0"/>
          </w:tcPr>
          <w:p>
            <w:pPr>
              <w:spacing w:after="0"/>
              <w:rPr>
                <w:sz w:val="20"/>
                <w:szCs w:val="20"/>
                <w:color w:val="auto"/>
              </w:rPr>
            </w:pPr>
            <w:r>
              <w:rPr>
                <w:rFonts w:ascii="Arial" w:cs="Arial" w:eastAsia="Arial" w:hAnsi="Arial"/>
                <w:sz w:val="18"/>
                <w:szCs w:val="18"/>
                <w:color w:val="auto"/>
              </w:rPr>
              <w:t>Obligations</w:t>
            </w:r>
          </w:p>
        </w:tc>
        <w:tc>
          <w:tcPr>
            <w:tcW w:w="10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1,988,000</w:t>
            </w:r>
          </w:p>
        </w:tc>
        <w:tc>
          <w:tcPr>
            <w:tcW w:w="14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1,988,000</w:t>
            </w:r>
          </w:p>
        </w:tc>
        <w:tc>
          <w:tcPr>
            <w:tcW w:w="1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2"/>
                <w:szCs w:val="22"/>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21"/>
        </w:trPr>
        <w:tc>
          <w:tcPr>
            <w:tcW w:w="6220" w:type="dxa"/>
            <w:vAlign w:val="bottom"/>
          </w:tcPr>
          <w:p>
            <w:pPr>
              <w:spacing w:after="0"/>
              <w:rPr>
                <w:sz w:val="20"/>
                <w:szCs w:val="20"/>
                <w:color w:val="auto"/>
              </w:rPr>
            </w:pPr>
            <w:r>
              <w:rPr>
                <w:rFonts w:ascii="Arial" w:cs="Arial" w:eastAsia="Arial" w:hAnsi="Arial"/>
                <w:sz w:val="18"/>
                <w:szCs w:val="18"/>
                <w:color w:val="auto"/>
              </w:rPr>
              <w:t>Total Contractual Cash</w:t>
            </w:r>
          </w:p>
        </w:tc>
        <w:tc>
          <w:tcPr>
            <w:tcW w:w="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8"/>
        </w:trPr>
        <w:tc>
          <w:tcPr>
            <w:tcW w:w="6220" w:type="dxa"/>
            <w:vAlign w:val="bottom"/>
          </w:tcPr>
          <w:p>
            <w:pPr>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$ 34,441,000</w:t>
            </w:r>
          </w:p>
        </w:tc>
        <w:tc>
          <w:tcPr>
            <w:tcW w:w="1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8,576,000</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11,676,000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9,268,000</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4,921,000</w:t>
            </w:r>
          </w:p>
        </w:tc>
      </w:tr>
      <w:tr>
        <w:trPr>
          <w:trHeight w:val="28"/>
        </w:trPr>
        <w:tc>
          <w:tcPr>
            <w:tcW w:w="6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302" w:lineRule="exact"/>
        <w:rPr>
          <w:sz w:val="20"/>
          <w:szCs w:val="20"/>
          <w:color w:val="auto"/>
        </w:rPr>
      </w:pPr>
    </w:p>
    <w:p>
      <w:pPr>
        <w:jc w:val="both"/>
        <w:ind w:firstLine="280"/>
        <w:spacing w:after="0" w:line="259" w:lineRule="auto"/>
        <w:rPr>
          <w:sz w:val="20"/>
          <w:szCs w:val="20"/>
          <w:color w:val="auto"/>
        </w:rPr>
      </w:pPr>
      <w:r>
        <w:rPr>
          <w:rFonts w:ascii="Arial" w:cs="Arial" w:eastAsia="Arial" w:hAnsi="Arial"/>
          <w:sz w:val="18"/>
          <w:szCs w:val="18"/>
          <w:color w:val="auto"/>
        </w:rPr>
        <w:t>The unconditional purchase obligations represent forward purchase contracts we have entered into for a portion of our natural gas fuel needs for fiscal 2011. As of July 31, 2010, the remaining purchase obligation was $1,988,000 for 360,000 MMBtu for fiscal 2011. These contracts were entered into in the normal course of business and no contracts were entered into for speculative purposes.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35" w:name="page36"/>
    <w:bookmarkEnd w:id="35"/>
    <w:p>
      <w:pPr>
        <w:jc w:val="both"/>
        <w:ind w:firstLine="295"/>
        <w:spacing w:after="0" w:line="256" w:lineRule="auto"/>
        <w:rPr>
          <w:sz w:val="20"/>
          <w:szCs w:val="20"/>
          <w:color w:val="auto"/>
        </w:rPr>
      </w:pPr>
      <w:r>
        <w:rPr>
          <w:rFonts w:ascii="Arial" w:cs="Arial" w:eastAsia="Arial" w:hAnsi="Arial"/>
          <w:sz w:val="18"/>
          <w:szCs w:val="18"/>
          <w:color w:val="auto"/>
        </w:rPr>
        <w:t>In the third quarter of fiscal 2010, we made a contribution of $922,000 to our defined benefit pension plan. We have not presented this obligation for future years in the table above because the funding requirement can vary from year to year based on changes in the fair value of plan assets and actuarial assumptions. See Item 7A “Quantitative and Qualitative Disclosures About Market Risk” below for certain information regarding the potential impact of financial market fluctuations on pension plan assets and future funding contributions.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20" w:type="dxa"/>
            <w:vAlign w:val="bottom"/>
            <w:tcBorders>
              <w:bottom w:val="single" w:sz="8" w:color="auto"/>
            </w:tcBorders>
            <w:gridSpan w:val="9"/>
          </w:tcPr>
          <w:p>
            <w:pPr>
              <w:ind w:left="66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6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Total Amounts</w:t>
            </w:r>
          </w:p>
        </w:tc>
        <w:tc>
          <w:tcPr>
            <w:tcW w:w="80" w:type="dxa"/>
            <w:vAlign w:val="bottom"/>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Less Than</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After 5</w:t>
            </w:r>
          </w:p>
        </w:tc>
        <w:tc>
          <w:tcPr>
            <w:tcW w:w="20" w:type="dxa"/>
            <w:vAlign w:val="bottom"/>
          </w:tcPr>
          <w:p>
            <w:pPr>
              <w:spacing w:after="0"/>
              <w:rPr>
                <w:sz w:val="19"/>
                <w:szCs w:val="19"/>
                <w:color w:val="auto"/>
              </w:rPr>
            </w:pPr>
          </w:p>
        </w:tc>
      </w:tr>
      <w:tr>
        <w:trPr>
          <w:trHeight w:val="251"/>
        </w:trPr>
        <w:tc>
          <w:tcPr>
            <w:tcW w:w="6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Committed</w:t>
            </w:r>
          </w:p>
        </w:tc>
        <w:tc>
          <w:tcPr>
            <w:tcW w:w="80" w:type="dxa"/>
            <w:vAlign w:val="bottom"/>
          </w:tcPr>
          <w:p>
            <w:pPr>
              <w:spacing w:after="0"/>
              <w:rPr>
                <w:sz w:val="21"/>
                <w:szCs w:val="21"/>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1 Year</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4"/>
              </w:rPr>
              <w:t>1 – 3 Years</w:t>
            </w: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4 – 5 Years</w:t>
            </w:r>
          </w:p>
        </w:tc>
        <w:tc>
          <w:tcPr>
            <w:tcW w:w="56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Years</w:t>
            </w:r>
          </w:p>
        </w:tc>
      </w:tr>
      <w:tr>
        <w:trPr>
          <w:trHeight w:val="228"/>
        </w:trPr>
        <w:tc>
          <w:tcPr>
            <w:tcW w:w="64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Other Commercial</w:t>
            </w:r>
          </w:p>
        </w:tc>
        <w:tc>
          <w:tcPr>
            <w:tcW w:w="160" w:type="dxa"/>
            <w:vAlign w:val="bottom"/>
            <w:tcBorders>
              <w:top w:val="single" w:sz="8" w:color="C0C0C0"/>
            </w:tcBorders>
            <w:shd w:val="clear" w:color="auto" w:fill="C0C0C0"/>
          </w:tcPr>
          <w:p>
            <w:pPr>
              <w:spacing w:after="0"/>
              <w:rPr>
                <w:sz w:val="19"/>
                <w:szCs w:val="19"/>
                <w:color w:val="auto"/>
              </w:rPr>
            </w:pPr>
          </w:p>
        </w:tc>
        <w:tc>
          <w:tcPr>
            <w:tcW w:w="1100" w:type="dxa"/>
            <w:vAlign w:val="bottom"/>
            <w:tcBorders>
              <w:top w:val="single" w:sz="8" w:color="auto"/>
            </w:tcBorders>
            <w:shd w:val="clear" w:color="auto" w:fill="C0C0C0"/>
          </w:tcPr>
          <w:p>
            <w:pPr>
              <w:spacing w:after="0"/>
              <w:rPr>
                <w:sz w:val="19"/>
                <w:szCs w:val="19"/>
                <w:color w:val="auto"/>
              </w:rPr>
            </w:pPr>
          </w:p>
        </w:tc>
        <w:tc>
          <w:tcPr>
            <w:tcW w:w="80" w:type="dxa"/>
            <w:vAlign w:val="bottom"/>
            <w:tcBorders>
              <w:top w:val="single" w:sz="8" w:color="C0C0C0"/>
            </w:tcBorders>
            <w:shd w:val="clear" w:color="auto" w:fill="C0C0C0"/>
          </w:tcPr>
          <w:p>
            <w:pPr>
              <w:spacing w:after="0"/>
              <w:rPr>
                <w:sz w:val="19"/>
                <w:szCs w:val="19"/>
                <w:color w:val="auto"/>
              </w:rPr>
            </w:pPr>
          </w:p>
        </w:tc>
        <w:tc>
          <w:tcPr>
            <w:tcW w:w="80" w:type="dxa"/>
            <w:vAlign w:val="bottom"/>
            <w:tcBorders>
              <w:top w:val="single" w:sz="8" w:color="C0C0C0"/>
            </w:tcBorders>
            <w:shd w:val="clear" w:color="auto" w:fill="C0C0C0"/>
          </w:tcPr>
          <w:p>
            <w:pPr>
              <w:spacing w:after="0"/>
              <w:rPr>
                <w:sz w:val="19"/>
                <w:szCs w:val="19"/>
                <w:color w:val="auto"/>
              </w:rPr>
            </w:pPr>
          </w:p>
        </w:tc>
        <w:tc>
          <w:tcPr>
            <w:tcW w:w="900" w:type="dxa"/>
            <w:vAlign w:val="bottom"/>
            <w:tcBorders>
              <w:top w:val="single" w:sz="8" w:color="auto"/>
            </w:tcBorders>
            <w:shd w:val="clear" w:color="auto" w:fill="C0C0C0"/>
          </w:tcPr>
          <w:p>
            <w:pPr>
              <w:spacing w:after="0"/>
              <w:rPr>
                <w:sz w:val="19"/>
                <w:szCs w:val="19"/>
                <w:color w:val="auto"/>
              </w:rPr>
            </w:pPr>
          </w:p>
        </w:tc>
        <w:tc>
          <w:tcPr>
            <w:tcW w:w="140" w:type="dxa"/>
            <w:vAlign w:val="bottom"/>
            <w:tcBorders>
              <w:top w:val="single" w:sz="8" w:color="C0C0C0"/>
              <w:right w:val="single" w:sz="8" w:color="C0C0C0"/>
            </w:tcBorders>
            <w:shd w:val="clear" w:color="auto" w:fill="C0C0C0"/>
          </w:tcPr>
          <w:p>
            <w:pPr>
              <w:spacing w:after="0"/>
              <w:rPr>
                <w:sz w:val="19"/>
                <w:szCs w:val="19"/>
                <w:color w:val="auto"/>
              </w:rPr>
            </w:pPr>
          </w:p>
        </w:tc>
        <w:tc>
          <w:tcPr>
            <w:tcW w:w="980" w:type="dxa"/>
            <w:vAlign w:val="bottom"/>
            <w:tcBorders>
              <w:top w:val="single" w:sz="8" w:color="auto"/>
              <w:right w:val="single" w:sz="8" w:color="C0C0C0"/>
            </w:tcBorders>
            <w:shd w:val="clear" w:color="auto" w:fill="C0C0C0"/>
          </w:tcPr>
          <w:p>
            <w:pPr>
              <w:spacing w:after="0"/>
              <w:rPr>
                <w:sz w:val="19"/>
                <w:szCs w:val="19"/>
                <w:color w:val="auto"/>
              </w:rPr>
            </w:pPr>
          </w:p>
        </w:tc>
        <w:tc>
          <w:tcPr>
            <w:tcW w:w="80" w:type="dxa"/>
            <w:vAlign w:val="bottom"/>
            <w:tcBorders>
              <w:top w:val="single" w:sz="8" w:color="C0C0C0"/>
            </w:tcBorders>
            <w:shd w:val="clear" w:color="auto" w:fill="C0C0C0"/>
          </w:tcPr>
          <w:p>
            <w:pPr>
              <w:spacing w:after="0"/>
              <w:rPr>
                <w:sz w:val="19"/>
                <w:szCs w:val="19"/>
                <w:color w:val="auto"/>
              </w:rPr>
            </w:pPr>
          </w:p>
        </w:tc>
        <w:tc>
          <w:tcPr>
            <w:tcW w:w="820" w:type="dxa"/>
            <w:vAlign w:val="bottom"/>
            <w:tcBorders>
              <w:top w:val="single" w:sz="8" w:color="auto"/>
            </w:tcBorders>
            <w:shd w:val="clear" w:color="auto" w:fill="C0C0C0"/>
          </w:tcPr>
          <w:p>
            <w:pPr>
              <w:spacing w:after="0"/>
              <w:rPr>
                <w:sz w:val="19"/>
                <w:szCs w:val="19"/>
                <w:color w:val="auto"/>
              </w:rPr>
            </w:pPr>
          </w:p>
        </w:tc>
        <w:tc>
          <w:tcPr>
            <w:tcW w:w="140" w:type="dxa"/>
            <w:vAlign w:val="bottom"/>
            <w:tcBorders>
              <w:top w:val="single" w:sz="8" w:color="C0C0C0"/>
            </w:tcBorders>
            <w:shd w:val="clear" w:color="auto" w:fill="C0C0C0"/>
          </w:tcPr>
          <w:p>
            <w:pPr>
              <w:spacing w:after="0"/>
              <w:rPr>
                <w:sz w:val="19"/>
                <w:szCs w:val="19"/>
                <w:color w:val="auto"/>
              </w:rPr>
            </w:pPr>
          </w:p>
        </w:tc>
        <w:tc>
          <w:tcPr>
            <w:tcW w:w="26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58"/>
        </w:trPr>
        <w:tc>
          <w:tcPr>
            <w:tcW w:w="6400" w:type="dxa"/>
            <w:vAlign w:val="bottom"/>
            <w:shd w:val="clear" w:color="auto" w:fill="C0C0C0"/>
          </w:tcPr>
          <w:p>
            <w:pPr>
              <w:spacing w:after="0"/>
              <w:rPr>
                <w:sz w:val="20"/>
                <w:szCs w:val="20"/>
                <w:color w:val="auto"/>
              </w:rPr>
            </w:pPr>
            <w:r>
              <w:rPr>
                <w:rFonts w:ascii="Arial" w:cs="Arial" w:eastAsia="Arial" w:hAnsi="Arial"/>
                <w:sz w:val="18"/>
                <w:szCs w:val="18"/>
                <w:color w:val="auto"/>
              </w:rPr>
              <w:t>Commitments</w:t>
            </w:r>
          </w:p>
        </w:tc>
        <w:tc>
          <w:tcPr>
            <w:tcW w:w="1340" w:type="dxa"/>
            <w:vAlign w:val="bottom"/>
            <w:gridSpan w:val="3"/>
            <w:shd w:val="clear" w:color="auto" w:fill="C0C0C0"/>
          </w:tcPr>
          <w:p>
            <w:pPr>
              <w:jc w:val="center"/>
              <w:spacing w:after="0"/>
              <w:rPr>
                <w:sz w:val="20"/>
                <w:szCs w:val="20"/>
                <w:color w:val="auto"/>
              </w:rPr>
            </w:pPr>
            <w:r>
              <w:rPr>
                <w:rFonts w:ascii="Arial" w:cs="Arial" w:eastAsia="Arial" w:hAnsi="Arial"/>
                <w:sz w:val="18"/>
                <w:szCs w:val="18"/>
                <w:color w:val="auto"/>
                <w:w w:val="95"/>
              </w:rPr>
              <w:t>$   25,070,000</w:t>
            </w:r>
          </w:p>
        </w:tc>
        <w:tc>
          <w:tcPr>
            <w:tcW w:w="1120" w:type="dxa"/>
            <w:vAlign w:val="bottom"/>
            <w:tcBorders>
              <w:right w:val="single" w:sz="8" w:color="C0C0C0"/>
            </w:tcBorders>
            <w:gridSpan w:val="3"/>
            <w:shd w:val="clear" w:color="auto" w:fill="C0C0C0"/>
          </w:tcPr>
          <w:p>
            <w:pPr>
              <w:jc w:val="center"/>
              <w:ind w:right="60"/>
              <w:spacing w:after="0"/>
              <w:rPr>
                <w:sz w:val="20"/>
                <w:szCs w:val="20"/>
                <w:color w:val="auto"/>
              </w:rPr>
            </w:pPr>
            <w:r>
              <w:rPr>
                <w:rFonts w:ascii="Arial" w:cs="Arial" w:eastAsia="Arial" w:hAnsi="Arial"/>
                <w:sz w:val="18"/>
                <w:szCs w:val="18"/>
                <w:color w:val="auto"/>
                <w:w w:val="85"/>
              </w:rPr>
              <w:t>$ 23,044,000</w:t>
            </w:r>
          </w:p>
        </w:tc>
        <w:tc>
          <w:tcPr>
            <w:tcW w:w="98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w w:val="94"/>
              </w:rPr>
              <w:t>$ 1,750,000</w:t>
            </w:r>
          </w:p>
        </w:tc>
        <w:tc>
          <w:tcPr>
            <w:tcW w:w="1040" w:type="dxa"/>
            <w:vAlign w:val="bottom"/>
            <w:gridSpan w:val="3"/>
            <w:shd w:val="clear" w:color="auto" w:fill="C0C0C0"/>
          </w:tcPr>
          <w:p>
            <w:pPr>
              <w:ind w:left="80"/>
              <w:spacing w:after="0"/>
              <w:rPr>
                <w:sz w:val="20"/>
                <w:szCs w:val="20"/>
                <w:color w:val="auto"/>
              </w:rPr>
            </w:pPr>
            <w:r>
              <w:rPr>
                <w:rFonts w:ascii="Arial" w:cs="Arial" w:eastAsia="Arial" w:hAnsi="Arial"/>
                <w:sz w:val="18"/>
                <w:szCs w:val="18"/>
                <w:color w:val="auto"/>
              </w:rPr>
              <w:t>$  276,000</w:t>
            </w:r>
          </w:p>
        </w:tc>
        <w:tc>
          <w:tcPr>
            <w:tcW w:w="2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8"/>
        </w:trPr>
        <w:tc>
          <w:tcPr>
            <w:tcW w:w="6400" w:type="dxa"/>
            <w:vAlign w:val="bottom"/>
            <w:shd w:val="clear" w:color="auto" w:fill="C0C0C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right w:val="single" w:sz="8" w:color="C0C0C0"/>
            </w:tcBorders>
            <w:shd w:val="clear" w:color="auto" w:fill="C0C0C0"/>
          </w:tcPr>
          <w:p>
            <w:pPr>
              <w:spacing w:after="0"/>
              <w:rPr>
                <w:sz w:val="2"/>
                <w:szCs w:val="2"/>
                <w:color w:val="auto"/>
              </w:rPr>
            </w:pPr>
          </w:p>
        </w:tc>
        <w:tc>
          <w:tcPr>
            <w:tcW w:w="980" w:type="dxa"/>
            <w:vAlign w:val="bottom"/>
            <w:tcBorders>
              <w:right w:val="single" w:sz="8" w:color="C0C0C0"/>
            </w:tcBorders>
            <w:shd w:val="clear" w:color="auto" w:fill="00000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302" w:lineRule="exact"/>
        <w:rPr>
          <w:sz w:val="20"/>
          <w:szCs w:val="20"/>
          <w:color w:val="auto"/>
        </w:rPr>
      </w:pPr>
    </w:p>
    <w:p>
      <w:pPr>
        <w:jc w:val="both"/>
        <w:ind w:firstLine="262"/>
        <w:spacing w:after="0" w:line="259" w:lineRule="auto"/>
        <w:rPr>
          <w:sz w:val="20"/>
          <w:szCs w:val="20"/>
          <w:color w:val="auto"/>
        </w:rPr>
      </w:pPr>
      <w:r>
        <w:rPr>
          <w:rFonts w:ascii="Arial" w:cs="Arial" w:eastAsia="Arial" w:hAnsi="Arial"/>
          <w:sz w:val="18"/>
          <w:szCs w:val="18"/>
          <w:color w:val="auto"/>
        </w:rPr>
        <w:t>The obligations above are open purchase orders primarily for packaging and other ingredients used in our products. The expected timing of payments of these obligations is estimated based on current information. Timing of payments and actual amounts paid may be different, depending on the time of receipt of goods or services, or changes to agreed-upon amounts for some obligations.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3"/>
          <w:szCs w:val="13"/>
          <w:b w:val="1"/>
          <w:bCs w:val="1"/>
          <w:color w:val="auto"/>
        </w:rPr>
        <w:t>FF</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RRANGEMENTS</w:t>
      </w:r>
    </w:p>
    <w:p>
      <w:pPr>
        <w:spacing w:after="0" w:line="285"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We do not have any unconsolidated special purpose entities. As of July 31, 2010,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 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OLICIES AND</w:t>
      </w:r>
      <w:r>
        <w:rPr>
          <w:rFonts w:ascii="Arial" w:cs="Arial" w:eastAsia="Arial" w:hAnsi="Arial"/>
          <w:sz w:val="18"/>
          <w:szCs w:val="18"/>
          <w:b w:val="1"/>
          <w:bCs w:val="1"/>
          <w:color w:val="auto"/>
        </w:rPr>
        <w:t xml:space="preserve"> E</w:t>
      </w:r>
      <w:r>
        <w:rPr>
          <w:rFonts w:ascii="Arial" w:cs="Arial" w:eastAsia="Arial" w:hAnsi="Arial"/>
          <w:sz w:val="13"/>
          <w:szCs w:val="13"/>
          <w:b w:val="1"/>
          <w:bCs w:val="1"/>
          <w:color w:val="auto"/>
        </w:rPr>
        <w:t>STIMATES</w:t>
      </w:r>
    </w:p>
    <w:p>
      <w:pPr>
        <w:spacing w:after="0" w:line="285"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6"/>
          <w:szCs w:val="16"/>
          <w:color w:val="auto"/>
        </w:rPr>
        <w:t>Management’s discussion and analysis of the financial condition and results of operations are based upon our Consolidated Financial Statements, which have been prepared in accordance with the generally accepted accounting principles of the United States. We review our financial reporting and disclosure practices and accounting policies annually to ensure that our financial reporting and disclosures provide accurate and transparent information relative to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generally accepted accounting principles requires management to make estimates and assu mptions that affect the reported amount of assets and liabilities, as well as the reported amounts of revenues and expenses during the reporting period. Significant estimates include promotional programs, allowance for doubtful accounts, pension accounting and income taxes. Actual results could differ from these estimates.</w:t>
      </w:r>
    </w:p>
    <w:p>
      <w:pPr>
        <w:spacing w:after="0" w:line="2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recognize trade receivables when the risk of loss and title pass to the customer. We record for an allowance for doubtful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our historical experience and a periodic review of our accounts receivable, including a review of the overall aging of accounts and analysis of specific accounts. A customer account is determined to be uncollectible when we have completed our internal collection procedures, including termination of shipments, direct customer contact and formal demand of payment. We believe our allowance for doubtful accounts is reasonable; however, the unanticipated default by a customer with a material trade receivable could occur. We recorded an allowance for doubtful accounts of $572,000 and $652 ,000 at July 31, 2010 and 2009, respectively.</w:t>
      </w:r>
    </w:p>
    <w:p>
      <w:pPr>
        <w:spacing w:after="0" w:line="247" w:lineRule="exact"/>
        <w:rPr>
          <w:sz w:val="20"/>
          <w:szCs w:val="20"/>
          <w:color w:val="auto"/>
        </w:rPr>
      </w:pPr>
    </w:p>
    <w:p>
      <w:pPr>
        <w:jc w:val="both"/>
        <w:ind w:firstLine="328"/>
        <w:spacing w:after="0" w:line="296"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We value inventories at the lower of cost (first-in, first-out) or market. Inventory costs include the cost of raw materials, packaging supplies,</w:t>
      </w:r>
      <w:r>
        <w:rPr>
          <w:rFonts w:ascii="Arial" w:cs="Arial" w:eastAsia="Arial" w:hAnsi="Arial"/>
          <w:sz w:val="16"/>
          <w:szCs w:val="16"/>
          <w:b w:val="1"/>
          <w:bCs w:val="1"/>
          <w:color w:val="auto"/>
        </w:rPr>
        <w:t xml:space="preserve"> </w:t>
      </w:r>
      <w:r>
        <w:rPr>
          <w:rFonts w:ascii="Arial" w:cs="Arial" w:eastAsia="Arial" w:hAnsi="Arial"/>
          <w:sz w:val="16"/>
          <w:szCs w:val="16"/>
          <w:color w:val="auto"/>
        </w:rPr>
        <w:t>labor and other overhead costs. We perform a detailed review of our inventory items to determine if an obsolescence reserve adjustment is necessary. The review surveys all of our operating facilities and sales divisions to ensure that both historical issues and new market trends are considered. The obsolescence reserve not only considers specific items, but also takes into consideration the overall value of the inventory as of the balance sheet date. The inventory obsolescence reserve values at July 31, 2010 and 2009 were $449,000 and $274,000,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36" w:name="page37"/>
    <w:bookmarkEnd w:id="36"/>
    <w:p>
      <w:pPr>
        <w:jc w:val="both"/>
        <w:ind w:firstLine="274"/>
        <w:spacing w:after="0" w:line="310" w:lineRule="auto"/>
        <w:rPr>
          <w:sz w:val="20"/>
          <w:szCs w:val="20"/>
          <w:color w:val="auto"/>
        </w:rPr>
      </w:pPr>
      <w:r>
        <w:rPr>
          <w:rFonts w:ascii="Arial" w:cs="Arial" w:eastAsia="Arial" w:hAnsi="Arial"/>
          <w:sz w:val="16"/>
          <w:szCs w:val="16"/>
          <w:b w:val="1"/>
          <w:bCs w:val="1"/>
          <w:color w:val="auto"/>
        </w:rPr>
        <w:t xml:space="preserve">Reclamation. </w:t>
      </w:r>
      <w:r>
        <w:rPr>
          <w:rFonts w:ascii="Arial" w:cs="Arial" w:eastAsia="Arial" w:hAnsi="Arial"/>
          <w:sz w:val="16"/>
          <w:szCs w:val="16"/>
          <w:color w:val="auto"/>
        </w:rPr>
        <w:t>During the normal course of our mining process we remove overburden (non-usable material) and perform on-going reclamation activities. As</w:t>
      </w:r>
      <w:r>
        <w:rPr>
          <w:rFonts w:ascii="Arial" w:cs="Arial" w:eastAsia="Arial" w:hAnsi="Arial"/>
          <w:sz w:val="16"/>
          <w:szCs w:val="16"/>
          <w:b w:val="1"/>
          <w:bCs w:val="1"/>
          <w:color w:val="auto"/>
        </w:rPr>
        <w:t xml:space="preserve"> </w:t>
      </w:r>
      <w:r>
        <w:rPr>
          <w:rFonts w:ascii="Arial" w:cs="Arial" w:eastAsia="Arial" w:hAnsi="Arial"/>
          <w:sz w:val="16"/>
          <w:szCs w:val="16"/>
          <w:color w:val="auto"/>
        </w:rPr>
        <w:t>overburden is removed from a pit, it is hauled to a previously mined pit and used to refill older sites. This process allows us to continuously reclaim older pits and dispose of overburden simultaneously, therefore minimizing the liability of the reclamation process.</w:t>
      </w:r>
    </w:p>
    <w:p>
      <w:pPr>
        <w:spacing w:after="0" w:line="211"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6"/>
          <w:szCs w:val="16"/>
          <w:color w:val="auto"/>
        </w:rPr>
        <w:t xml:space="preserve">On an annual basis we evaluate our potential reclamation liability in accordance with ASC 410, </w:t>
      </w:r>
      <w:r>
        <w:rPr>
          <w:rFonts w:ascii="Arial" w:cs="Arial" w:eastAsia="Arial" w:hAnsi="Arial"/>
          <w:sz w:val="16"/>
          <w:szCs w:val="16"/>
          <w:i w:val="1"/>
          <w:iCs w:val="1"/>
          <w:color w:val="auto"/>
        </w:rPr>
        <w:t>Asset Retirement and Environmental Obligations</w:t>
      </w:r>
      <w:r>
        <w:rPr>
          <w:rFonts w:ascii="Arial" w:cs="Arial" w:eastAsia="Arial" w:hAnsi="Arial"/>
          <w:sz w:val="16"/>
          <w:szCs w:val="16"/>
          <w:color w:val="auto"/>
        </w:rPr>
        <w:t>. As of July 31, 2010 and 2009, we have recorded an estimated net reclamation asset of $498,000 and $430,000, respectively, and a corresponding estimated reclamation liability of $996,000 and $813,000, respectively. These values represent the discounted present value of the estimated future mining reclamation costs at the production plants. The reclamation assets are depreciated over the estimated useful lives of the various mines. The reclamation liabilities are increased based on a yearly accretion charge, once again over the estimated useful lives of the mines.</w:t>
      </w:r>
    </w:p>
    <w:p>
      <w:pPr>
        <w:spacing w:after="0" w:line="224" w:lineRule="exact"/>
        <w:rPr>
          <w:sz w:val="20"/>
          <w:szCs w:val="20"/>
          <w:color w:val="auto"/>
        </w:rPr>
      </w:pPr>
    </w:p>
    <w:p>
      <w:pPr>
        <w:jc w:val="both"/>
        <w:ind w:firstLine="328"/>
        <w:spacing w:after="0" w:line="256" w:lineRule="auto"/>
        <w:rPr>
          <w:sz w:val="20"/>
          <w:szCs w:val="20"/>
          <w:color w:val="auto"/>
        </w:rPr>
      </w:pPr>
      <w:r>
        <w:rPr>
          <w:rFonts w:ascii="Arial" w:cs="Arial" w:eastAsia="Arial" w:hAnsi="Arial"/>
          <w:sz w:val="18"/>
          <w:szCs w:val="18"/>
          <w:color w:val="auto"/>
        </w:rPr>
        <w:t>Accounting for reclamation obligations requires that we make estimates unique to each mining operation of the future costs we will incur to complete the reclamation work required to comply with existing laws and regulations. Actual costs incurred in the future could differ from estimated amounts. Future changes to environmental laws could increase the extent of reclamation work required. Any such increases in future costs could materially impact the amount incurred for reclamation costs.</w:t>
      </w:r>
    </w:p>
    <w:p>
      <w:pPr>
        <w:spacing w:after="0" w:line="245" w:lineRule="exact"/>
        <w:rPr>
          <w:sz w:val="20"/>
          <w:szCs w:val="20"/>
          <w:color w:val="auto"/>
        </w:rPr>
      </w:pPr>
    </w:p>
    <w:p>
      <w:pPr>
        <w:jc w:val="both"/>
        <w:ind w:firstLine="274"/>
        <w:spacing w:after="0" w:line="290" w:lineRule="auto"/>
        <w:rPr>
          <w:sz w:val="20"/>
          <w:szCs w:val="20"/>
          <w:color w:val="auto"/>
        </w:rPr>
      </w:pPr>
      <w:r>
        <w:rPr>
          <w:rFonts w:ascii="Arial" w:cs="Arial" w:eastAsia="Arial" w:hAnsi="Arial"/>
          <w:sz w:val="16"/>
          <w:szCs w:val="16"/>
          <w:b w:val="1"/>
          <w:bCs w:val="1"/>
          <w:color w:val="auto"/>
        </w:rPr>
        <w:t xml:space="preserve">Impairment of goodwill, trademarks and other intangible assets. </w:t>
      </w:r>
      <w:r>
        <w:rPr>
          <w:rFonts w:ascii="Arial" w:cs="Arial" w:eastAsia="Arial" w:hAnsi="Arial"/>
          <w:sz w:val="16"/>
          <w:szCs w:val="16"/>
          <w:color w:val="auto"/>
        </w:rPr>
        <w:t>We review carrying values of goodwill, trademarks and other indefinite lived intangible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assets periodically for possible impairment in accordance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Our impairment review is based on a discounted cash flow approach that requires significant judgment with respect to volume, revenue, expense growth rates and the selection of an appropriate discount rate. Impairment occurs when the carrying value exceeds the fair value. Our impairment analysis is performed in the f irst quarter of the fiscal year and we use judgment in assessing whether assets may have become impaired between annual valuations. Indicators such as unexpected adverse economic factors, unanticipated technological changes, competitive activities and acts by governments and courts may indicate that an asset has become impaired. Our analysis in the first quarter of fiscal 2010 did not indicate any impairment. We continue to monitor events, circumstances or changes in the business that might imply a reduction in value and might lead to impairment.</w:t>
      </w:r>
    </w:p>
    <w:p>
      <w:pPr>
        <w:spacing w:after="0" w:line="220" w:lineRule="exact"/>
        <w:rPr>
          <w:sz w:val="20"/>
          <w:szCs w:val="20"/>
          <w:color w:val="auto"/>
        </w:rPr>
      </w:pPr>
    </w:p>
    <w:p>
      <w:pPr>
        <w:jc w:val="both"/>
        <w:ind w:firstLine="368"/>
        <w:spacing w:after="0" w:line="290" w:lineRule="auto"/>
        <w:rPr>
          <w:sz w:val="20"/>
          <w:szCs w:val="20"/>
          <w:color w:val="auto"/>
        </w:rPr>
      </w:pPr>
      <w:r>
        <w:rPr>
          <w:rFonts w:ascii="Arial" w:cs="Arial" w:eastAsia="Arial" w:hAnsi="Arial"/>
          <w:sz w:val="16"/>
          <w:szCs w:val="16"/>
          <w:b w:val="1"/>
          <w:bCs w:val="1"/>
          <w:color w:val="auto"/>
        </w:rPr>
        <w:t xml:space="preserve">Trade Promotions. </w:t>
      </w:r>
      <w:r>
        <w:rPr>
          <w:rFonts w:ascii="Arial" w:cs="Arial" w:eastAsia="Arial" w:hAnsi="Arial"/>
          <w:sz w:val="16"/>
          <w:szCs w:val="16"/>
          <w:color w:val="auto"/>
        </w:rPr>
        <w:t>We routinely commit to one-time or ongoing trade promotion programs in our Retail and Wholesale Products Group. Promotional</w:t>
      </w:r>
      <w:r>
        <w:rPr>
          <w:rFonts w:ascii="Arial" w:cs="Arial" w:eastAsia="Arial" w:hAnsi="Arial"/>
          <w:sz w:val="16"/>
          <w:szCs w:val="16"/>
          <w:b w:val="1"/>
          <w:bCs w:val="1"/>
          <w:color w:val="auto"/>
        </w:rPr>
        <w:t xml:space="preserve"> </w:t>
      </w:r>
      <w:r>
        <w:rPr>
          <w:rFonts w:ascii="Arial" w:cs="Arial" w:eastAsia="Arial" w:hAnsi="Arial"/>
          <w:sz w:val="16"/>
          <w:szCs w:val="16"/>
          <w:color w:val="auto"/>
        </w:rPr>
        <w:t>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with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$2,303,000 and $2,033,000 for trade promotions at July 31, 2010 and 2009, respectively.</w:t>
      </w:r>
    </w:p>
    <w:p>
      <w:pPr>
        <w:spacing w:after="0" w:line="220" w:lineRule="exact"/>
        <w:rPr>
          <w:sz w:val="20"/>
          <w:szCs w:val="20"/>
          <w:color w:val="auto"/>
        </w:rPr>
      </w:pPr>
    </w:p>
    <w:p>
      <w:pPr>
        <w:jc w:val="both"/>
        <w:ind w:firstLine="328"/>
        <w:spacing w:after="0" w:line="290"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We account for stock options and restricted stock issued under our long term incentive plans in accordance with ASC 718,</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Compensation – Stock Compensation. </w:t>
      </w:r>
      <w:r>
        <w:rPr>
          <w:rFonts w:ascii="Arial" w:cs="Arial" w:eastAsia="Arial" w:hAnsi="Arial"/>
          <w:sz w:val="16"/>
          <w:szCs w:val="16"/>
          <w:color w:val="auto"/>
        </w:rPr>
        <w:t>ASC 718 requires the determination of the fair value of stock-based compensation at the grant date and the recognition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financial statements of the related compensation expense over the appropriate vesting period. The fair value of stock-based compensation was estimated on the grant date using the Black-Scholes Option Pricing Method. This method requires management to make certai n estimates, including estimating the expected term of stock options, expected volatility of our stock and expected dividends. In addition, judgment is required in estimating the amount of stock-based awards that are expected to be forfeited. It could have a material effect on our Consolidated Financial Statements if actual results differ significantly from these estimates or different key assumptions were used. We recognized share-based compensation expense of $251,000 in fiscal 2010 and $332,000 in fiscal 2009, net of related tax effect. These amounts include expense related to stock option grants and restricted stock.</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37" w:name="page38"/>
    <w:bookmarkEnd w:id="37"/>
    <w:p>
      <w:pPr>
        <w:jc w:val="both"/>
        <w:ind w:firstLine="355"/>
        <w:spacing w:after="0" w:line="293" w:lineRule="auto"/>
        <w:rPr>
          <w:sz w:val="20"/>
          <w:szCs w:val="20"/>
          <w:color w:val="auto"/>
        </w:rPr>
      </w:pPr>
      <w:r>
        <w:rPr>
          <w:rFonts w:ascii="Arial" w:cs="Arial" w:eastAsia="Arial" w:hAnsi="Arial"/>
          <w:sz w:val="16"/>
          <w:szCs w:val="16"/>
          <w:b w:val="1"/>
          <w:bCs w:val="1"/>
          <w:color w:val="auto"/>
        </w:rPr>
        <w:t xml:space="preserve">Pension and Postretirement Benefit Costs. </w:t>
      </w:r>
      <w:r>
        <w:rPr>
          <w:rFonts w:ascii="Arial" w:cs="Arial" w:eastAsia="Arial" w:hAnsi="Arial"/>
          <w:sz w:val="16"/>
          <w:szCs w:val="16"/>
          <w:color w:val="auto"/>
        </w:rPr>
        <w:t>We calculate our pension and postretirement health benefit obligations and the related effects on results of</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using actuarial models. To measure the expense and obligations, we must make a variety of estimates including critical assumptions for the discount rate used to value certain liabilities and the expected return on plan assets set aside to fund these costs. We evaluate these critical assumptions at least annually. Other assumptions involving demographic factors, such as retirement age, mortality and turnover, are evaluated periodically and are updated to reflect actual experience. As these assumptions change from period to period, recorded pension and postretirement health benefit am ounts and funding requirements could also change. Actual results in any given year will often differ from actuarial assumptions because of economic and other factors.</w:t>
      </w:r>
    </w:p>
    <w:p>
      <w:pPr>
        <w:spacing w:after="0" w:line="225" w:lineRule="exact"/>
        <w:rPr>
          <w:sz w:val="20"/>
          <w:szCs w:val="20"/>
          <w:color w:val="auto"/>
        </w:rPr>
      </w:pPr>
    </w:p>
    <w:p>
      <w:pPr>
        <w:jc w:val="both"/>
        <w:ind w:firstLine="296"/>
        <w:spacing w:after="0" w:line="288" w:lineRule="auto"/>
        <w:rPr>
          <w:sz w:val="20"/>
          <w:szCs w:val="20"/>
          <w:color w:val="auto"/>
        </w:rPr>
      </w:pPr>
      <w:r>
        <w:rPr>
          <w:rFonts w:ascii="Arial" w:cs="Arial" w:eastAsia="Arial" w:hAnsi="Arial"/>
          <w:sz w:val="16"/>
          <w:szCs w:val="16"/>
          <w:color w:val="auto"/>
        </w:rPr>
        <w:t>The discount rate is the rate assumed to measure the single amount that, if invested at the measurement date in a portfolio of high-quality debt instruments, would provide the necessary future cash flows to pay the pension benefits when due. The discount rate is subject to change each year. We refer to an applicable index and the expected duration of the benefit payments to select a discount rate at which we believe the benefits could be effectively settled. The discount rate was the single equivalent rate that would yield the same present value as the plan’s expected cashflows discounted with spot rates on a yield curve of investment-grade corporate bonds. The yield curve is the Citigroup Pension Liability Index. Our determination of pension expense or income is based on a market-related valuation of plan assets, which is the fair market value. Ou 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 develop a composite rate of return assumption. See Note 9 of the Notes to the Consolidated Financial Statements for additional information.</w:t>
      </w:r>
    </w:p>
    <w:p>
      <w:pPr>
        <w:spacing w:after="0" w:line="222" w:lineRule="exact"/>
        <w:rPr>
          <w:sz w:val="20"/>
          <w:szCs w:val="20"/>
          <w:color w:val="auto"/>
        </w:rPr>
      </w:pPr>
    </w:p>
    <w:p>
      <w:pPr>
        <w:jc w:val="both"/>
        <w:ind w:firstLine="260"/>
        <w:spacing w:after="0" w:line="339"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Our effective tax rate is based on expected income, statutory tax rates and tax planning opportunities available to us in various jurisdictions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we operate. Significant judgment is required in determining our effective tax rate and in evaluating our tax positions.</w:t>
      </w:r>
    </w:p>
    <w:p>
      <w:pPr>
        <w:spacing w:after="0" w:line="189" w:lineRule="exact"/>
        <w:rPr>
          <w:sz w:val="20"/>
          <w:szCs w:val="20"/>
          <w:color w:val="auto"/>
        </w:rPr>
      </w:pPr>
    </w:p>
    <w:p>
      <w:pPr>
        <w:jc w:val="both"/>
        <w:ind w:firstLine="262"/>
        <w:spacing w:after="0" w:line="288" w:lineRule="auto"/>
        <w:rPr>
          <w:sz w:val="20"/>
          <w:szCs w:val="20"/>
          <w:color w:val="auto"/>
        </w:rPr>
      </w:pPr>
      <w:r>
        <w:rPr>
          <w:rFonts w:ascii="Arial" w:cs="Arial" w:eastAsia="Arial" w:hAnsi="Arial"/>
          <w:sz w:val="16"/>
          <w:szCs w:val="16"/>
          <w:color w:val="auto"/>
        </w:rPr>
        <w:t xml:space="preserve">We determine our current and deferred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tax effect of the expected reversal of tax differences is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 We maintain valuation allowances where it is likely that all or a portion of a deferred tax asset will not be realized. Changes in valuation allowances from period to period are included in the income tax provision in the pe riod of change. In determining whether a valuation allowance is warranted, we take into account such factors as prior earnings history, expected future earnings and other factors that could affect the realization of deferred tax assets. We recorded valuation allowances for income taxes of $2,909,000 and $3,222,000 at July 31, 2010 and 2009, respectively. The valuation allowance at July 31, 2010 has been established for the full amount of the deferred tax benefit related to our alternative minimum tax credit carryforwards since we believe it is more likely than not that the benefit of these credits will not be realized. See Note 6 of the Notes to the Consolidated Financial Statements for further discussion.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3"/>
          <w:szCs w:val="13"/>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RONOUNCEMENTS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79" w:lineRule="exact"/>
        <w:rPr>
          <w:sz w:val="20"/>
          <w:szCs w:val="20"/>
          <w:color w:val="auto"/>
        </w:rPr>
      </w:pPr>
    </w:p>
    <w:p>
      <w:pPr>
        <w:jc w:val="both"/>
        <w:ind w:firstLine="262"/>
        <w:spacing w:after="0" w:line="259" w:lineRule="auto"/>
        <w:rPr>
          <w:sz w:val="20"/>
          <w:szCs w:val="20"/>
          <w:color w:val="auto"/>
        </w:rPr>
      </w:pPr>
      <w:r>
        <w:rPr>
          <w:rFonts w:ascii="Arial" w:cs="Arial" w:eastAsia="Arial" w:hAnsi="Arial"/>
          <w:sz w:val="18"/>
          <w:szCs w:val="18"/>
          <w:color w:val="auto"/>
        </w:rPr>
        <w:t xml:space="preserve">In the first quarter of fiscal 2010, we adopted guidance under ASC 825-10,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which required disclosures about the fair value of financial instruments in interim financial information. We already comply with the provisions of this accounting standard for our annual reporting, therefore, the adoption of this standard had no impact on our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38" w:name="page39"/>
    <w:bookmarkEnd w:id="38"/>
    <w:p>
      <w:pPr>
        <w:jc w:val="both"/>
        <w:ind w:firstLine="298"/>
        <w:spacing w:after="0" w:line="291" w:lineRule="auto"/>
        <w:rPr>
          <w:sz w:val="20"/>
          <w:szCs w:val="20"/>
          <w:color w:val="auto"/>
        </w:rPr>
      </w:pPr>
      <w:r>
        <w:rPr>
          <w:rFonts w:ascii="Arial" w:cs="Arial" w:eastAsia="Arial" w:hAnsi="Arial"/>
          <w:sz w:val="16"/>
          <w:szCs w:val="16"/>
          <w:color w:val="auto"/>
        </w:rPr>
        <w:t xml:space="preserve">In the first quarter of fiscal 2010, we adopted guidance under ASC 260-10,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which required unvested share-based payment awards that contain non-forfeitable rights to dividends or dividend equivalents (whether paid or unpaid) to be considered participating securities and to be included in the computation of earnings per share pursuant to the two-class method. Under the provisions of this standard, our unvested restricted stock awards were considered participating securities. Upon adoption we were required to retrospectively adjust earnings per share data to conform to this standard. Accordingly, we have applied this standard for computation of earnings per share fo r all periods presented. The effect of the retrospective adoption of the new accounting standard on the fiscal year 2009 and 2008 reported EPS data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5"/>
          </w:tcPr>
          <w:p>
            <w:pPr>
              <w:jc w:val="right"/>
              <w:ind w:right="152"/>
              <w:spacing w:after="0"/>
              <w:rPr>
                <w:sz w:val="20"/>
                <w:szCs w:val="20"/>
                <w:color w:val="auto"/>
              </w:rPr>
            </w:pPr>
            <w:r>
              <w:rPr>
                <w:rFonts w:ascii="Arial" w:cs="Arial" w:eastAsia="Arial" w:hAnsi="Arial"/>
                <w:sz w:val="18"/>
                <w:szCs w:val="18"/>
                <w:color w:val="auto"/>
                <w:w w:val="90"/>
              </w:rPr>
              <w:t>Basic Common</w:t>
            </w:r>
          </w:p>
        </w:tc>
        <w:tc>
          <w:tcPr>
            <w:tcW w:w="1860" w:type="dxa"/>
            <w:vAlign w:val="bottom"/>
            <w:gridSpan w:val="8"/>
          </w:tcPr>
          <w:p>
            <w:pPr>
              <w:ind w:left="80"/>
              <w:spacing w:after="0"/>
              <w:rPr>
                <w:sz w:val="20"/>
                <w:szCs w:val="20"/>
                <w:color w:val="auto"/>
              </w:rPr>
            </w:pPr>
            <w:r>
              <w:rPr>
                <w:rFonts w:ascii="Arial" w:cs="Arial" w:eastAsia="Arial" w:hAnsi="Arial"/>
                <w:sz w:val="18"/>
                <w:szCs w:val="18"/>
                <w:color w:val="auto"/>
                <w:w w:val="93"/>
              </w:rPr>
              <w:t>Basic Class B Common</w:t>
            </w:r>
          </w:p>
        </w:tc>
        <w:tc>
          <w:tcPr>
            <w:tcW w:w="18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0"/>
                <w:szCs w:val="20"/>
                <w:color w:val="auto"/>
              </w:rPr>
            </w:pPr>
          </w:p>
        </w:tc>
      </w:tr>
      <w:tr>
        <w:trPr>
          <w:trHeight w:val="228"/>
        </w:trPr>
        <w:tc>
          <w:tcPr>
            <w:tcW w:w="580" w:type="dxa"/>
            <w:vAlign w:val="bottom"/>
          </w:tcPr>
          <w:p>
            <w:pPr>
              <w:jc w:val="center"/>
              <w:spacing w:after="0"/>
              <w:rPr>
                <w:sz w:val="20"/>
                <w:szCs w:val="20"/>
                <w:color w:val="auto"/>
              </w:rPr>
            </w:pPr>
            <w:r>
              <w:rPr>
                <w:rFonts w:ascii="Arial" w:cs="Arial" w:eastAsia="Arial" w:hAnsi="Arial"/>
                <w:sz w:val="18"/>
                <w:szCs w:val="18"/>
                <w:color w:val="auto"/>
                <w:w w:val="89"/>
              </w:rPr>
              <w:t>Year</w:t>
            </w:r>
          </w:p>
        </w:tc>
        <w:tc>
          <w:tcPr>
            <w:tcW w:w="6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4"/>
              </w:rPr>
              <w:t>As</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As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4"/>
              </w:rPr>
              <w:t>As</w:t>
            </w:r>
          </w:p>
        </w:tc>
        <w:tc>
          <w:tcPr>
            <w:tcW w:w="1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r>
      <w:tr>
        <w:trPr>
          <w:trHeight w:val="243"/>
        </w:trPr>
        <w:tc>
          <w:tcPr>
            <w:tcW w:w="580" w:type="dxa"/>
            <w:vAlign w:val="bottom"/>
          </w:tcPr>
          <w:p>
            <w:pPr>
              <w:jc w:val="center"/>
              <w:spacing w:after="0"/>
              <w:rPr>
                <w:sz w:val="20"/>
                <w:szCs w:val="20"/>
                <w:color w:val="auto"/>
              </w:rPr>
            </w:pPr>
            <w:r>
              <w:rPr>
                <w:rFonts w:ascii="Arial" w:cs="Arial" w:eastAsia="Arial" w:hAnsi="Arial"/>
                <w:sz w:val="18"/>
                <w:szCs w:val="18"/>
                <w:color w:val="auto"/>
                <w:w w:val="83"/>
              </w:rPr>
              <w:t>ended</w:t>
            </w:r>
          </w:p>
        </w:tc>
        <w:tc>
          <w:tcPr>
            <w:tcW w:w="6880" w:type="dxa"/>
            <w:vAlign w:val="bottom"/>
            <w:gridSpan w:val="4"/>
          </w:tcPr>
          <w:p>
            <w:pPr>
              <w:ind w:left="6080"/>
              <w:spacing w:after="0"/>
              <w:rPr>
                <w:sz w:val="20"/>
                <w:szCs w:val="20"/>
                <w:color w:val="auto"/>
              </w:rPr>
            </w:pPr>
            <w:r>
              <w:rPr>
                <w:rFonts w:ascii="Arial" w:cs="Arial" w:eastAsia="Arial" w:hAnsi="Arial"/>
                <w:sz w:val="18"/>
                <w:szCs w:val="18"/>
                <w:color w:val="auto"/>
                <w:w w:val="96"/>
              </w:rPr>
              <w:t>previously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As</w:t>
            </w:r>
          </w:p>
        </w:tc>
        <w:tc>
          <w:tcPr>
            <w:tcW w:w="900" w:type="dxa"/>
            <w:vAlign w:val="bottom"/>
            <w:gridSpan w:val="4"/>
          </w:tcPr>
          <w:p>
            <w:pPr>
              <w:ind w:left="80"/>
              <w:spacing w:after="0"/>
              <w:rPr>
                <w:sz w:val="20"/>
                <w:szCs w:val="20"/>
                <w:color w:val="auto"/>
              </w:rPr>
            </w:pPr>
            <w:r>
              <w:rPr>
                <w:rFonts w:ascii="Arial" w:cs="Arial" w:eastAsia="Arial" w:hAnsi="Arial"/>
                <w:sz w:val="18"/>
                <w:szCs w:val="18"/>
                <w:color w:val="auto"/>
                <w:w w:val="98"/>
              </w:rPr>
              <w:t>previously</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As</w:t>
            </w:r>
          </w:p>
        </w:tc>
        <w:tc>
          <w:tcPr>
            <w:tcW w:w="880" w:type="dxa"/>
            <w:vAlign w:val="bottom"/>
            <w:gridSpan w:val="3"/>
          </w:tcPr>
          <w:p>
            <w:pPr>
              <w:spacing w:after="0"/>
              <w:rPr>
                <w:sz w:val="20"/>
                <w:szCs w:val="20"/>
                <w:color w:val="auto"/>
              </w:rPr>
            </w:pPr>
            <w:r>
              <w:rPr>
                <w:rFonts w:ascii="Arial" w:cs="Arial" w:eastAsia="Arial" w:hAnsi="Arial"/>
                <w:sz w:val="18"/>
                <w:szCs w:val="18"/>
                <w:color w:val="auto"/>
              </w:rPr>
              <w:t>previously</w:t>
            </w:r>
          </w:p>
        </w:tc>
        <w:tc>
          <w:tcPr>
            <w:tcW w:w="140" w:type="dxa"/>
            <w:vAlign w:val="bottom"/>
          </w:tcPr>
          <w:p>
            <w:pPr>
              <w:spacing w:after="0"/>
              <w:rPr>
                <w:sz w:val="21"/>
                <w:szCs w:val="21"/>
                <w:color w:val="auto"/>
              </w:rPr>
            </w:pPr>
          </w:p>
        </w:tc>
        <w:tc>
          <w:tcPr>
            <w:tcW w:w="400" w:type="dxa"/>
            <w:vAlign w:val="bottom"/>
          </w:tcPr>
          <w:p>
            <w:pPr>
              <w:jc w:val="right"/>
              <w:ind w:right="92"/>
              <w:spacing w:after="0"/>
              <w:rPr>
                <w:sz w:val="20"/>
                <w:szCs w:val="20"/>
                <w:color w:val="auto"/>
              </w:rPr>
            </w:pPr>
            <w:r>
              <w:rPr>
                <w:rFonts w:ascii="Arial" w:cs="Arial" w:eastAsia="Arial" w:hAnsi="Arial"/>
                <w:sz w:val="18"/>
                <w:szCs w:val="18"/>
                <w:color w:val="auto"/>
                <w:w w:val="94"/>
              </w:rPr>
              <w:t>As</w:t>
            </w:r>
          </w:p>
        </w:tc>
      </w:tr>
      <w:tr>
        <w:trPr>
          <w:trHeight w:val="251"/>
        </w:trPr>
        <w:tc>
          <w:tcPr>
            <w:tcW w:w="580" w:type="dxa"/>
            <w:vAlign w:val="bottom"/>
          </w:tcPr>
          <w:p>
            <w:pPr>
              <w:jc w:val="center"/>
              <w:spacing w:after="0"/>
              <w:rPr>
                <w:sz w:val="20"/>
                <w:szCs w:val="20"/>
                <w:color w:val="auto"/>
              </w:rPr>
            </w:pPr>
            <w:r>
              <w:rPr>
                <w:rFonts w:ascii="Arial" w:cs="Arial" w:eastAsia="Arial" w:hAnsi="Arial"/>
                <w:sz w:val="18"/>
                <w:szCs w:val="18"/>
                <w:color w:val="auto"/>
                <w:w w:val="86"/>
              </w:rPr>
              <w:t>July 31,</w:t>
            </w:r>
          </w:p>
        </w:tc>
        <w:tc>
          <w:tcPr>
            <w:tcW w:w="6080" w:type="dxa"/>
            <w:vAlign w:val="bottom"/>
          </w:tcPr>
          <w:p>
            <w:pPr>
              <w:spacing w:after="0"/>
              <w:rPr>
                <w:sz w:val="21"/>
                <w:szCs w:val="21"/>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6"/>
              </w:rPr>
              <w:t>reported</w:t>
            </w:r>
          </w:p>
        </w:tc>
        <w:tc>
          <w:tcPr>
            <w:tcW w:w="80" w:type="dxa"/>
            <w:vAlign w:val="bottom"/>
          </w:tcPr>
          <w:p>
            <w:pPr>
              <w:spacing w:after="0"/>
              <w:rPr>
                <w:sz w:val="21"/>
                <w:szCs w:val="21"/>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w w:val="86"/>
              </w:rPr>
              <w:t>restated</w:t>
            </w:r>
          </w:p>
        </w:tc>
        <w:tc>
          <w:tcPr>
            <w:tcW w:w="8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reported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82"/>
              </w:rPr>
              <w:t>restated</w:t>
            </w:r>
          </w:p>
        </w:tc>
        <w:tc>
          <w:tcPr>
            <w:tcW w:w="880" w:type="dxa"/>
            <w:vAlign w:val="bottom"/>
            <w:gridSpan w:val="3"/>
          </w:tcPr>
          <w:p>
            <w:pPr>
              <w:jc w:val="center"/>
              <w:ind w:right="140"/>
              <w:spacing w:after="0"/>
              <w:rPr>
                <w:sz w:val="20"/>
                <w:szCs w:val="20"/>
                <w:color w:val="auto"/>
              </w:rPr>
            </w:pPr>
            <w:r>
              <w:rPr>
                <w:rFonts w:ascii="Arial" w:cs="Arial" w:eastAsia="Arial" w:hAnsi="Arial"/>
                <w:sz w:val="18"/>
                <w:szCs w:val="18"/>
                <w:color w:val="auto"/>
                <w:w w:val="86"/>
              </w:rPr>
              <w:t>reported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79"/>
              </w:rPr>
              <w:t>restated</w:t>
            </w:r>
          </w:p>
        </w:tc>
      </w:tr>
      <w:tr>
        <w:trPr>
          <w:trHeight w:val="21"/>
        </w:trPr>
        <w:tc>
          <w:tcPr>
            <w:tcW w:w="580" w:type="dxa"/>
            <w:vAlign w:val="bottom"/>
            <w:shd w:val="clear" w:color="auto" w:fill="000000"/>
          </w:tcPr>
          <w:p>
            <w:pPr>
              <w:spacing w:after="0" w:line="20" w:lineRule="exact"/>
              <w:rPr>
                <w:sz w:val="1"/>
                <w:szCs w:val="1"/>
                <w:color w:val="auto"/>
              </w:rPr>
            </w:pPr>
          </w:p>
        </w:tc>
        <w:tc>
          <w:tcPr>
            <w:tcW w:w="60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C0C0C0"/>
            </w:tcBorders>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43"/>
        </w:trPr>
        <w:tc>
          <w:tcPr>
            <w:tcW w:w="58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4"/>
              </w:rPr>
              <w:t>2009</w:t>
            </w:r>
          </w:p>
        </w:tc>
        <w:tc>
          <w:tcPr>
            <w:tcW w:w="6200" w:type="dxa"/>
            <w:vAlign w:val="bottom"/>
            <w:gridSpan w:val="2"/>
            <w:shd w:val="clear" w:color="auto" w:fill="C0C0C0"/>
          </w:tcPr>
          <w:p>
            <w:pPr>
              <w:ind w:left="60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0C0C0"/>
          </w:tcPr>
          <w:p>
            <w:pPr>
              <w:spacing w:after="0"/>
              <w:rPr>
                <w:sz w:val="21"/>
                <w:szCs w:val="21"/>
                <w:color w:val="auto"/>
              </w:rPr>
            </w:pPr>
          </w:p>
        </w:tc>
        <w:tc>
          <w:tcPr>
            <w:tcW w:w="20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48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1.46</w:t>
            </w:r>
          </w:p>
        </w:tc>
        <w:tc>
          <w:tcPr>
            <w:tcW w:w="26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1.17</w:t>
            </w:r>
          </w:p>
        </w:tc>
        <w:tc>
          <w:tcPr>
            <w:tcW w:w="1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w:t>
            </w:r>
          </w:p>
        </w:tc>
      </w:tr>
      <w:tr>
        <w:trPr>
          <w:trHeight w:val="228"/>
        </w:trPr>
        <w:tc>
          <w:tcPr>
            <w:tcW w:w="580" w:type="dxa"/>
            <w:vAlign w:val="bottom"/>
          </w:tcPr>
          <w:p>
            <w:pPr>
              <w:jc w:val="center"/>
              <w:spacing w:after="0"/>
              <w:rPr>
                <w:sz w:val="20"/>
                <w:szCs w:val="20"/>
                <w:color w:val="auto"/>
              </w:rPr>
            </w:pPr>
            <w:r>
              <w:rPr>
                <w:rFonts w:ascii="Arial" w:cs="Arial" w:eastAsia="Arial" w:hAnsi="Arial"/>
                <w:sz w:val="18"/>
                <w:szCs w:val="18"/>
                <w:color w:val="auto"/>
                <w:w w:val="84"/>
              </w:rPr>
              <w:t>2008</w:t>
            </w:r>
          </w:p>
        </w:tc>
        <w:tc>
          <w:tcPr>
            <w:tcW w:w="6200" w:type="dxa"/>
            <w:vAlign w:val="bottom"/>
            <w:gridSpan w:val="2"/>
          </w:tcPr>
          <w:p>
            <w:pPr>
              <w:ind w:left="60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277" w:lineRule="exact"/>
        <w:rPr>
          <w:sz w:val="20"/>
          <w:szCs w:val="20"/>
          <w:color w:val="auto"/>
        </w:rPr>
      </w:pPr>
    </w:p>
    <w:p>
      <w:pPr>
        <w:jc w:val="both"/>
        <w:ind w:firstLine="295"/>
        <w:spacing w:after="0" w:line="259" w:lineRule="auto"/>
        <w:rPr>
          <w:sz w:val="20"/>
          <w:szCs w:val="20"/>
          <w:color w:val="auto"/>
        </w:rPr>
      </w:pPr>
      <w:r>
        <w:rPr>
          <w:rFonts w:ascii="Arial" w:cs="Arial" w:eastAsia="Arial" w:hAnsi="Arial"/>
          <w:sz w:val="18"/>
          <w:szCs w:val="18"/>
          <w:color w:val="auto"/>
        </w:rPr>
        <w:t xml:space="preserve">In the second quarter of fiscal 2010, we adopted the FASB guidance under ASC 855-10,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This guidance amended several definitions and removed the requirement for an SEC filer to disclose the date through which subsequent events have been evaluated. The adoption of this guidance resulted in revised disclosures and did not have a material impact on our Consolidated Financial Statements.</w:t>
      </w:r>
    </w:p>
    <w:p>
      <w:pPr>
        <w:spacing w:after="0" w:line="248" w:lineRule="exact"/>
        <w:rPr>
          <w:sz w:val="20"/>
          <w:szCs w:val="20"/>
          <w:color w:val="auto"/>
        </w:rPr>
      </w:pPr>
    </w:p>
    <w:p>
      <w:pPr>
        <w:jc w:val="both"/>
        <w:ind w:firstLine="362"/>
        <w:spacing w:after="0" w:line="298" w:lineRule="auto"/>
        <w:rPr>
          <w:sz w:val="20"/>
          <w:szCs w:val="20"/>
          <w:color w:val="auto"/>
        </w:rPr>
      </w:pPr>
      <w:r>
        <w:rPr>
          <w:rFonts w:ascii="Arial" w:cs="Arial" w:eastAsia="Arial" w:hAnsi="Arial"/>
          <w:sz w:val="16"/>
          <w:szCs w:val="16"/>
          <w:color w:val="auto"/>
        </w:rPr>
        <w:t xml:space="preserve">In the third quarter of fiscal 2010, we adopted the required portions of FASB guidance under ASC 820-10,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Improving Disclosures about Fair Value Measurements. </w:t>
      </w:r>
      <w:r>
        <w:rPr>
          <w:rFonts w:ascii="Arial" w:cs="Arial" w:eastAsia="Arial" w:hAnsi="Arial"/>
          <w:sz w:val="16"/>
          <w:szCs w:val="16"/>
          <w:color w:val="auto"/>
        </w:rPr>
        <w:t>The guidance required enhanced disclosures about valuation techniques and inputs for Level 2 and Level</w:t>
      </w:r>
      <w:r>
        <w:rPr>
          <w:rFonts w:ascii="Arial" w:cs="Arial" w:eastAsia="Arial" w:hAnsi="Arial"/>
          <w:sz w:val="16"/>
          <w:szCs w:val="16"/>
          <w:i w:val="1"/>
          <w:iCs w:val="1"/>
          <w:color w:val="auto"/>
        </w:rPr>
        <w:t xml:space="preserve"> </w:t>
      </w:r>
      <w:r>
        <w:rPr>
          <w:rFonts w:ascii="Arial" w:cs="Arial" w:eastAsia="Arial" w:hAnsi="Arial"/>
          <w:sz w:val="16"/>
          <w:szCs w:val="16"/>
          <w:color w:val="auto"/>
        </w:rPr>
        <w:t>3 fair value measurements. The guidance also required new disclosures about transfers in and out of Level 1 and Level 2 fair value measurements. The adoption of this guidance required only enhanced disclosures and did not have a material impact on the Consolidated Financial Statements.</w:t>
      </w:r>
    </w:p>
    <w:p>
      <w:pPr>
        <w:spacing w:after="0" w:line="221" w:lineRule="exact"/>
        <w:rPr>
          <w:sz w:val="20"/>
          <w:szCs w:val="20"/>
          <w:color w:val="auto"/>
        </w:rPr>
      </w:pPr>
    </w:p>
    <w:p>
      <w:pPr>
        <w:jc w:val="both"/>
        <w:ind w:firstLine="296"/>
        <w:spacing w:after="0" w:line="298" w:lineRule="auto"/>
        <w:rPr>
          <w:sz w:val="20"/>
          <w:szCs w:val="20"/>
          <w:color w:val="auto"/>
        </w:rPr>
      </w:pPr>
      <w:r>
        <w:rPr>
          <w:rFonts w:ascii="Arial" w:cs="Arial" w:eastAsia="Arial" w:hAnsi="Arial"/>
          <w:sz w:val="16"/>
          <w:szCs w:val="16"/>
          <w:color w:val="auto"/>
        </w:rPr>
        <w:t xml:space="preserve">On July 31, 2010, we adopted guidance under ASC 715-20,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xml:space="preserve"> that required expanded disclosure for employers’ pension and other postretirement benefit plan assets fair value measurements, investment policies and strategies for the major categories of plan assets and significant concentrations of risk within plan assets. The adoption of this guidance required only enhanced disclosures, which we provided in Note 9 of the Notes to the Consolidated Financial Statements, and did not have a material impact on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79" w:lineRule="exact"/>
        <w:rPr>
          <w:sz w:val="20"/>
          <w:szCs w:val="20"/>
          <w:color w:val="auto"/>
        </w:rPr>
      </w:pPr>
    </w:p>
    <w:p>
      <w:pPr>
        <w:jc w:val="both"/>
        <w:ind w:firstLine="328"/>
        <w:spacing w:after="0" w:line="290" w:lineRule="auto"/>
        <w:rPr>
          <w:sz w:val="20"/>
          <w:szCs w:val="20"/>
          <w:color w:val="auto"/>
        </w:rPr>
      </w:pPr>
      <w:r>
        <w:rPr>
          <w:rFonts w:ascii="Arial" w:cs="Arial" w:eastAsia="Arial" w:hAnsi="Arial"/>
          <w:sz w:val="16"/>
          <w:szCs w:val="16"/>
          <w:color w:val="auto"/>
        </w:rPr>
        <w:t xml:space="preserve">In July 2010, the FASB issued guidance under ASC 310-10, </w:t>
      </w:r>
      <w:r>
        <w:rPr>
          <w:rFonts w:ascii="Arial" w:cs="Arial" w:eastAsia="Arial" w:hAnsi="Arial"/>
          <w:sz w:val="16"/>
          <w:szCs w:val="16"/>
          <w:i w:val="1"/>
          <w:iCs w:val="1"/>
          <w:color w:val="auto"/>
        </w:rPr>
        <w:t>Disclosures about the Credit Quality of Financing Receivables and the Allowance for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w:t>
      </w:r>
      <w:r>
        <w:rPr>
          <w:rFonts w:ascii="Arial" w:cs="Arial" w:eastAsia="Arial" w:hAnsi="Arial"/>
          <w:sz w:val="16"/>
          <w:szCs w:val="16"/>
          <w:color w:val="auto"/>
        </w:rPr>
        <w:t>that requires new disclosures to provide a greater level of disaggregated information about the credit quality of financing receivables, including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indicators, past due information and modifications of financing receivables. A rollforward schedule of the allowance for credit losses for the reporting period is also required. Adoption of the guidance regarding disclosures as of the end of a reporting period may result in enhanced disclosures beginning with our Quarterly Report on Form 10-Q for the quarter ending Janua ry 31, 2011. Adoption of the guidance regarding disclosures about activity that occurs during a reporting period are effective beginning with our Quarterly Report on Form 10-Q for the quarter ending April 30, 2011. Adoption of this guidance may result in enhanced disclosures and will not have a material impact on the Consolidated Financial Statements.</w:t>
      </w:r>
    </w:p>
    <w:p>
      <w:pPr>
        <w:spacing w:after="0" w:line="226" w:lineRule="exact"/>
        <w:rPr>
          <w:sz w:val="20"/>
          <w:szCs w:val="20"/>
          <w:color w:val="auto"/>
        </w:rPr>
      </w:pPr>
    </w:p>
    <w:p>
      <w:pPr>
        <w:jc w:val="both"/>
        <w:ind w:firstLine="398"/>
        <w:spacing w:after="0" w:line="335" w:lineRule="auto"/>
        <w:rPr>
          <w:sz w:val="20"/>
          <w:szCs w:val="20"/>
          <w:color w:val="auto"/>
        </w:rPr>
      </w:pPr>
      <w:r>
        <w:rPr>
          <w:rFonts w:ascii="Arial" w:cs="Arial" w:eastAsia="Arial" w:hAnsi="Arial"/>
          <w:sz w:val="15"/>
          <w:szCs w:val="15"/>
          <w:color w:val="auto"/>
        </w:rPr>
        <w:t xml:space="preserve">In January 2010, the FASB issued guidance under ASC 820-10, </w:t>
      </w:r>
      <w:r>
        <w:rPr>
          <w:rFonts w:ascii="Arial" w:cs="Arial" w:eastAsia="Arial" w:hAnsi="Arial"/>
          <w:sz w:val="15"/>
          <w:szCs w:val="15"/>
          <w:i w:val="1"/>
          <w:iCs w:val="1"/>
          <w:color w:val="auto"/>
        </w:rPr>
        <w:t>Fair Value Measurements and Disclosures: Improving Disclosures about Fair Value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Measurements, </w:t>
      </w:r>
      <w:r>
        <w:rPr>
          <w:rFonts w:ascii="Arial" w:cs="Arial" w:eastAsia="Arial" w:hAnsi="Arial"/>
          <w:sz w:val="15"/>
          <w:szCs w:val="15"/>
          <w:color w:val="auto"/>
        </w:rPr>
        <w:t>that requires new disclosures related to Level 3 fair value measurements. Adoption of this guidance may result in enhanced disclosures beginning</w:t>
      </w:r>
      <w:r>
        <w:rPr>
          <w:rFonts w:ascii="Arial" w:cs="Arial" w:eastAsia="Arial" w:hAnsi="Arial"/>
          <w:sz w:val="15"/>
          <w:szCs w:val="15"/>
          <w:i w:val="1"/>
          <w:iCs w:val="1"/>
          <w:color w:val="auto"/>
        </w:rPr>
        <w:t xml:space="preserve"> </w:t>
      </w:r>
      <w:r>
        <w:rPr>
          <w:rFonts w:ascii="Arial" w:cs="Arial" w:eastAsia="Arial" w:hAnsi="Arial"/>
          <w:sz w:val="15"/>
          <w:szCs w:val="15"/>
          <w:color w:val="auto"/>
        </w:rPr>
        <w:t>with our Quarterly Report on Form 10-Q for the quarter ending October 31, 2011 and will not have a material impact on the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85" w:lineRule="exact"/>
        <w:rPr>
          <w:sz w:val="20"/>
          <w:szCs w:val="20"/>
          <w:color w:val="auto"/>
        </w:rPr>
      </w:pPr>
    </w:p>
    <w:p>
      <w:pPr>
        <w:jc w:val="both"/>
        <w:ind w:right="20" w:firstLine="312"/>
        <w:spacing w:after="0" w:line="268"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240"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We are exposed to foreign currency fluctuation risk, primarily U.S. Dollar/British Pound, U.S. Dollar/Euro and U.S. Dollar/Canadian Dollar, as it relates to certain accounts receivables and our foreign operations. Foreign currency denominated accounts receivable is a small fraction of our consolidated accounts receivable. We are also subject to translation exposure of our foreign subsidiaries’ financial statements. In recent years, our foreign subsidiaries have not generated a substantial portion of our consolidated net sales or net income. We do not enter into any hedge contracts in an attempt to offset any adverse effect of changes in currency exchange rates. We believe that the foreign currency fluctuation risk is immaterial to our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39" w:name="page40"/>
    <w:bookmarkEnd w:id="39"/>
    <w:p>
      <w:pPr>
        <w:jc w:val="both"/>
        <w:ind w:firstLine="278"/>
        <w:spacing w:after="0" w:line="259" w:lineRule="auto"/>
        <w:rPr>
          <w:sz w:val="20"/>
          <w:szCs w:val="20"/>
          <w:color w:val="auto"/>
        </w:rPr>
      </w:pPr>
      <w:r>
        <w:rPr>
          <w:rFonts w:ascii="Arial" w:cs="Arial" w:eastAsia="Arial" w:hAnsi="Arial"/>
          <w:sz w:val="18"/>
          <w:szCs w:val="18"/>
          <w:color w:val="auto"/>
        </w:rPr>
        <w:t>We are exposed to market risk at it relates to the investments of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spacing w:after="0" w:line="248" w:lineRule="exact"/>
        <w:rPr>
          <w:sz w:val="20"/>
          <w:szCs w:val="20"/>
          <w:color w:val="auto"/>
        </w:rPr>
      </w:pPr>
    </w:p>
    <w:p>
      <w:pPr>
        <w:jc w:val="both"/>
        <w:ind w:firstLine="260"/>
        <w:spacing w:after="0" w:line="259" w:lineRule="auto"/>
        <w:rPr>
          <w:sz w:val="20"/>
          <w:szCs w:val="20"/>
          <w:color w:val="auto"/>
        </w:rPr>
      </w:pPr>
      <w:r>
        <w:rPr>
          <w:rFonts w:ascii="Arial" w:cs="Arial" w:eastAsia="Arial" w:hAnsi="Arial"/>
          <w:sz w:val="18"/>
          <w:szCs w:val="18"/>
          <w:color w:val="auto"/>
        </w:rPr>
        <w:t>We are exposed to regulatory risk in the fluids purification, agricultural and animal health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248" w:lineRule="exact"/>
        <w:rPr>
          <w:sz w:val="20"/>
          <w:szCs w:val="20"/>
          <w:color w:val="auto"/>
        </w:rPr>
      </w:pPr>
    </w:p>
    <w:p>
      <w:pPr>
        <w:jc w:val="both"/>
        <w:ind w:firstLine="330"/>
        <w:spacing w:after="0" w:line="255" w:lineRule="auto"/>
        <w:rPr>
          <w:sz w:val="20"/>
          <w:szCs w:val="20"/>
          <w:color w:val="auto"/>
        </w:rPr>
      </w:pPr>
      <w:r>
        <w:rPr>
          <w:rFonts w:ascii="Arial" w:cs="Arial" w:eastAsia="Arial" w:hAnsi="Arial"/>
          <w:sz w:val="18"/>
          <w:szCs w:val="18"/>
          <w:color w:val="auto"/>
        </w:rPr>
        <w:t>We are exposed to commodity price risk with respect to fuel. We contract for a portion of our anticipated fuel needs using forward purchase contracts to mitigate the volatility of our kiln fuel prices. As of July 31, 2010, we have purchased natural gas contracts representing approximately 18% of our planned kiln fuel needs for fiscal 2011. We estimate the weighted average cost of these natural gas contracts in fiscal 2011 to be approximately 10% lower than the contracts in fiscal 2010; however, this average will change if we continue to buy natural gas contracts. All contracts are related to the normal course of business and no contracts are entered into for speculative purposes.</w:t>
      </w:r>
    </w:p>
    <w:p>
      <w:pPr>
        <w:spacing w:after="0" w:line="251" w:lineRule="exact"/>
        <w:rPr>
          <w:sz w:val="20"/>
          <w:szCs w:val="20"/>
          <w:color w:val="auto"/>
        </w:rPr>
      </w:pPr>
    </w:p>
    <w:p>
      <w:pPr>
        <w:jc w:val="both"/>
        <w:ind w:firstLine="280"/>
        <w:spacing w:after="0" w:line="256" w:lineRule="auto"/>
        <w:rPr>
          <w:sz w:val="20"/>
          <w:szCs w:val="20"/>
          <w:color w:val="auto"/>
        </w:rPr>
      </w:pPr>
      <w:r>
        <w:rPr>
          <w:rFonts w:ascii="Arial" w:cs="Arial" w:eastAsia="Arial" w:hAnsi="Arial"/>
          <w:sz w:val="18"/>
          <w:szCs w:val="18"/>
          <w:color w:val="auto"/>
        </w:rPr>
        <w:t>The following table provides information about our natural gas future contracts, which are sensitive to changes in commodity prices, specifically natural gas prices. For the future contracts, the table presents the notional amounts in MMBtu’s, the weighted average contract prices, and the total dollar contract amount, which will mature by July 31, 2011. The Fair Value was determined using the “Most Recent Settle” price for the “Henry Hub Natural Gas” option contract prices as listed by the New York Mercantile Exchange on September 30, 2010.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Commodity Price Sensitivity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Natural Gas Future Contracts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Ending July 31, 2011</w:t>
      </w:r>
    </w:p>
    <w:p>
      <w:pPr>
        <w:spacing w:after="0" w:line="21"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5860" w:type="dxa"/>
            <w:vAlign w:val="bottom"/>
            <w:tcBorders>
              <w:top w:val="single" w:sz="8" w:color="auto"/>
            </w:tcBorders>
          </w:tcPr>
          <w:p>
            <w:pPr>
              <w:spacing w:after="0"/>
              <w:rPr>
                <w:sz w:val="20"/>
                <w:szCs w:val="20"/>
                <w:color w:val="auto"/>
              </w:rPr>
            </w:pPr>
          </w:p>
        </w:tc>
        <w:tc>
          <w:tcPr>
            <w:tcW w:w="4120" w:type="dxa"/>
            <w:vAlign w:val="bottom"/>
            <w:tcBorders>
              <w:top w:val="single" w:sz="8" w:color="auto"/>
            </w:tcBorders>
            <w:gridSpan w:val="3"/>
          </w:tcPr>
          <w:p>
            <w:pPr>
              <w:ind w:left="3060"/>
              <w:spacing w:after="0"/>
              <w:rPr>
                <w:sz w:val="20"/>
                <w:szCs w:val="20"/>
                <w:color w:val="auto"/>
              </w:rPr>
            </w:pPr>
            <w:r>
              <w:rPr>
                <w:rFonts w:ascii="Arial" w:cs="Arial" w:eastAsia="Arial" w:hAnsi="Arial"/>
                <w:sz w:val="18"/>
                <w:szCs w:val="18"/>
                <w:color w:val="auto"/>
                <w:w w:val="86"/>
              </w:rPr>
              <w:t>Expected 2011</w:t>
            </w: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52"/>
        </w:trPr>
        <w:tc>
          <w:tcPr>
            <w:tcW w:w="58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Maturity</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Fair Value</w:t>
            </w:r>
          </w:p>
        </w:tc>
      </w:tr>
      <w:tr>
        <w:trPr>
          <w:trHeight w:val="243"/>
        </w:trPr>
        <w:tc>
          <w:tcPr>
            <w:tcW w:w="58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Natural Gas Future Volumes (MMBtu)</w:t>
            </w:r>
          </w:p>
        </w:tc>
        <w:tc>
          <w:tcPr>
            <w:tcW w:w="308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9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360,000</w:t>
            </w:r>
          </w:p>
        </w:tc>
        <w:tc>
          <w:tcPr>
            <w:tcW w:w="140" w:type="dxa"/>
            <w:vAlign w:val="bottom"/>
            <w:tcBorders>
              <w:top w:val="single" w:sz="8" w:color="C0C0C0"/>
            </w:tcBorders>
            <w:shd w:val="clear" w:color="auto" w:fill="C0C0C0"/>
          </w:tcPr>
          <w:p>
            <w:pPr>
              <w:spacing w:after="0"/>
              <w:rPr>
                <w:sz w:val="21"/>
                <w:szCs w:val="21"/>
                <w:color w:val="auto"/>
              </w:rPr>
            </w:pPr>
          </w:p>
        </w:tc>
        <w:tc>
          <w:tcPr>
            <w:tcW w:w="7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860" w:type="dxa"/>
            <w:vAlign w:val="bottom"/>
          </w:tcPr>
          <w:p>
            <w:pPr>
              <w:spacing w:after="0"/>
              <w:rPr>
                <w:sz w:val="20"/>
                <w:szCs w:val="20"/>
                <w:color w:val="auto"/>
              </w:rPr>
            </w:pPr>
            <w:r>
              <w:rPr>
                <w:rFonts w:ascii="Arial" w:cs="Arial" w:eastAsia="Arial" w:hAnsi="Arial"/>
                <w:sz w:val="18"/>
                <w:szCs w:val="18"/>
                <w:color w:val="auto"/>
              </w:rPr>
              <w:t>Weighted Average Price (Per MMBtu)</w:t>
            </w:r>
          </w:p>
        </w:tc>
        <w:tc>
          <w:tcPr>
            <w:tcW w:w="3220" w:type="dxa"/>
            <w:vAlign w:val="bottom"/>
            <w:gridSpan w:val="2"/>
          </w:tcPr>
          <w:p>
            <w:pPr>
              <w:ind w:left="30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58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Contract Amount ($ U.S., in thousands)</w:t>
            </w:r>
          </w:p>
        </w:tc>
        <w:tc>
          <w:tcPr>
            <w:tcW w:w="3220" w:type="dxa"/>
            <w:vAlign w:val="bottom"/>
            <w:tcBorders>
              <w:bottom w:val="single" w:sz="8" w:color="auto"/>
            </w:tcBorders>
            <w:gridSpan w:val="2"/>
            <w:shd w:val="clear" w:color="auto" w:fill="C0C0C0"/>
          </w:tcPr>
          <w:p>
            <w:pPr>
              <w:ind w:left="30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1,988</w:t>
            </w:r>
          </w:p>
        </w:tc>
        <w:tc>
          <w:tcPr>
            <w:tcW w:w="86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   1,496</w:t>
            </w:r>
          </w:p>
        </w:tc>
      </w:tr>
    </w:tbl>
    <w:p>
      <w:pPr>
        <w:spacing w:after="0" w:line="262" w:lineRule="exact"/>
        <w:rPr>
          <w:sz w:val="20"/>
          <w:szCs w:val="20"/>
          <w:color w:val="auto"/>
        </w:rPr>
      </w:pPr>
    </w:p>
    <w:p>
      <w:pPr>
        <w:jc w:val="both"/>
        <w:ind w:firstLine="312"/>
        <w:spacing w:after="0" w:line="294" w:lineRule="auto"/>
        <w:rPr>
          <w:sz w:val="20"/>
          <w:szCs w:val="20"/>
          <w:color w:val="auto"/>
        </w:rPr>
      </w:pPr>
      <w:r>
        <w:rPr>
          <w:rFonts w:ascii="Arial" w:cs="Arial" w:eastAsia="Arial" w:hAnsi="Arial"/>
          <w:sz w:val="16"/>
          <w:szCs w:val="16"/>
          <w:color w:val="auto"/>
        </w:rPr>
        <w:t>Factors that could influence the fair value of the natural gas contracts, include, but are not limited to, the creditworthiness of our natural gas suppliers, the overall general economy, developments in world events, the general demand for natural gas by the manufacturing sector, seasonality and the weather patterns throughout the United States and the world. Some of these same events have allowed us to mitigate the impact of the natural gas contracts by the continued, and in some cases expanded, use of recycled oil in our manufacturing processes. Accurate estimates of the impact that these contracts may have on our fiscal 2011 financial results are difficult to make due to the inherent uncertainty of future fluctuations in option contract prices in the natural gas options market.</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Please also see Item 1A “Risk Factors” above for a discussion of these and other risks and uncertainties we face in our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8"/>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ITEM 8 – FINANCIAL STATEMENTS AND SUPPLEMENTARY DATA</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120" w:type="dxa"/>
            <w:vAlign w:val="bottom"/>
          </w:tcPr>
          <w:p>
            <w:pPr>
              <w:ind w:left="4180"/>
              <w:spacing w:after="0"/>
              <w:rPr>
                <w:sz w:val="20"/>
                <w:szCs w:val="20"/>
                <w:color w:val="auto"/>
              </w:rPr>
            </w:pPr>
            <w:r>
              <w:rPr>
                <w:rFonts w:ascii="Arial" w:cs="Arial" w:eastAsia="Arial" w:hAnsi="Arial"/>
                <w:sz w:val="18"/>
                <w:szCs w:val="18"/>
                <w:b w:val="1"/>
                <w:bCs w:val="1"/>
                <w:color w:val="auto"/>
              </w:rPr>
              <w:t>CONSOLIDATED BALANCE SHEETS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20" w:type="dxa"/>
            <w:vAlign w:val="bottom"/>
          </w:tcPr>
          <w:p>
            <w:pPr>
              <w:ind w:left="42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4"/>
          </w:tcPr>
          <w:p>
            <w:pPr>
              <w:jc w:val="right"/>
              <w:ind w:right="72"/>
              <w:spacing w:after="0"/>
              <w:rPr>
                <w:sz w:val="20"/>
                <w:szCs w:val="20"/>
                <w:color w:val="auto"/>
              </w:rPr>
            </w:pPr>
            <w:r>
              <w:rPr>
                <w:rFonts w:ascii="Arial" w:cs="Arial" w:eastAsia="Arial" w:hAnsi="Arial"/>
                <w:sz w:val="18"/>
                <w:szCs w:val="18"/>
                <w:b w:val="1"/>
                <w:bCs w:val="1"/>
                <w:color w:val="auto"/>
                <w:w w:val="87"/>
              </w:rPr>
              <w:t>(in thousands of dollars)</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1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8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84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18,762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1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Investment in short-term securities</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5,859</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7,998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Accounts receivable, less allowance of $572 and $652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120" w:type="dxa"/>
            <w:vAlign w:val="bottom"/>
          </w:tcPr>
          <w:p>
            <w:pPr>
              <w:ind w:left="600"/>
              <w:spacing w:after="0"/>
              <w:rPr>
                <w:sz w:val="20"/>
                <w:szCs w:val="20"/>
                <w:color w:val="auto"/>
              </w:rPr>
            </w:pPr>
            <w:r>
              <w:rPr>
                <w:rFonts w:ascii="Arial" w:cs="Arial" w:eastAsia="Arial" w:hAnsi="Arial"/>
                <w:sz w:val="18"/>
                <w:szCs w:val="18"/>
                <w:color w:val="auto"/>
              </w:rPr>
              <w:t>in 2010 and 2009, respectively</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27,178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1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16,023</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17,795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2,867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1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Prepaid repairs expense</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3,993</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2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1,507</w:t>
            </w:r>
          </w:p>
        </w:tc>
        <w:tc>
          <w:tcPr>
            <w:tcW w:w="1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20" w:type="dxa"/>
            <w:vAlign w:val="bottom"/>
            <w:shd w:val="clear" w:color="auto" w:fill="C0C0C0"/>
          </w:tcPr>
          <w:p>
            <w:pPr>
              <w:ind w:left="9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8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76,189</w:t>
            </w:r>
          </w:p>
        </w:tc>
        <w:tc>
          <w:tcPr>
            <w:tcW w:w="160" w:type="dxa"/>
            <w:vAlign w:val="bottom"/>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73,717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1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Property, Plant and Equipment</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Buildings and leasehold improvements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24,513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24,479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1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108,420</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106,385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Office furniture and equipment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8,886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8,596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1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Vehicles</w:t>
            </w:r>
          </w:p>
        </w:tc>
        <w:tc>
          <w:tcPr>
            <w:tcW w:w="14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9,411</w:t>
            </w:r>
          </w:p>
        </w:tc>
        <w:tc>
          <w:tcPr>
            <w:tcW w:w="1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151,230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148,409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1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w w:val="95"/>
              </w:rPr>
              <w:t>(115,115)</w:t>
            </w:r>
          </w:p>
        </w:tc>
        <w:tc>
          <w:tcPr>
            <w:tcW w:w="1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3"/>
              </w:rPr>
              <w:t>(109,645)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36,115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38,764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1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Construction in progress</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10,773</w:t>
            </w: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8,220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2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Land</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15,614</w:t>
            </w:r>
          </w:p>
        </w:tc>
        <w:tc>
          <w:tcPr>
            <w:tcW w:w="1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12,501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20" w:type="dxa"/>
            <w:vAlign w:val="bottom"/>
            <w:shd w:val="clear" w:color="auto" w:fill="C0C0C0"/>
          </w:tcPr>
          <w:p>
            <w:pPr>
              <w:ind w:left="900"/>
              <w:spacing w:after="0"/>
              <w:rPr>
                <w:sz w:val="20"/>
                <w:szCs w:val="20"/>
                <w:color w:val="auto"/>
              </w:rPr>
            </w:pPr>
            <w:r>
              <w:rPr>
                <w:rFonts w:ascii="Arial" w:cs="Arial" w:eastAsia="Arial" w:hAnsi="Arial"/>
                <w:sz w:val="18"/>
                <w:szCs w:val="18"/>
                <w:color w:val="auto"/>
              </w:rPr>
              <w:t>Total Property, Plant and Equipment, Net</w:t>
            </w:r>
          </w:p>
        </w:tc>
        <w:tc>
          <w:tcPr>
            <w:tcW w:w="14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8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62,502</w:t>
            </w:r>
          </w:p>
        </w:tc>
        <w:tc>
          <w:tcPr>
            <w:tcW w:w="160" w:type="dxa"/>
            <w:vAlign w:val="bottom"/>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59,485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1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Other Assets</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1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5,162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120" w:type="dxa"/>
            <w:vAlign w:val="bottom"/>
            <w:shd w:val="clear" w:color="auto" w:fill="C0C0C0"/>
          </w:tcPr>
          <w:p>
            <w:pPr>
              <w:spacing w:after="0"/>
              <w:rPr>
                <w:sz w:val="20"/>
                <w:szCs w:val="20"/>
                <w:color w:val="auto"/>
              </w:rPr>
            </w:pPr>
            <w:r>
              <w:rPr>
                <w:rFonts w:ascii="Arial" w:cs="Arial" w:eastAsia="Arial" w:hAnsi="Arial"/>
                <w:sz w:val="18"/>
                <w:szCs w:val="18"/>
                <w:color w:val="auto"/>
              </w:rPr>
              <w:t>Trademarks and patents (Net of accumulated amortization</w:t>
            </w: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1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of $357 and $351 in 2010 and 2009, respectively)</w:t>
            </w: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617</w:t>
            </w:r>
          </w:p>
        </w:tc>
        <w:tc>
          <w:tcPr>
            <w:tcW w:w="1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8"/>
        </w:trPr>
        <w:tc>
          <w:tcPr>
            <w:tcW w:w="9140" w:type="dxa"/>
            <w:vAlign w:val="bottom"/>
            <w:gridSpan w:val="2"/>
          </w:tcPr>
          <w:p>
            <w:pPr>
              <w:spacing w:after="0"/>
              <w:rPr>
                <w:sz w:val="20"/>
                <w:szCs w:val="20"/>
                <w:color w:val="auto"/>
              </w:rPr>
            </w:pPr>
            <w:r>
              <w:rPr>
                <w:rFonts w:ascii="Arial" w:cs="Arial" w:eastAsia="Arial" w:hAnsi="Arial"/>
                <w:sz w:val="18"/>
                <w:szCs w:val="18"/>
                <w:color w:val="auto"/>
              </w:rPr>
              <w:t>Debt issuance costs (Net of accumulated amortization</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120" w:type="dxa"/>
            <w:vAlign w:val="bottom"/>
          </w:tcPr>
          <w:p>
            <w:pPr>
              <w:ind w:left="300"/>
              <w:spacing w:after="0"/>
              <w:rPr>
                <w:sz w:val="20"/>
                <w:szCs w:val="20"/>
                <w:color w:val="auto"/>
              </w:rPr>
            </w:pPr>
            <w:r>
              <w:rPr>
                <w:rFonts w:ascii="Arial" w:cs="Arial" w:eastAsia="Arial" w:hAnsi="Arial"/>
                <w:sz w:val="18"/>
                <w:szCs w:val="18"/>
                <w:color w:val="auto"/>
              </w:rPr>
              <w:t>of $524 and $473 in 2010 and 2009, respectively)</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255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120" w:type="dxa"/>
            <w:vAlign w:val="bottom"/>
            <w:shd w:val="clear" w:color="auto" w:fill="C0C0C0"/>
          </w:tcPr>
          <w:p>
            <w:pPr>
              <w:spacing w:after="0"/>
              <w:rPr>
                <w:sz w:val="20"/>
                <w:szCs w:val="20"/>
                <w:color w:val="auto"/>
              </w:rPr>
            </w:pPr>
            <w:r>
              <w:rPr>
                <w:rFonts w:ascii="Arial" w:cs="Arial" w:eastAsia="Arial" w:hAnsi="Arial"/>
                <w:sz w:val="18"/>
                <w:szCs w:val="18"/>
                <w:color w:val="auto"/>
              </w:rPr>
              <w:t>Licensing and non-compete agreements (Net of accumulated amortization</w:t>
            </w: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1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of $3,611 and $3,361 in 2010 and 2009, respectively)</w:t>
            </w: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1,127</w:t>
            </w:r>
          </w:p>
        </w:tc>
        <w:tc>
          <w:tcPr>
            <w:tcW w:w="1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36"/>
        </w:trPr>
        <w:tc>
          <w:tcPr>
            <w:tcW w:w="91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3,981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12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4,149</w:t>
            </w:r>
          </w:p>
        </w:tc>
        <w:tc>
          <w:tcPr>
            <w:tcW w:w="1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tcBorders>
              <w:bottom w:val="single" w:sz="8" w:color="C0C0C0"/>
            </w:tcBorders>
          </w:tcPr>
          <w:p>
            <w:pPr>
              <w:ind w:left="90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15,291</w:t>
            </w:r>
          </w:p>
        </w:tc>
        <w:tc>
          <w:tcPr>
            <w:tcW w:w="1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16,059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120" w:type="dxa"/>
            <w:vAlign w:val="bottom"/>
            <w:shd w:val="clear" w:color="auto" w:fill="C0C0C0"/>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153,982</w:t>
            </w:r>
          </w:p>
        </w:tc>
        <w:tc>
          <w:tcPr>
            <w:tcW w:w="30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149,261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12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July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2009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ind w:left="270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9"/>
                <w:szCs w:val="19"/>
                <w:color w:val="auto"/>
              </w:rPr>
            </w:pPr>
          </w:p>
        </w:tc>
        <w:tc>
          <w:tcPr>
            <w:tcW w:w="1980" w:type="dxa"/>
            <w:vAlign w:val="bottom"/>
            <w:gridSpan w:val="5"/>
          </w:tcPr>
          <w:p>
            <w:pPr>
              <w:jc w:val="right"/>
              <w:spacing w:after="0"/>
              <w:rPr>
                <w:sz w:val="20"/>
                <w:szCs w:val="20"/>
                <w:color w:val="auto"/>
              </w:rPr>
            </w:pPr>
            <w:r>
              <w:rPr>
                <w:rFonts w:ascii="Arial" w:cs="Arial" w:eastAsia="Arial" w:hAnsi="Arial"/>
                <w:sz w:val="18"/>
                <w:szCs w:val="18"/>
                <w:b w:val="1"/>
                <w:bCs w:val="1"/>
                <w:color w:val="auto"/>
                <w:w w:val="89"/>
              </w:rPr>
              <w:t>(in thousands of dollars)</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2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220" w:type="dxa"/>
            <w:vAlign w:val="bottom"/>
          </w:tcPr>
          <w:p>
            <w:pPr>
              <w:ind w:left="300"/>
              <w:spacing w:after="0"/>
              <w:rPr>
                <w:sz w:val="20"/>
                <w:szCs w:val="20"/>
                <w:color w:val="auto"/>
              </w:rPr>
            </w:pPr>
            <w:r>
              <w:rPr>
                <w:rFonts w:ascii="Arial" w:cs="Arial" w:eastAsia="Arial" w:hAnsi="Arial"/>
                <w:sz w:val="18"/>
                <w:szCs w:val="18"/>
                <w:color w:val="auto"/>
              </w:rPr>
              <w:t>Current maturities of notes payable</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3,500</w:t>
            </w:r>
          </w:p>
        </w:tc>
        <w:tc>
          <w:tcPr>
            <w:tcW w:w="20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6,482</w:t>
            </w: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220" w:type="dxa"/>
            <w:vAlign w:val="bottom"/>
          </w:tcPr>
          <w:p>
            <w:pPr>
              <w:ind w:left="300"/>
              <w:spacing w:after="0"/>
              <w:rPr>
                <w:sz w:val="20"/>
                <w:szCs w:val="20"/>
                <w:color w:val="auto"/>
              </w:rPr>
            </w:pPr>
            <w:r>
              <w:rPr>
                <w:rFonts w:ascii="Arial" w:cs="Arial" w:eastAsia="Arial" w:hAnsi="Arial"/>
                <w:sz w:val="18"/>
                <w:szCs w:val="18"/>
                <w:color w:val="auto"/>
              </w:rPr>
              <w:t>Dividends payable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1,043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220" w:type="dxa"/>
            <w:vAlign w:val="bottom"/>
          </w:tcPr>
          <w:p>
            <w:pPr>
              <w:ind w:left="620"/>
              <w:spacing w:after="0"/>
              <w:rPr>
                <w:sz w:val="20"/>
                <w:szCs w:val="20"/>
                <w:color w:val="auto"/>
              </w:rPr>
            </w:pPr>
            <w:r>
              <w:rPr>
                <w:rFonts w:ascii="Arial" w:cs="Arial" w:eastAsia="Arial" w:hAnsi="Arial"/>
                <w:sz w:val="18"/>
                <w:szCs w:val="18"/>
                <w:color w:val="auto"/>
              </w:rPr>
              <w:t>Salaries, wages and commissions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7,064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Trade promotions and advertising</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2,313</w:t>
            </w: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220" w:type="dxa"/>
            <w:vAlign w:val="bottom"/>
          </w:tcPr>
          <w:p>
            <w:pPr>
              <w:ind w:left="620"/>
              <w:spacing w:after="0"/>
              <w:rPr>
                <w:sz w:val="20"/>
                <w:szCs w:val="20"/>
                <w:color w:val="auto"/>
              </w:rPr>
            </w:pPr>
            <w:r>
              <w:rPr>
                <w:rFonts w:ascii="Arial" w:cs="Arial" w:eastAsia="Arial" w:hAnsi="Arial"/>
                <w:sz w:val="18"/>
                <w:szCs w:val="18"/>
                <w:color w:val="auto"/>
              </w:rPr>
              <w:t>Freight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1,504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5,885</w:t>
            </w:r>
          </w:p>
        </w:tc>
        <w:tc>
          <w:tcPr>
            <w:tcW w:w="20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9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27,791</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23,768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2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Noncurrent Liabilities</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220" w:type="dxa"/>
            <w:vAlign w:val="bottom"/>
          </w:tcPr>
          <w:p>
            <w:pPr>
              <w:ind w:left="300"/>
              <w:spacing w:after="0"/>
              <w:rPr>
                <w:sz w:val="20"/>
                <w:szCs w:val="20"/>
                <w:color w:val="auto"/>
              </w:rPr>
            </w:pPr>
            <w:r>
              <w:rPr>
                <w:rFonts w:ascii="Arial" w:cs="Arial" w:eastAsia="Arial" w:hAnsi="Arial"/>
                <w:sz w:val="18"/>
                <w:szCs w:val="18"/>
                <w:color w:val="auto"/>
              </w:rPr>
              <w:t>Notes payable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14,800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18,300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Deferred compensation</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6,818</w:t>
            </w: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220" w:type="dxa"/>
            <w:vAlign w:val="bottom"/>
          </w:tcPr>
          <w:p>
            <w:pPr>
              <w:ind w:left="300"/>
              <w:spacing w:after="0"/>
              <w:rPr>
                <w:sz w:val="20"/>
                <w:szCs w:val="20"/>
                <w:color w:val="auto"/>
              </w:rPr>
            </w:pPr>
            <w:r>
              <w:rPr>
                <w:rFonts w:ascii="Arial" w:cs="Arial" w:eastAsia="Arial" w:hAnsi="Arial"/>
                <w:sz w:val="18"/>
                <w:szCs w:val="18"/>
                <w:color w:val="auto"/>
              </w:rPr>
              <w:t>Pension and postretirement benefits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12,558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10,491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1,426</w:t>
            </w:r>
          </w:p>
        </w:tc>
        <w:tc>
          <w:tcPr>
            <w:tcW w:w="20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Borders>
              <w:bottom w:val="single" w:sz="8" w:color="C0C0C0"/>
            </w:tcBorders>
          </w:tcPr>
          <w:p>
            <w:pPr>
              <w:ind w:left="900"/>
              <w:spacing w:after="0"/>
              <w:rPr>
                <w:sz w:val="20"/>
                <w:szCs w:val="20"/>
                <w:color w:val="auto"/>
              </w:rPr>
            </w:pPr>
            <w:r>
              <w:rPr>
                <w:rFonts w:ascii="Arial" w:cs="Arial" w:eastAsia="Arial" w:hAnsi="Arial"/>
                <w:sz w:val="18"/>
                <w:szCs w:val="18"/>
                <w:color w:val="auto"/>
              </w:rPr>
              <w:t>Total Noncurrent Liabilities</w:t>
            </w:r>
          </w:p>
        </w:tc>
        <w:tc>
          <w:tcPr>
            <w:tcW w:w="20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35,602</w:t>
            </w:r>
          </w:p>
        </w:tc>
        <w:tc>
          <w:tcPr>
            <w:tcW w:w="20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35,930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20" w:type="dxa"/>
            <w:vAlign w:val="bottom"/>
            <w:shd w:val="clear" w:color="auto" w:fill="C0C0C0"/>
          </w:tcPr>
          <w:p>
            <w:pPr>
              <w:ind w:left="9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63,393</w:t>
            </w:r>
          </w:p>
        </w:tc>
        <w:tc>
          <w:tcPr>
            <w:tcW w:w="20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59,698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2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ind w:left="300"/>
              <w:spacing w:after="0"/>
              <w:rPr>
                <w:sz w:val="20"/>
                <w:szCs w:val="20"/>
                <w:color w:val="auto"/>
              </w:rPr>
            </w:pPr>
            <w:r>
              <w:rPr>
                <w:rFonts w:ascii="Arial" w:cs="Arial" w:eastAsia="Arial" w:hAnsi="Arial"/>
                <w:sz w:val="18"/>
                <w:szCs w:val="18"/>
                <w:color w:val="auto"/>
              </w:rPr>
              <w:t>Common Stock, par value $.10 per share, issued 7,639,922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shares in 2010 and 7,475,171 in 2009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764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2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Class B Stock, par value $.10 per share, issued 2,244,217</w:t>
            </w: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220" w:type="dxa"/>
            <w:vAlign w:val="bottom"/>
            <w:shd w:val="clear" w:color="auto" w:fill="C0C0C0"/>
          </w:tcPr>
          <w:p>
            <w:pPr>
              <w:ind w:left="600"/>
              <w:spacing w:after="0"/>
              <w:rPr>
                <w:sz w:val="20"/>
                <w:szCs w:val="20"/>
                <w:color w:val="auto"/>
              </w:rPr>
            </w:pPr>
            <w:r>
              <w:rPr>
                <w:rFonts w:ascii="Arial" w:cs="Arial" w:eastAsia="Arial" w:hAnsi="Arial"/>
                <w:sz w:val="18"/>
                <w:szCs w:val="18"/>
                <w:color w:val="auto"/>
              </w:rPr>
              <w:t>shares in 2010 and 2,240,201 in 2009</w:t>
            </w:r>
          </w:p>
        </w:tc>
        <w:tc>
          <w:tcPr>
            <w:tcW w:w="2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224</w:t>
            </w:r>
          </w:p>
        </w:tc>
        <w:tc>
          <w:tcPr>
            <w:tcW w:w="20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220" w:type="dxa"/>
            <w:vAlign w:val="bottom"/>
          </w:tcPr>
          <w:p>
            <w:pPr>
              <w:ind w:left="3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25,104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23,366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Restricted unearned stock compensation</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(156)</w:t>
            </w: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220" w:type="dxa"/>
            <w:vAlign w:val="bottom"/>
          </w:tcPr>
          <w:p>
            <w:pPr>
              <w:ind w:left="30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w w:val="95"/>
              </w:rPr>
              <w:t>116,917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w w:val="86"/>
              </w:rPr>
              <w:t>111,593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Unrealized gain on marketable securities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67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20" w:type="dxa"/>
            <w:vAlign w:val="bottom"/>
            <w:shd w:val="clear" w:color="auto" w:fill="C0C0C0"/>
          </w:tcPr>
          <w:p>
            <w:pPr>
              <w:ind w:left="600"/>
              <w:spacing w:after="0"/>
              <w:rPr>
                <w:sz w:val="20"/>
                <w:szCs w:val="20"/>
                <w:color w:val="auto"/>
              </w:rPr>
            </w:pPr>
            <w:r>
              <w:rPr>
                <w:rFonts w:ascii="Arial" w:cs="Arial" w:eastAsia="Arial" w:hAnsi="Arial"/>
                <w:sz w:val="18"/>
                <w:szCs w:val="18"/>
                <w:color w:val="auto"/>
              </w:rPr>
              <w:t>Pension and postretirement benefits</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(5,310)</w:t>
            </w: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20" w:type="dxa"/>
            <w:vAlign w:val="bottom"/>
            <w:tcBorders>
              <w:bottom w:val="single" w:sz="8" w:color="C0C0C0"/>
            </w:tcBorders>
          </w:tcPr>
          <w:p>
            <w:pPr>
              <w:ind w:left="600"/>
              <w:spacing w:after="0"/>
              <w:rPr>
                <w:sz w:val="20"/>
                <w:szCs w:val="20"/>
                <w:color w:val="auto"/>
              </w:rPr>
            </w:pPr>
            <w:r>
              <w:rPr>
                <w:rFonts w:ascii="Arial" w:cs="Arial" w:eastAsia="Arial" w:hAnsi="Arial"/>
                <w:sz w:val="18"/>
                <w:szCs w:val="18"/>
                <w:color w:val="auto"/>
              </w:rPr>
              <w:t>Cumulative translation adjustment</w:t>
            </w:r>
          </w:p>
        </w:tc>
        <w:tc>
          <w:tcPr>
            <w:tcW w:w="20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492</w:t>
            </w:r>
          </w:p>
        </w:tc>
        <w:tc>
          <w:tcPr>
            <w:tcW w:w="20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w w:val="95"/>
              </w:rPr>
              <w:t>138,102</w:t>
            </w: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86"/>
              </w:rPr>
              <w:t>131,285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ind w:left="300"/>
              <w:spacing w:after="0"/>
              <w:rPr>
                <w:sz w:val="20"/>
                <w:szCs w:val="20"/>
                <w:color w:val="auto"/>
              </w:rPr>
            </w:pPr>
            <w:r>
              <w:rPr>
                <w:rFonts w:ascii="Arial" w:cs="Arial" w:eastAsia="Arial" w:hAnsi="Arial"/>
                <w:sz w:val="18"/>
                <w:szCs w:val="18"/>
                <w:color w:val="auto"/>
              </w:rPr>
              <w:t>Less treasury stock, at cost (2,558,764 Common and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324,741 Class B shares at July 31, 2010 and 2,282,521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220" w:type="dxa"/>
            <w:vAlign w:val="bottom"/>
            <w:tcBorders>
              <w:bottom w:val="single" w:sz="8" w:color="C0C0C0"/>
            </w:tcBorders>
          </w:tcPr>
          <w:p>
            <w:pPr>
              <w:ind w:left="600"/>
              <w:spacing w:after="0"/>
              <w:rPr>
                <w:sz w:val="20"/>
                <w:szCs w:val="20"/>
                <w:color w:val="auto"/>
              </w:rPr>
            </w:pPr>
            <w:r>
              <w:rPr>
                <w:rFonts w:ascii="Arial" w:cs="Arial" w:eastAsia="Arial" w:hAnsi="Arial"/>
                <w:sz w:val="18"/>
                <w:szCs w:val="18"/>
                <w:color w:val="auto"/>
              </w:rPr>
              <w:t>Common and 324,741 Class B shares at July 31, 2009)</w:t>
            </w:r>
          </w:p>
        </w:tc>
        <w:tc>
          <w:tcPr>
            <w:tcW w:w="20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(47,513)</w:t>
            </w:r>
          </w:p>
        </w:tc>
        <w:tc>
          <w:tcPr>
            <w:tcW w:w="20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(41,722)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20" w:type="dxa"/>
            <w:vAlign w:val="bottom"/>
            <w:shd w:val="clear" w:color="auto" w:fill="C0C0C0"/>
          </w:tcPr>
          <w:p>
            <w:pPr>
              <w:ind w:left="90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90,589</w:t>
            </w:r>
          </w:p>
        </w:tc>
        <w:tc>
          <w:tcPr>
            <w:tcW w:w="20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89,563</w:t>
            </w:r>
          </w:p>
        </w:tc>
        <w:tc>
          <w:tcPr>
            <w:tcW w:w="0" w:type="dxa"/>
            <w:vAlign w:val="bottom"/>
          </w:tcPr>
          <w:p>
            <w:pPr>
              <w:spacing w:after="0"/>
              <w:rPr>
                <w:sz w:val="1"/>
                <w:szCs w:val="1"/>
                <w:color w:val="auto"/>
              </w:rPr>
            </w:pPr>
          </w:p>
        </w:tc>
      </w:tr>
      <w:tr>
        <w:trPr>
          <w:trHeight w:val="244"/>
        </w:trPr>
        <w:tc>
          <w:tcPr>
            <w:tcW w:w="92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5"/>
              </w:rPr>
              <w:t>153,982</w:t>
            </w:r>
          </w:p>
        </w:tc>
        <w:tc>
          <w:tcPr>
            <w:tcW w:w="200" w:type="dxa"/>
            <w:vAlign w:val="bottom"/>
          </w:tcPr>
          <w:p>
            <w:pPr>
              <w:spacing w:after="0"/>
              <w:rPr>
                <w:sz w:val="21"/>
                <w:szCs w:val="21"/>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149,261</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320" w:type="dxa"/>
            <w:vAlign w:val="bottom"/>
            <w:gridSpan w:val="2"/>
          </w:tcPr>
          <w:p>
            <w:pPr>
              <w:jc w:val="right"/>
              <w:ind w:right="43"/>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860"/>
              <w:spacing w:after="0"/>
              <w:rPr>
                <w:sz w:val="20"/>
                <w:szCs w:val="20"/>
                <w:color w:val="auto"/>
              </w:rPr>
            </w:pPr>
            <w:r>
              <w:rPr>
                <w:rFonts w:ascii="Arial" w:cs="Arial" w:eastAsia="Arial" w:hAnsi="Arial"/>
                <w:sz w:val="18"/>
                <w:szCs w:val="18"/>
                <w:b w:val="1"/>
                <w:bCs w:val="1"/>
                <w:color w:val="auto"/>
                <w:w w:val="96"/>
              </w:rPr>
              <w:t>Year Ended July 31,</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gridSpan w:val="7"/>
          </w:tcPr>
          <w:p>
            <w:pPr>
              <w:jc w:val="right"/>
              <w:ind w:right="332"/>
              <w:spacing w:after="0"/>
              <w:rPr>
                <w:sz w:val="20"/>
                <w:szCs w:val="20"/>
                <w:color w:val="auto"/>
              </w:rPr>
            </w:pPr>
            <w:r>
              <w:rPr>
                <w:rFonts w:ascii="Arial" w:cs="Arial" w:eastAsia="Arial" w:hAnsi="Arial"/>
                <w:sz w:val="18"/>
                <w:szCs w:val="18"/>
                <w:b w:val="1"/>
                <w:bCs w:val="1"/>
                <w:color w:val="auto"/>
                <w:w w:val="89"/>
              </w:rPr>
              <w:t>(in thousands, except for per share data)</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Net Sales</w:t>
            </w:r>
          </w:p>
        </w:tc>
        <w:tc>
          <w:tcPr>
            <w:tcW w:w="4320" w:type="dxa"/>
            <w:vAlign w:val="bottom"/>
            <w:gridSpan w:val="2"/>
            <w:shd w:val="clear" w:color="auto" w:fill="C0C0C0"/>
          </w:tcPr>
          <w:p>
            <w:pPr>
              <w:jc w:val="right"/>
              <w:ind w:right="143"/>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219,050</w:t>
            </w:r>
          </w:p>
        </w:tc>
        <w:tc>
          <w:tcPr>
            <w:tcW w:w="180" w:type="dxa"/>
            <w:vAlign w:val="bottom"/>
            <w:shd w:val="clear" w:color="auto" w:fill="C0C0C0"/>
          </w:tcPr>
          <w:p>
            <w:pPr>
              <w:spacing w:after="0"/>
              <w:rPr>
                <w:sz w:val="22"/>
                <w:szCs w:val="22"/>
                <w:color w:val="auto"/>
              </w:rPr>
            </w:pPr>
          </w:p>
        </w:tc>
        <w:tc>
          <w:tcPr>
            <w:tcW w:w="2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236,245</w:t>
            </w:r>
          </w:p>
        </w:tc>
        <w:tc>
          <w:tcPr>
            <w:tcW w:w="200" w:type="dxa"/>
            <w:vAlign w:val="bottom"/>
            <w:shd w:val="clear" w:color="auto" w:fill="C0C0C0"/>
          </w:tcPr>
          <w:p>
            <w:pPr>
              <w:spacing w:after="0"/>
              <w:rPr>
                <w:sz w:val="22"/>
                <w:szCs w:val="22"/>
                <w:color w:val="auto"/>
              </w:rPr>
            </w:pP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232,359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color w:val="auto"/>
              </w:rPr>
              <w:t>Cost of Sales</w:t>
            </w:r>
          </w:p>
        </w:tc>
        <w:tc>
          <w:tcPr>
            <w:tcW w:w="4020" w:type="dxa"/>
            <w:vAlign w:val="bottom"/>
            <w:tcBorders>
              <w:bottom w:val="single" w:sz="8" w:color="C0C0C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(169,362)</w:t>
            </w:r>
          </w:p>
        </w:tc>
        <w:tc>
          <w:tcPr>
            <w:tcW w:w="18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(186,861)</w:t>
            </w:r>
          </w:p>
        </w:tc>
        <w:tc>
          <w:tcPr>
            <w:tcW w:w="20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Gross Profit</w:t>
            </w:r>
          </w:p>
        </w:tc>
        <w:tc>
          <w:tcPr>
            <w:tcW w:w="40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49,688</w:t>
            </w:r>
          </w:p>
        </w:tc>
        <w:tc>
          <w:tcPr>
            <w:tcW w:w="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49,384</w:t>
            </w: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46,070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color w:val="auto"/>
                <w:w w:val="89"/>
              </w:rPr>
              <w:t>Selling, General and Administrative Expenses</w:t>
            </w:r>
          </w:p>
        </w:tc>
        <w:tc>
          <w:tcPr>
            <w:tcW w:w="4020" w:type="dxa"/>
            <w:vAlign w:val="bottom"/>
            <w:tcBorders>
              <w:bottom w:val="single" w:sz="8" w:color="C0C0C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(36,139)</w:t>
            </w:r>
          </w:p>
        </w:tc>
        <w:tc>
          <w:tcPr>
            <w:tcW w:w="18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(34,801)</w:t>
            </w:r>
          </w:p>
        </w:tc>
        <w:tc>
          <w:tcPr>
            <w:tcW w:w="20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Income from Operations</w:t>
            </w:r>
          </w:p>
        </w:tc>
        <w:tc>
          <w:tcPr>
            <w:tcW w:w="4020" w:type="dxa"/>
            <w:vAlign w:val="bottom"/>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13,549</w:t>
            </w:r>
          </w:p>
        </w:tc>
        <w:tc>
          <w:tcPr>
            <w:tcW w:w="180" w:type="dxa"/>
            <w:vAlign w:val="bottom"/>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14,583</w:t>
            </w:r>
          </w:p>
        </w:tc>
        <w:tc>
          <w:tcPr>
            <w:tcW w:w="20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12,730</w:t>
            </w:r>
          </w:p>
        </w:tc>
        <w:tc>
          <w:tcPr>
            <w:tcW w:w="0" w:type="dxa"/>
            <w:vAlign w:val="bottom"/>
          </w:tcPr>
          <w:p>
            <w:pPr>
              <w:spacing w:after="0"/>
              <w:rPr>
                <w:sz w:val="1"/>
                <w:szCs w:val="1"/>
                <w:color w:val="auto"/>
              </w:rPr>
            </w:pPr>
          </w:p>
        </w:tc>
      </w:tr>
      <w:tr>
        <w:trPr>
          <w:trHeight w:val="229"/>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4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540" w:type="dxa"/>
            <w:vAlign w:val="bottom"/>
            <w:shd w:val="clear" w:color="auto" w:fill="C0C0C0"/>
          </w:tcPr>
          <w:p>
            <w:pPr>
              <w:ind w:left="300"/>
              <w:spacing w:after="0"/>
              <w:rPr>
                <w:sz w:val="20"/>
                <w:szCs w:val="20"/>
                <w:color w:val="auto"/>
              </w:rPr>
            </w:pPr>
            <w:r>
              <w:rPr>
                <w:rFonts w:ascii="Arial" w:cs="Arial" w:eastAsia="Arial" w:hAnsi="Arial"/>
                <w:sz w:val="18"/>
                <w:szCs w:val="18"/>
                <w:color w:val="auto"/>
              </w:rPr>
              <w:t>Interest income</w:t>
            </w:r>
          </w:p>
        </w:tc>
        <w:tc>
          <w:tcPr>
            <w:tcW w:w="40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126</w:t>
            </w:r>
          </w:p>
        </w:tc>
        <w:tc>
          <w:tcPr>
            <w:tcW w:w="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4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(1,345)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shd w:val="clear" w:color="auto" w:fill="C0C0C0"/>
          </w:tcPr>
          <w:p>
            <w:pPr>
              <w:ind w:left="300"/>
              <w:spacing w:after="0"/>
              <w:rPr>
                <w:sz w:val="20"/>
                <w:szCs w:val="20"/>
                <w:color w:val="auto"/>
              </w:rPr>
            </w:pPr>
            <w:r>
              <w:rPr>
                <w:rFonts w:ascii="Arial" w:cs="Arial" w:eastAsia="Arial" w:hAnsi="Arial"/>
                <w:sz w:val="18"/>
                <w:szCs w:val="18"/>
                <w:color w:val="auto"/>
              </w:rPr>
              <w:t>Foreign exchange (losses) gains</w:t>
            </w:r>
          </w:p>
        </w:tc>
        <w:tc>
          <w:tcPr>
            <w:tcW w:w="40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(213)</w:t>
            </w:r>
          </w:p>
        </w:tc>
        <w:tc>
          <w:tcPr>
            <w:tcW w:w="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Other, net</w:t>
            </w:r>
          </w:p>
        </w:tc>
        <w:tc>
          <w:tcPr>
            <w:tcW w:w="4020" w:type="dxa"/>
            <w:vAlign w:val="bottom"/>
            <w:tcBorders>
              <w:bottom w:val="single" w:sz="8" w:color="C0C0C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697</w:t>
            </w:r>
          </w:p>
        </w:tc>
        <w:tc>
          <w:tcPr>
            <w:tcW w:w="18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595</w:t>
            </w:r>
          </w:p>
        </w:tc>
        <w:tc>
          <w:tcPr>
            <w:tcW w:w="20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0C0C0"/>
          </w:tcPr>
          <w:p>
            <w:pPr>
              <w:ind w:left="600"/>
              <w:spacing w:after="0"/>
              <w:rPr>
                <w:sz w:val="20"/>
                <w:szCs w:val="20"/>
                <w:color w:val="auto"/>
              </w:rPr>
            </w:pPr>
            <w:r>
              <w:rPr>
                <w:rFonts w:ascii="Arial" w:cs="Arial" w:eastAsia="Arial" w:hAnsi="Arial"/>
                <w:sz w:val="18"/>
                <w:szCs w:val="18"/>
                <w:color w:val="auto"/>
              </w:rPr>
              <w:t>Total Other Expense, Net</w:t>
            </w:r>
          </w:p>
        </w:tc>
        <w:tc>
          <w:tcPr>
            <w:tcW w:w="4020" w:type="dxa"/>
            <w:vAlign w:val="bottom"/>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(735)</w:t>
            </w:r>
          </w:p>
        </w:tc>
        <w:tc>
          <w:tcPr>
            <w:tcW w:w="180" w:type="dxa"/>
            <w:vAlign w:val="bottom"/>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(1,274)</w:t>
            </w:r>
          </w:p>
        </w:tc>
        <w:tc>
          <w:tcPr>
            <w:tcW w:w="20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4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12,814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13,309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12,175</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Income Taxes</w:t>
            </w:r>
          </w:p>
        </w:tc>
        <w:tc>
          <w:tcPr>
            <w:tcW w:w="4020" w:type="dxa"/>
            <w:vAlign w:val="bottom"/>
            <w:shd w:val="clear" w:color="auto" w:fill="C0C0C0"/>
          </w:tcPr>
          <w:p>
            <w:pPr>
              <w:spacing w:after="0"/>
              <w:rPr>
                <w:sz w:val="22"/>
                <w:szCs w:val="22"/>
                <w:color w:val="auto"/>
              </w:rPr>
            </w:pPr>
          </w:p>
        </w:tc>
        <w:tc>
          <w:tcPr>
            <w:tcW w:w="300" w:type="dxa"/>
            <w:vAlign w:val="bottom"/>
            <w:tcBorders>
              <w:bottom w:val="single" w:sz="8" w:color="auto"/>
            </w:tcBorders>
            <w:shd w:val="clear" w:color="auto" w:fill="C0C0C0"/>
          </w:tcPr>
          <w:p>
            <w:pPr>
              <w:spacing w:after="0"/>
              <w:rPr>
                <w:sz w:val="22"/>
                <w:szCs w:val="22"/>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(3,356)</w:t>
            </w:r>
          </w:p>
        </w:tc>
        <w:tc>
          <w:tcPr>
            <w:tcW w:w="180" w:type="dxa"/>
            <w:vAlign w:val="bottom"/>
            <w:shd w:val="clear" w:color="auto" w:fill="C0C0C0"/>
          </w:tcPr>
          <w:p>
            <w:pPr>
              <w:spacing w:after="0"/>
              <w:rPr>
                <w:sz w:val="22"/>
                <w:szCs w:val="22"/>
                <w:color w:val="auto"/>
              </w:rPr>
            </w:pPr>
          </w:p>
        </w:tc>
        <w:tc>
          <w:tcPr>
            <w:tcW w:w="260" w:type="dxa"/>
            <w:vAlign w:val="bottom"/>
            <w:tcBorders>
              <w:bottom w:val="single" w:sz="8" w:color="auto"/>
            </w:tcBorders>
            <w:shd w:val="clear" w:color="auto" w:fill="C0C0C0"/>
          </w:tcPr>
          <w:p>
            <w:pPr>
              <w:spacing w:after="0"/>
              <w:rPr>
                <w:sz w:val="22"/>
                <w:szCs w:val="22"/>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(3,723)</w:t>
            </w:r>
          </w:p>
        </w:tc>
        <w:tc>
          <w:tcPr>
            <w:tcW w:w="200" w:type="dxa"/>
            <w:vAlign w:val="bottom"/>
            <w:shd w:val="clear" w:color="auto" w:fill="C0C0C0"/>
          </w:tcPr>
          <w:p>
            <w:pPr>
              <w:spacing w:after="0"/>
              <w:rPr>
                <w:sz w:val="22"/>
                <w:szCs w:val="22"/>
                <w:color w:val="auto"/>
              </w:rPr>
            </w:pPr>
          </w:p>
        </w:tc>
        <w:tc>
          <w:tcPr>
            <w:tcW w:w="180" w:type="dxa"/>
            <w:vAlign w:val="bottom"/>
            <w:tcBorders>
              <w:bottom w:val="single" w:sz="8" w:color="auto"/>
            </w:tcBorders>
            <w:shd w:val="clear" w:color="auto" w:fill="C0C0C0"/>
          </w:tcPr>
          <w:p>
            <w:pPr>
              <w:spacing w:after="0"/>
              <w:rPr>
                <w:sz w:val="22"/>
                <w:szCs w:val="22"/>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4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4020" w:type="dxa"/>
            <w:vAlign w:val="bottom"/>
          </w:tcPr>
          <w:p>
            <w:pPr>
              <w:spacing w:after="0"/>
              <w:rPr>
                <w:sz w:val="21"/>
                <w:szCs w:val="21"/>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9,458</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9,586</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5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Net Income Per Share</w:t>
            </w:r>
          </w:p>
        </w:tc>
        <w:tc>
          <w:tcPr>
            <w:tcW w:w="40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Basic Common</w:t>
            </w:r>
          </w:p>
        </w:tc>
        <w:tc>
          <w:tcPr>
            <w:tcW w:w="4320" w:type="dxa"/>
            <w:vAlign w:val="bottom"/>
            <w:gridSpan w:val="2"/>
          </w:tcPr>
          <w:p>
            <w:pPr>
              <w:jc w:val="right"/>
              <w:ind w:right="143"/>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1.42</w:t>
            </w:r>
          </w:p>
        </w:tc>
        <w:tc>
          <w:tcPr>
            <w:tcW w:w="18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1"/>
                <w:szCs w:val="21"/>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40" w:type="dxa"/>
            <w:vAlign w:val="bottom"/>
            <w:tcBorders>
              <w:top w:val="single" w:sz="8" w:color="C0C0C0"/>
              <w:bottom w:val="single" w:sz="8" w:color="C0C0C0"/>
            </w:tcBorders>
            <w:shd w:val="clear" w:color="auto" w:fill="C0C0C0"/>
          </w:tcPr>
          <w:p>
            <w:pPr>
              <w:ind w:left="300"/>
              <w:spacing w:after="0"/>
              <w:rPr>
                <w:sz w:val="20"/>
                <w:szCs w:val="20"/>
                <w:color w:val="auto"/>
              </w:rPr>
            </w:pPr>
            <w:r>
              <w:rPr>
                <w:rFonts w:ascii="Arial" w:cs="Arial" w:eastAsia="Arial" w:hAnsi="Arial"/>
                <w:sz w:val="18"/>
                <w:szCs w:val="18"/>
                <w:color w:val="auto"/>
              </w:rPr>
              <w:t>Basic Class B Common</w:t>
            </w:r>
          </w:p>
        </w:tc>
        <w:tc>
          <w:tcPr>
            <w:tcW w:w="4020" w:type="dxa"/>
            <w:vAlign w:val="bottom"/>
            <w:tcBorders>
              <w:top w:val="single" w:sz="8" w:color="C0C0C0"/>
              <w:bottom w:val="single" w:sz="8" w:color="C0C0C0"/>
            </w:tcBorders>
            <w:shd w:val="clear" w:color="auto" w:fill="C0C0C0"/>
          </w:tcPr>
          <w:p>
            <w:pPr>
              <w:spacing w:after="0"/>
              <w:rPr>
                <w:sz w:val="22"/>
                <w:szCs w:val="22"/>
                <w:color w:val="auto"/>
              </w:rPr>
            </w:pPr>
          </w:p>
        </w:tc>
        <w:tc>
          <w:tcPr>
            <w:tcW w:w="300" w:type="dxa"/>
            <w:vAlign w:val="bottom"/>
            <w:tcBorders>
              <w:top w:val="single" w:sz="8" w:color="auto"/>
              <w:bottom w:val="single" w:sz="8" w:color="auto"/>
            </w:tcBorders>
            <w:shd w:val="clear" w:color="auto" w:fill="C0C0C0"/>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1.07</w:t>
            </w:r>
          </w:p>
        </w:tc>
        <w:tc>
          <w:tcPr>
            <w:tcW w:w="180" w:type="dxa"/>
            <w:vAlign w:val="bottom"/>
            <w:tcBorders>
              <w:top w:val="single" w:sz="8" w:color="C0C0C0"/>
              <w:bottom w:val="single" w:sz="8" w:color="C0C0C0"/>
            </w:tcBorders>
            <w:shd w:val="clear" w:color="auto" w:fill="C0C0C0"/>
          </w:tcPr>
          <w:p>
            <w:pPr>
              <w:spacing w:after="0"/>
              <w:rPr>
                <w:sz w:val="22"/>
                <w:szCs w:val="22"/>
                <w:color w:val="auto"/>
              </w:rPr>
            </w:pPr>
          </w:p>
        </w:tc>
        <w:tc>
          <w:tcPr>
            <w:tcW w:w="260" w:type="dxa"/>
            <w:vAlign w:val="bottom"/>
            <w:tcBorders>
              <w:top w:val="single" w:sz="8" w:color="auto"/>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1.09</w:t>
            </w:r>
          </w:p>
        </w:tc>
        <w:tc>
          <w:tcPr>
            <w:tcW w:w="200" w:type="dxa"/>
            <w:vAlign w:val="bottom"/>
            <w:tcBorders>
              <w:top w:val="single" w:sz="8" w:color="C0C0C0"/>
              <w:bottom w:val="single" w:sz="8" w:color="C0C0C0"/>
            </w:tcBorders>
            <w:shd w:val="clear" w:color="auto" w:fill="C0C0C0"/>
          </w:tcPr>
          <w:p>
            <w:pPr>
              <w:spacing w:after="0"/>
              <w:rPr>
                <w:sz w:val="22"/>
                <w:szCs w:val="22"/>
                <w:color w:val="auto"/>
              </w:rPr>
            </w:pPr>
          </w:p>
        </w:tc>
        <w:tc>
          <w:tcPr>
            <w:tcW w:w="180" w:type="dxa"/>
            <w:vAlign w:val="bottom"/>
            <w:tcBorders>
              <w:top w:val="single" w:sz="8" w:color="auto"/>
              <w:bottom w:val="single" w:sz="8" w:color="auto"/>
            </w:tcBorders>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Diluted</w:t>
            </w:r>
          </w:p>
        </w:tc>
        <w:tc>
          <w:tcPr>
            <w:tcW w:w="4020" w:type="dxa"/>
            <w:vAlign w:val="bottom"/>
          </w:tcPr>
          <w:p>
            <w:pPr>
              <w:spacing w:after="0"/>
              <w:rPr>
                <w:sz w:val="20"/>
                <w:szCs w:val="20"/>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1.30</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0"/>
                <w:szCs w:val="20"/>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5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Average Shares Outstanding</w:t>
            </w:r>
          </w:p>
        </w:tc>
        <w:tc>
          <w:tcPr>
            <w:tcW w:w="40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Basic Common</w:t>
            </w:r>
          </w:p>
        </w:tc>
        <w:tc>
          <w:tcPr>
            <w:tcW w:w="4020" w:type="dxa"/>
            <w:vAlign w:val="bottom"/>
            <w:tcBorders>
              <w:bottom w:val="single" w:sz="8" w:color="C0C0C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5,203</w:t>
            </w:r>
          </w:p>
        </w:tc>
        <w:tc>
          <w:tcPr>
            <w:tcW w:w="180" w:type="dxa"/>
            <w:vAlign w:val="bottom"/>
            <w:tcBorders>
              <w:bottom w:val="single" w:sz="8" w:color="C0C0C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5,146</w:t>
            </w:r>
          </w:p>
        </w:tc>
        <w:tc>
          <w:tcPr>
            <w:tcW w:w="20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0C0C0"/>
            </w:tcBorders>
            <w:shd w:val="clear" w:color="auto" w:fill="C0C0C0"/>
          </w:tcPr>
          <w:p>
            <w:pPr>
              <w:ind w:left="300"/>
              <w:spacing w:after="0"/>
              <w:rPr>
                <w:sz w:val="20"/>
                <w:szCs w:val="20"/>
                <w:color w:val="auto"/>
              </w:rPr>
            </w:pPr>
            <w:r>
              <w:rPr>
                <w:rFonts w:ascii="Arial" w:cs="Arial" w:eastAsia="Arial" w:hAnsi="Arial"/>
                <w:sz w:val="18"/>
                <w:szCs w:val="18"/>
                <w:color w:val="auto"/>
              </w:rPr>
              <w:t>Basic Class B Common</w:t>
            </w:r>
          </w:p>
        </w:tc>
        <w:tc>
          <w:tcPr>
            <w:tcW w:w="402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1,891</w:t>
            </w:r>
          </w:p>
        </w:tc>
        <w:tc>
          <w:tcPr>
            <w:tcW w:w="18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1,874</w:t>
            </w:r>
          </w:p>
        </w:tc>
        <w:tc>
          <w:tcPr>
            <w:tcW w:w="20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Diluted</w:t>
            </w:r>
          </w:p>
        </w:tc>
        <w:tc>
          <w:tcPr>
            <w:tcW w:w="40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7,275</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7,200</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CONSOLIDATED STATEMENTS OF STOCKHOLDERS’ EQUITY AND OTHER COMPREHENSIVE INCOME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w w:val="99"/>
              </w:rPr>
              <w:t>Number of 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40" w:type="dxa"/>
            <w:vAlign w:val="bottom"/>
            <w:gridSpan w:val="6"/>
          </w:tcPr>
          <w:p>
            <w:pPr>
              <w:ind w:left="80"/>
              <w:spacing w:after="0"/>
              <w:rPr>
                <w:sz w:val="20"/>
                <w:szCs w:val="20"/>
                <w:color w:val="auto"/>
              </w:rPr>
            </w:pPr>
            <w:r>
              <w:rPr>
                <w:rFonts w:ascii="Arial" w:cs="Arial" w:eastAsia="Arial" w:hAnsi="Arial"/>
                <w:sz w:val="14"/>
                <w:szCs w:val="14"/>
                <w:b w:val="1"/>
                <w:bCs w:val="1"/>
                <w:color w:val="auto"/>
              </w:rPr>
              <w:t>(in thousands of dollars)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41"/>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96"/>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Restricted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43"/>
        </w:trPr>
        <w:tc>
          <w:tcPr>
            <w:tcW w:w="4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Common</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Common</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Unearned</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21"/>
                <w:szCs w:val="21"/>
                <w:color w:val="auto"/>
              </w:rPr>
            </w:pPr>
          </w:p>
        </w:tc>
        <w:tc>
          <w:tcPr>
            <w:tcW w:w="70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Total</w:t>
            </w:r>
          </w:p>
        </w:tc>
      </w:tr>
      <w:tr>
        <w:trPr>
          <w:trHeight w:val="243"/>
        </w:trPr>
        <w:tc>
          <w:tcPr>
            <w:tcW w:w="4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&amp; Class B</w:t>
            </w:r>
          </w:p>
        </w:tc>
        <w:tc>
          <w:tcPr>
            <w:tcW w:w="680" w:type="dxa"/>
            <w:vAlign w:val="bottom"/>
          </w:tcPr>
          <w:p>
            <w:pPr>
              <w:jc w:val="right"/>
              <w:ind w:right="12"/>
              <w:spacing w:after="0"/>
              <w:rPr>
                <w:sz w:val="20"/>
                <w:szCs w:val="20"/>
                <w:color w:val="auto"/>
              </w:rPr>
            </w:pPr>
            <w:r>
              <w:rPr>
                <w:rFonts w:ascii="Arial" w:cs="Arial" w:eastAsia="Arial" w:hAnsi="Arial"/>
                <w:sz w:val="14"/>
                <w:szCs w:val="14"/>
                <w:b w:val="1"/>
                <w:bCs w:val="1"/>
                <w:color w:val="auto"/>
                <w:w w:val="97"/>
              </w:rPr>
              <w:t>Treasury</w:t>
            </w:r>
          </w:p>
        </w:tc>
        <w:tc>
          <w:tcPr>
            <w:tcW w:w="780" w:type="dxa"/>
            <w:vAlign w:val="bottom"/>
            <w:gridSpan w:val="4"/>
          </w:tcPr>
          <w:p>
            <w:pPr>
              <w:ind w:left="100"/>
              <w:spacing w:after="0"/>
              <w:rPr>
                <w:sz w:val="20"/>
                <w:szCs w:val="20"/>
                <w:color w:val="auto"/>
              </w:rPr>
            </w:pPr>
            <w:r>
              <w:rPr>
                <w:rFonts w:ascii="Arial" w:cs="Arial" w:eastAsia="Arial" w:hAnsi="Arial"/>
                <w:sz w:val="14"/>
                <w:szCs w:val="14"/>
                <w:b w:val="1"/>
                <w:bCs w:val="1"/>
                <w:color w:val="auto"/>
              </w:rPr>
              <w:t>&amp; Class B</w:t>
            </w:r>
          </w:p>
        </w:tc>
        <w:tc>
          <w:tcPr>
            <w:tcW w:w="8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Stock</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Treasury</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3"/>
              </w:rPr>
              <w:t>Comprehensive</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Stockholders’</w:t>
            </w:r>
          </w:p>
        </w:tc>
      </w:tr>
      <w:tr>
        <w:trPr>
          <w:trHeight w:val="243"/>
        </w:trPr>
        <w:tc>
          <w:tcPr>
            <w:tcW w:w="4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Stock</w:t>
            </w: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21"/>
                <w:szCs w:val="21"/>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4"/>
              </w:rPr>
              <w:t>Compensation</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Stock</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Income/(Loss)</w:t>
            </w:r>
          </w:p>
        </w:tc>
        <w:tc>
          <w:tcPr>
            <w:tcW w:w="160" w:type="dxa"/>
            <w:vAlign w:val="bottom"/>
          </w:tcPr>
          <w:p>
            <w:pPr>
              <w:spacing w:after="0"/>
              <w:rPr>
                <w:sz w:val="21"/>
                <w:szCs w:val="21"/>
                <w:color w:val="auto"/>
              </w:rPr>
            </w:pPr>
          </w:p>
        </w:tc>
        <w:tc>
          <w:tcPr>
            <w:tcW w:w="70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Equity</w:t>
            </w:r>
          </w:p>
        </w:tc>
      </w:tr>
      <w:tr>
        <w:trPr>
          <w:trHeight w:val="41"/>
        </w:trPr>
        <w:tc>
          <w:tcPr>
            <w:tcW w:w="42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17"/>
        </w:trPr>
        <w:tc>
          <w:tcPr>
            <w:tcW w:w="4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July 31, 2007</w:t>
            </w:r>
          </w:p>
        </w:tc>
        <w:tc>
          <w:tcPr>
            <w:tcW w:w="68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b w:val="1"/>
                <w:bCs w:val="1"/>
                <w:color w:val="auto"/>
              </w:rPr>
              <w:t>9,504,705</w:t>
            </w:r>
          </w:p>
        </w:tc>
        <w:tc>
          <w:tcPr>
            <w:tcW w:w="12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b w:val="1"/>
                <w:bCs w:val="1"/>
                <w:color w:val="auto"/>
                <w:w w:val="86"/>
              </w:rPr>
              <w:t>(2,610,967)</w:t>
            </w:r>
          </w:p>
        </w:tc>
        <w:tc>
          <w:tcPr>
            <w:tcW w:w="20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b w:val="1"/>
                <w:bCs w:val="1"/>
                <w:color w:val="auto"/>
              </w:rPr>
              <w:t>950</w:t>
            </w:r>
          </w:p>
        </w:tc>
        <w:tc>
          <w:tcPr>
            <w:tcW w:w="10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b w:val="1"/>
                <w:bCs w:val="1"/>
                <w:color w:val="auto"/>
              </w:rPr>
              <w:t>20,150</w:t>
            </w:r>
          </w:p>
        </w:tc>
        <w:tc>
          <w:tcPr>
            <w:tcW w:w="10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b w:val="1"/>
                <w:bCs w:val="1"/>
                <w:color w:val="auto"/>
                <w:w w:val="83"/>
              </w:rPr>
              <w:t>$ 100,503</w:t>
            </w:r>
          </w:p>
        </w:tc>
        <w:tc>
          <w:tcPr>
            <w:tcW w:w="20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b w:val="1"/>
                <w:bCs w:val="1"/>
                <w:color w:val="auto"/>
              </w:rPr>
              <w:t>(991)</w:t>
            </w:r>
          </w:p>
        </w:tc>
        <w:tc>
          <w:tcPr>
            <w:tcW w:w="120" w:type="dxa"/>
            <w:vAlign w:val="bottom"/>
            <w:tcBorders>
              <w:bottom w:val="single" w:sz="8" w:color="C0C0C0"/>
            </w:tcBorders>
            <w:shd w:val="clear" w:color="auto" w:fill="C0C0C0"/>
          </w:tcPr>
          <w:p>
            <w:pPr>
              <w:spacing w:after="0"/>
              <w:rPr>
                <w:sz w:val="18"/>
                <w:szCs w:val="18"/>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b w:val="1"/>
                <w:bCs w:val="1"/>
                <w:color w:val="auto"/>
                <w:w w:val="84"/>
              </w:rPr>
              <w:t>$ (41,793)</w:t>
            </w:r>
          </w:p>
        </w:tc>
        <w:tc>
          <w:tcPr>
            <w:tcW w:w="100" w:type="dxa"/>
            <w:vAlign w:val="bottom"/>
            <w:tcBorders>
              <w:bottom w:val="single" w:sz="8" w:color="C0C0C0"/>
            </w:tcBorders>
            <w:shd w:val="clear" w:color="auto" w:fill="C0C0C0"/>
          </w:tcPr>
          <w:p>
            <w:pPr>
              <w:spacing w:after="0"/>
              <w:rPr>
                <w:sz w:val="18"/>
                <w:szCs w:val="18"/>
                <w:color w:val="auto"/>
              </w:rPr>
            </w:pPr>
          </w:p>
        </w:tc>
        <w:tc>
          <w:tcPr>
            <w:tcW w:w="1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b w:val="1"/>
                <w:bCs w:val="1"/>
                <w:color w:val="auto"/>
              </w:rPr>
              <w:t>1,423</w:t>
            </w:r>
          </w:p>
        </w:tc>
        <w:tc>
          <w:tcPr>
            <w:tcW w:w="10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b w:val="1"/>
                <w:bCs w:val="1"/>
                <w:color w:val="auto"/>
              </w:rPr>
              <w:t>80,242</w:t>
            </w:r>
          </w:p>
        </w:tc>
      </w:tr>
      <w:tr>
        <w:trPr>
          <w:trHeight w:val="202"/>
        </w:trPr>
        <w:tc>
          <w:tcPr>
            <w:tcW w:w="4200" w:type="dxa"/>
            <w:vAlign w:val="bottom"/>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9,039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9,039</w:t>
            </w:r>
          </w:p>
        </w:tc>
      </w:tr>
      <w:tr>
        <w:trPr>
          <w:trHeight w:val="41"/>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6"/>
        </w:trPr>
        <w:tc>
          <w:tcPr>
            <w:tcW w:w="4200" w:type="dxa"/>
            <w:vAlign w:val="bottom"/>
            <w:shd w:val="clear" w:color="auto" w:fill="C0C0C0"/>
          </w:tcPr>
          <w:p>
            <w:pPr>
              <w:ind w:left="300"/>
              <w:spacing w:after="0"/>
              <w:rPr>
                <w:sz w:val="20"/>
                <w:szCs w:val="20"/>
                <w:color w:val="auto"/>
              </w:rPr>
            </w:pPr>
            <w:r>
              <w:rPr>
                <w:rFonts w:ascii="Arial" w:cs="Arial" w:eastAsia="Arial" w:hAnsi="Arial"/>
                <w:sz w:val="14"/>
                <w:szCs w:val="14"/>
                <w:color w:val="auto"/>
              </w:rPr>
              <w:t>Cumulative Translation</w:t>
            </w:r>
          </w:p>
        </w:tc>
        <w:tc>
          <w:tcPr>
            <w:tcW w:w="10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700" w:type="dxa"/>
            <w:vAlign w:val="bottom"/>
            <w:shd w:val="clear" w:color="auto" w:fill="C0C0C0"/>
          </w:tcPr>
          <w:p>
            <w:pPr>
              <w:spacing w:after="0"/>
              <w:rPr>
                <w:sz w:val="18"/>
                <w:szCs w:val="18"/>
                <w:color w:val="auto"/>
              </w:rPr>
            </w:pPr>
          </w:p>
        </w:tc>
      </w:tr>
      <w:tr>
        <w:trPr>
          <w:trHeight w:val="278"/>
        </w:trPr>
        <w:tc>
          <w:tcPr>
            <w:tcW w:w="4200" w:type="dxa"/>
            <w:vAlign w:val="bottom"/>
            <w:tcBorders>
              <w:bottom w:val="single" w:sz="8" w:color="C0C0C0"/>
            </w:tcBorders>
            <w:shd w:val="clear" w:color="auto" w:fill="C0C0C0"/>
          </w:tcPr>
          <w:p>
            <w:pPr>
              <w:ind w:left="600"/>
              <w:spacing w:after="0"/>
              <w:rPr>
                <w:sz w:val="20"/>
                <w:szCs w:val="20"/>
                <w:color w:val="auto"/>
              </w:rPr>
            </w:pPr>
            <w:r>
              <w:rPr>
                <w:rFonts w:ascii="Arial" w:cs="Arial" w:eastAsia="Arial" w:hAnsi="Arial"/>
                <w:sz w:val="14"/>
                <w:szCs w:val="14"/>
                <w:color w:val="auto"/>
              </w:rPr>
              <w:t>Adjustments</w:t>
            </w:r>
          </w:p>
        </w:tc>
        <w:tc>
          <w:tcPr>
            <w:tcW w:w="10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68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48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54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6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18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70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105</w:t>
            </w:r>
          </w:p>
        </w:tc>
      </w:tr>
      <w:tr>
        <w:trPr>
          <w:trHeight w:val="216"/>
        </w:trPr>
        <w:tc>
          <w:tcPr>
            <w:tcW w:w="4200" w:type="dxa"/>
            <w:vAlign w:val="bottom"/>
          </w:tcPr>
          <w:p>
            <w:pPr>
              <w:ind w:left="300"/>
              <w:spacing w:after="0"/>
              <w:rPr>
                <w:sz w:val="20"/>
                <w:szCs w:val="20"/>
                <w:color w:val="auto"/>
              </w:rPr>
            </w:pPr>
            <w:r>
              <w:rPr>
                <w:rFonts w:ascii="Arial" w:cs="Arial" w:eastAsia="Arial" w:hAnsi="Arial"/>
                <w:sz w:val="14"/>
                <w:szCs w:val="14"/>
                <w:color w:val="auto"/>
              </w:rPr>
              <w:t>Unrealized gain on marketable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7"/>
        </w:trPr>
        <w:tc>
          <w:tcPr>
            <w:tcW w:w="4200" w:type="dxa"/>
            <w:vAlign w:val="bottom"/>
          </w:tcPr>
          <w:p>
            <w:pPr>
              <w:ind w:left="600"/>
              <w:spacing w:after="0"/>
              <w:rPr>
                <w:sz w:val="20"/>
                <w:szCs w:val="20"/>
                <w:color w:val="auto"/>
              </w:rPr>
            </w:pPr>
            <w:r>
              <w:rPr>
                <w:rFonts w:ascii="Arial" w:cs="Arial" w:eastAsia="Arial" w:hAnsi="Arial"/>
                <w:sz w:val="14"/>
                <w:szCs w:val="14"/>
                <w:color w:val="auto"/>
              </w:rPr>
              <w:t>securities</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9</w:t>
            </w:r>
          </w:p>
        </w:tc>
      </w:tr>
      <w:tr>
        <w:trPr>
          <w:trHeight w:val="41"/>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6"/>
        </w:trPr>
        <w:tc>
          <w:tcPr>
            <w:tcW w:w="4200" w:type="dxa"/>
            <w:vAlign w:val="bottom"/>
            <w:shd w:val="clear" w:color="auto" w:fill="C0C0C0"/>
          </w:tcPr>
          <w:p>
            <w:pPr>
              <w:ind w:left="300"/>
              <w:spacing w:after="0"/>
              <w:rPr>
                <w:sz w:val="20"/>
                <w:szCs w:val="20"/>
                <w:color w:val="auto"/>
              </w:rPr>
            </w:pPr>
            <w:r>
              <w:rPr>
                <w:rFonts w:ascii="Arial" w:cs="Arial" w:eastAsia="Arial" w:hAnsi="Arial"/>
                <w:sz w:val="14"/>
                <w:szCs w:val="14"/>
                <w:color w:val="auto"/>
              </w:rPr>
              <w:t>Unrecognized actuarial gain/loss,</w:t>
            </w:r>
          </w:p>
        </w:tc>
        <w:tc>
          <w:tcPr>
            <w:tcW w:w="10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700" w:type="dxa"/>
            <w:vAlign w:val="bottom"/>
            <w:shd w:val="clear" w:color="auto" w:fill="C0C0C0"/>
          </w:tcPr>
          <w:p>
            <w:pPr>
              <w:spacing w:after="0"/>
              <w:rPr>
                <w:sz w:val="18"/>
                <w:szCs w:val="18"/>
                <w:color w:val="auto"/>
              </w:rPr>
            </w:pPr>
          </w:p>
        </w:tc>
      </w:tr>
      <w:tr>
        <w:trPr>
          <w:trHeight w:val="257"/>
        </w:trPr>
        <w:tc>
          <w:tcPr>
            <w:tcW w:w="4200" w:type="dxa"/>
            <w:vAlign w:val="bottom"/>
            <w:shd w:val="clear" w:color="auto" w:fill="C0C0C0"/>
          </w:tcPr>
          <w:p>
            <w:pPr>
              <w:ind w:left="600"/>
              <w:spacing w:after="0"/>
              <w:rPr>
                <w:sz w:val="20"/>
                <w:szCs w:val="20"/>
                <w:color w:val="auto"/>
              </w:rPr>
            </w:pPr>
            <w:r>
              <w:rPr>
                <w:rFonts w:ascii="Arial" w:cs="Arial" w:eastAsia="Arial" w:hAnsi="Arial"/>
                <w:sz w:val="14"/>
                <w:szCs w:val="14"/>
                <w:color w:val="auto"/>
              </w:rPr>
              <w:t>prior service cost and transition</w:t>
            </w: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5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r>
      <w:tr>
        <w:trPr>
          <w:trHeight w:val="298"/>
        </w:trPr>
        <w:tc>
          <w:tcPr>
            <w:tcW w:w="4200" w:type="dxa"/>
            <w:vAlign w:val="bottom"/>
            <w:tcBorders>
              <w:bottom w:val="single" w:sz="8" w:color="C0C0C0"/>
            </w:tcBorders>
            <w:shd w:val="clear" w:color="auto" w:fill="C0C0C0"/>
          </w:tcPr>
          <w:p>
            <w:pPr>
              <w:ind w:left="600"/>
              <w:spacing w:after="0"/>
              <w:rPr>
                <w:sz w:val="20"/>
                <w:szCs w:val="20"/>
                <w:color w:val="auto"/>
              </w:rPr>
            </w:pPr>
            <w:r>
              <w:rPr>
                <w:rFonts w:ascii="Arial" w:cs="Arial" w:eastAsia="Arial" w:hAnsi="Arial"/>
                <w:sz w:val="14"/>
                <w:szCs w:val="14"/>
                <w:color w:val="auto"/>
              </w:rPr>
              <w:t>liability</w:t>
            </w:r>
          </w:p>
        </w:tc>
        <w:tc>
          <w:tcPr>
            <w:tcW w:w="10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68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4"/>
                <w:szCs w:val="24"/>
                <w:color w:val="auto"/>
              </w:rPr>
            </w:pPr>
          </w:p>
        </w:tc>
        <w:tc>
          <w:tcPr>
            <w:tcW w:w="6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4"/>
                <w:szCs w:val="24"/>
                <w:color w:val="auto"/>
              </w:rPr>
            </w:pPr>
          </w:p>
        </w:tc>
        <w:tc>
          <w:tcPr>
            <w:tcW w:w="18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(978)</w:t>
            </w:r>
          </w:p>
        </w:tc>
        <w:tc>
          <w:tcPr>
            <w:tcW w:w="10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7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(978)</w:t>
            </w:r>
          </w:p>
        </w:tc>
      </w:tr>
      <w:tr>
        <w:trPr>
          <w:trHeight w:val="196"/>
        </w:trPr>
        <w:tc>
          <w:tcPr>
            <w:tcW w:w="4200" w:type="dxa"/>
            <w:vAlign w:val="bottom"/>
          </w:tcPr>
          <w:p>
            <w:pPr>
              <w:ind w:left="600"/>
              <w:spacing w:after="0"/>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8,175</w:t>
            </w:r>
          </w:p>
        </w:tc>
      </w:tr>
      <w:tr>
        <w:trPr>
          <w:trHeight w:val="41"/>
        </w:trPr>
        <w:tc>
          <w:tcPr>
            <w:tcW w:w="42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8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54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4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72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7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17"/>
        </w:trPr>
        <w:tc>
          <w:tcPr>
            <w:tcW w:w="4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Dividends Declared</w:t>
            </w:r>
          </w:p>
        </w:tc>
        <w:tc>
          <w:tcPr>
            <w:tcW w:w="100" w:type="dxa"/>
            <w:vAlign w:val="bottom"/>
            <w:tcBorders>
              <w:bottom w:val="single" w:sz="8" w:color="C0C0C0"/>
            </w:tcBorders>
            <w:shd w:val="clear" w:color="auto" w:fill="C0C0C0"/>
          </w:tcPr>
          <w:p>
            <w:pPr>
              <w:spacing w:after="0"/>
              <w:rPr>
                <w:sz w:val="18"/>
                <w:szCs w:val="18"/>
                <w:color w:val="auto"/>
              </w:rPr>
            </w:pPr>
          </w:p>
        </w:tc>
        <w:tc>
          <w:tcPr>
            <w:tcW w:w="5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5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(3,463)</w:t>
            </w:r>
          </w:p>
        </w:tc>
        <w:tc>
          <w:tcPr>
            <w:tcW w:w="1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72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8"/>
                <w:szCs w:val="18"/>
                <w:color w:val="auto"/>
              </w:rPr>
            </w:pPr>
          </w:p>
        </w:tc>
        <w:tc>
          <w:tcPr>
            <w:tcW w:w="6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8"/>
                <w:szCs w:val="18"/>
                <w:color w:val="auto"/>
              </w:rPr>
            </w:pPr>
          </w:p>
        </w:tc>
        <w:tc>
          <w:tcPr>
            <w:tcW w:w="180" w:type="dxa"/>
            <w:vAlign w:val="bottom"/>
            <w:tcBorders>
              <w:bottom w:val="single" w:sz="8" w:color="C0C0C0"/>
            </w:tcBorders>
            <w:shd w:val="clear" w:color="auto" w:fill="C0C0C0"/>
          </w:tcPr>
          <w:p>
            <w:pPr>
              <w:spacing w:after="0"/>
              <w:rPr>
                <w:sz w:val="18"/>
                <w:szCs w:val="18"/>
                <w:color w:val="auto"/>
              </w:rPr>
            </w:pPr>
          </w:p>
        </w:tc>
        <w:tc>
          <w:tcPr>
            <w:tcW w:w="7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shd w:val="clear" w:color="auto" w:fill="C0C0C0"/>
          </w:tcPr>
          <w:p>
            <w:pPr>
              <w:spacing w:after="0"/>
              <w:rPr>
                <w:sz w:val="18"/>
                <w:szCs w:val="18"/>
                <w:color w:val="auto"/>
              </w:rPr>
            </w:pPr>
          </w:p>
        </w:tc>
        <w:tc>
          <w:tcPr>
            <w:tcW w:w="7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(3,463)</w:t>
            </w:r>
          </w:p>
        </w:tc>
      </w:tr>
      <w:tr>
        <w:trPr>
          <w:trHeight w:val="202"/>
        </w:trPr>
        <w:tc>
          <w:tcPr>
            <w:tcW w:w="4200" w:type="dxa"/>
            <w:vAlign w:val="bottom"/>
          </w:tcPr>
          <w:p>
            <w:pPr>
              <w:spacing w:after="0"/>
              <w:rPr>
                <w:sz w:val="20"/>
                <w:szCs w:val="20"/>
                <w:color w:val="auto"/>
              </w:rPr>
            </w:pPr>
            <w:r>
              <w:rPr>
                <w:rFonts w:ascii="Arial" w:cs="Arial" w:eastAsia="Arial" w:hAnsi="Arial"/>
                <w:sz w:val="14"/>
                <w:szCs w:val="14"/>
                <w:color w:val="auto"/>
              </w:rPr>
              <w:t>Purchases of Treasury Stock</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(20)</w:t>
            </w:r>
          </w:p>
        </w:tc>
      </w:tr>
      <w:tr>
        <w:trPr>
          <w:trHeight w:val="41"/>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2"/>
        </w:trPr>
        <w:tc>
          <w:tcPr>
            <w:tcW w:w="4200" w:type="dxa"/>
            <w:vAlign w:val="bottom"/>
            <w:shd w:val="clear" w:color="auto" w:fill="C0C0C0"/>
          </w:tcPr>
          <w:p>
            <w:pPr>
              <w:spacing w:after="0"/>
              <w:rPr>
                <w:sz w:val="20"/>
                <w:szCs w:val="20"/>
                <w:color w:val="auto"/>
              </w:rPr>
            </w:pPr>
            <w:r>
              <w:rPr>
                <w:rFonts w:ascii="Arial" w:cs="Arial" w:eastAsia="Arial" w:hAnsi="Arial"/>
                <w:sz w:val="14"/>
                <w:szCs w:val="14"/>
                <w:color w:val="auto"/>
              </w:rPr>
              <w:t>Issuance of Stock Under Long-Term</w:t>
            </w:r>
          </w:p>
        </w:tc>
        <w:tc>
          <w:tcPr>
            <w:tcW w:w="10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r>
      <w:tr>
        <w:trPr>
          <w:trHeight w:val="278"/>
        </w:trPr>
        <w:tc>
          <w:tcPr>
            <w:tcW w:w="4200" w:type="dxa"/>
            <w:vAlign w:val="bottom"/>
            <w:tcBorders>
              <w:bottom w:val="single" w:sz="8" w:color="C0C0C0"/>
            </w:tcBorders>
            <w:shd w:val="clear" w:color="auto" w:fill="C0C0C0"/>
          </w:tcPr>
          <w:p>
            <w:pPr>
              <w:ind w:left="300"/>
              <w:spacing w:after="0"/>
              <w:rPr>
                <w:sz w:val="20"/>
                <w:szCs w:val="20"/>
                <w:color w:val="auto"/>
              </w:rPr>
            </w:pPr>
            <w:r>
              <w:rPr>
                <w:rFonts w:ascii="Arial" w:cs="Arial" w:eastAsia="Arial" w:hAnsi="Arial"/>
                <w:sz w:val="14"/>
                <w:szCs w:val="14"/>
                <w:color w:val="auto"/>
              </w:rPr>
              <w:t>Incentive Plans</w:t>
            </w:r>
          </w:p>
        </w:tc>
        <w:tc>
          <w:tcPr>
            <w:tcW w:w="68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127,308</w:t>
            </w:r>
          </w:p>
        </w:tc>
        <w:tc>
          <w:tcPr>
            <w:tcW w:w="120" w:type="dxa"/>
            <w:vAlign w:val="bottom"/>
            <w:tcBorders>
              <w:bottom w:val="single" w:sz="8" w:color="C0C0C0"/>
            </w:tcBorders>
            <w:shd w:val="clear" w:color="auto" w:fill="C0C0C0"/>
          </w:tcPr>
          <w:p>
            <w:pPr>
              <w:spacing w:after="0"/>
              <w:rPr>
                <w:sz w:val="24"/>
                <w:szCs w:val="24"/>
                <w:color w:val="auto"/>
              </w:rPr>
            </w:pPr>
          </w:p>
        </w:tc>
        <w:tc>
          <w:tcPr>
            <w:tcW w:w="6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25,398</w:t>
            </w: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4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4"/>
                <w:szCs w:val="24"/>
                <w:color w:val="auto"/>
              </w:rPr>
            </w:pPr>
          </w:p>
        </w:tc>
        <w:tc>
          <w:tcPr>
            <w:tcW w:w="6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407</w:t>
            </w:r>
          </w:p>
        </w:tc>
        <w:tc>
          <w:tcPr>
            <w:tcW w:w="100" w:type="dxa"/>
            <w:vAlign w:val="bottom"/>
            <w:tcBorders>
              <w:bottom w:val="single" w:sz="8" w:color="C0C0C0"/>
            </w:tcBorders>
            <w:shd w:val="clear" w:color="auto" w:fill="C0C0C0"/>
          </w:tcPr>
          <w:p>
            <w:pPr>
              <w:spacing w:after="0"/>
              <w:rPr>
                <w:sz w:val="24"/>
                <w:szCs w:val="24"/>
                <w:color w:val="auto"/>
              </w:rPr>
            </w:pPr>
          </w:p>
        </w:tc>
        <w:tc>
          <w:tcPr>
            <w:tcW w:w="18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70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1,478</w:t>
            </w:r>
          </w:p>
        </w:tc>
      </w:tr>
      <w:tr>
        <w:trPr>
          <w:trHeight w:val="202"/>
        </w:trPr>
        <w:tc>
          <w:tcPr>
            <w:tcW w:w="4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17"/>
                <w:szCs w:val="17"/>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897</w:t>
            </w:r>
          </w:p>
        </w:tc>
      </w:tr>
      <w:tr>
        <w:trPr>
          <w:trHeight w:val="41"/>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43"/>
        </w:trPr>
        <w:tc>
          <w:tcPr>
            <w:tcW w:w="4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Amortization of Restricted Stock</w:t>
            </w:r>
          </w:p>
        </w:tc>
        <w:tc>
          <w:tcPr>
            <w:tcW w:w="100" w:type="dxa"/>
            <w:vAlign w:val="bottom"/>
            <w:tcBorders>
              <w:bottom w:val="single" w:sz="8" w:color="C0C0C0"/>
            </w:tcBorders>
            <w:shd w:val="clear" w:color="auto" w:fill="C0C0C0"/>
          </w:tcPr>
          <w:p>
            <w:pPr>
              <w:spacing w:after="0"/>
              <w:rPr>
                <w:sz w:val="21"/>
                <w:szCs w:val="21"/>
                <w:color w:val="auto"/>
              </w:rPr>
            </w:pPr>
          </w:p>
        </w:tc>
        <w:tc>
          <w:tcPr>
            <w:tcW w:w="58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6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5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72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317</w:t>
            </w:r>
          </w:p>
        </w:tc>
        <w:tc>
          <w:tcPr>
            <w:tcW w:w="120" w:type="dxa"/>
            <w:vAlign w:val="bottom"/>
            <w:tcBorders>
              <w:bottom w:val="single" w:sz="8" w:color="C0C0C0"/>
            </w:tcBorders>
            <w:shd w:val="clear" w:color="auto" w:fill="C0C0C0"/>
          </w:tcPr>
          <w:p>
            <w:pPr>
              <w:spacing w:after="0"/>
              <w:rPr>
                <w:sz w:val="21"/>
                <w:szCs w:val="21"/>
                <w:color w:val="auto"/>
              </w:rPr>
            </w:pPr>
          </w:p>
        </w:tc>
        <w:tc>
          <w:tcPr>
            <w:tcW w:w="6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7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70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317</w:t>
            </w:r>
          </w:p>
        </w:tc>
      </w:tr>
      <w:tr>
        <w:trPr>
          <w:trHeight w:val="196"/>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July 31, 2008</w:t>
            </w:r>
          </w:p>
        </w:tc>
        <w:tc>
          <w:tcPr>
            <w:tcW w:w="10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9,632,013</w:t>
            </w:r>
          </w:p>
        </w:tc>
        <w:tc>
          <w:tcPr>
            <w:tcW w:w="12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(2,586,683)</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963</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22,218</w:t>
            </w:r>
          </w:p>
        </w:tc>
        <w:tc>
          <w:tcPr>
            <w:tcW w:w="100" w:type="dxa"/>
            <w:vAlign w:val="bottom"/>
          </w:tcPr>
          <w:p>
            <w:pPr>
              <w:spacing w:after="0"/>
              <w:rPr>
                <w:sz w:val="17"/>
                <w:szCs w:val="17"/>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3"/>
              </w:rPr>
              <w:t>$ 105,966</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(674)</w:t>
            </w:r>
          </w:p>
        </w:tc>
        <w:tc>
          <w:tcPr>
            <w:tcW w:w="1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 (41,406)</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559</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87,626</w:t>
            </w:r>
          </w:p>
        </w:tc>
      </w:tr>
      <w:tr>
        <w:trPr>
          <w:trHeight w:val="41"/>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3"/>
        </w:trPr>
        <w:tc>
          <w:tcPr>
            <w:tcW w:w="4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9,586</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9,586</w:t>
            </w:r>
          </w:p>
        </w:tc>
      </w:tr>
      <w:tr>
        <w:trPr>
          <w:trHeight w:val="216"/>
        </w:trPr>
        <w:tc>
          <w:tcPr>
            <w:tcW w:w="4200" w:type="dxa"/>
            <w:vAlign w:val="bottom"/>
          </w:tcPr>
          <w:p>
            <w:pPr>
              <w:ind w:left="300"/>
              <w:spacing w:after="0"/>
              <w:rPr>
                <w:sz w:val="20"/>
                <w:szCs w:val="20"/>
                <w:color w:val="auto"/>
              </w:rPr>
            </w:pPr>
            <w:r>
              <w:rPr>
                <w:rFonts w:ascii="Arial" w:cs="Arial" w:eastAsia="Arial" w:hAnsi="Arial"/>
                <w:sz w:val="14"/>
                <w:szCs w:val="14"/>
                <w:color w:val="auto"/>
              </w:rPr>
              <w:t>Cumulative Translation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7"/>
        </w:trPr>
        <w:tc>
          <w:tcPr>
            <w:tcW w:w="4200" w:type="dxa"/>
            <w:vAlign w:val="bottom"/>
          </w:tcPr>
          <w:p>
            <w:pPr>
              <w:ind w:left="600"/>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(330)</w:t>
            </w:r>
          </w:p>
        </w:tc>
      </w:tr>
      <w:tr>
        <w:trPr>
          <w:trHeight w:val="41"/>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6"/>
        </w:trPr>
        <w:tc>
          <w:tcPr>
            <w:tcW w:w="4200" w:type="dxa"/>
            <w:vAlign w:val="bottom"/>
            <w:shd w:val="clear" w:color="auto" w:fill="C0C0C0"/>
          </w:tcPr>
          <w:p>
            <w:pPr>
              <w:ind w:left="300"/>
              <w:spacing w:after="0"/>
              <w:rPr>
                <w:sz w:val="20"/>
                <w:szCs w:val="20"/>
                <w:color w:val="auto"/>
              </w:rPr>
            </w:pPr>
            <w:r>
              <w:rPr>
                <w:rFonts w:ascii="Arial" w:cs="Arial" w:eastAsia="Arial" w:hAnsi="Arial"/>
                <w:sz w:val="14"/>
                <w:szCs w:val="14"/>
                <w:color w:val="auto"/>
              </w:rPr>
              <w:t>Unrealized loss on marketable</w:t>
            </w:r>
          </w:p>
        </w:tc>
        <w:tc>
          <w:tcPr>
            <w:tcW w:w="10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700" w:type="dxa"/>
            <w:vAlign w:val="bottom"/>
            <w:shd w:val="clear" w:color="auto" w:fill="C0C0C0"/>
          </w:tcPr>
          <w:p>
            <w:pPr>
              <w:spacing w:after="0"/>
              <w:rPr>
                <w:sz w:val="18"/>
                <w:szCs w:val="18"/>
                <w:color w:val="auto"/>
              </w:rPr>
            </w:pPr>
          </w:p>
        </w:tc>
      </w:tr>
      <w:tr>
        <w:trPr>
          <w:trHeight w:val="278"/>
        </w:trPr>
        <w:tc>
          <w:tcPr>
            <w:tcW w:w="4200" w:type="dxa"/>
            <w:vAlign w:val="bottom"/>
            <w:tcBorders>
              <w:bottom w:val="single" w:sz="8" w:color="C0C0C0"/>
            </w:tcBorders>
            <w:shd w:val="clear" w:color="auto" w:fill="C0C0C0"/>
          </w:tcPr>
          <w:p>
            <w:pPr>
              <w:ind w:left="600"/>
              <w:spacing w:after="0"/>
              <w:rPr>
                <w:sz w:val="20"/>
                <w:szCs w:val="20"/>
                <w:color w:val="auto"/>
              </w:rPr>
            </w:pPr>
            <w:r>
              <w:rPr>
                <w:rFonts w:ascii="Arial" w:cs="Arial" w:eastAsia="Arial" w:hAnsi="Arial"/>
                <w:sz w:val="14"/>
                <w:szCs w:val="14"/>
                <w:color w:val="auto"/>
              </w:rPr>
              <w:t>Securities</w:t>
            </w:r>
          </w:p>
        </w:tc>
        <w:tc>
          <w:tcPr>
            <w:tcW w:w="10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68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4"/>
                <w:szCs w:val="24"/>
                <w:color w:val="auto"/>
              </w:rPr>
            </w:pPr>
          </w:p>
        </w:tc>
        <w:tc>
          <w:tcPr>
            <w:tcW w:w="6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4"/>
                <w:szCs w:val="24"/>
                <w:color w:val="auto"/>
              </w:rPr>
            </w:pPr>
          </w:p>
        </w:tc>
        <w:tc>
          <w:tcPr>
            <w:tcW w:w="18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7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(28)</w:t>
            </w:r>
          </w:p>
        </w:tc>
      </w:tr>
      <w:tr>
        <w:trPr>
          <w:trHeight w:val="216"/>
        </w:trPr>
        <w:tc>
          <w:tcPr>
            <w:tcW w:w="4200" w:type="dxa"/>
            <w:vAlign w:val="bottom"/>
          </w:tcPr>
          <w:p>
            <w:pPr>
              <w:ind w:left="300"/>
              <w:spacing w:after="0"/>
              <w:rPr>
                <w:sz w:val="20"/>
                <w:szCs w:val="20"/>
                <w:color w:val="auto"/>
              </w:rPr>
            </w:pPr>
            <w:r>
              <w:rPr>
                <w:rFonts w:ascii="Arial" w:cs="Arial" w:eastAsia="Arial" w:hAnsi="Arial"/>
                <w:sz w:val="14"/>
                <w:szCs w:val="14"/>
                <w:color w:val="auto"/>
              </w:rPr>
              <w:t>Unrecognized actuarial gain/loss,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7"/>
        </w:trPr>
        <w:tc>
          <w:tcPr>
            <w:tcW w:w="4200" w:type="dxa"/>
            <w:vAlign w:val="bottom"/>
          </w:tcPr>
          <w:p>
            <w:pPr>
              <w:ind w:left="600"/>
              <w:spacing w:after="0"/>
              <w:rPr>
                <w:sz w:val="20"/>
                <w:szCs w:val="20"/>
                <w:color w:val="auto"/>
              </w:rPr>
            </w:pPr>
            <w:r>
              <w:rPr>
                <w:rFonts w:ascii="Arial" w:cs="Arial" w:eastAsia="Arial" w:hAnsi="Arial"/>
                <w:sz w:val="14"/>
                <w:szCs w:val="14"/>
                <w:color w:val="auto"/>
              </w:rPr>
              <w:t>prior service cost and transition</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7"/>
        </w:trPr>
        <w:tc>
          <w:tcPr>
            <w:tcW w:w="4200" w:type="dxa"/>
            <w:vAlign w:val="bottom"/>
          </w:tcPr>
          <w:p>
            <w:pPr>
              <w:ind w:left="600"/>
              <w:spacing w:after="0"/>
              <w:rPr>
                <w:sz w:val="20"/>
                <w:szCs w:val="20"/>
                <w:color w:val="auto"/>
              </w:rPr>
            </w:pPr>
            <w:r>
              <w:rPr>
                <w:rFonts w:ascii="Arial" w:cs="Arial" w:eastAsia="Arial" w:hAnsi="Arial"/>
                <w:sz w:val="14"/>
                <w:szCs w:val="14"/>
                <w:color w:val="auto"/>
              </w:rPr>
              <w:t>liability</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(4,463)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(4,463)</w:t>
            </w:r>
          </w:p>
        </w:tc>
      </w:tr>
      <w:tr>
        <w:trPr>
          <w:trHeight w:val="41"/>
        </w:trPr>
        <w:tc>
          <w:tcPr>
            <w:tcW w:w="42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8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54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4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72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7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37"/>
        </w:trPr>
        <w:tc>
          <w:tcPr>
            <w:tcW w:w="4200" w:type="dxa"/>
            <w:vAlign w:val="bottom"/>
            <w:tcBorders>
              <w:bottom w:val="single" w:sz="8" w:color="C0C0C0"/>
            </w:tcBorders>
            <w:shd w:val="clear" w:color="auto" w:fill="C0C0C0"/>
          </w:tcPr>
          <w:p>
            <w:pPr>
              <w:ind w:left="880"/>
              <w:spacing w:after="0"/>
              <w:rPr>
                <w:sz w:val="20"/>
                <w:szCs w:val="20"/>
                <w:color w:val="auto"/>
              </w:rPr>
            </w:pPr>
            <w:r>
              <w:rPr>
                <w:rFonts w:ascii="Arial" w:cs="Arial" w:eastAsia="Arial" w:hAnsi="Arial"/>
                <w:sz w:val="14"/>
                <w:szCs w:val="14"/>
                <w:color w:val="auto"/>
              </w:rPr>
              <w:t>Total Comprehensive Income</w:t>
            </w:r>
          </w:p>
        </w:tc>
        <w:tc>
          <w:tcPr>
            <w:tcW w:w="100" w:type="dxa"/>
            <w:vAlign w:val="bottom"/>
            <w:tcBorders>
              <w:bottom w:val="single" w:sz="8" w:color="C0C0C0"/>
            </w:tcBorders>
            <w:shd w:val="clear" w:color="auto" w:fill="C0C0C0"/>
          </w:tcPr>
          <w:p>
            <w:pPr>
              <w:spacing w:after="0"/>
              <w:rPr>
                <w:sz w:val="20"/>
                <w:szCs w:val="20"/>
                <w:color w:val="auto"/>
              </w:rPr>
            </w:pPr>
          </w:p>
        </w:tc>
        <w:tc>
          <w:tcPr>
            <w:tcW w:w="58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68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54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64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72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60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180" w:type="dxa"/>
            <w:vAlign w:val="bottom"/>
            <w:tcBorders>
              <w:bottom w:val="single" w:sz="8" w:color="C0C0C0"/>
            </w:tcBorders>
            <w:shd w:val="clear" w:color="auto" w:fill="C0C0C0"/>
          </w:tcPr>
          <w:p>
            <w:pPr>
              <w:spacing w:after="0"/>
              <w:rPr>
                <w:sz w:val="20"/>
                <w:szCs w:val="20"/>
                <w:color w:val="auto"/>
              </w:rPr>
            </w:pPr>
          </w:p>
        </w:tc>
        <w:tc>
          <w:tcPr>
            <w:tcW w:w="72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70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4,765</w:t>
            </w:r>
          </w:p>
        </w:tc>
      </w:tr>
      <w:tr>
        <w:trPr>
          <w:trHeight w:val="196"/>
        </w:trPr>
        <w:tc>
          <w:tcPr>
            <w:tcW w:w="4200" w:type="dxa"/>
            <w:vAlign w:val="bottom"/>
          </w:tcPr>
          <w:p>
            <w:pPr>
              <w:spacing w:after="0"/>
              <w:rPr>
                <w:sz w:val="20"/>
                <w:szCs w:val="20"/>
                <w:color w:val="auto"/>
              </w:rPr>
            </w:pPr>
            <w:r>
              <w:rPr>
                <w:rFonts w:ascii="Arial" w:cs="Arial" w:eastAsia="Arial" w:hAnsi="Arial"/>
                <w:sz w:val="14"/>
                <w:szCs w:val="14"/>
                <w:color w:val="auto"/>
              </w:rPr>
              <w:t>Dividends Declared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(3,759)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(3,759)</w:t>
            </w:r>
          </w:p>
        </w:tc>
      </w:tr>
      <w:tr>
        <w:trPr>
          <w:trHeight w:val="41"/>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3"/>
        </w:trPr>
        <w:tc>
          <w:tcPr>
            <w:tcW w:w="4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Purchases of Treasury Stock</w:t>
            </w:r>
          </w:p>
        </w:tc>
        <w:tc>
          <w:tcPr>
            <w:tcW w:w="10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(41,579)</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(656)</w:t>
            </w:r>
          </w:p>
        </w:tc>
      </w:tr>
      <w:tr>
        <w:trPr>
          <w:trHeight w:val="202"/>
        </w:trPr>
        <w:tc>
          <w:tcPr>
            <w:tcW w:w="4200" w:type="dxa"/>
            <w:vAlign w:val="bottom"/>
          </w:tcPr>
          <w:p>
            <w:pPr>
              <w:spacing w:after="0"/>
              <w:rPr>
                <w:sz w:val="20"/>
                <w:szCs w:val="20"/>
                <w:color w:val="auto"/>
              </w:rPr>
            </w:pPr>
            <w:r>
              <w:rPr>
                <w:rFonts w:ascii="Arial" w:cs="Arial" w:eastAsia="Arial" w:hAnsi="Arial"/>
                <w:sz w:val="14"/>
                <w:szCs w:val="14"/>
                <w:color w:val="auto"/>
              </w:rPr>
              <w:t>Issuance of Stock Under Long-Term</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7"/>
        </w:trPr>
        <w:tc>
          <w:tcPr>
            <w:tcW w:w="4200" w:type="dxa"/>
            <w:vAlign w:val="bottom"/>
          </w:tcPr>
          <w:p>
            <w:pPr>
              <w:ind w:left="300"/>
              <w:spacing w:after="0"/>
              <w:rPr>
                <w:sz w:val="20"/>
                <w:szCs w:val="20"/>
                <w:color w:val="auto"/>
              </w:rPr>
            </w:pPr>
            <w:r>
              <w:rPr>
                <w:rFonts w:ascii="Arial" w:cs="Arial" w:eastAsia="Arial" w:hAnsi="Arial"/>
                <w:sz w:val="14"/>
                <w:szCs w:val="14"/>
                <w:color w:val="auto"/>
              </w:rPr>
              <w:t>Incentive Plans</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83,359</w:t>
            </w:r>
          </w:p>
        </w:tc>
        <w:tc>
          <w:tcPr>
            <w:tcW w:w="1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21,000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810</w:t>
            </w:r>
          </w:p>
        </w:tc>
      </w:tr>
      <w:tr>
        <w:trPr>
          <w:trHeight w:val="41"/>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3"/>
        </w:trPr>
        <w:tc>
          <w:tcPr>
            <w:tcW w:w="4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Share-based Compensation</w:t>
            </w:r>
          </w:p>
        </w:tc>
        <w:tc>
          <w:tcPr>
            <w:tcW w:w="10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486</w:t>
            </w:r>
          </w:p>
        </w:tc>
      </w:tr>
      <w:tr>
        <w:trPr>
          <w:trHeight w:val="202"/>
        </w:trPr>
        <w:tc>
          <w:tcPr>
            <w:tcW w:w="4200" w:type="dxa"/>
            <w:vAlign w:val="bottom"/>
          </w:tcPr>
          <w:p>
            <w:pPr>
              <w:spacing w:after="0"/>
              <w:rPr>
                <w:sz w:val="20"/>
                <w:szCs w:val="20"/>
                <w:color w:val="auto"/>
              </w:rPr>
            </w:pPr>
            <w:r>
              <w:rPr>
                <w:rFonts w:ascii="Arial" w:cs="Arial" w:eastAsia="Arial" w:hAnsi="Arial"/>
                <w:sz w:val="14"/>
                <w:szCs w:val="14"/>
                <w:color w:val="auto"/>
              </w:rPr>
              <w:t>Amortization of Restricted Stock</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291</w:t>
            </w:r>
          </w:p>
        </w:tc>
      </w:tr>
      <w:tr>
        <w:trPr>
          <w:trHeight w:val="41"/>
        </w:trPr>
        <w:tc>
          <w:tcPr>
            <w:tcW w:w="42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17"/>
        </w:trPr>
        <w:tc>
          <w:tcPr>
            <w:tcW w:w="4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July 31, 2009</w:t>
            </w:r>
          </w:p>
        </w:tc>
        <w:tc>
          <w:tcPr>
            <w:tcW w:w="68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b w:val="1"/>
                <w:bCs w:val="1"/>
                <w:color w:val="auto"/>
              </w:rPr>
              <w:t>9,715,372</w:t>
            </w:r>
          </w:p>
        </w:tc>
        <w:tc>
          <w:tcPr>
            <w:tcW w:w="12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b w:val="1"/>
                <w:bCs w:val="1"/>
                <w:color w:val="auto"/>
                <w:w w:val="86"/>
              </w:rPr>
              <w:t>(2,607,262)</w:t>
            </w:r>
          </w:p>
        </w:tc>
        <w:tc>
          <w:tcPr>
            <w:tcW w:w="20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b w:val="1"/>
                <w:bCs w:val="1"/>
                <w:color w:val="auto"/>
              </w:rPr>
              <w:t>971</w:t>
            </w:r>
          </w:p>
        </w:tc>
        <w:tc>
          <w:tcPr>
            <w:tcW w:w="10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b w:val="1"/>
                <w:bCs w:val="1"/>
                <w:color w:val="auto"/>
              </w:rPr>
              <w:t>23,366</w:t>
            </w:r>
          </w:p>
        </w:tc>
        <w:tc>
          <w:tcPr>
            <w:tcW w:w="10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b w:val="1"/>
                <w:bCs w:val="1"/>
                <w:color w:val="auto"/>
                <w:w w:val="83"/>
              </w:rPr>
              <w:t>$ 111,593</w:t>
            </w:r>
          </w:p>
        </w:tc>
        <w:tc>
          <w:tcPr>
            <w:tcW w:w="20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b w:val="1"/>
                <w:bCs w:val="1"/>
                <w:color w:val="auto"/>
              </w:rPr>
              <w:t>(383)</w:t>
            </w:r>
          </w:p>
        </w:tc>
        <w:tc>
          <w:tcPr>
            <w:tcW w:w="120" w:type="dxa"/>
            <w:vAlign w:val="bottom"/>
            <w:tcBorders>
              <w:bottom w:val="single" w:sz="8" w:color="C0C0C0"/>
            </w:tcBorders>
            <w:shd w:val="clear" w:color="auto" w:fill="C0C0C0"/>
          </w:tcPr>
          <w:p>
            <w:pPr>
              <w:spacing w:after="0"/>
              <w:rPr>
                <w:sz w:val="18"/>
                <w:szCs w:val="18"/>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b w:val="1"/>
                <w:bCs w:val="1"/>
                <w:color w:val="auto"/>
                <w:w w:val="84"/>
              </w:rPr>
              <w:t>$ (41,722)</w:t>
            </w:r>
          </w:p>
        </w:tc>
        <w:tc>
          <w:tcPr>
            <w:tcW w:w="100" w:type="dxa"/>
            <w:vAlign w:val="bottom"/>
            <w:tcBorders>
              <w:bottom w:val="single" w:sz="8" w:color="C0C0C0"/>
            </w:tcBorders>
            <w:shd w:val="clear" w:color="auto" w:fill="C0C0C0"/>
          </w:tcPr>
          <w:p>
            <w:pPr>
              <w:spacing w:after="0"/>
              <w:rPr>
                <w:sz w:val="18"/>
                <w:szCs w:val="18"/>
                <w:color w:val="auto"/>
              </w:rPr>
            </w:pPr>
          </w:p>
        </w:tc>
        <w:tc>
          <w:tcPr>
            <w:tcW w:w="1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b w:val="1"/>
                <w:bCs w:val="1"/>
                <w:color w:val="auto"/>
              </w:rPr>
              <w:t>(4,262)</w:t>
            </w:r>
          </w:p>
        </w:tc>
        <w:tc>
          <w:tcPr>
            <w:tcW w:w="10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b w:val="1"/>
                <w:bCs w:val="1"/>
                <w:color w:val="auto"/>
              </w:rPr>
              <w:t>89,563</w:t>
            </w:r>
          </w:p>
        </w:tc>
      </w:tr>
      <w:tr>
        <w:trPr>
          <w:trHeight w:val="202"/>
        </w:trPr>
        <w:tc>
          <w:tcPr>
            <w:tcW w:w="4200" w:type="dxa"/>
            <w:vAlign w:val="bottom"/>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9,458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9,458</w:t>
            </w:r>
          </w:p>
        </w:tc>
      </w:tr>
      <w:tr>
        <w:trPr>
          <w:trHeight w:val="41"/>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6"/>
        </w:trPr>
        <w:tc>
          <w:tcPr>
            <w:tcW w:w="4200" w:type="dxa"/>
            <w:vAlign w:val="bottom"/>
            <w:shd w:val="clear" w:color="auto" w:fill="C0C0C0"/>
          </w:tcPr>
          <w:p>
            <w:pPr>
              <w:ind w:left="300"/>
              <w:spacing w:after="0"/>
              <w:rPr>
                <w:sz w:val="20"/>
                <w:szCs w:val="20"/>
                <w:color w:val="auto"/>
              </w:rPr>
            </w:pPr>
            <w:r>
              <w:rPr>
                <w:rFonts w:ascii="Arial" w:cs="Arial" w:eastAsia="Arial" w:hAnsi="Arial"/>
                <w:sz w:val="14"/>
                <w:szCs w:val="14"/>
                <w:color w:val="auto"/>
              </w:rPr>
              <w:t>Cumulative Translation</w:t>
            </w:r>
          </w:p>
        </w:tc>
        <w:tc>
          <w:tcPr>
            <w:tcW w:w="10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700" w:type="dxa"/>
            <w:vAlign w:val="bottom"/>
            <w:shd w:val="clear" w:color="auto" w:fill="C0C0C0"/>
          </w:tcPr>
          <w:p>
            <w:pPr>
              <w:spacing w:after="0"/>
              <w:rPr>
                <w:sz w:val="18"/>
                <w:szCs w:val="18"/>
                <w:color w:val="auto"/>
              </w:rPr>
            </w:pPr>
          </w:p>
        </w:tc>
      </w:tr>
      <w:tr>
        <w:trPr>
          <w:trHeight w:val="278"/>
        </w:trPr>
        <w:tc>
          <w:tcPr>
            <w:tcW w:w="4200" w:type="dxa"/>
            <w:vAlign w:val="bottom"/>
            <w:tcBorders>
              <w:bottom w:val="single" w:sz="8" w:color="C0C0C0"/>
            </w:tcBorders>
            <w:shd w:val="clear" w:color="auto" w:fill="C0C0C0"/>
          </w:tcPr>
          <w:p>
            <w:pPr>
              <w:ind w:left="600"/>
              <w:spacing w:after="0"/>
              <w:rPr>
                <w:sz w:val="20"/>
                <w:szCs w:val="20"/>
                <w:color w:val="auto"/>
              </w:rPr>
            </w:pPr>
            <w:r>
              <w:rPr>
                <w:rFonts w:ascii="Arial" w:cs="Arial" w:eastAsia="Arial" w:hAnsi="Arial"/>
                <w:sz w:val="14"/>
                <w:szCs w:val="14"/>
                <w:color w:val="auto"/>
              </w:rPr>
              <w:t>Adjustments</w:t>
            </w:r>
          </w:p>
        </w:tc>
        <w:tc>
          <w:tcPr>
            <w:tcW w:w="10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68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4"/>
                <w:szCs w:val="24"/>
                <w:color w:val="auto"/>
              </w:rPr>
            </w:pPr>
          </w:p>
        </w:tc>
        <w:tc>
          <w:tcPr>
            <w:tcW w:w="6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4"/>
                <w:szCs w:val="24"/>
                <w:color w:val="auto"/>
              </w:rPr>
            </w:pPr>
          </w:p>
        </w:tc>
        <w:tc>
          <w:tcPr>
            <w:tcW w:w="18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70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210</w:t>
            </w:r>
          </w:p>
        </w:tc>
      </w:tr>
      <w:tr>
        <w:trPr>
          <w:trHeight w:val="216"/>
        </w:trPr>
        <w:tc>
          <w:tcPr>
            <w:tcW w:w="4200" w:type="dxa"/>
            <w:vAlign w:val="bottom"/>
          </w:tcPr>
          <w:p>
            <w:pPr>
              <w:ind w:left="300"/>
              <w:spacing w:after="0"/>
              <w:rPr>
                <w:sz w:val="20"/>
                <w:szCs w:val="20"/>
                <w:color w:val="auto"/>
              </w:rPr>
            </w:pPr>
            <w:r>
              <w:rPr>
                <w:rFonts w:ascii="Arial" w:cs="Arial" w:eastAsia="Arial" w:hAnsi="Arial"/>
                <w:sz w:val="14"/>
                <w:szCs w:val="14"/>
                <w:color w:val="auto"/>
              </w:rPr>
              <w:t>Unrealized gain on marketable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7"/>
        </w:trPr>
        <w:tc>
          <w:tcPr>
            <w:tcW w:w="4200" w:type="dxa"/>
            <w:vAlign w:val="bottom"/>
          </w:tcPr>
          <w:p>
            <w:pPr>
              <w:ind w:left="600"/>
              <w:spacing w:after="0"/>
              <w:rPr>
                <w:sz w:val="20"/>
                <w:szCs w:val="20"/>
                <w:color w:val="auto"/>
              </w:rPr>
            </w:pPr>
            <w:r>
              <w:rPr>
                <w:rFonts w:ascii="Arial" w:cs="Arial" w:eastAsia="Arial" w:hAnsi="Arial"/>
                <w:sz w:val="14"/>
                <w:szCs w:val="14"/>
                <w:color w:val="auto"/>
              </w:rPr>
              <w:t>Securities</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27</w:t>
            </w:r>
          </w:p>
        </w:tc>
      </w:tr>
      <w:tr>
        <w:trPr>
          <w:trHeight w:val="41"/>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6"/>
        </w:trPr>
        <w:tc>
          <w:tcPr>
            <w:tcW w:w="4200" w:type="dxa"/>
            <w:vAlign w:val="bottom"/>
            <w:shd w:val="clear" w:color="auto" w:fill="C0C0C0"/>
          </w:tcPr>
          <w:p>
            <w:pPr>
              <w:ind w:left="300"/>
              <w:spacing w:after="0"/>
              <w:rPr>
                <w:sz w:val="20"/>
                <w:szCs w:val="20"/>
                <w:color w:val="auto"/>
              </w:rPr>
            </w:pPr>
            <w:r>
              <w:rPr>
                <w:rFonts w:ascii="Arial" w:cs="Arial" w:eastAsia="Arial" w:hAnsi="Arial"/>
                <w:sz w:val="14"/>
                <w:szCs w:val="14"/>
                <w:color w:val="auto"/>
              </w:rPr>
              <w:t>Unrecognized actuarial gain/loss,</w:t>
            </w:r>
          </w:p>
        </w:tc>
        <w:tc>
          <w:tcPr>
            <w:tcW w:w="10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700" w:type="dxa"/>
            <w:vAlign w:val="bottom"/>
            <w:shd w:val="clear" w:color="auto" w:fill="C0C0C0"/>
          </w:tcPr>
          <w:p>
            <w:pPr>
              <w:spacing w:after="0"/>
              <w:rPr>
                <w:sz w:val="18"/>
                <w:szCs w:val="18"/>
                <w:color w:val="auto"/>
              </w:rPr>
            </w:pPr>
          </w:p>
        </w:tc>
      </w:tr>
      <w:tr>
        <w:trPr>
          <w:trHeight w:val="257"/>
        </w:trPr>
        <w:tc>
          <w:tcPr>
            <w:tcW w:w="4200" w:type="dxa"/>
            <w:vAlign w:val="bottom"/>
            <w:shd w:val="clear" w:color="auto" w:fill="C0C0C0"/>
          </w:tcPr>
          <w:p>
            <w:pPr>
              <w:ind w:left="600"/>
              <w:spacing w:after="0"/>
              <w:rPr>
                <w:sz w:val="20"/>
                <w:szCs w:val="20"/>
                <w:color w:val="auto"/>
              </w:rPr>
            </w:pPr>
            <w:r>
              <w:rPr>
                <w:rFonts w:ascii="Arial" w:cs="Arial" w:eastAsia="Arial" w:hAnsi="Arial"/>
                <w:sz w:val="14"/>
                <w:szCs w:val="14"/>
                <w:color w:val="auto"/>
              </w:rPr>
              <w:t>prior service cost and transition</w:t>
            </w: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5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r>
      <w:tr>
        <w:trPr>
          <w:trHeight w:val="298"/>
        </w:trPr>
        <w:tc>
          <w:tcPr>
            <w:tcW w:w="4200" w:type="dxa"/>
            <w:vAlign w:val="bottom"/>
            <w:tcBorders>
              <w:bottom w:val="single" w:sz="8" w:color="C0C0C0"/>
            </w:tcBorders>
            <w:shd w:val="clear" w:color="auto" w:fill="C0C0C0"/>
          </w:tcPr>
          <w:p>
            <w:pPr>
              <w:ind w:left="600"/>
              <w:spacing w:after="0"/>
              <w:rPr>
                <w:sz w:val="20"/>
                <w:szCs w:val="20"/>
                <w:color w:val="auto"/>
              </w:rPr>
            </w:pPr>
            <w:r>
              <w:rPr>
                <w:rFonts w:ascii="Arial" w:cs="Arial" w:eastAsia="Arial" w:hAnsi="Arial"/>
                <w:sz w:val="14"/>
                <w:szCs w:val="14"/>
                <w:color w:val="auto"/>
              </w:rPr>
              <w:t>liability</w:t>
            </w:r>
          </w:p>
        </w:tc>
        <w:tc>
          <w:tcPr>
            <w:tcW w:w="10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68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4"/>
                <w:szCs w:val="24"/>
                <w:color w:val="auto"/>
              </w:rPr>
            </w:pPr>
          </w:p>
        </w:tc>
        <w:tc>
          <w:tcPr>
            <w:tcW w:w="6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4"/>
                <w:szCs w:val="24"/>
                <w:color w:val="auto"/>
              </w:rPr>
            </w:pPr>
          </w:p>
        </w:tc>
        <w:tc>
          <w:tcPr>
            <w:tcW w:w="18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(726)</w:t>
            </w:r>
          </w:p>
        </w:tc>
        <w:tc>
          <w:tcPr>
            <w:tcW w:w="10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7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(726)</w:t>
            </w:r>
          </w:p>
        </w:tc>
      </w:tr>
      <w:tr>
        <w:trPr>
          <w:trHeight w:val="196"/>
        </w:trPr>
        <w:tc>
          <w:tcPr>
            <w:tcW w:w="4200" w:type="dxa"/>
            <w:vAlign w:val="bottom"/>
          </w:tcPr>
          <w:p>
            <w:pPr>
              <w:ind w:left="880"/>
              <w:spacing w:after="0"/>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8,969</w:t>
            </w:r>
          </w:p>
        </w:tc>
      </w:tr>
      <w:tr>
        <w:trPr>
          <w:trHeight w:val="41"/>
        </w:trPr>
        <w:tc>
          <w:tcPr>
            <w:tcW w:w="42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8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54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4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72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7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17"/>
        </w:trPr>
        <w:tc>
          <w:tcPr>
            <w:tcW w:w="4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Dividends Declared</w:t>
            </w:r>
          </w:p>
        </w:tc>
        <w:tc>
          <w:tcPr>
            <w:tcW w:w="100" w:type="dxa"/>
            <w:vAlign w:val="bottom"/>
            <w:tcBorders>
              <w:bottom w:val="single" w:sz="8" w:color="C0C0C0"/>
            </w:tcBorders>
            <w:shd w:val="clear" w:color="auto" w:fill="C0C0C0"/>
          </w:tcPr>
          <w:p>
            <w:pPr>
              <w:spacing w:after="0"/>
              <w:rPr>
                <w:sz w:val="18"/>
                <w:szCs w:val="18"/>
                <w:color w:val="auto"/>
              </w:rPr>
            </w:pPr>
          </w:p>
        </w:tc>
        <w:tc>
          <w:tcPr>
            <w:tcW w:w="5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5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(4,041)</w:t>
            </w:r>
          </w:p>
        </w:tc>
        <w:tc>
          <w:tcPr>
            <w:tcW w:w="1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72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8"/>
                <w:szCs w:val="18"/>
                <w:color w:val="auto"/>
              </w:rPr>
            </w:pPr>
          </w:p>
        </w:tc>
        <w:tc>
          <w:tcPr>
            <w:tcW w:w="6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8"/>
                <w:szCs w:val="18"/>
                <w:color w:val="auto"/>
              </w:rPr>
            </w:pPr>
          </w:p>
        </w:tc>
        <w:tc>
          <w:tcPr>
            <w:tcW w:w="180" w:type="dxa"/>
            <w:vAlign w:val="bottom"/>
            <w:tcBorders>
              <w:bottom w:val="single" w:sz="8" w:color="C0C0C0"/>
            </w:tcBorders>
            <w:shd w:val="clear" w:color="auto" w:fill="C0C0C0"/>
          </w:tcPr>
          <w:p>
            <w:pPr>
              <w:spacing w:after="0"/>
              <w:rPr>
                <w:sz w:val="18"/>
                <w:szCs w:val="18"/>
                <w:color w:val="auto"/>
              </w:rPr>
            </w:pPr>
          </w:p>
        </w:tc>
        <w:tc>
          <w:tcPr>
            <w:tcW w:w="7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shd w:val="clear" w:color="auto" w:fill="C0C0C0"/>
          </w:tcPr>
          <w:p>
            <w:pPr>
              <w:spacing w:after="0"/>
              <w:rPr>
                <w:sz w:val="18"/>
                <w:szCs w:val="18"/>
                <w:color w:val="auto"/>
              </w:rPr>
            </w:pPr>
          </w:p>
        </w:tc>
        <w:tc>
          <w:tcPr>
            <w:tcW w:w="7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(4,041)</w:t>
            </w:r>
          </w:p>
        </w:tc>
      </w:tr>
      <w:tr>
        <w:trPr>
          <w:trHeight w:val="202"/>
        </w:trPr>
        <w:tc>
          <w:tcPr>
            <w:tcW w:w="4200" w:type="dxa"/>
            <w:vAlign w:val="bottom"/>
          </w:tcPr>
          <w:p>
            <w:pPr>
              <w:spacing w:after="0"/>
              <w:rPr>
                <w:sz w:val="20"/>
                <w:szCs w:val="20"/>
                <w:color w:val="auto"/>
              </w:rPr>
            </w:pPr>
            <w:r>
              <w:rPr>
                <w:rFonts w:ascii="Arial" w:cs="Arial" w:eastAsia="Arial" w:hAnsi="Arial"/>
                <w:sz w:val="14"/>
                <w:szCs w:val="14"/>
                <w:color w:val="auto"/>
              </w:rPr>
              <w:t>Purchases of Treasury Stock</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(288,243)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(5,988)</w:t>
            </w:r>
          </w:p>
        </w:tc>
      </w:tr>
      <w:tr>
        <w:trPr>
          <w:trHeight w:val="41"/>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2"/>
        </w:trPr>
        <w:tc>
          <w:tcPr>
            <w:tcW w:w="4200" w:type="dxa"/>
            <w:vAlign w:val="bottom"/>
            <w:shd w:val="clear" w:color="auto" w:fill="C0C0C0"/>
          </w:tcPr>
          <w:p>
            <w:pPr>
              <w:spacing w:after="0"/>
              <w:rPr>
                <w:sz w:val="20"/>
                <w:szCs w:val="20"/>
                <w:color w:val="auto"/>
              </w:rPr>
            </w:pPr>
            <w:r>
              <w:rPr>
                <w:rFonts w:ascii="Arial" w:cs="Arial" w:eastAsia="Arial" w:hAnsi="Arial"/>
                <w:sz w:val="14"/>
                <w:szCs w:val="14"/>
                <w:color w:val="auto"/>
              </w:rPr>
              <w:t>Issuance of Stock Under Long-Term</w:t>
            </w:r>
          </w:p>
        </w:tc>
        <w:tc>
          <w:tcPr>
            <w:tcW w:w="10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r>
      <w:tr>
        <w:trPr>
          <w:trHeight w:val="278"/>
        </w:trPr>
        <w:tc>
          <w:tcPr>
            <w:tcW w:w="4200" w:type="dxa"/>
            <w:vAlign w:val="bottom"/>
            <w:tcBorders>
              <w:bottom w:val="single" w:sz="8" w:color="C0C0C0"/>
            </w:tcBorders>
            <w:shd w:val="clear" w:color="auto" w:fill="C0C0C0"/>
          </w:tcPr>
          <w:p>
            <w:pPr>
              <w:ind w:left="300"/>
              <w:spacing w:after="0"/>
              <w:rPr>
                <w:sz w:val="20"/>
                <w:szCs w:val="20"/>
                <w:color w:val="auto"/>
              </w:rPr>
            </w:pPr>
            <w:r>
              <w:rPr>
                <w:rFonts w:ascii="Arial" w:cs="Arial" w:eastAsia="Arial" w:hAnsi="Arial"/>
                <w:sz w:val="14"/>
                <w:szCs w:val="14"/>
                <w:color w:val="auto"/>
              </w:rPr>
              <w:t>Incentive Plans</w:t>
            </w:r>
          </w:p>
        </w:tc>
        <w:tc>
          <w:tcPr>
            <w:tcW w:w="68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168,767</w:t>
            </w:r>
          </w:p>
        </w:tc>
        <w:tc>
          <w:tcPr>
            <w:tcW w:w="120" w:type="dxa"/>
            <w:vAlign w:val="bottom"/>
            <w:tcBorders>
              <w:bottom w:val="single" w:sz="8" w:color="C0C0C0"/>
            </w:tcBorders>
            <w:shd w:val="clear" w:color="auto" w:fill="C0C0C0"/>
          </w:tcPr>
          <w:p>
            <w:pPr>
              <w:spacing w:after="0"/>
              <w:rPr>
                <w:sz w:val="24"/>
                <w:szCs w:val="24"/>
                <w:color w:val="auto"/>
              </w:rPr>
            </w:pPr>
          </w:p>
        </w:tc>
        <w:tc>
          <w:tcPr>
            <w:tcW w:w="6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12,000</w:t>
            </w: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4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5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0C0C0"/>
            </w:tcBorders>
            <w:shd w:val="clear" w:color="auto" w:fill="C0C0C0"/>
          </w:tcPr>
          <w:p>
            <w:pPr>
              <w:spacing w:after="0"/>
              <w:rPr>
                <w:sz w:val="24"/>
                <w:szCs w:val="24"/>
                <w:color w:val="auto"/>
              </w:rPr>
            </w:pPr>
          </w:p>
        </w:tc>
        <w:tc>
          <w:tcPr>
            <w:tcW w:w="6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0C0C0"/>
            </w:tcBorders>
            <w:shd w:val="clear" w:color="auto" w:fill="C0C0C0"/>
          </w:tcPr>
          <w:p>
            <w:pPr>
              <w:spacing w:after="0"/>
              <w:rPr>
                <w:sz w:val="24"/>
                <w:szCs w:val="24"/>
                <w:color w:val="auto"/>
              </w:rPr>
            </w:pPr>
          </w:p>
        </w:tc>
        <w:tc>
          <w:tcPr>
            <w:tcW w:w="18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70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1,362</w:t>
            </w:r>
          </w:p>
        </w:tc>
      </w:tr>
      <w:tr>
        <w:trPr>
          <w:trHeight w:val="202"/>
        </w:trPr>
        <w:tc>
          <w:tcPr>
            <w:tcW w:w="4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7"/>
                <w:szCs w:val="17"/>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419</w:t>
            </w:r>
          </w:p>
        </w:tc>
      </w:tr>
      <w:tr>
        <w:trPr>
          <w:trHeight w:val="41"/>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55"/>
        </w:trPr>
        <w:tc>
          <w:tcPr>
            <w:tcW w:w="4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Amortization of Restricted Stock</w:t>
            </w:r>
          </w:p>
        </w:tc>
        <w:tc>
          <w:tcPr>
            <w:tcW w:w="100" w:type="dxa"/>
            <w:vAlign w:val="bottom"/>
            <w:tcBorders>
              <w:bottom w:val="single" w:sz="8" w:color="C0C0C0"/>
            </w:tcBorders>
            <w:shd w:val="clear" w:color="auto" w:fill="C0C0C0"/>
          </w:tcPr>
          <w:p>
            <w:pPr>
              <w:spacing w:after="0"/>
              <w:rPr>
                <w:sz w:val="21"/>
                <w:szCs w:val="21"/>
                <w:color w:val="auto"/>
              </w:rPr>
            </w:pPr>
          </w:p>
        </w:tc>
        <w:tc>
          <w:tcPr>
            <w:tcW w:w="58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6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5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72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C0C0C0"/>
            </w:tcBorders>
            <w:shd w:val="clear" w:color="auto" w:fill="C0C0C0"/>
          </w:tcPr>
          <w:p>
            <w:pPr>
              <w:spacing w:after="0"/>
              <w:rPr>
                <w:sz w:val="21"/>
                <w:szCs w:val="21"/>
                <w:color w:val="auto"/>
              </w:rPr>
            </w:pPr>
          </w:p>
        </w:tc>
        <w:tc>
          <w:tcPr>
            <w:tcW w:w="6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7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70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305</w:t>
            </w:r>
          </w:p>
        </w:tc>
      </w:tr>
      <w:tr>
        <w:trPr>
          <w:trHeight w:val="216"/>
        </w:trPr>
        <w:tc>
          <w:tcPr>
            <w:tcW w:w="4200" w:type="dxa"/>
            <w:vAlign w:val="bottom"/>
            <w:tcBorders>
              <w:top w:val="single" w:sz="8" w:color="C0C0C0"/>
            </w:tcBorders>
          </w:tcPr>
          <w:p>
            <w:pPr>
              <w:spacing w:after="0"/>
              <w:rPr>
                <w:sz w:val="20"/>
                <w:szCs w:val="20"/>
                <w:color w:val="auto"/>
              </w:rPr>
            </w:pPr>
            <w:r>
              <w:rPr>
                <w:rFonts w:ascii="Arial" w:cs="Arial" w:eastAsia="Arial" w:hAnsi="Arial"/>
                <w:sz w:val="14"/>
                <w:szCs w:val="14"/>
                <w:b w:val="1"/>
                <w:bCs w:val="1"/>
                <w:color w:val="auto"/>
              </w:rPr>
              <w:t>Balance, July 31, 2010</w:t>
            </w:r>
          </w:p>
        </w:tc>
        <w:tc>
          <w:tcPr>
            <w:tcW w:w="100" w:type="dxa"/>
            <w:vAlign w:val="bottom"/>
            <w:tcBorders>
              <w:top w:val="single" w:sz="8" w:color="C0C0C0"/>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9,884,139</w:t>
            </w:r>
          </w:p>
        </w:tc>
        <w:tc>
          <w:tcPr>
            <w:tcW w:w="120" w:type="dxa"/>
            <w:vAlign w:val="bottom"/>
            <w:tcBorders>
              <w:top w:val="single" w:sz="8" w:color="C0C0C0"/>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(2,883,505)</w:t>
            </w:r>
          </w:p>
        </w:tc>
        <w:tc>
          <w:tcPr>
            <w:tcW w:w="100" w:type="dxa"/>
            <w:vAlign w:val="bottom"/>
            <w:tcBorders>
              <w:top w:val="single" w:sz="8" w:color="C0C0C0"/>
            </w:tcBorders>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988</w:t>
            </w:r>
          </w:p>
        </w:tc>
        <w:tc>
          <w:tcPr>
            <w:tcW w:w="100" w:type="dxa"/>
            <w:vAlign w:val="bottom"/>
            <w:tcBorders>
              <w:top w:val="single" w:sz="8" w:color="C0C0C0"/>
            </w:tcBorders>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25,104</w:t>
            </w:r>
          </w:p>
        </w:tc>
        <w:tc>
          <w:tcPr>
            <w:tcW w:w="100" w:type="dxa"/>
            <w:vAlign w:val="bottom"/>
            <w:tcBorders>
              <w:top w:val="single" w:sz="8" w:color="C0C0C0"/>
            </w:tcBorders>
          </w:tcPr>
          <w:p>
            <w:pPr>
              <w:spacing w:after="0"/>
              <w:rPr>
                <w:sz w:val="18"/>
                <w:szCs w:val="18"/>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3"/>
              </w:rPr>
              <w:t>$ 116,917</w:t>
            </w:r>
          </w:p>
        </w:tc>
        <w:tc>
          <w:tcPr>
            <w:tcW w:w="100" w:type="dxa"/>
            <w:vAlign w:val="bottom"/>
            <w:tcBorders>
              <w:top w:val="single" w:sz="8" w:color="C0C0C0"/>
            </w:tcBorders>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(156)</w:t>
            </w:r>
          </w:p>
        </w:tc>
        <w:tc>
          <w:tcPr>
            <w:tcW w:w="120" w:type="dxa"/>
            <w:vAlign w:val="bottom"/>
            <w:tcBorders>
              <w:top w:val="single" w:sz="8" w:color="C0C0C0"/>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 (47,513)</w:t>
            </w:r>
          </w:p>
        </w:tc>
        <w:tc>
          <w:tcPr>
            <w:tcW w:w="100" w:type="dxa"/>
            <w:vAlign w:val="bottom"/>
            <w:tcBorders>
              <w:top w:val="single" w:sz="8" w:color="C0C0C0"/>
            </w:tcBorders>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(4,751)</w:t>
            </w:r>
          </w:p>
        </w:tc>
        <w:tc>
          <w:tcPr>
            <w:tcW w:w="100" w:type="dxa"/>
            <w:vAlign w:val="bottom"/>
            <w:tcBorders>
              <w:top w:val="single" w:sz="8" w:color="C0C0C0"/>
            </w:tcBorders>
          </w:tcPr>
          <w:p>
            <w:pPr>
              <w:spacing w:after="0"/>
              <w:rPr>
                <w:sz w:val="18"/>
                <w:szCs w:val="18"/>
                <w:color w:val="auto"/>
              </w:rPr>
            </w:pPr>
          </w:p>
        </w:tc>
        <w:tc>
          <w:tcPr>
            <w:tcW w:w="1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90,589</w:t>
            </w:r>
          </w:p>
        </w:tc>
      </w:tr>
      <w:tr>
        <w:trPr>
          <w:trHeight w:val="35"/>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634"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40" w:type="dxa"/>
            <w:vAlign w:val="bottom"/>
          </w:tcPr>
          <w:p>
            <w:pPr>
              <w:ind w:left="3640"/>
              <w:spacing w:after="0"/>
              <w:rPr>
                <w:sz w:val="20"/>
                <w:szCs w:val="20"/>
                <w:color w:val="auto"/>
              </w:rPr>
            </w:pPr>
            <w:r>
              <w:rPr>
                <w:rFonts w:ascii="Arial" w:cs="Arial" w:eastAsia="Arial" w:hAnsi="Arial"/>
                <w:sz w:val="18"/>
                <w:szCs w:val="18"/>
                <w:b w:val="1"/>
                <w:bCs w:val="1"/>
                <w:color w:val="auto"/>
              </w:rPr>
              <w:t>CONSOLIDATED STATEMENTS OF CASH FLOWS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center"/>
              <w:ind w:right="12"/>
              <w:spacing w:after="0"/>
              <w:rPr>
                <w:sz w:val="20"/>
                <w:szCs w:val="20"/>
                <w:color w:val="auto"/>
              </w:rPr>
            </w:pPr>
            <w:r>
              <w:rPr>
                <w:rFonts w:ascii="Arial" w:cs="Arial" w:eastAsia="Arial" w:hAnsi="Arial"/>
                <w:sz w:val="18"/>
                <w:szCs w:val="18"/>
                <w:b w:val="1"/>
                <w:bCs w:val="1"/>
                <w:color w:val="auto"/>
                <w:w w:val="89"/>
              </w:rPr>
              <w:t>Year Ended July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36"/>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8"/>
          </w:tcPr>
          <w:p>
            <w:pPr>
              <w:jc w:val="center"/>
              <w:ind w:right="32"/>
              <w:spacing w:after="0"/>
              <w:rPr>
                <w:sz w:val="20"/>
                <w:szCs w:val="20"/>
                <w:color w:val="auto"/>
              </w:rPr>
            </w:pPr>
            <w:r>
              <w:rPr>
                <w:rFonts w:ascii="Arial" w:cs="Arial" w:eastAsia="Arial" w:hAnsi="Arial"/>
                <w:sz w:val="18"/>
                <w:szCs w:val="18"/>
                <w:b w:val="1"/>
                <w:bCs w:val="1"/>
                <w:color w:val="auto"/>
                <w:w w:val="86"/>
              </w:rPr>
              <w:t>(in thousands of dollars)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b w:val="1"/>
                <w:bCs w:val="1"/>
                <w:color w:val="auto"/>
              </w:rPr>
              <w:t>9,458</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9,586</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28"/>
        </w:trPr>
        <w:tc>
          <w:tcPr>
            <w:tcW w:w="826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cash provided by operating activities: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240" w:type="dxa"/>
            <w:vAlign w:val="bottom"/>
            <w:shd w:val="clear" w:color="auto" w:fill="C0C0C0"/>
          </w:tcPr>
          <w:p>
            <w:pPr>
              <w:ind w:left="60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b w:val="1"/>
                <w:bCs w:val="1"/>
                <w:color w:val="auto"/>
              </w:rPr>
              <w:t>7,371</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7,406</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40" w:type="dxa"/>
            <w:vAlign w:val="bottom"/>
          </w:tcPr>
          <w:p>
            <w:pPr>
              <w:ind w:left="600"/>
              <w:spacing w:after="0"/>
              <w:rPr>
                <w:sz w:val="20"/>
                <w:szCs w:val="20"/>
                <w:color w:val="auto"/>
              </w:rPr>
            </w:pPr>
            <w:r>
              <w:rPr>
                <w:rFonts w:ascii="Arial" w:cs="Arial" w:eastAsia="Arial" w:hAnsi="Arial"/>
                <w:sz w:val="18"/>
                <w:szCs w:val="18"/>
                <w:color w:val="auto"/>
              </w:rPr>
              <w:t>Amortization of investment discounts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shd w:val="clear" w:color="auto" w:fill="C0C0C0"/>
          </w:tcPr>
          <w:p>
            <w:pPr>
              <w:ind w:left="600"/>
              <w:spacing w:after="0"/>
              <w:rPr>
                <w:sz w:val="20"/>
                <w:szCs w:val="20"/>
                <w:color w:val="auto"/>
              </w:rPr>
            </w:pPr>
            <w:r>
              <w:rPr>
                <w:rFonts w:ascii="Arial" w:cs="Arial" w:eastAsia="Arial" w:hAnsi="Arial"/>
                <w:sz w:val="18"/>
                <w:szCs w:val="18"/>
                <w:color w:val="auto"/>
              </w:rPr>
              <w:t>Non-cash stock compensation expense</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b w:val="1"/>
                <w:bCs w:val="1"/>
                <w:color w:val="auto"/>
              </w:rPr>
              <w:t>340</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40" w:type="dxa"/>
            <w:vAlign w:val="bottom"/>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(383)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shd w:val="clear" w:color="auto" w:fill="C0C0C0"/>
          </w:tcPr>
          <w:p>
            <w:pPr>
              <w:ind w:left="600"/>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b w:val="1"/>
                <w:bCs w:val="1"/>
                <w:color w:val="auto"/>
              </w:rPr>
              <w:t>(1,763)</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(2,239)</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40" w:type="dxa"/>
            <w:vAlign w:val="bottom"/>
          </w:tcPr>
          <w:p>
            <w:pPr>
              <w:ind w:left="600"/>
              <w:spacing w:after="0"/>
              <w:rPr>
                <w:sz w:val="20"/>
                <w:szCs w:val="20"/>
                <w:color w:val="auto"/>
              </w:rPr>
            </w:pPr>
            <w:r>
              <w:rPr>
                <w:rFonts w:ascii="Arial" w:cs="Arial" w:eastAsia="Arial" w:hAnsi="Arial"/>
                <w:sz w:val="18"/>
                <w:szCs w:val="18"/>
                <w:color w:val="auto"/>
              </w:rPr>
              <w:t>Provision for bad debts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shd w:val="clear" w:color="auto" w:fill="C0C0C0"/>
          </w:tcPr>
          <w:p>
            <w:pPr>
              <w:ind w:left="600"/>
              <w:spacing w:after="0"/>
              <w:rPr>
                <w:sz w:val="20"/>
                <w:szCs w:val="20"/>
                <w:color w:val="auto"/>
              </w:rPr>
            </w:pPr>
            <w:r>
              <w:rPr>
                <w:rFonts w:ascii="Arial" w:cs="Arial" w:eastAsia="Arial" w:hAnsi="Arial"/>
                <w:sz w:val="18"/>
                <w:szCs w:val="18"/>
                <w:color w:val="auto"/>
              </w:rPr>
              <w:t>Loss on the sale of property, plant and equipment</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b w:val="1"/>
                <w:bCs w:val="1"/>
                <w:color w:val="auto"/>
              </w:rPr>
              <w:t>45</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240" w:type="dxa"/>
            <w:vAlign w:val="bottom"/>
          </w:tcPr>
          <w:p>
            <w:pPr>
              <w:ind w:left="600"/>
              <w:spacing w:after="0"/>
              <w:rPr>
                <w:sz w:val="20"/>
                <w:szCs w:val="20"/>
                <w:color w:val="auto"/>
              </w:rPr>
            </w:pPr>
            <w:r>
              <w:rPr>
                <w:rFonts w:ascii="Arial" w:cs="Arial" w:eastAsia="Arial" w:hAnsi="Arial"/>
                <w:sz w:val="18"/>
                <w:szCs w:val="18"/>
                <w:color w:val="auto"/>
              </w:rPr>
              <w:t>(Increase) decrease in:</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240" w:type="dxa"/>
            <w:vAlign w:val="bottom"/>
            <w:shd w:val="clear" w:color="auto" w:fill="C0C0C0"/>
          </w:tcPr>
          <w:p>
            <w:pPr>
              <w:ind w:left="900"/>
              <w:spacing w:after="0"/>
              <w:rPr>
                <w:sz w:val="20"/>
                <w:szCs w:val="20"/>
                <w:color w:val="auto"/>
              </w:rPr>
            </w:pPr>
            <w:r>
              <w:rPr>
                <w:rFonts w:ascii="Arial" w:cs="Arial" w:eastAsia="Arial" w:hAnsi="Arial"/>
                <w:sz w:val="18"/>
                <w:szCs w:val="18"/>
                <w:color w:val="auto"/>
              </w:rPr>
              <w:t>Accounts receivable</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b w:val="1"/>
                <w:bCs w:val="1"/>
                <w:color w:val="auto"/>
              </w:rPr>
              <w:t>1,884</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2,354</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40" w:type="dxa"/>
            <w:vAlign w:val="bottom"/>
          </w:tcPr>
          <w:p>
            <w:pPr>
              <w:ind w:left="90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1,772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shd w:val="clear" w:color="auto" w:fill="C0C0C0"/>
          </w:tcPr>
          <w:p>
            <w:pPr>
              <w:ind w:left="900"/>
              <w:spacing w:after="0"/>
              <w:rPr>
                <w:sz w:val="20"/>
                <w:szCs w:val="20"/>
                <w:color w:val="auto"/>
              </w:rPr>
            </w:pPr>
            <w:r>
              <w:rPr>
                <w:rFonts w:ascii="Arial" w:cs="Arial" w:eastAsia="Arial" w:hAnsi="Arial"/>
                <w:sz w:val="18"/>
                <w:szCs w:val="18"/>
                <w:color w:val="auto"/>
              </w:rPr>
              <w:t>Prepaid expenses</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b w:val="1"/>
                <w:bCs w:val="1"/>
                <w:color w:val="auto"/>
              </w:rPr>
              <w:t>505</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(1,135)</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40" w:type="dxa"/>
            <w:vAlign w:val="bottom"/>
          </w:tcPr>
          <w:p>
            <w:pPr>
              <w:ind w:left="90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shd w:val="clear" w:color="auto" w:fill="C0C0C0"/>
          </w:tcPr>
          <w:p>
            <w:pPr>
              <w:ind w:left="600"/>
              <w:spacing w:after="0"/>
              <w:rPr>
                <w:sz w:val="20"/>
                <w:szCs w:val="20"/>
                <w:color w:val="auto"/>
              </w:rPr>
            </w:pPr>
            <w:r>
              <w:rPr>
                <w:rFonts w:ascii="Arial" w:cs="Arial" w:eastAsia="Arial" w:hAnsi="Arial"/>
                <w:sz w:val="18"/>
                <w:szCs w:val="18"/>
                <w:color w:val="auto"/>
              </w:rPr>
              <w:t>Increase (decrease) in:</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40" w:type="dxa"/>
            <w:vAlign w:val="bottom"/>
          </w:tcPr>
          <w:p>
            <w:pPr>
              <w:ind w:left="900"/>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shd w:val="clear" w:color="auto" w:fill="C0C0C0"/>
          </w:tcPr>
          <w:p>
            <w:pPr>
              <w:ind w:left="900"/>
              <w:spacing w:after="0"/>
              <w:rPr>
                <w:sz w:val="20"/>
                <w:szCs w:val="20"/>
                <w:color w:val="auto"/>
              </w:rPr>
            </w:pPr>
            <w:r>
              <w:rPr>
                <w:rFonts w:ascii="Arial" w:cs="Arial" w:eastAsia="Arial" w:hAnsi="Arial"/>
                <w:sz w:val="18"/>
                <w:szCs w:val="18"/>
                <w:color w:val="auto"/>
              </w:rPr>
              <w:t>Accrued expenses</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b w:val="1"/>
                <w:bCs w:val="1"/>
                <w:color w:val="auto"/>
              </w:rPr>
              <w:t>2,496</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(1,841)</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40" w:type="dxa"/>
            <w:vAlign w:val="bottom"/>
          </w:tcPr>
          <w:p>
            <w:pPr>
              <w:ind w:left="900"/>
              <w:spacing w:after="0"/>
              <w:rPr>
                <w:sz w:val="20"/>
                <w:szCs w:val="20"/>
                <w:color w:val="auto"/>
              </w:rPr>
            </w:pPr>
            <w:r>
              <w:rPr>
                <w:rFonts w:ascii="Arial" w:cs="Arial" w:eastAsia="Arial" w:hAnsi="Arial"/>
                <w:sz w:val="18"/>
                <w:szCs w:val="18"/>
                <w:color w:val="auto"/>
              </w:rPr>
              <w:t>Deferred compensation</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shd w:val="clear" w:color="auto" w:fill="C0C0C0"/>
          </w:tcPr>
          <w:p>
            <w:pPr>
              <w:ind w:left="900"/>
              <w:spacing w:after="0"/>
              <w:rPr>
                <w:sz w:val="20"/>
                <w:szCs w:val="20"/>
                <w:color w:val="auto"/>
              </w:rPr>
            </w:pPr>
            <w:r>
              <w:rPr>
                <w:rFonts w:ascii="Arial" w:cs="Arial" w:eastAsia="Arial" w:hAnsi="Arial"/>
                <w:sz w:val="18"/>
                <w:szCs w:val="18"/>
                <w:color w:val="auto"/>
              </w:rPr>
              <w:t>Other liabilities</w:t>
            </w:r>
          </w:p>
        </w:tc>
        <w:tc>
          <w:tcPr>
            <w:tcW w:w="4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gridSpan w:val="2"/>
            <w:shd w:val="clear" w:color="auto" w:fill="C0C0C0"/>
          </w:tcPr>
          <w:p>
            <w:pPr>
              <w:jc w:val="right"/>
              <w:ind w:right="100"/>
              <w:spacing w:after="0"/>
              <w:rPr>
                <w:sz w:val="20"/>
                <w:szCs w:val="20"/>
                <w:color w:val="auto"/>
              </w:rPr>
            </w:pPr>
            <w:r>
              <w:rPr>
                <w:rFonts w:ascii="Arial" w:cs="Arial" w:eastAsia="Arial" w:hAnsi="Arial"/>
                <w:sz w:val="18"/>
                <w:szCs w:val="18"/>
                <w:b w:val="1"/>
                <w:bCs w:val="1"/>
                <w:color w:val="auto"/>
              </w:rPr>
              <w:t>1,468</w:t>
            </w:r>
          </w:p>
        </w:tc>
        <w:tc>
          <w:tcPr>
            <w:tcW w:w="2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3,155</w:t>
            </w:r>
          </w:p>
        </w:tc>
        <w:tc>
          <w:tcPr>
            <w:tcW w:w="2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Borders>
              <w:bottom w:val="single" w:sz="8" w:color="C0C0C0"/>
            </w:tcBorders>
          </w:tcPr>
          <w:p>
            <w:pPr>
              <w:ind w:left="1220"/>
              <w:spacing w:after="0"/>
              <w:rPr>
                <w:sz w:val="20"/>
                <w:szCs w:val="20"/>
                <w:color w:val="auto"/>
              </w:rPr>
            </w:pPr>
            <w:r>
              <w:rPr>
                <w:rFonts w:ascii="Arial" w:cs="Arial" w:eastAsia="Arial" w:hAnsi="Arial"/>
                <w:sz w:val="18"/>
                <w:szCs w:val="18"/>
                <w:color w:val="auto"/>
              </w:rPr>
              <w:t>Total Adjustments</w:t>
            </w:r>
          </w:p>
        </w:tc>
        <w:tc>
          <w:tcPr>
            <w:tcW w:w="4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8"/>
              </w:rPr>
              <w:t>16,758</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6,228</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shd w:val="clear" w:color="auto" w:fill="C0C0C0"/>
          </w:tcPr>
          <w:p>
            <w:pPr>
              <w:ind w:left="122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gridSpan w:val="2"/>
            <w:shd w:val="clear" w:color="auto" w:fill="C0C0C0"/>
          </w:tcPr>
          <w:p>
            <w:pPr>
              <w:jc w:val="right"/>
              <w:ind w:right="100"/>
              <w:spacing w:after="0"/>
              <w:rPr>
                <w:sz w:val="20"/>
                <w:szCs w:val="20"/>
                <w:color w:val="auto"/>
              </w:rPr>
            </w:pPr>
            <w:r>
              <w:rPr>
                <w:rFonts w:ascii="Arial" w:cs="Arial" w:eastAsia="Arial" w:hAnsi="Arial"/>
                <w:sz w:val="18"/>
                <w:szCs w:val="18"/>
                <w:b w:val="1"/>
                <w:bCs w:val="1"/>
                <w:color w:val="auto"/>
                <w:w w:val="98"/>
              </w:rPr>
              <w:t>26,216</w:t>
            </w:r>
          </w:p>
        </w:tc>
        <w:tc>
          <w:tcPr>
            <w:tcW w:w="20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8"/>
              </w:rPr>
              <w:t>15,814</w:t>
            </w:r>
          </w:p>
        </w:tc>
        <w:tc>
          <w:tcPr>
            <w:tcW w:w="20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8"/>
              </w:rPr>
              <w:t>11,341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40" w:type="dxa"/>
            <w:vAlign w:val="bottom"/>
          </w:tcPr>
          <w:p>
            <w:pPr>
              <w:ind w:left="600"/>
              <w:spacing w:after="0"/>
              <w:rPr>
                <w:sz w:val="20"/>
                <w:szCs w:val="20"/>
                <w:color w:val="auto"/>
              </w:rPr>
            </w:pPr>
            <w:r>
              <w:rPr>
                <w:rFonts w:ascii="Arial" w:cs="Arial" w:eastAsia="Arial" w:hAnsi="Arial"/>
                <w:sz w:val="18"/>
                <w:szCs w:val="18"/>
                <w:color w:val="auto"/>
              </w:rPr>
              <w:t>Capital expenditures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9"/>
              </w:rPr>
              <w:t>(10,413)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(15,253)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shd w:val="clear" w:color="auto" w:fill="C0C0C0"/>
          </w:tcPr>
          <w:p>
            <w:pPr>
              <w:ind w:left="600"/>
              <w:spacing w:after="0"/>
              <w:rPr>
                <w:sz w:val="20"/>
                <w:szCs w:val="20"/>
                <w:color w:val="auto"/>
              </w:rPr>
            </w:pPr>
            <w:r>
              <w:rPr>
                <w:rFonts w:ascii="Arial" w:cs="Arial" w:eastAsia="Arial" w:hAnsi="Arial"/>
                <w:sz w:val="18"/>
                <w:szCs w:val="18"/>
                <w:color w:val="auto"/>
              </w:rPr>
              <w:t>Purchase of strategic intangible assets</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40" w:type="dxa"/>
            <w:vAlign w:val="bottom"/>
          </w:tcPr>
          <w:p>
            <w:pPr>
              <w:ind w:left="600"/>
              <w:spacing w:after="0"/>
              <w:rPr>
                <w:sz w:val="20"/>
                <w:szCs w:val="20"/>
                <w:color w:val="auto"/>
              </w:rPr>
            </w:pPr>
            <w:r>
              <w:rPr>
                <w:rFonts w:ascii="Arial" w:cs="Arial" w:eastAsia="Arial" w:hAnsi="Arial"/>
                <w:sz w:val="18"/>
                <w:szCs w:val="18"/>
                <w:color w:val="auto"/>
              </w:rPr>
              <w:t>Proceeds from sale of property, plant and equipment</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shd w:val="clear" w:color="auto" w:fill="C0C0C0"/>
          </w:tcPr>
          <w:p>
            <w:pPr>
              <w:ind w:left="600"/>
              <w:spacing w:after="0"/>
              <w:rPr>
                <w:sz w:val="20"/>
                <w:szCs w:val="20"/>
                <w:color w:val="auto"/>
              </w:rPr>
            </w:pPr>
            <w:r>
              <w:rPr>
                <w:rFonts w:ascii="Arial" w:cs="Arial" w:eastAsia="Arial" w:hAnsi="Arial"/>
                <w:sz w:val="18"/>
                <w:szCs w:val="18"/>
                <w:color w:val="auto"/>
              </w:rPr>
              <w:t>Purchases of investment in short-term securities</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b w:val="1"/>
                <w:bCs w:val="1"/>
                <w:color w:val="auto"/>
                <w:w w:val="89"/>
              </w:rPr>
              <w:t>(21,852)</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9"/>
              </w:rPr>
              <w:t>(80,963)</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9"/>
              </w:rPr>
              <w:t>(95,831)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tcBorders>
              <w:bottom w:val="single" w:sz="8" w:color="C0C0C0"/>
            </w:tcBorders>
          </w:tcPr>
          <w:p>
            <w:pPr>
              <w:ind w:left="600"/>
              <w:spacing w:after="0"/>
              <w:rPr>
                <w:sz w:val="20"/>
                <w:szCs w:val="20"/>
                <w:color w:val="auto"/>
              </w:rPr>
            </w:pPr>
            <w:r>
              <w:rPr>
                <w:rFonts w:ascii="Arial" w:cs="Arial" w:eastAsia="Arial" w:hAnsi="Arial"/>
                <w:sz w:val="18"/>
                <w:szCs w:val="18"/>
                <w:color w:val="auto"/>
              </w:rPr>
              <w:t>Dispositions of investment in short-term securities</w:t>
            </w:r>
          </w:p>
        </w:tc>
        <w:tc>
          <w:tcPr>
            <w:tcW w:w="4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8"/>
              </w:rPr>
              <w:t>24,000</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94,000</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93,500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shd w:val="clear" w:color="auto" w:fill="C0C0C0"/>
          </w:tcPr>
          <w:p>
            <w:pPr>
              <w:ind w:left="122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8"/>
                <w:szCs w:val="18"/>
                <w:b w:val="1"/>
                <w:bCs w:val="1"/>
                <w:color w:val="auto"/>
              </w:rPr>
              <w:t>(7,890)</w:t>
            </w:r>
          </w:p>
        </w:tc>
        <w:tc>
          <w:tcPr>
            <w:tcW w:w="20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(2,189)</w:t>
            </w:r>
          </w:p>
        </w:tc>
        <w:tc>
          <w:tcPr>
            <w:tcW w:w="20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9"/>
              </w:rPr>
              <w:t>(10,890)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40" w:type="dxa"/>
            <w:vAlign w:val="bottom"/>
          </w:tcPr>
          <w:p>
            <w:pPr>
              <w:ind w:left="600"/>
              <w:spacing w:after="0"/>
              <w:rPr>
                <w:sz w:val="20"/>
                <w:szCs w:val="20"/>
                <w:color w:val="auto"/>
              </w:rPr>
            </w:pPr>
            <w:r>
              <w:rPr>
                <w:rFonts w:ascii="Arial" w:cs="Arial" w:eastAsia="Arial" w:hAnsi="Arial"/>
                <w:sz w:val="18"/>
                <w:szCs w:val="18"/>
                <w:color w:val="auto"/>
              </w:rPr>
              <w:t>Principal payments on notes payable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(5,580)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shd w:val="clear" w:color="auto" w:fill="C0C0C0"/>
          </w:tcPr>
          <w:p>
            <w:pPr>
              <w:ind w:left="600"/>
              <w:spacing w:after="0"/>
              <w:rPr>
                <w:sz w:val="20"/>
                <w:szCs w:val="20"/>
                <w:color w:val="auto"/>
              </w:rPr>
            </w:pPr>
            <w:r>
              <w:rPr>
                <w:rFonts w:ascii="Arial" w:cs="Arial" w:eastAsia="Arial" w:hAnsi="Arial"/>
                <w:sz w:val="18"/>
                <w:szCs w:val="18"/>
                <w:color w:val="auto"/>
              </w:rPr>
              <w:t>Dividends paid</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b w:val="1"/>
                <w:bCs w:val="1"/>
                <w:color w:val="auto"/>
              </w:rPr>
              <w:t>(3,992)</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(3,684)</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40" w:type="dxa"/>
            <w:vAlign w:val="bottom"/>
          </w:tcPr>
          <w:p>
            <w:pPr>
              <w:ind w:left="600"/>
              <w:spacing w:after="0"/>
              <w:rPr>
                <w:sz w:val="20"/>
                <w:szCs w:val="20"/>
                <w:color w:val="auto"/>
              </w:rPr>
            </w:pPr>
            <w:r>
              <w:rPr>
                <w:rFonts w:ascii="Arial" w:cs="Arial" w:eastAsia="Arial" w:hAnsi="Arial"/>
                <w:sz w:val="18"/>
                <w:szCs w:val="18"/>
                <w:color w:val="auto"/>
              </w:rPr>
              <w:t>Purchase of treasury stock</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(5,988)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shd w:val="clear" w:color="auto" w:fill="C0C0C0"/>
          </w:tcPr>
          <w:p>
            <w:pPr>
              <w:ind w:left="600"/>
              <w:spacing w:after="0"/>
              <w:rPr>
                <w:sz w:val="20"/>
                <w:szCs w:val="20"/>
                <w:color w:val="auto"/>
              </w:rPr>
            </w:pPr>
            <w:r>
              <w:rPr>
                <w:rFonts w:ascii="Arial" w:cs="Arial" w:eastAsia="Arial" w:hAnsi="Arial"/>
                <w:sz w:val="18"/>
                <w:szCs w:val="18"/>
                <w:color w:val="auto"/>
              </w:rPr>
              <w:t>Proceeds from issuance of treasury stock</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b w:val="1"/>
                <w:bCs w:val="1"/>
                <w:color w:val="auto"/>
              </w:rPr>
              <w:t>103</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40" w:type="dxa"/>
            <w:vAlign w:val="bottom"/>
          </w:tcPr>
          <w:p>
            <w:pPr>
              <w:ind w:left="600"/>
              <w:spacing w:after="0"/>
              <w:rPr>
                <w:sz w:val="20"/>
                <w:szCs w:val="20"/>
                <w:color w:val="auto"/>
              </w:rPr>
            </w:pPr>
            <w:r>
              <w:rPr>
                <w:rFonts w:ascii="Arial" w:cs="Arial" w:eastAsia="Arial" w:hAnsi="Arial"/>
                <w:sz w:val="18"/>
                <w:szCs w:val="18"/>
                <w:color w:val="auto"/>
              </w:rPr>
              <w:t>Proceeds from issuance of common stock</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1,258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shd w:val="clear" w:color="auto" w:fill="C0C0C0"/>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b w:val="1"/>
                <w:bCs w:val="1"/>
                <w:color w:val="auto"/>
              </w:rPr>
              <w:t>383</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tcBorders>
              <w:bottom w:val="single" w:sz="8" w:color="C0C0C0"/>
            </w:tcBorders>
          </w:tcPr>
          <w:p>
            <w:pPr>
              <w:ind w:left="600"/>
              <w:spacing w:after="0"/>
              <w:rPr>
                <w:sz w:val="20"/>
                <w:szCs w:val="20"/>
                <w:color w:val="auto"/>
              </w:rPr>
            </w:pPr>
            <w:r>
              <w:rPr>
                <w:rFonts w:ascii="Arial" w:cs="Arial" w:eastAsia="Arial" w:hAnsi="Arial"/>
                <w:sz w:val="18"/>
                <w:szCs w:val="18"/>
                <w:color w:val="auto"/>
              </w:rPr>
              <w:t>Other, net</w:t>
            </w:r>
          </w:p>
        </w:tc>
        <w:tc>
          <w:tcPr>
            <w:tcW w:w="4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122</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40" w:type="dxa"/>
            <w:vAlign w:val="bottom"/>
            <w:shd w:val="clear" w:color="auto" w:fill="C0C0C0"/>
          </w:tcPr>
          <w:p>
            <w:pPr>
              <w:ind w:left="1220"/>
              <w:spacing w:after="0"/>
              <w:rPr>
                <w:sz w:val="20"/>
                <w:szCs w:val="20"/>
                <w:color w:val="auto"/>
              </w:rPr>
            </w:pPr>
            <w:r>
              <w:rPr>
                <w:rFonts w:ascii="Arial" w:cs="Arial" w:eastAsia="Arial" w:hAnsi="Arial"/>
                <w:sz w:val="18"/>
                <w:szCs w:val="18"/>
                <w:color w:val="auto"/>
              </w:rPr>
              <w:t>Net Cash Used in Financing Activities</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b w:val="1"/>
                <w:bCs w:val="1"/>
                <w:color w:val="auto"/>
                <w:w w:val="89"/>
              </w:rPr>
              <w:t>(11,314)</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(9,082)</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28"/>
        </w:trPr>
        <w:tc>
          <w:tcPr>
            <w:tcW w:w="82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2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b w:val="1"/>
                <w:bCs w:val="1"/>
                <w:color w:val="auto"/>
              </w:rPr>
              <w:t>6,923</w:t>
            </w:r>
          </w:p>
        </w:tc>
        <w:tc>
          <w:tcPr>
            <w:tcW w:w="2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4,991</w:t>
            </w:r>
          </w:p>
        </w:tc>
        <w:tc>
          <w:tcPr>
            <w:tcW w:w="2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4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11,839</w:t>
            </w:r>
          </w:p>
        </w:tc>
        <w:tc>
          <w:tcPr>
            <w:tcW w:w="10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6,848</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12,133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2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4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98"/>
              </w:rPr>
              <w:t>18,762</w:t>
            </w:r>
          </w:p>
        </w:tc>
        <w:tc>
          <w:tcPr>
            <w:tcW w:w="100" w:type="dxa"/>
            <w:vAlign w:val="bottom"/>
            <w:shd w:val="clear" w:color="auto" w:fill="C0C0C0"/>
          </w:tcPr>
          <w:p>
            <w:pPr>
              <w:spacing w:after="0"/>
              <w:rPr>
                <w:sz w:val="21"/>
                <w:szCs w:val="21"/>
                <w:color w:val="auto"/>
              </w:rPr>
            </w:pP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8"/>
              </w:rPr>
              <w:t>11,839</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40" w:type="dxa"/>
            <w:vAlign w:val="bottom"/>
            <w:shd w:val="clear" w:color="auto" w:fill="C0C0C0"/>
          </w:tcPr>
          <w:p>
            <w:pPr>
              <w:spacing w:after="0"/>
              <w:rPr>
                <w:sz w:val="2"/>
                <w:szCs w:val="2"/>
                <w:color w:val="auto"/>
              </w:rPr>
            </w:pPr>
          </w:p>
        </w:tc>
        <w:tc>
          <w:tcPr>
            <w:tcW w:w="48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ONSOLIDATION AND</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ASIS OF</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RESENTATION</w:t>
      </w:r>
    </w:p>
    <w:p>
      <w:pPr>
        <w:spacing w:after="0" w:line="285"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The Consolidated Financial Statements include the accounts of Oil-Dri Corporation of America and its subsidiaries, all of which are wholly-owned. All significant intercompany balances and transactions have been eliminated from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3"/>
          <w:szCs w:val="13"/>
          <w:b w:val="1"/>
          <w:bCs w:val="1"/>
          <w:color w:val="auto"/>
        </w:rPr>
        <w:t>ANAGEMENT</w:t>
      </w:r>
      <w:r>
        <w:rPr>
          <w:rFonts w:ascii="Arial" w:cs="Arial" w:eastAsia="Arial" w:hAnsi="Arial"/>
          <w:sz w:val="18"/>
          <w:szCs w:val="18"/>
          <w:b w:val="1"/>
          <w:bCs w:val="1"/>
          <w:color w:val="auto"/>
        </w:rPr>
        <w:t xml:space="preserve"> U</w:t>
      </w:r>
      <w:r>
        <w:rPr>
          <w:rFonts w:ascii="Arial" w:cs="Arial" w:eastAsia="Arial" w:hAnsi="Arial"/>
          <w:sz w:val="13"/>
          <w:szCs w:val="13"/>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3"/>
          <w:szCs w:val="13"/>
          <w:b w:val="1"/>
          <w:bCs w:val="1"/>
          <w:color w:val="auto"/>
        </w:rPr>
        <w:t>STIMATES</w:t>
      </w:r>
    </w:p>
    <w:p>
      <w:pPr>
        <w:spacing w:after="0" w:line="285"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3"/>
          <w:szCs w:val="13"/>
          <w:b w:val="1"/>
          <w:bCs w:val="1"/>
          <w:color w:val="auto"/>
        </w:rPr>
        <w:t>QUIVALENTS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equivalents are highly liquid investments with maturities of three months or less when purchased.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3"/>
                <w:szCs w:val="13"/>
                <w:b w:val="1"/>
                <w:bCs w:val="1"/>
                <w:color w:val="auto"/>
              </w:rPr>
              <w:t>NVESTMENT IN</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HORT</w:t>
            </w:r>
            <w:r>
              <w:rPr>
                <w:rFonts w:ascii="Arial" w:cs="Arial" w:eastAsia="Arial" w:hAnsi="Arial"/>
                <w:sz w:val="18"/>
                <w:szCs w:val="18"/>
                <w:b w:val="1"/>
                <w:bCs w:val="1"/>
                <w:color w:val="auto"/>
              </w:rPr>
              <w:t>-</w:t>
            </w:r>
            <w:r>
              <w:rPr>
                <w:rFonts w:ascii="Arial" w:cs="Arial" w:eastAsia="Arial" w:hAnsi="Arial"/>
                <w:sz w:val="13"/>
                <w:szCs w:val="13"/>
                <w:b w:val="1"/>
                <w:bCs w:val="1"/>
                <w:color w:val="auto"/>
              </w:rPr>
              <w:t>TERM</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ECURITIES</w:t>
            </w: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6"/>
        </w:trPr>
        <w:tc>
          <w:tcPr>
            <w:tcW w:w="240" w:type="dxa"/>
            <w:vAlign w:val="bottom"/>
          </w:tcPr>
          <w:p>
            <w:pPr>
              <w:spacing w:after="0"/>
              <w:rPr>
                <w:sz w:val="24"/>
                <w:szCs w:val="24"/>
                <w:color w:val="auto"/>
              </w:rPr>
            </w:pPr>
          </w:p>
        </w:tc>
        <w:tc>
          <w:tcPr>
            <w:tcW w:w="8520" w:type="dxa"/>
            <w:vAlign w:val="bottom"/>
          </w:tcPr>
          <w:p>
            <w:pPr>
              <w:ind w:left="40"/>
              <w:spacing w:after="0"/>
              <w:rPr>
                <w:sz w:val="20"/>
                <w:szCs w:val="20"/>
                <w:color w:val="auto"/>
              </w:rPr>
            </w:pPr>
            <w:r>
              <w:rPr>
                <w:rFonts w:ascii="Arial" w:cs="Arial" w:eastAsia="Arial" w:hAnsi="Arial"/>
                <w:sz w:val="18"/>
                <w:szCs w:val="18"/>
                <w:color w:val="auto"/>
              </w:rPr>
              <w:t>The composition of investment in short-term securities as of July 31, 2010 and 2009 was as follows:</w:t>
            </w: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2"/>
        </w:trPr>
        <w:tc>
          <w:tcPr>
            <w:tcW w:w="2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4"/>
                <w:szCs w:val="24"/>
                <w:color w:val="auto"/>
              </w:rPr>
            </w:pPr>
          </w:p>
        </w:tc>
      </w:tr>
      <w:tr>
        <w:trPr>
          <w:trHeight w:val="236"/>
        </w:trPr>
        <w:tc>
          <w:tcPr>
            <w:tcW w:w="24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20"/>
                <w:szCs w:val="20"/>
                <w:color w:val="auto"/>
              </w:rPr>
            </w:pPr>
          </w:p>
        </w:tc>
      </w:tr>
      <w:tr>
        <w:trPr>
          <w:trHeight w:val="250"/>
        </w:trPr>
        <w:tc>
          <w:tcPr>
            <w:tcW w:w="240" w:type="dxa"/>
            <w:vAlign w:val="bottom"/>
          </w:tcPr>
          <w:p>
            <w:pPr>
              <w:spacing w:after="0"/>
              <w:rPr>
                <w:sz w:val="21"/>
                <w:szCs w:val="21"/>
                <w:color w:val="auto"/>
              </w:rPr>
            </w:pPr>
          </w:p>
        </w:tc>
        <w:tc>
          <w:tcPr>
            <w:tcW w:w="8520" w:type="dxa"/>
            <w:vAlign w:val="bottom"/>
            <w:shd w:val="clear" w:color="auto" w:fill="C0C0C0"/>
          </w:tcPr>
          <w:p>
            <w:pPr>
              <w:spacing w:after="0"/>
              <w:rPr>
                <w:sz w:val="20"/>
                <w:szCs w:val="20"/>
                <w:color w:val="auto"/>
              </w:rPr>
            </w:pPr>
            <w:r>
              <w:rPr>
                <w:rFonts w:ascii="Arial" w:cs="Arial" w:eastAsia="Arial" w:hAnsi="Arial"/>
                <w:sz w:val="18"/>
                <w:szCs w:val="18"/>
                <w:color w:val="auto"/>
              </w:rPr>
              <w:t>U.S. Treasury securities</w:t>
            </w:r>
          </w:p>
        </w:tc>
        <w:tc>
          <w:tcPr>
            <w:tcW w:w="196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$ 4,000</w:t>
            </w:r>
          </w:p>
        </w:tc>
        <w:tc>
          <w:tcPr>
            <w:tcW w:w="18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3"/>
              </w:rPr>
              <w:t>$ 7,998</w:t>
            </w:r>
          </w:p>
        </w:tc>
        <w:tc>
          <w:tcPr>
            <w:tcW w:w="20" w:type="dxa"/>
            <w:vAlign w:val="bottom"/>
          </w:tcPr>
          <w:p>
            <w:pPr>
              <w:spacing w:after="0"/>
              <w:rPr>
                <w:sz w:val="21"/>
                <w:szCs w:val="21"/>
                <w:color w:val="auto"/>
              </w:rPr>
            </w:pPr>
          </w:p>
        </w:tc>
      </w:tr>
      <w:tr>
        <w:trPr>
          <w:trHeight w:val="236"/>
        </w:trPr>
        <w:tc>
          <w:tcPr>
            <w:tcW w:w="8760" w:type="dxa"/>
            <w:vAlign w:val="bottom"/>
            <w:gridSpan w:val="2"/>
          </w:tcPr>
          <w:p>
            <w:pPr>
              <w:ind w:left="240"/>
              <w:spacing w:after="0"/>
              <w:rPr>
                <w:sz w:val="20"/>
                <w:szCs w:val="20"/>
                <w:color w:val="auto"/>
              </w:rPr>
            </w:pPr>
            <w:r>
              <w:rPr>
                <w:rFonts w:ascii="Arial" w:cs="Arial" w:eastAsia="Arial" w:hAnsi="Arial"/>
                <w:sz w:val="18"/>
                <w:szCs w:val="18"/>
                <w:color w:val="auto"/>
              </w:rPr>
              <w:t>Debt securities</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1,259</w:t>
            </w:r>
          </w:p>
        </w:tc>
        <w:tc>
          <w:tcPr>
            <w:tcW w:w="1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0"/>
        </w:trPr>
        <w:tc>
          <w:tcPr>
            <w:tcW w:w="240" w:type="dxa"/>
            <w:vAlign w:val="bottom"/>
          </w:tcPr>
          <w:p>
            <w:pPr>
              <w:spacing w:after="0"/>
              <w:rPr>
                <w:sz w:val="21"/>
                <w:szCs w:val="21"/>
                <w:color w:val="auto"/>
              </w:rPr>
            </w:pPr>
          </w:p>
        </w:tc>
        <w:tc>
          <w:tcPr>
            <w:tcW w:w="8520" w:type="dxa"/>
            <w:vAlign w:val="bottom"/>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440" w:type="dxa"/>
            <w:vAlign w:val="bottom"/>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600</w:t>
            </w:r>
          </w:p>
        </w:tc>
        <w:tc>
          <w:tcPr>
            <w:tcW w:w="180" w:type="dxa"/>
            <w:vAlign w:val="bottom"/>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4"/>
        </w:trPr>
        <w:tc>
          <w:tcPr>
            <w:tcW w:w="240" w:type="dxa"/>
            <w:vAlign w:val="bottom"/>
          </w:tcPr>
          <w:p>
            <w:pPr>
              <w:spacing w:after="0"/>
              <w:rPr>
                <w:sz w:val="21"/>
                <w:szCs w:val="21"/>
                <w:color w:val="auto"/>
              </w:rPr>
            </w:pPr>
          </w:p>
        </w:tc>
        <w:tc>
          <w:tcPr>
            <w:tcW w:w="85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$ 5,859</w:t>
            </w:r>
          </w:p>
        </w:tc>
        <w:tc>
          <w:tcPr>
            <w:tcW w:w="180" w:type="dxa"/>
            <w:vAlign w:val="bottom"/>
          </w:tcPr>
          <w:p>
            <w:pPr>
              <w:spacing w:after="0"/>
              <w:rPr>
                <w:sz w:val="21"/>
                <w:szCs w:val="21"/>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3"/>
              </w:rPr>
              <w:t>$ 7,998</w:t>
            </w:r>
          </w:p>
        </w:tc>
      </w:tr>
    </w:tbl>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intend and have the ability to hold these investments to maturity; therefore, these investments are reported at amortized cost on the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3"/>
          <w:szCs w:val="13"/>
          <w:b w:val="1"/>
          <w:bCs w:val="1"/>
          <w:color w:val="auto"/>
        </w:rPr>
        <w:t>RADE</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ECEIVABLES</w:t>
      </w:r>
    </w:p>
    <w:p>
      <w:pPr>
        <w:spacing w:after="0" w:line="285"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We recognize trade receivables when the risk of loss and title pass to the customer. We record an allowance for doubtful accounts based on our historical experience and a periodic review of our accounts receivable, including a review of the overall aging of accounts and analysis of specific accounts. A customer account is determined to be uncollectible when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ONCENTRATION OF</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REDIT</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ISK</w:t>
      </w:r>
    </w:p>
    <w:p>
      <w:pPr>
        <w:spacing w:after="0" w:line="285"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Financial instruments, which potentially subject us to concentrations of credit risk, consist principally of short-term investments and accounts receivable. We place our investments in government-backed instruments, both domestic and Canadian, and with other quality institutions. Concentrations of credit risk with respect to accounts receivable are subject to the financial condition of certain major customers, principally the customer referred to in Note 3 of the Notes to the Consolidated Financial Statements. We generally do not require collateral to secure customer receivables; however, we require letters of credit for some foreign customers or we purchase insurance to reduce our risk.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3"/>
          <w:szCs w:val="13"/>
          <w:b w:val="1"/>
          <w:bCs w:val="1"/>
          <w:color w:val="auto"/>
        </w:rPr>
        <w:t>NVENTORIES</w:t>
      </w:r>
    </w:p>
    <w:p>
      <w:pPr>
        <w:spacing w:after="0" w:line="285" w:lineRule="exact"/>
        <w:rPr>
          <w:sz w:val="20"/>
          <w:szCs w:val="20"/>
          <w:color w:val="auto"/>
        </w:rPr>
      </w:pPr>
    </w:p>
    <w:p>
      <w:pPr>
        <w:jc w:val="both"/>
        <w:ind w:firstLine="270"/>
        <w:spacing w:after="0" w:line="332" w:lineRule="auto"/>
        <w:rPr>
          <w:sz w:val="20"/>
          <w:szCs w:val="20"/>
          <w:color w:val="auto"/>
        </w:rPr>
      </w:pPr>
      <w:r>
        <w:rPr>
          <w:rFonts w:ascii="Arial" w:cs="Arial" w:eastAsia="Arial" w:hAnsi="Arial"/>
          <w:sz w:val="16"/>
          <w:szCs w:val="16"/>
          <w:color w:val="auto"/>
        </w:rPr>
        <w:t>We value inventories at the lower of cost (first-in, first-out) or market. We recorded inventory obsolescence reserves of approximately $449,000 and $274,000 as of July 31, 2010 and 2009, respectively. The composition of inventories as of July 31, 2010 and 2009 was as follows:</w:t>
      </w:r>
    </w:p>
    <w:p>
      <w:pPr>
        <w:spacing w:after="0" w:line="174" w:lineRule="exact"/>
        <w:rPr>
          <w:sz w:val="20"/>
          <w:szCs w:val="20"/>
          <w:color w:val="auto"/>
        </w:rPr>
      </w:pPr>
    </w:p>
    <w:tbl>
      <w:tblPr>
        <w:tblLayout w:type="fixed"/>
        <w:tblInd w:w="240" w:type="dxa"/>
        <w:tblCellMar>
          <w:top w:w="0" w:type="dxa"/>
          <w:left w:w="0" w:type="dxa"/>
          <w:bottom w:w="0" w:type="dxa"/>
          <w:right w:w="0" w:type="dxa"/>
        </w:tblCellMar>
      </w:tblPr>
      <w:tr>
        <w:trPr>
          <w:trHeight w:val="237"/>
        </w:trPr>
        <w:tc>
          <w:tcPr>
            <w:tcW w:w="54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2010</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r>
      <w:tr>
        <w:trPr>
          <w:trHeight w:val="236"/>
        </w:trPr>
        <w:tc>
          <w:tcPr>
            <w:tcW w:w="54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20"/>
                <w:szCs w:val="20"/>
                <w:color w:val="auto"/>
              </w:rPr>
            </w:pPr>
          </w:p>
        </w:tc>
      </w:tr>
      <w:tr>
        <w:trPr>
          <w:trHeight w:val="250"/>
        </w:trPr>
        <w:tc>
          <w:tcPr>
            <w:tcW w:w="5440" w:type="dxa"/>
            <w:vAlign w:val="bottom"/>
            <w:shd w:val="clear" w:color="auto" w:fill="C0C0C0"/>
          </w:tcPr>
          <w:p>
            <w:pPr>
              <w:spacing w:after="0"/>
              <w:rPr>
                <w:sz w:val="20"/>
                <w:szCs w:val="20"/>
                <w:color w:val="auto"/>
              </w:rPr>
            </w:pPr>
            <w:r>
              <w:rPr>
                <w:rFonts w:ascii="Arial" w:cs="Arial" w:eastAsia="Arial" w:hAnsi="Arial"/>
                <w:sz w:val="18"/>
                <w:szCs w:val="18"/>
                <w:color w:val="auto"/>
              </w:rPr>
              <w:t>Finished goods</w:t>
            </w:r>
          </w:p>
        </w:tc>
        <w:tc>
          <w:tcPr>
            <w:tcW w:w="446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9,834</w:t>
            </w:r>
          </w:p>
        </w:tc>
        <w:tc>
          <w:tcPr>
            <w:tcW w:w="18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2"/>
              </w:rPr>
              <w:t>$ 10,568</w:t>
            </w:r>
          </w:p>
        </w:tc>
        <w:tc>
          <w:tcPr>
            <w:tcW w:w="20" w:type="dxa"/>
            <w:vAlign w:val="bottom"/>
          </w:tcPr>
          <w:p>
            <w:pPr>
              <w:spacing w:after="0"/>
              <w:rPr>
                <w:sz w:val="21"/>
                <w:szCs w:val="21"/>
                <w:color w:val="auto"/>
              </w:rPr>
            </w:pPr>
          </w:p>
        </w:tc>
      </w:tr>
      <w:tr>
        <w:trPr>
          <w:trHeight w:val="236"/>
        </w:trPr>
        <w:tc>
          <w:tcPr>
            <w:tcW w:w="5440" w:type="dxa"/>
            <w:vAlign w:val="bottom"/>
          </w:tcPr>
          <w:p>
            <w:pPr>
              <w:spacing w:after="0"/>
              <w:rPr>
                <w:sz w:val="20"/>
                <w:szCs w:val="20"/>
                <w:color w:val="auto"/>
              </w:rPr>
            </w:pPr>
            <w:r>
              <w:rPr>
                <w:rFonts w:ascii="Arial" w:cs="Arial" w:eastAsia="Arial" w:hAnsi="Arial"/>
                <w:sz w:val="18"/>
                <w:szCs w:val="18"/>
                <w:color w:val="auto"/>
              </w:rPr>
              <w:t>Packaging</w:t>
            </w:r>
          </w:p>
        </w:tc>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3,051</w:t>
            </w:r>
          </w:p>
        </w:tc>
        <w:tc>
          <w:tcPr>
            <w:tcW w:w="1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3,474</w:t>
            </w:r>
          </w:p>
        </w:tc>
      </w:tr>
      <w:tr>
        <w:trPr>
          <w:trHeight w:val="250"/>
        </w:trPr>
        <w:tc>
          <w:tcPr>
            <w:tcW w:w="544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43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3,138</w:t>
            </w:r>
          </w:p>
        </w:tc>
        <w:tc>
          <w:tcPr>
            <w:tcW w:w="180" w:type="dxa"/>
            <w:vAlign w:val="bottom"/>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3,753</w:t>
            </w:r>
          </w:p>
        </w:tc>
        <w:tc>
          <w:tcPr>
            <w:tcW w:w="20" w:type="dxa"/>
            <w:vAlign w:val="bottom"/>
          </w:tcPr>
          <w:p>
            <w:pPr>
              <w:spacing w:after="0"/>
              <w:rPr>
                <w:sz w:val="21"/>
                <w:szCs w:val="21"/>
                <w:color w:val="auto"/>
              </w:rPr>
            </w:pPr>
          </w:p>
        </w:tc>
      </w:tr>
      <w:tr>
        <w:trPr>
          <w:trHeight w:val="244"/>
        </w:trPr>
        <w:tc>
          <w:tcPr>
            <w:tcW w:w="544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16,023</w:t>
            </w:r>
          </w:p>
        </w:tc>
        <w:tc>
          <w:tcPr>
            <w:tcW w:w="180" w:type="dxa"/>
            <w:vAlign w:val="bottom"/>
          </w:tcPr>
          <w:p>
            <w:pPr>
              <w:spacing w:after="0"/>
              <w:rPr>
                <w:sz w:val="21"/>
                <w:szCs w:val="21"/>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2"/>
              </w:rPr>
              <w:t>$ 17,795</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3"/>
          <w:szCs w:val="13"/>
          <w:b w:val="1"/>
          <w:bCs w:val="1"/>
          <w:color w:val="auto"/>
        </w:rPr>
        <w:t>RANSLATION OF</w:t>
      </w:r>
      <w:r>
        <w:rPr>
          <w:rFonts w:ascii="Arial" w:cs="Arial" w:eastAsia="Arial" w:hAnsi="Arial"/>
          <w:sz w:val="18"/>
          <w:szCs w:val="18"/>
          <w:b w:val="1"/>
          <w:bCs w:val="1"/>
          <w:color w:val="auto"/>
        </w:rPr>
        <w:t xml:space="preserve"> F</w:t>
      </w:r>
      <w:r>
        <w:rPr>
          <w:rFonts w:ascii="Arial" w:cs="Arial" w:eastAsia="Arial" w:hAnsi="Arial"/>
          <w:sz w:val="13"/>
          <w:szCs w:val="13"/>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URRENCIES</w:t>
      </w:r>
    </w:p>
    <w:p>
      <w:pPr>
        <w:spacing w:after="0" w:line="285"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Assets and liabilities of foreign subsidiaries, where the local currency is the functional currency, are translated at the exchange rates in effect at period end. Income statement items are translated at the average exchange rate on a monthly basis. Resulting translation adjustments are recorded as a separate component of stockholders’ equity.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3"/>
          <w:szCs w:val="13"/>
          <w:b w:val="1"/>
          <w:bCs w:val="1"/>
          <w:color w:val="auto"/>
        </w:rPr>
        <w:t>NTANGIBLES AND</w:t>
      </w:r>
      <w:r>
        <w:rPr>
          <w:rFonts w:ascii="Arial" w:cs="Arial" w:eastAsia="Arial" w:hAnsi="Arial"/>
          <w:sz w:val="18"/>
          <w:szCs w:val="18"/>
          <w:b w:val="1"/>
          <w:bCs w:val="1"/>
          <w:color w:val="auto"/>
        </w:rPr>
        <w:t xml:space="preserve"> G</w:t>
      </w:r>
      <w:r>
        <w:rPr>
          <w:rFonts w:ascii="Arial" w:cs="Arial" w:eastAsia="Arial" w:hAnsi="Arial"/>
          <w:sz w:val="13"/>
          <w:szCs w:val="13"/>
          <w:b w:val="1"/>
          <w:bCs w:val="1"/>
          <w:color w:val="auto"/>
        </w:rPr>
        <w:t>OODWILL</w:t>
      </w:r>
    </w:p>
    <w:p>
      <w:pPr>
        <w:spacing w:after="0" w:line="285"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18"/>
          <w:szCs w:val="18"/>
          <w:color w:val="auto"/>
        </w:rPr>
        <w:t>We amortize intangibles on a straight-line basis over periods ranging from three to 17 years. We periodically review intangibles and goodwill to assess recoverability from projected discounted cash flows of the related operating entities. Our review is based on discounted cash flow and other approaches that require significant judgment with respect to volume, revenue, expense growth rates and the selection of an appropriate discount rate. Impairment occurs when the carrying value exceeds the fair value. Our impairment analysis is performed in the first quarter of the fiscal year and when indicators such as unexpected adverse economic factors, unanticipated technological changes, competitive activities and acts by governments and courts may indicate that an asset has become impaired.</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estimated intangible amortization expense for the next five fiscal years is as follows (in thousands):</w:t>
      </w:r>
    </w:p>
    <w:p>
      <w:pPr>
        <w:spacing w:after="0" w:line="261" w:lineRule="exact"/>
        <w:rPr>
          <w:sz w:val="20"/>
          <w:szCs w:val="20"/>
          <w:color w:val="auto"/>
        </w:rPr>
      </w:pPr>
    </w:p>
    <w:tbl>
      <w:tblPr>
        <w:tblLayout w:type="fixed"/>
        <w:tblInd w:w="4580" w:type="dxa"/>
        <w:tblCellMar>
          <w:top w:w="0" w:type="dxa"/>
          <w:left w:w="0" w:type="dxa"/>
          <w:bottom w:w="0" w:type="dxa"/>
          <w:right w:w="0" w:type="dxa"/>
        </w:tblCellMar>
      </w:tblPr>
      <w:tr>
        <w:trPr>
          <w:trHeight w:val="243"/>
        </w:trPr>
        <w:tc>
          <w:tcPr>
            <w:tcW w:w="1100" w:type="dxa"/>
            <w:vAlign w:val="bottom"/>
            <w:shd w:val="clear" w:color="auto" w:fill="C0C0C0"/>
          </w:tcPr>
          <w:p>
            <w:pPr>
              <w:jc w:val="right"/>
              <w:ind w:right="672"/>
              <w:spacing w:after="0"/>
              <w:rPr>
                <w:sz w:val="20"/>
                <w:szCs w:val="20"/>
                <w:color w:val="auto"/>
              </w:rPr>
            </w:pPr>
            <w:r>
              <w:rPr>
                <w:rFonts w:ascii="Arial" w:cs="Arial" w:eastAsia="Arial" w:hAnsi="Arial"/>
                <w:sz w:val="18"/>
                <w:szCs w:val="18"/>
                <w:color w:val="auto"/>
                <w:w w:val="79"/>
              </w:rPr>
              <w:t>2011</w:t>
            </w:r>
          </w:p>
        </w:tc>
        <w:tc>
          <w:tcPr>
            <w:tcW w:w="11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$ 319</w:t>
            </w:r>
          </w:p>
        </w:tc>
      </w:tr>
      <w:tr>
        <w:trPr>
          <w:trHeight w:val="228"/>
        </w:trPr>
        <w:tc>
          <w:tcPr>
            <w:tcW w:w="1100" w:type="dxa"/>
            <w:vAlign w:val="bottom"/>
          </w:tcPr>
          <w:p>
            <w:pPr>
              <w:jc w:val="right"/>
              <w:ind w:right="672"/>
              <w:spacing w:after="0"/>
              <w:rPr>
                <w:sz w:val="20"/>
                <w:szCs w:val="20"/>
                <w:color w:val="auto"/>
              </w:rPr>
            </w:pPr>
            <w:r>
              <w:rPr>
                <w:rFonts w:ascii="Arial" w:cs="Arial" w:eastAsia="Arial" w:hAnsi="Arial"/>
                <w:sz w:val="18"/>
                <w:szCs w:val="18"/>
                <w:color w:val="auto"/>
                <w:w w:val="79"/>
              </w:rPr>
              <w:t>2012</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$ 317</w:t>
            </w:r>
          </w:p>
        </w:tc>
      </w:tr>
      <w:tr>
        <w:trPr>
          <w:trHeight w:val="258"/>
        </w:trPr>
        <w:tc>
          <w:tcPr>
            <w:tcW w:w="1100" w:type="dxa"/>
            <w:vAlign w:val="bottom"/>
            <w:shd w:val="clear" w:color="auto" w:fill="C0C0C0"/>
          </w:tcPr>
          <w:p>
            <w:pPr>
              <w:jc w:val="right"/>
              <w:ind w:right="672"/>
              <w:spacing w:after="0"/>
              <w:rPr>
                <w:sz w:val="20"/>
                <w:szCs w:val="20"/>
                <w:color w:val="auto"/>
              </w:rPr>
            </w:pPr>
            <w:r>
              <w:rPr>
                <w:rFonts w:ascii="Arial" w:cs="Arial" w:eastAsia="Arial" w:hAnsi="Arial"/>
                <w:sz w:val="18"/>
                <w:szCs w:val="18"/>
                <w:color w:val="auto"/>
                <w:w w:val="79"/>
              </w:rPr>
              <w:t>2013</w:t>
            </w:r>
          </w:p>
        </w:tc>
        <w:tc>
          <w:tcPr>
            <w:tcW w:w="11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$ 314</w:t>
            </w:r>
          </w:p>
        </w:tc>
      </w:tr>
      <w:tr>
        <w:trPr>
          <w:trHeight w:val="228"/>
        </w:trPr>
        <w:tc>
          <w:tcPr>
            <w:tcW w:w="1100" w:type="dxa"/>
            <w:vAlign w:val="bottom"/>
          </w:tcPr>
          <w:p>
            <w:pPr>
              <w:jc w:val="right"/>
              <w:ind w:right="672"/>
              <w:spacing w:after="0"/>
              <w:rPr>
                <w:sz w:val="20"/>
                <w:szCs w:val="20"/>
                <w:color w:val="auto"/>
              </w:rPr>
            </w:pPr>
            <w:r>
              <w:rPr>
                <w:rFonts w:ascii="Arial" w:cs="Arial" w:eastAsia="Arial" w:hAnsi="Arial"/>
                <w:sz w:val="18"/>
                <w:szCs w:val="18"/>
                <w:color w:val="auto"/>
                <w:w w:val="79"/>
              </w:rPr>
              <w:t>2014</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$ 287</w:t>
            </w:r>
          </w:p>
        </w:tc>
      </w:tr>
      <w:tr>
        <w:trPr>
          <w:trHeight w:val="258"/>
        </w:trPr>
        <w:tc>
          <w:tcPr>
            <w:tcW w:w="1100" w:type="dxa"/>
            <w:vAlign w:val="bottom"/>
            <w:shd w:val="clear" w:color="auto" w:fill="C0C0C0"/>
          </w:tcPr>
          <w:p>
            <w:pPr>
              <w:jc w:val="right"/>
              <w:ind w:right="672"/>
              <w:spacing w:after="0"/>
              <w:rPr>
                <w:sz w:val="20"/>
                <w:szCs w:val="20"/>
                <w:color w:val="auto"/>
              </w:rPr>
            </w:pPr>
            <w:r>
              <w:rPr>
                <w:rFonts w:ascii="Arial" w:cs="Arial" w:eastAsia="Arial" w:hAnsi="Arial"/>
                <w:sz w:val="18"/>
                <w:szCs w:val="18"/>
                <w:color w:val="auto"/>
                <w:w w:val="79"/>
              </w:rPr>
              <w:t>2015</w:t>
            </w:r>
          </w:p>
        </w:tc>
        <w:tc>
          <w:tcPr>
            <w:tcW w:w="11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$ 220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3"/>
          <w:szCs w:val="13"/>
          <w:b w:val="1"/>
          <w:bCs w:val="1"/>
          <w:color w:val="auto"/>
        </w:rPr>
        <w:t>VERBURDEN</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EMOVAL AND</w:t>
      </w:r>
      <w:r>
        <w:rPr>
          <w:rFonts w:ascii="Arial" w:cs="Arial" w:eastAsia="Arial" w:hAnsi="Arial"/>
          <w:sz w:val="18"/>
          <w:szCs w:val="18"/>
          <w:b w:val="1"/>
          <w:bCs w:val="1"/>
          <w:color w:val="auto"/>
        </w:rPr>
        <w:t xml:space="preserve"> M</w:t>
      </w:r>
      <w:r>
        <w:rPr>
          <w:rFonts w:ascii="Arial" w:cs="Arial" w:eastAsia="Arial" w:hAnsi="Arial"/>
          <w:sz w:val="13"/>
          <w:szCs w:val="13"/>
          <w:b w:val="1"/>
          <w:bCs w:val="1"/>
          <w:color w:val="auto"/>
        </w:rPr>
        <w:t>INING</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OSTS</w:t>
      </w:r>
    </w:p>
    <w:p>
      <w:pPr>
        <w:spacing w:after="0" w:line="285"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We mine sorbent materials on property that we either own or lease as part of our overall 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221"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 are also capitalized. All exploration related costs are expensed as incurred.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3"/>
          <w:szCs w:val="13"/>
          <w:b w:val="1"/>
          <w:bCs w:val="1"/>
          <w:color w:val="auto"/>
        </w:rPr>
        <w:t>ECLAMATION</w:t>
      </w:r>
    </w:p>
    <w:p>
      <w:pPr>
        <w:spacing w:after="0" w:line="28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perform ongoing reclamation activities during the normal course of our overburden removal activities. As overburden is removed from a pit, it is hauled to previously mined pits and used to refill older sites. This process allows us to continuously reclaim older pits and dispose of overburden simultaneously, therefore minimizing the liability for the reclamation function.</w:t>
      </w:r>
    </w:p>
    <w:p>
      <w:pPr>
        <w:spacing w:after="0" w:line="248"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 xml:space="preserve">On an annual basis we evaluate our potential reclamation liability in accordance with ASC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ROPERTY</w:t>
      </w:r>
      <w:r>
        <w:rPr>
          <w:rFonts w:ascii="Arial" w:cs="Arial" w:eastAsia="Arial" w:hAnsi="Arial"/>
          <w:sz w:val="18"/>
          <w:szCs w:val="18"/>
          <w:b w:val="1"/>
          <w:bCs w:val="1"/>
          <w:color w:val="auto"/>
        </w:rPr>
        <w:t>, P</w:t>
      </w:r>
      <w:r>
        <w:rPr>
          <w:rFonts w:ascii="Arial" w:cs="Arial" w:eastAsia="Arial" w:hAnsi="Arial"/>
          <w:sz w:val="13"/>
          <w:szCs w:val="13"/>
          <w:b w:val="1"/>
          <w:bCs w:val="1"/>
          <w:color w:val="auto"/>
        </w:rPr>
        <w:t>LANT AND</w:t>
      </w:r>
      <w:r>
        <w:rPr>
          <w:rFonts w:ascii="Arial" w:cs="Arial" w:eastAsia="Arial" w:hAnsi="Arial"/>
          <w:sz w:val="18"/>
          <w:szCs w:val="18"/>
          <w:b w:val="1"/>
          <w:bCs w:val="1"/>
          <w:color w:val="auto"/>
        </w:rPr>
        <w:t xml:space="preserve"> E</w:t>
      </w:r>
      <w:r>
        <w:rPr>
          <w:rFonts w:ascii="Arial" w:cs="Arial" w:eastAsia="Arial" w:hAnsi="Arial"/>
          <w:sz w:val="13"/>
          <w:szCs w:val="13"/>
          <w:b w:val="1"/>
          <w:bCs w:val="1"/>
          <w:color w:val="auto"/>
        </w:rPr>
        <w:t>QUIPMENT</w:t>
      </w:r>
    </w:p>
    <w:p>
      <w:pPr>
        <w:spacing w:after="0" w:line="285" w:lineRule="exact"/>
        <w:rPr>
          <w:sz w:val="20"/>
          <w:szCs w:val="20"/>
          <w:color w:val="auto"/>
        </w:rPr>
      </w:pPr>
    </w:p>
    <w:p>
      <w:pPr>
        <w:jc w:val="both"/>
        <w:ind w:firstLine="392"/>
        <w:spacing w:after="0" w:line="370" w:lineRule="auto"/>
        <w:rPr>
          <w:sz w:val="20"/>
          <w:szCs w:val="20"/>
          <w:color w:val="auto"/>
        </w:rPr>
      </w:pPr>
      <w:r>
        <w:rPr>
          <w:rFonts w:ascii="Arial" w:cs="Arial" w:eastAsia="Arial" w:hAnsi="Arial"/>
          <w:sz w:val="15"/>
          <w:szCs w:val="15"/>
          <w:color w:val="auto"/>
        </w:rPr>
        <w:t>Property, plant and equipment are generally depreciated using the straight-line method over their estimated useful lives which are listed below. Major improvements and betterments are capitalized, while maintenance and repairs that do not extend the useful life of the applicable assets are expensed as incurred.</w:t>
      </w:r>
    </w:p>
    <w:p>
      <w:pPr>
        <w:spacing w:after="0" w:line="151"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8500" w:type="dxa"/>
            <w:vAlign w:val="bottom"/>
            <w:tcBorders>
              <w:bottom w:val="single" w:sz="8" w:color="C0C0C0"/>
            </w:tcBorders>
          </w:tcPr>
          <w:p>
            <w:pPr>
              <w:spacing w:after="0"/>
              <w:rPr>
                <w:sz w:val="20"/>
                <w:szCs w:val="2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1"/>
              </w:rPr>
              <w:t>Years</w:t>
            </w:r>
          </w:p>
        </w:tc>
      </w:tr>
      <w:tr>
        <w:trPr>
          <w:trHeight w:val="243"/>
        </w:trPr>
        <w:tc>
          <w:tcPr>
            <w:tcW w:w="8500" w:type="dxa"/>
            <w:vAlign w:val="bottom"/>
            <w:shd w:val="clear" w:color="auto" w:fill="C0C0C0"/>
          </w:tcPr>
          <w:p>
            <w:pPr>
              <w:spacing w:after="0"/>
              <w:rPr>
                <w:sz w:val="20"/>
                <w:szCs w:val="20"/>
                <w:color w:val="auto"/>
              </w:rPr>
            </w:pPr>
            <w:r>
              <w:rPr>
                <w:rFonts w:ascii="Arial" w:cs="Arial" w:eastAsia="Arial" w:hAnsi="Arial"/>
                <w:sz w:val="18"/>
                <w:szCs w:val="18"/>
                <w:color w:val="auto"/>
              </w:rPr>
              <w:t>Buildings and leasehold improvements</w:t>
            </w:r>
          </w:p>
        </w:tc>
        <w:tc>
          <w:tcPr>
            <w:tcW w:w="4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6"/>
              </w:rPr>
              <w:t>5 - 30</w:t>
            </w:r>
          </w:p>
        </w:tc>
      </w:tr>
      <w:tr>
        <w:trPr>
          <w:trHeight w:val="235"/>
        </w:trPr>
        <w:tc>
          <w:tcPr>
            <w:tcW w:w="85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40" w:type="dxa"/>
            <w:vAlign w:val="bottom"/>
          </w:tcPr>
          <w:p>
            <w:pPr>
              <w:spacing w:after="0"/>
              <w:rPr>
                <w:sz w:val="20"/>
                <w:szCs w:val="20"/>
                <w:color w:val="auto"/>
              </w:rPr>
            </w:pPr>
          </w:p>
        </w:tc>
      </w:tr>
      <w:tr>
        <w:trPr>
          <w:trHeight w:val="251"/>
        </w:trPr>
        <w:tc>
          <w:tcPr>
            <w:tcW w:w="85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Packaging</w:t>
            </w:r>
          </w:p>
        </w:tc>
        <w:tc>
          <w:tcPr>
            <w:tcW w:w="4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6"/>
              </w:rPr>
              <w:t>2 - 20</w:t>
            </w:r>
          </w:p>
        </w:tc>
      </w:tr>
      <w:tr>
        <w:trPr>
          <w:trHeight w:val="235"/>
        </w:trPr>
        <w:tc>
          <w:tcPr>
            <w:tcW w:w="8500" w:type="dxa"/>
            <w:vAlign w:val="bottom"/>
          </w:tcPr>
          <w:p>
            <w:pPr>
              <w:ind w:left="300"/>
              <w:spacing w:after="0"/>
              <w:rPr>
                <w:sz w:val="20"/>
                <w:szCs w:val="20"/>
                <w:color w:val="auto"/>
              </w:rPr>
            </w:pPr>
            <w:r>
              <w:rPr>
                <w:rFonts w:ascii="Arial" w:cs="Arial" w:eastAsia="Arial" w:hAnsi="Arial"/>
                <w:sz w:val="18"/>
                <w:szCs w:val="18"/>
                <w:color w:val="auto"/>
              </w:rPr>
              <w:t>Processing</w:t>
            </w:r>
          </w:p>
        </w:tc>
        <w:tc>
          <w:tcPr>
            <w:tcW w:w="440" w:type="dxa"/>
            <w:vAlign w:val="bottom"/>
          </w:tcPr>
          <w:p>
            <w:pPr>
              <w:jc w:val="center"/>
              <w:spacing w:after="0"/>
              <w:rPr>
                <w:sz w:val="20"/>
                <w:szCs w:val="20"/>
                <w:color w:val="auto"/>
              </w:rPr>
            </w:pPr>
            <w:r>
              <w:rPr>
                <w:rFonts w:ascii="Arial" w:cs="Arial" w:eastAsia="Arial" w:hAnsi="Arial"/>
                <w:sz w:val="18"/>
                <w:szCs w:val="18"/>
                <w:color w:val="auto"/>
                <w:w w:val="86"/>
              </w:rPr>
              <w:t>3 - 20</w:t>
            </w:r>
          </w:p>
        </w:tc>
      </w:tr>
      <w:tr>
        <w:trPr>
          <w:trHeight w:val="251"/>
        </w:trPr>
        <w:tc>
          <w:tcPr>
            <w:tcW w:w="85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Mining and Other</w:t>
            </w:r>
          </w:p>
        </w:tc>
        <w:tc>
          <w:tcPr>
            <w:tcW w:w="4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6"/>
              </w:rPr>
              <w:t>3 - 15</w:t>
            </w:r>
          </w:p>
        </w:tc>
      </w:tr>
      <w:tr>
        <w:trPr>
          <w:trHeight w:val="235"/>
        </w:trPr>
        <w:tc>
          <w:tcPr>
            <w:tcW w:w="8500" w:type="dxa"/>
            <w:vAlign w:val="bottom"/>
          </w:tcPr>
          <w:p>
            <w:pPr>
              <w:spacing w:after="0"/>
              <w:rPr>
                <w:sz w:val="20"/>
                <w:szCs w:val="20"/>
                <w:color w:val="auto"/>
              </w:rPr>
            </w:pPr>
            <w:r>
              <w:rPr>
                <w:rFonts w:ascii="Arial" w:cs="Arial" w:eastAsia="Arial" w:hAnsi="Arial"/>
                <w:sz w:val="18"/>
                <w:szCs w:val="18"/>
                <w:color w:val="auto"/>
              </w:rPr>
              <w:t>Office furniture, computers and equipment</w:t>
            </w:r>
          </w:p>
        </w:tc>
        <w:tc>
          <w:tcPr>
            <w:tcW w:w="440" w:type="dxa"/>
            <w:vAlign w:val="bottom"/>
          </w:tcPr>
          <w:p>
            <w:pPr>
              <w:jc w:val="center"/>
              <w:spacing w:after="0"/>
              <w:rPr>
                <w:sz w:val="20"/>
                <w:szCs w:val="20"/>
                <w:color w:val="auto"/>
              </w:rPr>
            </w:pPr>
            <w:r>
              <w:rPr>
                <w:rFonts w:ascii="Arial" w:cs="Arial" w:eastAsia="Arial" w:hAnsi="Arial"/>
                <w:sz w:val="18"/>
                <w:szCs w:val="18"/>
                <w:color w:val="auto"/>
                <w:w w:val="86"/>
              </w:rPr>
              <w:t>2 - 10</w:t>
            </w:r>
          </w:p>
        </w:tc>
      </w:tr>
      <w:tr>
        <w:trPr>
          <w:trHeight w:val="251"/>
        </w:trPr>
        <w:tc>
          <w:tcPr>
            <w:tcW w:w="8500" w:type="dxa"/>
            <w:vAlign w:val="bottom"/>
            <w:shd w:val="clear" w:color="auto" w:fill="C0C0C0"/>
          </w:tcPr>
          <w:p>
            <w:pPr>
              <w:spacing w:after="0"/>
              <w:rPr>
                <w:sz w:val="20"/>
                <w:szCs w:val="20"/>
                <w:color w:val="auto"/>
              </w:rPr>
            </w:pPr>
            <w:r>
              <w:rPr>
                <w:rFonts w:ascii="Arial" w:cs="Arial" w:eastAsia="Arial" w:hAnsi="Arial"/>
                <w:sz w:val="18"/>
                <w:szCs w:val="18"/>
                <w:color w:val="auto"/>
              </w:rPr>
              <w:t>Vehicles</w:t>
            </w:r>
          </w:p>
        </w:tc>
        <w:tc>
          <w:tcPr>
            <w:tcW w:w="4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2 - 8</w:t>
            </w:r>
          </w:p>
        </w:tc>
      </w:tr>
    </w:tbl>
    <w:p>
      <w:pPr>
        <w:spacing w:after="0" w:line="262"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Property, plant and equipment are reviewed for possible impairment on an annual basis. We review for idle and underutilized equipment and review business plans for possible impairment. When impairment is indicated, an impairment charge is recorded for the difference between the carrying value of the asset and its fair market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3"/>
          <w:szCs w:val="13"/>
          <w:b w:val="1"/>
          <w:bCs w:val="1"/>
          <w:color w:val="auto"/>
        </w:rPr>
        <w:t>RADE</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ROMOTIONS</w:t>
      </w:r>
    </w:p>
    <w:p>
      <w:pPr>
        <w:spacing w:after="0" w:line="285"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We routinely commit to one-time or ongoing trade promotion programs primarily in our Retail and Wholesale Products Group. All such costs are netted against sales. We have accrued liabilities at the end of each period for the estimated expenses incurred, but not paid for these programs. Promotional reserves are provided for sales incentives made directly to consumers, such as coupons, and sales incentives made to customers, such as slotting, discounts based on sales volume, cooperative marketing programs and other arrangements. We use judgment for estimates to determine our trade spending liabilities. We rely on our historical experience with trade spending patterns and that of the industry, current trends and forecasted data.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3"/>
          <w:szCs w:val="13"/>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3"/>
          <w:szCs w:val="13"/>
          <w:b w:val="1"/>
          <w:bCs w:val="1"/>
          <w:color w:val="auto"/>
        </w:rPr>
        <w:t>ALUE OF</w:t>
      </w:r>
      <w:r>
        <w:rPr>
          <w:rFonts w:ascii="Arial" w:cs="Arial" w:eastAsia="Arial" w:hAnsi="Arial"/>
          <w:sz w:val="18"/>
          <w:szCs w:val="18"/>
          <w:b w:val="1"/>
          <w:bCs w:val="1"/>
          <w:color w:val="auto"/>
        </w:rPr>
        <w:t xml:space="preserve"> F</w:t>
      </w:r>
      <w:r>
        <w:rPr>
          <w:rFonts w:ascii="Arial" w:cs="Arial" w:eastAsia="Arial" w:hAnsi="Arial"/>
          <w:sz w:val="13"/>
          <w:szCs w:val="13"/>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NSTRUMENTS</w:t>
      </w:r>
    </w:p>
    <w:p>
      <w:pPr>
        <w:spacing w:after="0" w:line="285"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Non-derivative financial instruments included in the Consolidated Balance Sheets are cash and cash equivalents, investment in short-term securities, cash surrender value of life insurance policies and notes payable. These instruments, except for notes payable, were carried at amounts approximating fair value as of July 31, 2010 and 2009. The investment in short-term securities includes U.S. Treasury securities, certificates of deposit and debt securities. We intend and have the ability to hold our investment in short-term securities to maturity; therefore, these investments are reported at amortized cost, which was approximately equal to fair value.</w:t>
      </w:r>
    </w:p>
    <w:p>
      <w:pPr>
        <w:spacing w:after="0" w:line="251"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8"/>
          <w:szCs w:val="18"/>
          <w:color w:val="auto"/>
        </w:rPr>
        <w:t>The fair value of notes payable was more than its carrying value by approximately $95,000 as of July 31, 2010 and by approximately $23,000 as of July 31, 2009. The fair value of notes payable was estimated based on future cash flows discounted at current interest rates available to us for debt with similar maturities and characteristics. See Note 5 of the Notes to the Consolidated Financial Statements for additional information regarding assets and liabilities recorded at fair value.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3"/>
          <w:szCs w:val="13"/>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ECOGNITION</w:t>
      </w:r>
    </w:p>
    <w:p>
      <w:pPr>
        <w:spacing w:after="0" w:line="285"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8"/>
          <w:szCs w:val="18"/>
          <w:color w:val="auto"/>
        </w:rPr>
        <w:t>Under the terms of our sales agreements with customers, we recognize revenue when risk of loss and title are transferred. An invoice is generated at the time of shipment based on a fixed and determinable price. Sales returns and allowances are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OST OF SALES</w:t>
      </w:r>
    </w:p>
    <w:p>
      <w:pPr>
        <w:spacing w:after="0" w:line="285"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Cost of sales includes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3"/>
          <w:szCs w:val="13"/>
          <w:b w:val="1"/>
          <w:bCs w:val="1"/>
          <w:color w:val="auto"/>
        </w:rPr>
        <w:t>HIPPING AND</w:t>
      </w:r>
      <w:r>
        <w:rPr>
          <w:rFonts w:ascii="Arial" w:cs="Arial" w:eastAsia="Arial" w:hAnsi="Arial"/>
          <w:sz w:val="18"/>
          <w:szCs w:val="18"/>
          <w:b w:val="1"/>
          <w:bCs w:val="1"/>
          <w:color w:val="auto"/>
        </w:rPr>
        <w:t xml:space="preserve"> H</w:t>
      </w:r>
      <w:r>
        <w:rPr>
          <w:rFonts w:ascii="Arial" w:cs="Arial" w:eastAsia="Arial" w:hAnsi="Arial"/>
          <w:sz w:val="13"/>
          <w:szCs w:val="13"/>
          <w:b w:val="1"/>
          <w:bCs w:val="1"/>
          <w:color w:val="auto"/>
        </w:rPr>
        <w:t>ANDLING</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OSTS</w:t>
      </w:r>
    </w:p>
    <w:p>
      <w:pPr>
        <w:spacing w:after="0" w:line="2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Shipping and handling costs are included in cost of sales and were approximately $36,101,000, $40,465,000, and $42,567,000 for the years ended July 31, 2010, 2009 and 2008,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3"/>
          <w:szCs w:val="13"/>
          <w:b w:val="1"/>
          <w:bCs w:val="1"/>
          <w:color w:val="auto"/>
        </w:rPr>
        <w:t>ELLING</w:t>
      </w:r>
      <w:r>
        <w:rPr>
          <w:rFonts w:ascii="Arial" w:cs="Arial" w:eastAsia="Arial" w:hAnsi="Arial"/>
          <w:sz w:val="18"/>
          <w:szCs w:val="18"/>
          <w:b w:val="1"/>
          <w:bCs w:val="1"/>
          <w:color w:val="auto"/>
        </w:rPr>
        <w:t>, G</w:t>
      </w:r>
      <w:r>
        <w:rPr>
          <w:rFonts w:ascii="Arial" w:cs="Arial" w:eastAsia="Arial" w:hAnsi="Arial"/>
          <w:sz w:val="13"/>
          <w:szCs w:val="13"/>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E</w:t>
      </w:r>
      <w:r>
        <w:rPr>
          <w:rFonts w:ascii="Arial" w:cs="Arial" w:eastAsia="Arial" w:hAnsi="Arial"/>
          <w:sz w:val="13"/>
          <w:szCs w:val="13"/>
          <w:b w:val="1"/>
          <w:bCs w:val="1"/>
          <w:color w:val="auto"/>
        </w:rPr>
        <w:t>XPENSES</w:t>
      </w:r>
    </w:p>
    <w:p>
      <w:pPr>
        <w:spacing w:after="0" w:line="285"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6"/>
          <w:szCs w:val="16"/>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3"/>
          <w:szCs w:val="13"/>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3"/>
          <w:szCs w:val="13"/>
          <w:b w:val="1"/>
          <w:bCs w:val="1"/>
          <w:color w:val="auto"/>
        </w:rPr>
        <w:t>EVELOPMENT</w:t>
      </w:r>
    </w:p>
    <w:p>
      <w:pPr>
        <w:spacing w:after="0" w:line="285"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Research and development costs of approximately $1,826,000, $2,099,000, and $2,497,000 were charged to expense as incurred for the years ended July 31, 2010, 2009 and 2008,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3"/>
          <w:szCs w:val="13"/>
          <w:b w:val="1"/>
          <w:bCs w:val="1"/>
          <w:color w:val="auto"/>
        </w:rPr>
        <w:t>DVERTISING</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OSTS</w:t>
      </w:r>
    </w:p>
    <w:p>
      <w:pPr>
        <w:spacing w:after="0" w:line="285" w:lineRule="exact"/>
        <w:rPr>
          <w:sz w:val="20"/>
          <w:szCs w:val="20"/>
          <w:color w:val="auto"/>
        </w:rPr>
      </w:pPr>
    </w:p>
    <w:p>
      <w:pPr>
        <w:jc w:val="both"/>
        <w:ind w:firstLine="378"/>
        <w:spacing w:after="0" w:line="335" w:lineRule="auto"/>
        <w:rPr>
          <w:sz w:val="20"/>
          <w:szCs w:val="20"/>
          <w:color w:val="auto"/>
        </w:rPr>
      </w:pPr>
      <w:r>
        <w:rPr>
          <w:rFonts w:ascii="Arial" w:cs="Arial" w:eastAsia="Arial" w:hAnsi="Arial"/>
          <w:sz w:val="15"/>
          <w:szCs w:val="15"/>
          <w:color w:val="auto"/>
        </w:rPr>
        <w:t>Advertising costs include printed materials, participation in industry conventions and shows and market research. Advertising costs for print media are expensed when the advertising occurs. All other advertising costs are expensed when incurred. All advertising costs are part of selling, general and administrative expenses. Advertising expenses were approximately $2,102,000, $2,158,000, and $1,054,000 for the years ended July 31, 2010, 2009 and 2008,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ENSION AND</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OSTRETIREMENT</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ENEFIT</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OSTS</w:t>
      </w:r>
    </w:p>
    <w:p>
      <w:pPr>
        <w:spacing w:after="0" w:line="285"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 xml:space="preserve">We provide a defined benefit pension plan for eligible salaried and hourly employees and we make contributions to fund the plan. We also provide a postretirement health benefit plan to domestic salaried employees who qualify under the plan’s provisions. The postretirement health benefit plan is unfunded. Our pension and postretirement health benefit plans are accounted for using actuarial valuations required by ASC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The funded status of our defined pension and postretirement health benefit plans are recognized on the Consolidated Balance Sheets. Changes in the funded status that arise during the period but are not recognized as com ponents of net periodic benefit cost are recognized within other comprehensive income, net of income tax. See Note 9 of the Notes to the Consolidated Financial Statements 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3"/>
          <w:szCs w:val="13"/>
          <w:b w:val="1"/>
          <w:bCs w:val="1"/>
          <w:color w:val="auto"/>
        </w:rPr>
        <w:t>TOCK</w:t>
      </w:r>
      <w:r>
        <w:rPr>
          <w:rFonts w:ascii="Arial" w:cs="Arial" w:eastAsia="Arial" w:hAnsi="Arial"/>
          <w:sz w:val="18"/>
          <w:szCs w:val="18"/>
          <w:b w:val="1"/>
          <w:bCs w:val="1"/>
          <w:color w:val="auto"/>
        </w:rPr>
        <w:t>-B</w:t>
      </w:r>
      <w:r>
        <w:rPr>
          <w:rFonts w:ascii="Arial" w:cs="Arial" w:eastAsia="Arial" w:hAnsi="Arial"/>
          <w:sz w:val="13"/>
          <w:szCs w:val="13"/>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OMPENSATION</w:t>
      </w:r>
    </w:p>
    <w:p>
      <w:pPr>
        <w:spacing w:after="0" w:line="2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We account for stock options and restricted stock issued under our long term incentive plans in accordance with ASC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The fair value of stock-based compensation is determined at the grant date. The related compensation expense is recognized over the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period. See Note 8 of the Notes to the Consolidated Financial Statements for additional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3"/>
          <w:szCs w:val="13"/>
          <w:b w:val="1"/>
          <w:bCs w:val="1"/>
          <w:color w:val="auto"/>
        </w:rPr>
        <w:t>NCOME TAXES</w:t>
      </w:r>
    </w:p>
    <w:p>
      <w:pPr>
        <w:spacing w:after="0" w:line="285"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251"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6"/>
          <w:szCs w:val="16"/>
          <w:color w:val="auto"/>
        </w:rPr>
        <w:t xml:space="preserve">In addition to valuation allowances, we provide for uncertain tax positions when such tax positions do not meet the recognition thresholds or measurement standards prescribed by ASC 740, </w:t>
      </w:r>
      <w:r>
        <w:rPr>
          <w:rFonts w:ascii="Arial" w:cs="Arial" w:eastAsia="Arial" w:hAnsi="Arial"/>
          <w:sz w:val="16"/>
          <w:szCs w:val="16"/>
          <w:i w:val="1"/>
          <w:iCs w:val="1"/>
          <w:color w:val="auto"/>
        </w:rPr>
        <w:t>Income Taxes</w:t>
      </w:r>
      <w:r>
        <w:rPr>
          <w:rFonts w:ascii="Arial" w:cs="Arial" w:eastAsia="Arial" w:hAnsi="Arial"/>
          <w:sz w:val="16"/>
          <w:szCs w:val="16"/>
          <w:color w:val="auto"/>
        </w:rPr>
        <w:t>. Amounts for uncertain tax positions are adjusted when new information becomes available or when positions are effectively settled. We recognize interest and penalties accrued related to uncertain tax positions in income tax (benefit) expense.</w:t>
      </w:r>
    </w:p>
    <w:p>
      <w:pPr>
        <w:spacing w:after="0" w:line="215"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6 of the Notes to the Consolidated Financial Statements for additional information about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3"/>
          <w:szCs w:val="13"/>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RONOUNCEMENTS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7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 xml:space="preserve">In the first quarter of fiscal 2010, we adopted guidance under ASC 825-10,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which required disclosures about the fair value of financial instruments in interim financial information. We already comply with the provisions of this accounting standard for our annual reporting, therefore, the adoption of this standard had no impact on our Consolidated Financial Statements.</w:t>
      </w:r>
    </w:p>
    <w:p>
      <w:pPr>
        <w:spacing w:after="0" w:line="248"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 xml:space="preserve">In the first quarter of fiscal 2010, we adopted guidance under ASC 260-10,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which required unvested share-based payment awards that contain non-forfeitable rights to dividends or dividend equivalents (whether paid or unpaid) to be considered participating securities and to be included in the computation of earnings per share pursuant to the two-class method. Under the provisions of this standard, our unvested restricted stock awards were considered participating securities. Upon adoption we were required to retrospectively adjust earnings per share data to conform to this standard. Accordingly, we have applied this standard for computation of earnings per share fo r all periods presented. The effect of the retrospective adoption of the new accounting standard on the fiscal year 2009 and 2008 reported EPS data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5"/>
          </w:tcPr>
          <w:p>
            <w:pPr>
              <w:ind w:left="60"/>
              <w:spacing w:after="0"/>
              <w:rPr>
                <w:sz w:val="20"/>
                <w:szCs w:val="20"/>
                <w:color w:val="auto"/>
              </w:rPr>
            </w:pPr>
            <w:r>
              <w:rPr>
                <w:rFonts w:ascii="Arial" w:cs="Arial" w:eastAsia="Arial" w:hAnsi="Arial"/>
                <w:sz w:val="18"/>
                <w:szCs w:val="18"/>
                <w:color w:val="auto"/>
              </w:rPr>
              <w:t>Basic Common</w:t>
            </w:r>
          </w:p>
        </w:tc>
        <w:tc>
          <w:tcPr>
            <w:tcW w:w="1800" w:type="dxa"/>
            <w:vAlign w:val="bottom"/>
            <w:gridSpan w:val="7"/>
          </w:tcPr>
          <w:p>
            <w:pPr>
              <w:ind w:left="20"/>
              <w:spacing w:after="0"/>
              <w:rPr>
                <w:sz w:val="20"/>
                <w:szCs w:val="20"/>
                <w:color w:val="auto"/>
              </w:rPr>
            </w:pPr>
            <w:r>
              <w:rPr>
                <w:rFonts w:ascii="Arial" w:cs="Arial" w:eastAsia="Arial" w:hAnsi="Arial"/>
                <w:sz w:val="18"/>
                <w:szCs w:val="18"/>
                <w:color w:val="auto"/>
                <w:w w:val="93"/>
              </w:rPr>
              <w:t>Basic Class B Common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ind w:left="56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20"/>
                <w:szCs w:val="20"/>
                <w:color w:val="auto"/>
              </w:rPr>
            </w:pPr>
          </w:p>
        </w:tc>
      </w:tr>
      <w:tr>
        <w:trPr>
          <w:trHeight w:val="228"/>
        </w:trPr>
        <w:tc>
          <w:tcPr>
            <w:tcW w:w="590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Year</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5"/>
              </w:rPr>
              <w:t>As</w:t>
            </w: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4"/>
              </w:rPr>
              <w:t>As</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r>
      <w:tr>
        <w:trPr>
          <w:trHeight w:val="243"/>
        </w:trPr>
        <w:tc>
          <w:tcPr>
            <w:tcW w:w="590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ended</w:t>
            </w:r>
          </w:p>
        </w:tc>
        <w:tc>
          <w:tcPr>
            <w:tcW w:w="920" w:type="dxa"/>
            <w:vAlign w:val="bottom"/>
            <w:gridSpan w:val="3"/>
          </w:tcPr>
          <w:p>
            <w:pPr>
              <w:spacing w:after="0"/>
              <w:rPr>
                <w:sz w:val="20"/>
                <w:szCs w:val="20"/>
                <w:color w:val="auto"/>
              </w:rPr>
            </w:pPr>
            <w:r>
              <w:rPr>
                <w:rFonts w:ascii="Arial" w:cs="Arial" w:eastAsia="Arial" w:hAnsi="Arial"/>
                <w:sz w:val="18"/>
                <w:szCs w:val="18"/>
                <w:color w:val="auto"/>
              </w:rPr>
              <w:t>previously</w:t>
            </w:r>
          </w:p>
        </w:tc>
        <w:tc>
          <w:tcPr>
            <w:tcW w:w="140" w:type="dxa"/>
            <w:vAlign w:val="bottom"/>
          </w:tcPr>
          <w:p>
            <w:pPr>
              <w:spacing w:after="0"/>
              <w:rPr>
                <w:sz w:val="21"/>
                <w:szCs w:val="21"/>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As</w:t>
            </w:r>
          </w:p>
        </w:tc>
        <w:tc>
          <w:tcPr>
            <w:tcW w:w="820" w:type="dxa"/>
            <w:vAlign w:val="bottom"/>
            <w:gridSpan w:val="3"/>
          </w:tcPr>
          <w:p>
            <w:pPr>
              <w:spacing w:after="0"/>
              <w:rPr>
                <w:sz w:val="20"/>
                <w:szCs w:val="20"/>
                <w:color w:val="auto"/>
              </w:rPr>
            </w:pPr>
            <w:r>
              <w:rPr>
                <w:rFonts w:ascii="Arial" w:cs="Arial" w:eastAsia="Arial" w:hAnsi="Arial"/>
                <w:sz w:val="18"/>
                <w:szCs w:val="18"/>
                <w:color w:val="auto"/>
                <w:w w:val="98"/>
              </w:rPr>
              <w:t>previously</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4"/>
          </w:tcPr>
          <w:p>
            <w:pPr>
              <w:ind w:left="100"/>
              <w:spacing w:after="0"/>
              <w:rPr>
                <w:sz w:val="20"/>
                <w:szCs w:val="20"/>
                <w:color w:val="auto"/>
              </w:rPr>
            </w:pPr>
            <w:r>
              <w:rPr>
                <w:rFonts w:ascii="Arial" w:cs="Arial" w:eastAsia="Arial" w:hAnsi="Arial"/>
                <w:sz w:val="18"/>
                <w:szCs w:val="18"/>
                <w:color w:val="auto"/>
                <w:w w:val="97"/>
              </w:rPr>
              <w:t>As previously</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1"/>
        </w:trPr>
        <w:tc>
          <w:tcPr>
            <w:tcW w:w="5700" w:type="dxa"/>
            <w:vAlign w:val="bottom"/>
          </w:tcPr>
          <w:p>
            <w:pPr>
              <w:jc w:val="center"/>
              <w:spacing w:after="0"/>
              <w:rPr>
                <w:sz w:val="20"/>
                <w:szCs w:val="20"/>
                <w:color w:val="auto"/>
              </w:rPr>
            </w:pPr>
            <w:r>
              <w:rPr>
                <w:rFonts w:ascii="Arial" w:cs="Arial" w:eastAsia="Arial" w:hAnsi="Arial"/>
                <w:sz w:val="18"/>
                <w:szCs w:val="18"/>
                <w:color w:val="auto"/>
                <w:w w:val="90"/>
              </w:rPr>
              <w:t>July 31,</w:t>
            </w:r>
          </w:p>
        </w:tc>
        <w:tc>
          <w:tcPr>
            <w:tcW w:w="200" w:type="dxa"/>
            <w:vAlign w:val="bottom"/>
          </w:tcPr>
          <w:p>
            <w:pPr>
              <w:spacing w:after="0"/>
              <w:rPr>
                <w:sz w:val="21"/>
                <w:szCs w:val="21"/>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6"/>
              </w:rPr>
              <w:t>reported</w:t>
            </w:r>
          </w:p>
        </w:tc>
        <w:tc>
          <w:tcPr>
            <w:tcW w:w="18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w w:val="79"/>
              </w:rPr>
              <w:t>restated</w:t>
            </w:r>
          </w:p>
        </w:tc>
        <w:tc>
          <w:tcPr>
            <w:tcW w:w="200" w:type="dxa"/>
            <w:vAlign w:val="bottom"/>
          </w:tcPr>
          <w:p>
            <w:pPr>
              <w:spacing w:after="0"/>
              <w:rPr>
                <w:sz w:val="21"/>
                <w:szCs w:val="21"/>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reported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w w:val="94"/>
              </w:rPr>
              <w:t>As restated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reported</w:t>
            </w:r>
          </w:p>
        </w:tc>
        <w:tc>
          <w:tcPr>
            <w:tcW w:w="880" w:type="dxa"/>
            <w:vAlign w:val="bottom"/>
            <w:gridSpan w:val="3"/>
          </w:tcPr>
          <w:p>
            <w:pPr>
              <w:ind w:left="100"/>
              <w:spacing w:after="0"/>
              <w:rPr>
                <w:sz w:val="20"/>
                <w:szCs w:val="20"/>
                <w:color w:val="auto"/>
              </w:rPr>
            </w:pPr>
            <w:r>
              <w:rPr>
                <w:rFonts w:ascii="Arial" w:cs="Arial" w:eastAsia="Arial" w:hAnsi="Arial"/>
                <w:sz w:val="18"/>
                <w:szCs w:val="18"/>
                <w:color w:val="auto"/>
                <w:w w:val="83"/>
              </w:rPr>
              <w:t>As restated</w:t>
            </w:r>
          </w:p>
        </w:tc>
      </w:tr>
      <w:tr>
        <w:trPr>
          <w:trHeight w:val="21"/>
        </w:trPr>
        <w:tc>
          <w:tcPr>
            <w:tcW w:w="570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43"/>
        </w:trPr>
        <w:tc>
          <w:tcPr>
            <w:tcW w:w="57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2009</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1.09</w:t>
            </w:r>
          </w:p>
        </w:tc>
        <w:tc>
          <w:tcPr>
            <w:tcW w:w="24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1.32</w:t>
            </w:r>
          </w:p>
        </w:tc>
        <w:tc>
          <w:tcPr>
            <w:tcW w:w="38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w:t>
            </w:r>
          </w:p>
        </w:tc>
      </w:tr>
      <w:tr>
        <w:trPr>
          <w:trHeight w:val="228"/>
        </w:trPr>
        <w:tc>
          <w:tcPr>
            <w:tcW w:w="57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277"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 xml:space="preserve">In the second quarter of fiscal 2010, we adopted the FASB guidance under ASC 855-10,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This guidance amended several definitions and removed the requirement for an SEC filer to disclose the date through which subsequent events have been evaluated. The adoption of this guidance resulted in revised disclosures and did not have a material impact on our Consolidated Financial Statements.</w:t>
      </w:r>
    </w:p>
    <w:p>
      <w:pPr>
        <w:spacing w:after="0" w:line="248"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 xml:space="preserve">In the third quarter of fiscal 2010, we adopted the required portions of FASB guidance under ASC 820-10,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Improving Disclosures about Fair Value Measurements. </w:t>
      </w:r>
      <w:r>
        <w:rPr>
          <w:rFonts w:ascii="Arial" w:cs="Arial" w:eastAsia="Arial" w:hAnsi="Arial"/>
          <w:sz w:val="16"/>
          <w:szCs w:val="16"/>
          <w:color w:val="auto"/>
        </w:rPr>
        <w:t>The guidance required enhanced disclosures about valuation techniques and inputs for Level 2 and Level</w:t>
      </w:r>
      <w:r>
        <w:rPr>
          <w:rFonts w:ascii="Arial" w:cs="Arial" w:eastAsia="Arial" w:hAnsi="Arial"/>
          <w:sz w:val="16"/>
          <w:szCs w:val="16"/>
          <w:i w:val="1"/>
          <w:iCs w:val="1"/>
          <w:color w:val="auto"/>
        </w:rPr>
        <w:t xml:space="preserve"> </w:t>
      </w:r>
      <w:r>
        <w:rPr>
          <w:rFonts w:ascii="Arial" w:cs="Arial" w:eastAsia="Arial" w:hAnsi="Arial"/>
          <w:sz w:val="16"/>
          <w:szCs w:val="16"/>
          <w:color w:val="auto"/>
        </w:rPr>
        <w:t>3 fair value measurements. The guidance also required new disclosures about transfers in and out of Level 1 and Level 2 fair value measurements. The adoption of this guidance required only enhanced disclosures and did not have a material impact on the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85" w:lineRule="exact"/>
        <w:rPr>
          <w:sz w:val="20"/>
          <w:szCs w:val="20"/>
          <w:color w:val="auto"/>
        </w:rPr>
      </w:pPr>
    </w:p>
    <w:p>
      <w:pPr>
        <w:jc w:val="both"/>
        <w:ind w:firstLine="311"/>
        <w:spacing w:after="0" w:line="298" w:lineRule="auto"/>
        <w:rPr>
          <w:sz w:val="20"/>
          <w:szCs w:val="20"/>
          <w:color w:val="auto"/>
        </w:rPr>
      </w:pPr>
      <w:r>
        <w:rPr>
          <w:rFonts w:ascii="Arial" w:cs="Arial" w:eastAsia="Arial" w:hAnsi="Arial"/>
          <w:sz w:val="16"/>
          <w:szCs w:val="16"/>
          <w:color w:val="auto"/>
        </w:rPr>
        <w:t xml:space="preserve">On July 31, 2010, we adopted guidance under ASC 715-20,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xml:space="preserve"> that required expanded disclosure for employers’ pension and other postretirement benefit plan assets fair value measurements, investment policies and strategies for the major categories of plan assets and significant concentrations of risk within plan assets. The adoption of this guidance required only enhanced disclosures, which we provided in Note 9 of the Notes to the Consolidated Financial Statements, and did not have a material impact on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79"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 xml:space="preserve">In July 2010, the FASB issued guidance under ASC 310-10, </w:t>
      </w:r>
      <w:r>
        <w:rPr>
          <w:rFonts w:ascii="Arial" w:cs="Arial" w:eastAsia="Arial" w:hAnsi="Arial"/>
          <w:sz w:val="16"/>
          <w:szCs w:val="16"/>
          <w:i w:val="1"/>
          <w:iCs w:val="1"/>
          <w:color w:val="auto"/>
        </w:rPr>
        <w:t>Disclosures about the Credit Quality of Financing Receivables and the Allowance for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w:t>
      </w:r>
      <w:r>
        <w:rPr>
          <w:rFonts w:ascii="Arial" w:cs="Arial" w:eastAsia="Arial" w:hAnsi="Arial"/>
          <w:sz w:val="16"/>
          <w:szCs w:val="16"/>
          <w:color w:val="auto"/>
        </w:rPr>
        <w:t>that requires new disclosures to provide a greater level of disaggregated information about the credit quality of financing receivables, including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indicators, past due information and modifications of financing receivables. A rollforward schedule of the allowance for credit losses for the reporting period is also required. Adoption of the guidance regarding disclosures as of the end of a reporting period may result in enhanced disclosures beginning with our Quarterly Report on Form 10-Q for the quarter ending Janua ry 31, 2011. Adoption of the guidance regarding disclosures about activity that occurs during a reporting period are effective beginning with our Quarterly Report on Form 10-Q for the quarter ending April 30, 2011. Adoption of this guidance may result in enhanced disclosures and will not have a material impact on the Consolidated Financial Statements.</w:t>
      </w:r>
    </w:p>
    <w:p>
      <w:pPr>
        <w:spacing w:after="0" w:line="226" w:lineRule="exact"/>
        <w:rPr>
          <w:sz w:val="20"/>
          <w:szCs w:val="20"/>
          <w:color w:val="auto"/>
        </w:rPr>
      </w:pPr>
    </w:p>
    <w:p>
      <w:pPr>
        <w:jc w:val="both"/>
        <w:ind w:firstLine="405"/>
        <w:spacing w:after="0" w:line="335" w:lineRule="auto"/>
        <w:rPr>
          <w:sz w:val="20"/>
          <w:szCs w:val="20"/>
          <w:color w:val="auto"/>
        </w:rPr>
      </w:pPr>
      <w:r>
        <w:rPr>
          <w:rFonts w:ascii="Arial" w:cs="Arial" w:eastAsia="Arial" w:hAnsi="Arial"/>
          <w:sz w:val="15"/>
          <w:szCs w:val="15"/>
          <w:color w:val="auto"/>
        </w:rPr>
        <w:t xml:space="preserve">In January 2010, the FASB issued guidance under ASC 820-10, </w:t>
      </w:r>
      <w:r>
        <w:rPr>
          <w:rFonts w:ascii="Arial" w:cs="Arial" w:eastAsia="Arial" w:hAnsi="Arial"/>
          <w:sz w:val="15"/>
          <w:szCs w:val="15"/>
          <w:i w:val="1"/>
          <w:iCs w:val="1"/>
          <w:color w:val="auto"/>
        </w:rPr>
        <w:t>Fair Value Measurements and Disclosures: Improving Disclosures about Fair Value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Measurements, </w:t>
      </w:r>
      <w:r>
        <w:rPr>
          <w:rFonts w:ascii="Arial" w:cs="Arial" w:eastAsia="Arial" w:hAnsi="Arial"/>
          <w:sz w:val="15"/>
          <w:szCs w:val="15"/>
          <w:color w:val="auto"/>
        </w:rPr>
        <w:t>that requires new disclosures related to Level 3 fair value measurements. Adoption of this guidance may result in enhanced disclosures beginning</w:t>
      </w:r>
      <w:r>
        <w:rPr>
          <w:rFonts w:ascii="Arial" w:cs="Arial" w:eastAsia="Arial" w:hAnsi="Arial"/>
          <w:sz w:val="15"/>
          <w:szCs w:val="15"/>
          <w:i w:val="1"/>
          <w:iCs w:val="1"/>
          <w:color w:val="auto"/>
        </w:rPr>
        <w:t xml:space="preserve"> </w:t>
      </w:r>
      <w:r>
        <w:rPr>
          <w:rFonts w:ascii="Arial" w:cs="Arial" w:eastAsia="Arial" w:hAnsi="Arial"/>
          <w:sz w:val="15"/>
          <w:szCs w:val="15"/>
          <w:color w:val="auto"/>
        </w:rPr>
        <w:t>with our Quarterly Report on Form 10-Q for the quarter ending October 31, 2011 and will not have a material impact on the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SPECIAL CHARGES, FEES AND CHANGES IN ACCOUNTING ESTIMATES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OST OF</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ALES</w:t>
      </w:r>
    </w:p>
    <w:p>
      <w:pPr>
        <w:spacing w:after="0" w:line="285" w:lineRule="exact"/>
        <w:rPr>
          <w:sz w:val="20"/>
          <w:szCs w:val="20"/>
          <w:color w:val="auto"/>
        </w:rPr>
      </w:pPr>
    </w:p>
    <w:p>
      <w:pPr>
        <w:jc w:val="both"/>
        <w:ind w:right="20" w:firstLine="270"/>
        <w:spacing w:after="0" w:line="268" w:lineRule="auto"/>
        <w:rPr>
          <w:sz w:val="20"/>
          <w:szCs w:val="20"/>
          <w:color w:val="auto"/>
        </w:rPr>
      </w:pPr>
      <w:r>
        <w:rPr>
          <w:rFonts w:ascii="Arial" w:cs="Arial" w:eastAsia="Arial" w:hAnsi="Arial"/>
          <w:sz w:val="18"/>
          <w:szCs w:val="18"/>
          <w:color w:val="auto"/>
        </w:rPr>
        <w:t>In fiscal 2008, we recorded an $831,000 pre-tax reduction to our cost of sales from the sale to an unaffiliated third party of emission reduction credits we held in the State of California. We do not need these credits to operate our California mining and manufacturing facility.</w:t>
      </w:r>
    </w:p>
    <w:p>
      <w:pPr>
        <w:spacing w:after="0" w:line="240"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The results of operations for fiscal 2010 included an increase in cost of sales of approximately $400,000 related to an overstatement of supplies inventory at one of our manufacturing facilities as of July 31, 2009. The overstatement of inventory had accumulated over a number of years and was the result of alleged theft. This increase was offset by expected insurance proceeds, which were received in the third quarter of fiscal 2010; therefore, there was no impact to net income. We have determined that the adjustment to supplies inventory was not material to fiscal 2010 or any previously reported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OPERATING SEGMENTS</w:t>
      </w:r>
    </w:p>
    <w:p>
      <w:pPr>
        <w:spacing w:after="0" w:line="285"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We have two reportable operating segments derived from the different characteristics of our two major customer groups: Retail and Wholesale Products Group and Business to Business Products Group. Net sales and operating income for each segment are provided below. Revenues by product line are not provided because it would be impracticable to do so. The accounting policies of the segments are the same as those described in the Note 1 of the Notes to the Consolidated Financial Statements.</w:t>
      </w:r>
    </w:p>
    <w:p>
      <w:pPr>
        <w:spacing w:after="0" w:line="251" w:lineRule="exact"/>
        <w:rPr>
          <w:sz w:val="20"/>
          <w:szCs w:val="20"/>
          <w:color w:val="auto"/>
        </w:rPr>
      </w:pPr>
    </w:p>
    <w:p>
      <w:pPr>
        <w:jc w:val="both"/>
        <w:ind w:firstLine="297"/>
        <w:spacing w:after="0" w:line="291" w:lineRule="auto"/>
        <w:rPr>
          <w:sz w:val="20"/>
          <w:szCs w:val="20"/>
          <w:color w:val="auto"/>
        </w:rPr>
      </w:pPr>
      <w:r>
        <w:rPr>
          <w:rFonts w:ascii="Arial" w:cs="Arial" w:eastAsia="Arial" w:hAnsi="Arial"/>
          <w:sz w:val="16"/>
          <w:szCs w:val="16"/>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represents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 penses also include the annual incentive plan bonus accrual.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NOTE 3 – OPERATING SEGMENTS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506857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06857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Unallocated Assets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15265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15265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1020" w:val="left"/>
          <w:tab w:leader="none" w:pos="1880" w:val="left"/>
        </w:tabs>
        <w:rPr>
          <w:sz w:val="20"/>
          <w:szCs w:val="20"/>
          <w:color w:val="auto"/>
        </w:rPr>
      </w:pPr>
      <w:r>
        <w:rPr>
          <w:rFonts w:ascii="Arial" w:cs="Arial" w:eastAsia="Arial" w:hAnsi="Arial"/>
          <w:sz w:val="18"/>
          <w:szCs w:val="18"/>
          <w:b w:val="1"/>
          <w:bCs w:val="1"/>
          <w:color w:val="auto"/>
        </w:rPr>
        <w:t>2010</w:t>
      </w:r>
      <w:r>
        <w:rPr>
          <w:sz w:val="20"/>
          <w:szCs w:val="20"/>
          <w:color w:val="auto"/>
        </w:rPr>
        <w:tab/>
      </w:r>
      <w:r>
        <w:rPr>
          <w:rFonts w:ascii="Arial" w:cs="Arial" w:eastAsia="Arial" w:hAnsi="Arial"/>
          <w:sz w:val="18"/>
          <w:szCs w:val="18"/>
          <w:b w:val="1"/>
          <w:bCs w:val="1"/>
          <w:color w:val="auto"/>
        </w:rPr>
        <w:t>2009</w:t>
      </w:r>
      <w:r>
        <w:rPr>
          <w:sz w:val="20"/>
          <w:szCs w:val="20"/>
          <w:color w:val="auto"/>
        </w:rPr>
        <w:tab/>
      </w:r>
      <w:r>
        <w:rPr>
          <w:rFonts w:ascii="Arial" w:cs="Arial" w:eastAsia="Arial" w:hAnsi="Arial"/>
          <w:sz w:val="15"/>
          <w:szCs w:val="15"/>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15265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(in thousands)</w:t>
      </w:r>
    </w:p>
    <w:p>
      <w:pPr>
        <w:spacing w:after="0" w:line="36" w:lineRule="exact"/>
        <w:rPr>
          <w:sz w:val="20"/>
          <w:szCs w:val="20"/>
          <w:color w:val="auto"/>
        </w:rPr>
      </w:pPr>
    </w:p>
    <w:p>
      <w:pPr>
        <w:ind w:left="200" w:hanging="194"/>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45,362  </w:t>
      </w:r>
      <w:r>
        <w:rPr>
          <w:rFonts w:ascii="Arial" w:cs="Arial" w:eastAsia="Arial" w:hAnsi="Arial"/>
          <w:sz w:val="18"/>
          <w:szCs w:val="18"/>
          <w:color w:val="auto"/>
        </w:rPr>
        <w:t>$ 42,581  $ 38,026</w:t>
      </w:r>
    </w:p>
    <w:p>
      <w:pPr>
        <w:spacing w:after="0" w:line="36"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65,659</w:t>
      </w:r>
      <w:r>
        <w:rPr>
          <w:rFonts w:ascii="Arial" w:cs="Arial" w:eastAsia="Arial" w:hAnsi="Arial"/>
          <w:sz w:val="18"/>
          <w:szCs w:val="18"/>
          <w:color w:val="auto"/>
        </w:rPr>
        <w:t>69,300</w:t>
      </w:r>
      <w:r>
        <w:rPr>
          <w:rFonts w:ascii="Arial" w:cs="Arial" w:eastAsia="Arial" w:hAnsi="Arial"/>
          <w:sz w:val="15"/>
          <w:szCs w:val="15"/>
          <w:color w:val="auto"/>
        </w:rPr>
        <w:t>66,838</w:t>
      </w:r>
    </w:p>
    <w:p>
      <w:pPr>
        <w:spacing w:after="0" w:line="36"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42,961</w:t>
      </w:r>
      <w:r>
        <w:rPr>
          <w:rFonts w:ascii="Arial" w:cs="Arial" w:eastAsia="Arial" w:hAnsi="Arial"/>
          <w:sz w:val="18"/>
          <w:szCs w:val="18"/>
          <w:color w:val="auto"/>
        </w:rPr>
        <w:t>37,380</w:t>
      </w:r>
      <w:r>
        <w:rPr>
          <w:rFonts w:ascii="Arial" w:cs="Arial" w:eastAsia="Arial" w:hAnsi="Arial"/>
          <w:sz w:val="15"/>
          <w:szCs w:val="15"/>
          <w:color w:val="auto"/>
        </w:rPr>
        <w:t>44,124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15265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0" w:lineRule="exact"/>
        <w:rPr>
          <w:sz w:val="20"/>
          <w:szCs w:val="20"/>
          <w:color w:val="auto"/>
        </w:rPr>
      </w:pPr>
    </w:p>
    <w:p>
      <w:pPr>
        <w:spacing w:after="0"/>
        <w:tabs>
          <w:tab w:leader="none" w:pos="860" w:val="left"/>
          <w:tab w:leader="none" w:pos="1720" w:val="left"/>
        </w:tabs>
        <w:rPr>
          <w:sz w:val="20"/>
          <w:szCs w:val="20"/>
          <w:color w:val="auto"/>
        </w:rPr>
      </w:pPr>
      <w:r>
        <w:rPr>
          <w:rFonts w:ascii="Arial" w:cs="Arial" w:eastAsia="Arial" w:hAnsi="Arial"/>
          <w:sz w:val="18"/>
          <w:szCs w:val="18"/>
          <w:b w:val="1"/>
          <w:bCs w:val="1"/>
          <w:color w:val="auto"/>
        </w:rPr>
        <w:t>$153,982</w:t>
      </w:r>
      <w:r>
        <w:rPr>
          <w:sz w:val="20"/>
          <w:szCs w:val="20"/>
          <w:color w:val="auto"/>
        </w:rPr>
        <w:tab/>
      </w:r>
      <w:r>
        <w:rPr>
          <w:rFonts w:ascii="Arial" w:cs="Arial" w:eastAsia="Arial" w:hAnsi="Arial"/>
          <w:sz w:val="18"/>
          <w:szCs w:val="18"/>
          <w:color w:val="auto"/>
        </w:rPr>
        <w:t>$149,261</w:t>
      </w:r>
      <w:r>
        <w:rPr>
          <w:sz w:val="20"/>
          <w:szCs w:val="20"/>
          <w:color w:val="auto"/>
        </w:rPr>
        <w:tab/>
      </w:r>
      <w:r>
        <w:rPr>
          <w:rFonts w:ascii="Arial" w:cs="Arial" w:eastAsia="Arial" w:hAnsi="Arial"/>
          <w:sz w:val="15"/>
          <w:szCs w:val="15"/>
          <w:color w:val="auto"/>
        </w:rPr>
        <w:t>$148,988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152654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26540" cy="1714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4860" w:space="720"/>
            <w:col w:w="5860"/>
          </w:cols>
          <w:pgMar w:left="240" w:top="611" w:right="219" w:bottom="1440" w:gutter="0" w:footer="0" w:header="0"/>
        </w:sectPr>
      </w:pP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8"/>
          </w:tcPr>
          <w:p>
            <w:pPr>
              <w:jc w:val="right"/>
              <w:spacing w:after="0"/>
              <w:rPr>
                <w:sz w:val="20"/>
                <w:szCs w:val="20"/>
                <w:color w:val="auto"/>
              </w:rPr>
            </w:pPr>
            <w:r>
              <w:rPr>
                <w:rFonts w:ascii="Arial" w:cs="Arial" w:eastAsia="Arial" w:hAnsi="Arial"/>
                <w:sz w:val="14"/>
                <w:szCs w:val="14"/>
                <w:b w:val="1"/>
                <w:bCs w:val="1"/>
                <w:color w:val="auto"/>
                <w:w w:val="95"/>
              </w:rPr>
              <w:t>Year Ended July 31,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43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3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2010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7"/>
                <w:szCs w:val="17"/>
                <w:color w:val="auto"/>
              </w:rPr>
            </w:pPr>
          </w:p>
        </w:tc>
        <w:tc>
          <w:tcPr>
            <w:tcW w:w="42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3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6"/>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3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Business to Business Products</w:t>
            </w:r>
          </w:p>
        </w:tc>
        <w:tc>
          <w:tcPr>
            <w:tcW w:w="274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b w:val="1"/>
                <w:bCs w:val="1"/>
                <w:color w:val="auto"/>
              </w:rPr>
              <w:t>77,423</w:t>
            </w:r>
          </w:p>
        </w:tc>
        <w:tc>
          <w:tcPr>
            <w:tcW w:w="2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76,049</w:t>
            </w:r>
          </w:p>
        </w:tc>
        <w:tc>
          <w:tcPr>
            <w:tcW w:w="2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gridSpan w:val="3"/>
            <w:shd w:val="clear" w:color="auto" w:fill="C0C0C0"/>
          </w:tcPr>
          <w:p>
            <w:pPr>
              <w:jc w:val="right"/>
              <w:spacing w:after="0"/>
              <w:rPr>
                <w:sz w:val="20"/>
                <w:szCs w:val="20"/>
                <w:color w:val="auto"/>
              </w:rPr>
            </w:pPr>
            <w:r>
              <w:rPr>
                <w:rFonts w:ascii="Arial" w:cs="Arial" w:eastAsia="Arial" w:hAnsi="Arial"/>
                <w:sz w:val="14"/>
                <w:szCs w:val="14"/>
                <w:color w:val="auto"/>
                <w:w w:val="92"/>
              </w:rPr>
              <w:t>$  75,048</w:t>
            </w:r>
          </w:p>
        </w:tc>
        <w:tc>
          <w:tcPr>
            <w:tcW w:w="2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gridSpan w:val="2"/>
            <w:shd w:val="clear" w:color="auto" w:fill="C0C0C0"/>
          </w:tcPr>
          <w:p>
            <w:pPr>
              <w:jc w:val="right"/>
              <w:ind w:right="4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b w:val="1"/>
                <w:bCs w:val="1"/>
                <w:color w:val="auto"/>
                <w:w w:val="83"/>
              </w:rPr>
              <w:t>19,797</w:t>
            </w:r>
          </w:p>
        </w:tc>
        <w:tc>
          <w:tcPr>
            <w:tcW w:w="120" w:type="dxa"/>
            <w:vAlign w:val="bottom"/>
            <w:tcBorders>
              <w:bottom w:val="single" w:sz="8" w:color="C0C0C0"/>
              <w:right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gridSpan w:val="2"/>
            <w:shd w:val="clear" w:color="auto" w:fill="C0C0C0"/>
          </w:tcPr>
          <w:p>
            <w:pPr>
              <w:jc w:val="center"/>
              <w:ind w:left="96"/>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0C0C0"/>
            </w:tcBorders>
            <w:gridSpan w:val="3"/>
            <w:shd w:val="clear" w:color="auto" w:fill="C0C0C0"/>
          </w:tcPr>
          <w:p>
            <w:pPr>
              <w:jc w:val="right"/>
              <w:spacing w:after="0"/>
              <w:rPr>
                <w:sz w:val="20"/>
                <w:szCs w:val="20"/>
                <w:color w:val="auto"/>
              </w:rPr>
            </w:pPr>
            <w:r>
              <w:rPr>
                <w:rFonts w:ascii="Arial" w:cs="Arial" w:eastAsia="Arial" w:hAnsi="Arial"/>
                <w:sz w:val="14"/>
                <w:szCs w:val="14"/>
                <w:color w:val="auto"/>
                <w:w w:val="88"/>
              </w:rPr>
              <w:t>14,948</w:t>
            </w:r>
          </w:p>
        </w:tc>
        <w:tc>
          <w:tcPr>
            <w:tcW w:w="900" w:type="dxa"/>
            <w:vAlign w:val="bottom"/>
            <w:tcBorders>
              <w:bottom w:val="single" w:sz="8" w:color="C0C0C0"/>
            </w:tcBorders>
            <w:gridSpan w:val="4"/>
            <w:shd w:val="clear" w:color="auto" w:fill="C0C0C0"/>
          </w:tcPr>
          <w:p>
            <w:pPr>
              <w:jc w:val="right"/>
              <w:ind w:right="12"/>
              <w:spacing w:after="0"/>
              <w:rPr>
                <w:sz w:val="20"/>
                <w:szCs w:val="20"/>
                <w:color w:val="auto"/>
              </w:rPr>
            </w:pPr>
            <w:r>
              <w:rPr>
                <w:rFonts w:ascii="Arial" w:cs="Arial" w:eastAsia="Arial" w:hAnsi="Arial"/>
                <w:sz w:val="14"/>
                <w:szCs w:val="14"/>
                <w:color w:val="auto"/>
              </w:rPr>
              <w:t>$ 15,782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380" w:type="dxa"/>
            <w:vAlign w:val="bottom"/>
          </w:tcPr>
          <w:p>
            <w:pPr>
              <w:spacing w:after="0"/>
              <w:rPr>
                <w:sz w:val="20"/>
                <w:szCs w:val="20"/>
                <w:color w:val="auto"/>
              </w:rPr>
            </w:pPr>
            <w:r>
              <w:rPr>
                <w:rFonts w:ascii="Arial" w:cs="Arial" w:eastAsia="Arial" w:hAnsi="Arial"/>
                <w:sz w:val="14"/>
                <w:szCs w:val="14"/>
                <w:color w:val="auto"/>
              </w:rPr>
              <w:t>Retail and Wholesale Products</w:t>
            </w: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6"/>
              </w:rPr>
              <w:t>141,627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160,196</w:t>
            </w:r>
          </w:p>
        </w:tc>
        <w:tc>
          <w:tcPr>
            <w:tcW w:w="200" w:type="dxa"/>
            <w:vAlign w:val="bottom"/>
          </w:tcPr>
          <w:p>
            <w:pPr>
              <w:spacing w:after="0"/>
              <w:rPr>
                <w:sz w:val="17"/>
                <w:szCs w:val="17"/>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4"/>
                <w:szCs w:val="14"/>
                <w:color w:val="auto"/>
              </w:rPr>
              <w:t>157,311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3"/>
              </w:rPr>
              <w:t>11,797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color w:val="auto"/>
                <w:w w:val="88"/>
              </w:rPr>
              <w:t>17,007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gridSpan w:val="2"/>
          </w:tcPr>
          <w:p>
            <w:pPr>
              <w:jc w:val="right"/>
              <w:ind w:right="12"/>
              <w:spacing w:after="0"/>
              <w:rPr>
                <w:sz w:val="20"/>
                <w:szCs w:val="20"/>
                <w:color w:val="auto"/>
              </w:rPr>
            </w:pPr>
            <w:r>
              <w:rPr>
                <w:rFonts w:ascii="Arial" w:cs="Arial" w:eastAsia="Arial" w:hAnsi="Arial"/>
                <w:sz w:val="14"/>
                <w:szCs w:val="14"/>
                <w:color w:val="auto"/>
                <w:w w:val="93"/>
              </w:rPr>
              <w:t>14,973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380" w:type="dxa"/>
            <w:vAlign w:val="bottom"/>
            <w:tcBorders>
              <w:bottom w:val="single" w:sz="8" w:color="C0C0C0"/>
            </w:tcBorders>
          </w:tcPr>
          <w:p>
            <w:pPr>
              <w:spacing w:after="0"/>
              <w:rPr>
                <w:sz w:val="3"/>
                <w:szCs w:val="3"/>
                <w:color w:val="auto"/>
              </w:rPr>
            </w:pPr>
          </w:p>
        </w:tc>
        <w:tc>
          <w:tcPr>
            <w:tcW w:w="26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3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Total Sales/Operating Income</w:t>
            </w:r>
          </w:p>
        </w:tc>
        <w:tc>
          <w:tcPr>
            <w:tcW w:w="274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b w:val="1"/>
                <w:bCs w:val="1"/>
                <w:color w:val="auto"/>
                <w:w w:val="86"/>
              </w:rPr>
              <w:t>219,050</w:t>
            </w:r>
          </w:p>
        </w:tc>
        <w:tc>
          <w:tcPr>
            <w:tcW w:w="20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6"/>
              </w:rPr>
              <w:t>236,245</w:t>
            </w:r>
          </w:p>
        </w:tc>
        <w:tc>
          <w:tcPr>
            <w:tcW w:w="200" w:type="dxa"/>
            <w:vAlign w:val="bottom"/>
            <w:tcBorders>
              <w:bottom w:val="single" w:sz="8" w:color="C0C0C0"/>
            </w:tcBorders>
            <w:shd w:val="clear" w:color="auto" w:fill="C0C0C0"/>
          </w:tcPr>
          <w:p>
            <w:pPr>
              <w:spacing w:after="0"/>
              <w:rPr>
                <w:sz w:val="20"/>
                <w:szCs w:val="20"/>
                <w:color w:val="auto"/>
              </w:rPr>
            </w:pPr>
          </w:p>
        </w:tc>
        <w:tc>
          <w:tcPr>
            <w:tcW w:w="560" w:type="dxa"/>
            <w:vAlign w:val="bottom"/>
            <w:tcBorders>
              <w:bottom w:val="single" w:sz="8" w:color="C0C0C0"/>
            </w:tcBorders>
            <w:gridSpan w:val="3"/>
            <w:shd w:val="clear" w:color="auto" w:fill="C0C0C0"/>
          </w:tcPr>
          <w:p>
            <w:pPr>
              <w:jc w:val="right"/>
              <w:spacing w:after="0"/>
              <w:rPr>
                <w:sz w:val="20"/>
                <w:szCs w:val="20"/>
                <w:color w:val="auto"/>
              </w:rPr>
            </w:pPr>
            <w:r>
              <w:rPr>
                <w:rFonts w:ascii="Arial" w:cs="Arial" w:eastAsia="Arial" w:hAnsi="Arial"/>
                <w:sz w:val="14"/>
                <w:szCs w:val="14"/>
                <w:color w:val="auto"/>
                <w:w w:val="86"/>
              </w:rPr>
              <w:t>$ 232,359</w:t>
            </w:r>
          </w:p>
        </w:tc>
        <w:tc>
          <w:tcPr>
            <w:tcW w:w="2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b w:val="1"/>
                <w:bCs w:val="1"/>
                <w:color w:val="auto"/>
                <w:w w:val="83"/>
              </w:rPr>
              <w:t>31,594</w:t>
            </w:r>
          </w:p>
        </w:tc>
        <w:tc>
          <w:tcPr>
            <w:tcW w:w="120" w:type="dxa"/>
            <w:vAlign w:val="bottom"/>
            <w:tcBorders>
              <w:bottom w:val="single" w:sz="8" w:color="C0C0C0"/>
              <w:right w:val="single" w:sz="8" w:color="C0C0C0"/>
            </w:tcBorders>
            <w:shd w:val="clear" w:color="auto" w:fill="C0C0C0"/>
          </w:tcPr>
          <w:p>
            <w:pPr>
              <w:spacing w:after="0"/>
              <w:rPr>
                <w:sz w:val="20"/>
                <w:szCs w:val="20"/>
                <w:color w:val="auto"/>
              </w:rPr>
            </w:pPr>
          </w:p>
        </w:tc>
        <w:tc>
          <w:tcPr>
            <w:tcW w:w="18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400" w:type="dxa"/>
            <w:vAlign w:val="bottom"/>
            <w:tcBorders>
              <w:bottom w:val="single" w:sz="8" w:color="C0C0C0"/>
            </w:tcBorders>
            <w:gridSpan w:val="3"/>
            <w:shd w:val="clear" w:color="auto" w:fill="C0C0C0"/>
          </w:tcPr>
          <w:p>
            <w:pPr>
              <w:jc w:val="right"/>
              <w:spacing w:after="0"/>
              <w:rPr>
                <w:sz w:val="20"/>
                <w:szCs w:val="20"/>
                <w:color w:val="auto"/>
              </w:rPr>
            </w:pPr>
            <w:r>
              <w:rPr>
                <w:rFonts w:ascii="Arial" w:cs="Arial" w:eastAsia="Arial" w:hAnsi="Arial"/>
                <w:sz w:val="14"/>
                <w:szCs w:val="14"/>
                <w:color w:val="auto"/>
                <w:w w:val="88"/>
              </w:rPr>
              <w:t>31,955</w:t>
            </w:r>
          </w:p>
        </w:tc>
        <w:tc>
          <w:tcPr>
            <w:tcW w:w="120" w:type="dxa"/>
            <w:vAlign w:val="bottom"/>
            <w:tcBorders>
              <w:bottom w:val="single" w:sz="8" w:color="C0C0C0"/>
            </w:tcBorders>
            <w:shd w:val="clear" w:color="auto" w:fill="C0C0C0"/>
          </w:tcPr>
          <w:p>
            <w:pPr>
              <w:spacing w:after="0"/>
              <w:rPr>
                <w:sz w:val="20"/>
                <w:szCs w:val="20"/>
                <w:color w:val="auto"/>
              </w:rPr>
            </w:pPr>
          </w:p>
        </w:tc>
        <w:tc>
          <w:tcPr>
            <w:tcW w:w="260" w:type="dxa"/>
            <w:vAlign w:val="bottom"/>
            <w:tcBorders>
              <w:bottom w:val="single" w:sz="8" w:color="C0C0C0"/>
              <w:right w:val="single" w:sz="8" w:color="C0C0C0"/>
            </w:tcBorders>
            <w:shd w:val="clear" w:color="auto" w:fill="C0C0C0"/>
          </w:tcPr>
          <w:p>
            <w:pPr>
              <w:spacing w:after="0"/>
              <w:rPr>
                <w:sz w:val="20"/>
                <w:szCs w:val="20"/>
                <w:color w:val="auto"/>
              </w:rPr>
            </w:pPr>
          </w:p>
        </w:tc>
        <w:tc>
          <w:tcPr>
            <w:tcW w:w="52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w w:val="93"/>
              </w:rPr>
              <w:t>30,755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Less:</w:t>
            </w:r>
          </w:p>
        </w:tc>
        <w:tc>
          <w:tcPr>
            <w:tcW w:w="26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24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2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right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right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C0C0C0"/>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380" w:type="dxa"/>
            <w:vAlign w:val="bottom"/>
          </w:tcPr>
          <w:p>
            <w:pPr>
              <w:ind w:left="240"/>
              <w:spacing w:after="0"/>
              <w:rPr>
                <w:sz w:val="20"/>
                <w:szCs w:val="20"/>
                <w:color w:val="auto"/>
              </w:rPr>
            </w:pPr>
            <w:r>
              <w:rPr>
                <w:rFonts w:ascii="Arial" w:cs="Arial" w:eastAsia="Arial" w:hAnsi="Arial"/>
                <w:sz w:val="14"/>
                <w:szCs w:val="14"/>
                <w:color w:val="auto"/>
              </w:rPr>
              <w:t>Corporate Expenses</w:t>
            </w: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3"/>
              </w:rPr>
              <w:t>17,561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color w:val="auto"/>
                <w:w w:val="88"/>
              </w:rPr>
              <w:t>17,101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gridSpan w:val="2"/>
          </w:tcPr>
          <w:p>
            <w:pPr>
              <w:jc w:val="right"/>
              <w:ind w:right="12"/>
              <w:spacing w:after="0"/>
              <w:rPr>
                <w:sz w:val="20"/>
                <w:szCs w:val="20"/>
                <w:color w:val="auto"/>
              </w:rPr>
            </w:pPr>
            <w:r>
              <w:rPr>
                <w:rFonts w:ascii="Arial" w:cs="Arial" w:eastAsia="Arial" w:hAnsi="Arial"/>
                <w:sz w:val="14"/>
                <w:szCs w:val="14"/>
                <w:color w:val="auto"/>
                <w:w w:val="93"/>
              </w:rPr>
              <w:t>17,461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3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Interest Expense, Net of Interest Income</w:t>
            </w:r>
          </w:p>
        </w:tc>
        <w:tc>
          <w:tcPr>
            <w:tcW w:w="266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24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2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b w:val="1"/>
                <w:bCs w:val="1"/>
                <w:color w:val="auto"/>
              </w:rPr>
              <w:t>1,219</w:t>
            </w:r>
          </w:p>
        </w:tc>
        <w:tc>
          <w:tcPr>
            <w:tcW w:w="120" w:type="dxa"/>
            <w:vAlign w:val="bottom"/>
            <w:tcBorders>
              <w:bottom w:val="single" w:sz="8" w:color="C0C0C0"/>
              <w:right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400" w:type="dxa"/>
            <w:vAlign w:val="bottom"/>
            <w:tcBorders>
              <w:bottom w:val="single" w:sz="8" w:color="C0C0C0"/>
            </w:tcBorders>
            <w:gridSpan w:val="3"/>
            <w:shd w:val="clear" w:color="auto" w:fill="C0C0C0"/>
          </w:tcPr>
          <w:p>
            <w:pPr>
              <w:jc w:val="right"/>
              <w:spacing w:after="0"/>
              <w:rPr>
                <w:sz w:val="20"/>
                <w:szCs w:val="20"/>
                <w:color w:val="auto"/>
              </w:rPr>
            </w:pPr>
            <w:r>
              <w:rPr>
                <w:rFonts w:ascii="Arial" w:cs="Arial" w:eastAsia="Arial" w:hAnsi="Arial"/>
                <w:sz w:val="14"/>
                <w:szCs w:val="14"/>
                <w:color w:val="auto"/>
              </w:rPr>
              <w:t>1,545</w:t>
            </w:r>
          </w:p>
        </w:tc>
        <w:tc>
          <w:tcPr>
            <w:tcW w:w="1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right w:val="single" w:sz="8" w:color="C0C0C0"/>
            </w:tcBorders>
            <w:shd w:val="clear" w:color="auto" w:fill="C0C0C0"/>
          </w:tcPr>
          <w:p>
            <w:pPr>
              <w:spacing w:after="0"/>
              <w:rPr>
                <w:sz w:val="21"/>
                <w:szCs w:val="21"/>
                <w:color w:val="auto"/>
              </w:rPr>
            </w:pPr>
          </w:p>
        </w:tc>
        <w:tc>
          <w:tcPr>
            <w:tcW w:w="52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1,119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20"/>
                <w:szCs w:val="20"/>
                <w:color w:val="auto"/>
              </w:rPr>
            </w:pPr>
            <w:r>
              <w:rPr>
                <w:rFonts w:ascii="Arial" w:cs="Arial" w:eastAsia="Arial" w:hAnsi="Arial"/>
                <w:sz w:val="14"/>
                <w:szCs w:val="14"/>
                <w:b w:val="1"/>
                <w:bCs w:val="1"/>
                <w:color w:val="auto"/>
              </w:rPr>
              <w:t>Income before Income Taxes</w:t>
            </w: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12,814</w:t>
            </w:r>
          </w:p>
        </w:tc>
        <w:tc>
          <w:tcPr>
            <w:tcW w:w="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w w:val="88"/>
              </w:rPr>
              <w:t>13,309</w:t>
            </w:r>
          </w:p>
        </w:tc>
        <w:tc>
          <w:tcPr>
            <w:tcW w:w="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4"/>
                <w:szCs w:val="14"/>
                <w:color w:val="auto"/>
                <w:w w:val="93"/>
              </w:rPr>
              <w:t>12,175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3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Income Taxes Provision</w:t>
            </w:r>
          </w:p>
        </w:tc>
        <w:tc>
          <w:tcPr>
            <w:tcW w:w="26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24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2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right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b w:val="1"/>
                <w:bCs w:val="1"/>
                <w:color w:val="auto"/>
                <w:w w:val="94"/>
              </w:rPr>
              <w:t>(3,356)</w:t>
            </w:r>
          </w:p>
        </w:tc>
        <w:tc>
          <w:tcPr>
            <w:tcW w:w="1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20" w:type="dxa"/>
            <w:vAlign w:val="bottom"/>
            <w:tcBorders>
              <w:bottom w:val="single" w:sz="8" w:color="C0C0C0"/>
            </w:tcBorders>
            <w:gridSpan w:val="4"/>
            <w:shd w:val="clear" w:color="auto" w:fill="C0C0C0"/>
          </w:tcPr>
          <w:p>
            <w:pPr>
              <w:jc w:val="right"/>
              <w:spacing w:after="0"/>
              <w:rPr>
                <w:sz w:val="20"/>
                <w:szCs w:val="20"/>
                <w:color w:val="auto"/>
              </w:rPr>
            </w:pPr>
            <w:r>
              <w:rPr>
                <w:rFonts w:ascii="Arial" w:cs="Arial" w:eastAsia="Arial" w:hAnsi="Arial"/>
                <w:sz w:val="14"/>
                <w:szCs w:val="14"/>
                <w:color w:val="auto"/>
                <w:w w:val="99"/>
              </w:rPr>
              <w:t>(3,723)</w:t>
            </w:r>
          </w:p>
        </w:tc>
        <w:tc>
          <w:tcPr>
            <w:tcW w:w="260" w:type="dxa"/>
            <w:vAlign w:val="bottom"/>
            <w:tcBorders>
              <w:bottom w:val="single" w:sz="8" w:color="C0C0C0"/>
              <w:right w:val="single" w:sz="8" w:color="C0C0C0"/>
            </w:tcBorders>
            <w:shd w:val="clear" w:color="auto" w:fill="C0C0C0"/>
          </w:tcPr>
          <w:p>
            <w:pPr>
              <w:spacing w:after="0"/>
              <w:rPr>
                <w:sz w:val="19"/>
                <w:szCs w:val="19"/>
                <w:color w:val="auto"/>
              </w:rPr>
            </w:pPr>
          </w:p>
        </w:tc>
        <w:tc>
          <w:tcPr>
            <w:tcW w:w="5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w w:val="99"/>
              </w:rPr>
              <w:t>(3,136)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9,458</w:t>
            </w:r>
          </w:p>
        </w:tc>
        <w:tc>
          <w:tcPr>
            <w:tcW w:w="120" w:type="dxa"/>
            <w:vAlign w:val="bottom"/>
          </w:tcPr>
          <w:p>
            <w:pPr>
              <w:spacing w:after="0"/>
              <w:rPr>
                <w:sz w:val="18"/>
                <w:szCs w:val="18"/>
                <w:color w:val="auto"/>
              </w:rPr>
            </w:pPr>
          </w:p>
        </w:tc>
        <w:tc>
          <w:tcPr>
            <w:tcW w:w="260" w:type="dxa"/>
            <w:vAlign w:val="bottom"/>
            <w:gridSpan w:val="2"/>
          </w:tcPr>
          <w:p>
            <w:pPr>
              <w:jc w:val="center"/>
              <w:ind w:left="96"/>
              <w:spacing w:after="0"/>
              <w:rPr>
                <w:sz w:val="20"/>
                <w:szCs w:val="20"/>
                <w:color w:val="auto"/>
              </w:rPr>
            </w:pPr>
            <w:r>
              <w:rPr>
                <w:rFonts w:ascii="Arial" w:cs="Arial" w:eastAsia="Arial" w:hAnsi="Arial"/>
                <w:sz w:val="14"/>
                <w:szCs w:val="14"/>
                <w:color w:val="auto"/>
              </w:rPr>
              <w:t>$</w:t>
            </w: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9,586</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
              <w:spacing w:after="0"/>
              <w:rPr>
                <w:sz w:val="20"/>
                <w:szCs w:val="20"/>
                <w:color w:val="auto"/>
              </w:rPr>
            </w:pPr>
            <w:r>
              <w:rPr>
                <w:rFonts w:ascii="Arial" w:cs="Arial" w:eastAsia="Arial" w:hAnsi="Arial"/>
                <w:sz w:val="14"/>
                <w:szCs w:val="14"/>
                <w:color w:val="auto"/>
              </w:rPr>
              <w:t>9,039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7780" w:type="dxa"/>
            <w:vAlign w:val="bottom"/>
            <w:gridSpan w:val="5"/>
            <w:vMerge w:val="restart"/>
          </w:tcPr>
          <w:p>
            <w:pPr>
              <w:ind w:left="280"/>
              <w:spacing w:after="0"/>
              <w:rPr>
                <w:sz w:val="20"/>
                <w:szCs w:val="20"/>
                <w:color w:val="auto"/>
              </w:rPr>
            </w:pPr>
            <w:r>
              <w:rPr>
                <w:rFonts w:ascii="Arial" w:cs="Arial" w:eastAsia="Arial" w:hAnsi="Arial"/>
                <w:sz w:val="18"/>
                <w:szCs w:val="18"/>
                <w:color w:val="auto"/>
                <w:w w:val="93"/>
              </w:rPr>
              <w:t>The following is a summary of financial information by geographic region for the years ended July 31:</w:t>
            </w: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8"/>
        </w:trPr>
        <w:tc>
          <w:tcPr>
            <w:tcW w:w="778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4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94"/>
              </w:rPr>
              <w:t>2010</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w w:val="84"/>
              </w:rPr>
              <w:t>2008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9"/>
          </w:tcPr>
          <w:p>
            <w:pPr>
              <w:jc w:val="right"/>
              <w:ind w:right="280"/>
              <w:spacing w:after="0"/>
              <w:rPr>
                <w:sz w:val="20"/>
                <w:szCs w:val="20"/>
                <w:color w:val="auto"/>
              </w:rPr>
            </w:pPr>
            <w:r>
              <w:rPr>
                <w:rFonts w:ascii="Arial" w:cs="Arial" w:eastAsia="Arial" w:hAnsi="Arial"/>
                <w:sz w:val="18"/>
                <w:szCs w:val="18"/>
                <w:b w:val="1"/>
                <w:bCs w:val="1"/>
                <w:color w:val="auto"/>
                <w:w w:val="99"/>
              </w:rPr>
              <w:t>(in thousands)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380" w:type="dxa"/>
            <w:vAlign w:val="bottom"/>
            <w:shd w:val="clear" w:color="auto" w:fill="C0C0C0"/>
          </w:tcPr>
          <w:p>
            <w:pPr>
              <w:spacing w:after="0"/>
              <w:rPr>
                <w:sz w:val="20"/>
                <w:szCs w:val="20"/>
                <w:color w:val="auto"/>
              </w:rPr>
            </w:pPr>
            <w:r>
              <w:rPr>
                <w:rFonts w:ascii="Arial" w:cs="Arial" w:eastAsia="Arial" w:hAnsi="Arial"/>
                <w:sz w:val="18"/>
                <w:szCs w:val="18"/>
                <w:color w:val="auto"/>
              </w:rPr>
              <w:t>Sales to unaffiliated customers:</w:t>
            </w:r>
          </w:p>
        </w:tc>
        <w:tc>
          <w:tcPr>
            <w:tcW w:w="26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20" w:type="dxa"/>
            <w:vAlign w:val="bottom"/>
            <w:tcBorders>
              <w:right w:val="single" w:sz="8" w:color="C0C0C0"/>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tcBorders>
              <w:right w:val="single" w:sz="8" w:color="C0C0C0"/>
            </w:tcBorders>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80" w:type="dxa"/>
            <w:vAlign w:val="bottom"/>
          </w:tcPr>
          <w:p>
            <w:pPr>
              <w:ind w:left="320"/>
              <w:spacing w:after="0"/>
              <w:rPr>
                <w:sz w:val="20"/>
                <w:szCs w:val="20"/>
                <w:color w:val="auto"/>
              </w:rPr>
            </w:pPr>
            <w:r>
              <w:rPr>
                <w:rFonts w:ascii="Arial" w:cs="Arial" w:eastAsia="Arial" w:hAnsi="Arial"/>
                <w:sz w:val="18"/>
                <w:szCs w:val="18"/>
                <w:color w:val="auto"/>
              </w:rPr>
              <w:t>Domestic</w:t>
            </w: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7"/>
          </w:tcPr>
          <w:p>
            <w:pPr>
              <w:jc w:val="right"/>
              <w:ind w:right="230"/>
              <w:spacing w:after="0"/>
              <w:rPr>
                <w:sz w:val="20"/>
                <w:szCs w:val="20"/>
                <w:color w:val="auto"/>
              </w:rPr>
            </w:pPr>
            <w:r>
              <w:rPr>
                <w:rFonts w:ascii="Arial" w:cs="Arial" w:eastAsia="Arial" w:hAnsi="Arial"/>
                <w:sz w:val="18"/>
                <w:szCs w:val="18"/>
                <w:b w:val="1"/>
                <w:bCs w:val="1"/>
                <w:color w:val="auto"/>
              </w:rPr>
              <w:t>$ 205,322</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w w:val="84"/>
              </w:rPr>
              <w:t>$ 222,798</w:t>
            </w:r>
          </w:p>
        </w:tc>
        <w:tc>
          <w:tcPr>
            <w:tcW w:w="80" w:type="dxa"/>
            <w:vAlign w:val="bottom"/>
          </w:tcPr>
          <w:p>
            <w:pPr>
              <w:spacing w:after="0"/>
              <w:rPr>
                <w:sz w:val="20"/>
                <w:szCs w:val="20"/>
                <w:color w:val="auto"/>
              </w:rPr>
            </w:pPr>
          </w:p>
        </w:tc>
        <w:tc>
          <w:tcPr>
            <w:tcW w:w="920" w:type="dxa"/>
            <w:vAlign w:val="bottom"/>
            <w:gridSpan w:val="5"/>
          </w:tcPr>
          <w:p>
            <w:pPr>
              <w:jc w:val="right"/>
              <w:ind w:right="20"/>
              <w:spacing w:after="0"/>
              <w:rPr>
                <w:sz w:val="20"/>
                <w:szCs w:val="20"/>
                <w:color w:val="auto"/>
              </w:rPr>
            </w:pPr>
            <w:r>
              <w:rPr>
                <w:rFonts w:ascii="Arial" w:cs="Arial" w:eastAsia="Arial" w:hAnsi="Arial"/>
                <w:sz w:val="18"/>
                <w:szCs w:val="18"/>
                <w:color w:val="auto"/>
              </w:rPr>
              <w:t>$ 214,772</w:t>
            </w:r>
          </w:p>
        </w:tc>
        <w:tc>
          <w:tcPr>
            <w:tcW w:w="0" w:type="dxa"/>
            <w:vAlign w:val="bottom"/>
          </w:tcPr>
          <w:p>
            <w:pPr>
              <w:spacing w:after="0"/>
              <w:rPr>
                <w:sz w:val="1"/>
                <w:szCs w:val="1"/>
                <w:color w:val="auto"/>
              </w:rPr>
            </w:pPr>
          </w:p>
        </w:tc>
      </w:tr>
      <w:tr>
        <w:trPr>
          <w:trHeight w:val="250"/>
        </w:trPr>
        <w:tc>
          <w:tcPr>
            <w:tcW w:w="43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Foreign subsidiaries</w:t>
            </w:r>
          </w:p>
        </w:tc>
        <w:tc>
          <w:tcPr>
            <w:tcW w:w="26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20" w:type="dxa"/>
            <w:vAlign w:val="bottom"/>
            <w:gridSpan w:val="2"/>
            <w:shd w:val="clear" w:color="auto" w:fill="C0C0C0"/>
          </w:tcPr>
          <w:p>
            <w:pPr>
              <w:jc w:val="center"/>
              <w:ind w:left="59"/>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5"/>
            <w:shd w:val="clear" w:color="auto" w:fill="C0C0C0"/>
          </w:tcPr>
          <w:p>
            <w:pPr>
              <w:jc w:val="right"/>
              <w:ind w:right="230"/>
              <w:spacing w:after="0"/>
              <w:rPr>
                <w:sz w:val="20"/>
                <w:szCs w:val="20"/>
                <w:color w:val="auto"/>
              </w:rPr>
            </w:pPr>
            <w:r>
              <w:rPr>
                <w:rFonts w:ascii="Arial" w:cs="Arial" w:eastAsia="Arial" w:hAnsi="Arial"/>
                <w:sz w:val="18"/>
                <w:szCs w:val="18"/>
                <w:b w:val="1"/>
                <w:bCs w:val="1"/>
                <w:color w:val="auto"/>
                <w:w w:val="87"/>
              </w:rPr>
              <w:t>13,728</w:t>
            </w:r>
          </w:p>
        </w:tc>
        <w:tc>
          <w:tcPr>
            <w:tcW w:w="12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13,447</w:t>
            </w:r>
          </w:p>
        </w:tc>
        <w:tc>
          <w:tcPr>
            <w:tcW w:w="80" w:type="dxa"/>
            <w:vAlign w:val="bottom"/>
            <w:shd w:val="clear" w:color="auto" w:fill="C0C0C0"/>
          </w:tcPr>
          <w:p>
            <w:pPr>
              <w:spacing w:after="0"/>
              <w:rPr>
                <w:sz w:val="21"/>
                <w:szCs w:val="21"/>
                <w:color w:val="auto"/>
              </w:rPr>
            </w:pPr>
          </w:p>
        </w:tc>
        <w:tc>
          <w:tcPr>
            <w:tcW w:w="380" w:type="dxa"/>
            <w:vAlign w:val="bottom"/>
            <w:tcBorders>
              <w:right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0"/>
              </w:rPr>
              <w:t>17,587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80" w:type="dxa"/>
            <w:vAlign w:val="bottom"/>
          </w:tcPr>
          <w:p>
            <w:pPr>
              <w:spacing w:after="0"/>
              <w:rPr>
                <w:sz w:val="20"/>
                <w:szCs w:val="20"/>
                <w:color w:val="auto"/>
              </w:rPr>
            </w:pPr>
            <w:r>
              <w:rPr>
                <w:rFonts w:ascii="Arial" w:cs="Arial" w:eastAsia="Arial" w:hAnsi="Arial"/>
                <w:sz w:val="18"/>
                <w:szCs w:val="18"/>
                <w:color w:val="auto"/>
              </w:rPr>
              <w:t>Sales or transfers between geographic areas:</w:t>
            </w: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3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Domestic</w:t>
            </w:r>
          </w:p>
        </w:tc>
        <w:tc>
          <w:tcPr>
            <w:tcW w:w="26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20" w:type="dxa"/>
            <w:vAlign w:val="bottom"/>
            <w:gridSpan w:val="2"/>
            <w:shd w:val="clear" w:color="auto" w:fill="C0C0C0"/>
          </w:tcPr>
          <w:p>
            <w:pPr>
              <w:jc w:val="center"/>
              <w:ind w:left="59"/>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5"/>
            <w:shd w:val="clear" w:color="auto" w:fill="C0C0C0"/>
          </w:tcPr>
          <w:p>
            <w:pPr>
              <w:jc w:val="right"/>
              <w:ind w:right="230"/>
              <w:spacing w:after="0"/>
              <w:rPr>
                <w:sz w:val="20"/>
                <w:szCs w:val="20"/>
                <w:color w:val="auto"/>
              </w:rPr>
            </w:pPr>
            <w:r>
              <w:rPr>
                <w:rFonts w:ascii="Arial" w:cs="Arial" w:eastAsia="Arial" w:hAnsi="Arial"/>
                <w:sz w:val="18"/>
                <w:szCs w:val="18"/>
                <w:b w:val="1"/>
                <w:bCs w:val="1"/>
                <w:color w:val="auto"/>
              </w:rPr>
              <w:t>4,830</w:t>
            </w:r>
          </w:p>
        </w:tc>
        <w:tc>
          <w:tcPr>
            <w:tcW w:w="12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6,102</w:t>
            </w:r>
          </w:p>
        </w:tc>
        <w:tc>
          <w:tcPr>
            <w:tcW w:w="80" w:type="dxa"/>
            <w:vAlign w:val="bottom"/>
            <w:shd w:val="clear" w:color="auto" w:fill="C0C0C0"/>
          </w:tcPr>
          <w:p>
            <w:pPr>
              <w:spacing w:after="0"/>
              <w:rPr>
                <w:sz w:val="21"/>
                <w:szCs w:val="21"/>
                <w:color w:val="auto"/>
              </w:rPr>
            </w:pPr>
          </w:p>
        </w:tc>
        <w:tc>
          <w:tcPr>
            <w:tcW w:w="380" w:type="dxa"/>
            <w:vAlign w:val="bottom"/>
            <w:tcBorders>
              <w:right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7,050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3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Domestic</w:t>
            </w:r>
          </w:p>
        </w:tc>
        <w:tc>
          <w:tcPr>
            <w:tcW w:w="26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20" w:type="dxa"/>
            <w:vAlign w:val="bottom"/>
            <w:gridSpan w:val="2"/>
            <w:shd w:val="clear" w:color="auto" w:fill="C0C0C0"/>
          </w:tcPr>
          <w:p>
            <w:pPr>
              <w:jc w:val="center"/>
              <w:ind w:left="59"/>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5"/>
            <w:shd w:val="clear" w:color="auto" w:fill="C0C0C0"/>
          </w:tcPr>
          <w:p>
            <w:pPr>
              <w:jc w:val="right"/>
              <w:ind w:right="230"/>
              <w:spacing w:after="0"/>
              <w:rPr>
                <w:sz w:val="20"/>
                <w:szCs w:val="20"/>
                <w:color w:val="auto"/>
              </w:rPr>
            </w:pPr>
            <w:r>
              <w:rPr>
                <w:rFonts w:ascii="Arial" w:cs="Arial" w:eastAsia="Arial" w:hAnsi="Arial"/>
                <w:sz w:val="18"/>
                <w:szCs w:val="18"/>
                <w:b w:val="1"/>
                <w:bCs w:val="1"/>
                <w:color w:val="auto"/>
                <w:w w:val="87"/>
              </w:rPr>
              <w:t>13,318</w:t>
            </w:r>
          </w:p>
        </w:tc>
        <w:tc>
          <w:tcPr>
            <w:tcW w:w="12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13,812</w:t>
            </w:r>
          </w:p>
        </w:tc>
        <w:tc>
          <w:tcPr>
            <w:tcW w:w="80" w:type="dxa"/>
            <w:vAlign w:val="bottom"/>
            <w:shd w:val="clear" w:color="auto" w:fill="C0C0C0"/>
          </w:tcPr>
          <w:p>
            <w:pPr>
              <w:spacing w:after="0"/>
              <w:rPr>
                <w:sz w:val="21"/>
                <w:szCs w:val="21"/>
                <w:color w:val="auto"/>
              </w:rPr>
            </w:pPr>
          </w:p>
        </w:tc>
        <w:tc>
          <w:tcPr>
            <w:tcW w:w="380" w:type="dxa"/>
            <w:vAlign w:val="bottom"/>
            <w:tcBorders>
              <w:right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0"/>
              </w:rPr>
              <w:t>10,939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80" w:type="dxa"/>
            <w:vAlign w:val="bottom"/>
          </w:tcPr>
          <w:p>
            <w:pPr>
              <w:ind w:left="320"/>
              <w:spacing w:after="0"/>
              <w:rPr>
                <w:sz w:val="20"/>
                <w:szCs w:val="20"/>
                <w:color w:val="auto"/>
              </w:rPr>
            </w:pPr>
            <w:r>
              <w:rPr>
                <w:rFonts w:ascii="Arial" w:cs="Arial" w:eastAsia="Arial" w:hAnsi="Arial"/>
                <w:sz w:val="18"/>
                <w:szCs w:val="18"/>
                <w:color w:val="auto"/>
              </w:rPr>
              <w:t>Foreign subsidiaries</w:t>
            </w: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jc w:val="center"/>
              <w:ind w:left="59"/>
              <w:spacing w:after="0"/>
              <w:rPr>
                <w:sz w:val="20"/>
                <w:szCs w:val="20"/>
                <w:color w:val="auto"/>
              </w:rPr>
            </w:pPr>
            <w:r>
              <w:rPr>
                <w:rFonts w:ascii="Arial" w:cs="Arial" w:eastAsia="Arial" w:hAnsi="Arial"/>
                <w:sz w:val="18"/>
                <w:szCs w:val="18"/>
                <w:b w:val="1"/>
                <w:bCs w:val="1"/>
                <w:color w:val="auto"/>
                <w:w w:val="79"/>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0"/>
              </w:rPr>
              <w:t>(504)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(503)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50"/>
        </w:trPr>
        <w:tc>
          <w:tcPr>
            <w:tcW w:w="438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w:t>
            </w:r>
          </w:p>
        </w:tc>
        <w:tc>
          <w:tcPr>
            <w:tcW w:w="26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20" w:type="dxa"/>
            <w:vAlign w:val="bottom"/>
            <w:tcBorders>
              <w:right w:val="single" w:sz="8" w:color="C0C0C0"/>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tcBorders>
              <w:right w:val="single" w:sz="8" w:color="C0C0C0"/>
            </w:tcBorders>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80" w:type="dxa"/>
            <w:vAlign w:val="bottom"/>
          </w:tcPr>
          <w:p>
            <w:pPr>
              <w:ind w:left="320"/>
              <w:spacing w:after="0"/>
              <w:rPr>
                <w:sz w:val="20"/>
                <w:szCs w:val="20"/>
                <w:color w:val="auto"/>
              </w:rPr>
            </w:pPr>
            <w:r>
              <w:rPr>
                <w:rFonts w:ascii="Arial" w:cs="Arial" w:eastAsia="Arial" w:hAnsi="Arial"/>
                <w:sz w:val="18"/>
                <w:szCs w:val="18"/>
                <w:color w:val="auto"/>
              </w:rPr>
              <w:t>Domestic</w:t>
            </w: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jc w:val="center"/>
              <w:ind w:left="59"/>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9,977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10,145</w:t>
            </w:r>
          </w:p>
        </w:tc>
        <w:tc>
          <w:tcPr>
            <w:tcW w:w="8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8,154</w:t>
            </w:r>
          </w:p>
        </w:tc>
        <w:tc>
          <w:tcPr>
            <w:tcW w:w="0" w:type="dxa"/>
            <w:vAlign w:val="bottom"/>
          </w:tcPr>
          <w:p>
            <w:pPr>
              <w:spacing w:after="0"/>
              <w:rPr>
                <w:sz w:val="1"/>
                <w:szCs w:val="1"/>
                <w:color w:val="auto"/>
              </w:rPr>
            </w:pPr>
          </w:p>
        </w:tc>
      </w:tr>
      <w:tr>
        <w:trPr>
          <w:trHeight w:val="250"/>
        </w:trPr>
        <w:tc>
          <w:tcPr>
            <w:tcW w:w="43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Foreign subsidiaries</w:t>
            </w:r>
          </w:p>
        </w:tc>
        <w:tc>
          <w:tcPr>
            <w:tcW w:w="26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20" w:type="dxa"/>
            <w:vAlign w:val="bottom"/>
            <w:gridSpan w:val="2"/>
            <w:shd w:val="clear" w:color="auto" w:fill="C0C0C0"/>
          </w:tcPr>
          <w:p>
            <w:pPr>
              <w:jc w:val="center"/>
              <w:ind w:left="59"/>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640" w:type="dxa"/>
            <w:vAlign w:val="bottom"/>
            <w:gridSpan w:val="3"/>
            <w:shd w:val="clear" w:color="auto" w:fill="C0C0C0"/>
          </w:tcPr>
          <w:p>
            <w:pPr>
              <w:jc w:val="right"/>
              <w:ind w:right="170"/>
              <w:spacing w:after="0"/>
              <w:rPr>
                <w:sz w:val="20"/>
                <w:szCs w:val="20"/>
                <w:color w:val="auto"/>
              </w:rPr>
            </w:pPr>
            <w:r>
              <w:rPr>
                <w:rFonts w:ascii="Arial" w:cs="Arial" w:eastAsia="Arial" w:hAnsi="Arial"/>
                <w:sz w:val="18"/>
                <w:szCs w:val="18"/>
                <w:b w:val="1"/>
                <w:bCs w:val="1"/>
                <w:color w:val="auto"/>
                <w:w w:val="90"/>
              </w:rPr>
              <w:t>(519)</w:t>
            </w:r>
          </w:p>
        </w:tc>
        <w:tc>
          <w:tcPr>
            <w:tcW w:w="12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00" w:type="dxa"/>
            <w:vAlign w:val="bottom"/>
            <w:gridSpan w:val="3"/>
            <w:shd w:val="clear" w:color="auto" w:fill="C0C0C0"/>
          </w:tcPr>
          <w:p>
            <w:pPr>
              <w:jc w:val="right"/>
              <w:ind w:right="20"/>
              <w:spacing w:after="0"/>
              <w:rPr>
                <w:sz w:val="20"/>
                <w:szCs w:val="20"/>
                <w:color w:val="auto"/>
              </w:rPr>
            </w:pPr>
            <w:r>
              <w:rPr>
                <w:rFonts w:ascii="Arial" w:cs="Arial" w:eastAsia="Arial" w:hAnsi="Arial"/>
                <w:sz w:val="18"/>
                <w:szCs w:val="18"/>
                <w:color w:val="auto"/>
                <w:w w:val="85"/>
              </w:rPr>
              <w:t>(559)</w:t>
            </w:r>
          </w:p>
        </w:tc>
        <w:tc>
          <w:tcPr>
            <w:tcW w:w="380" w:type="dxa"/>
            <w:vAlign w:val="bottom"/>
            <w:tcBorders>
              <w:right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80" w:type="dxa"/>
            <w:vAlign w:val="bottom"/>
          </w:tcPr>
          <w:p>
            <w:pPr>
              <w:spacing w:after="0"/>
              <w:rPr>
                <w:sz w:val="20"/>
                <w:szCs w:val="20"/>
                <w:color w:val="auto"/>
              </w:rPr>
            </w:pPr>
            <w:r>
              <w:rPr>
                <w:rFonts w:ascii="Arial" w:cs="Arial" w:eastAsia="Arial" w:hAnsi="Arial"/>
                <w:sz w:val="18"/>
                <w:szCs w:val="18"/>
                <w:color w:val="auto"/>
              </w:rPr>
              <w:t>Identifiable assets:</w:t>
            </w: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3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Domestic</w:t>
            </w:r>
          </w:p>
        </w:tc>
        <w:tc>
          <w:tcPr>
            <w:tcW w:w="26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220" w:type="dxa"/>
            <w:vAlign w:val="bottom"/>
            <w:gridSpan w:val="7"/>
            <w:shd w:val="clear" w:color="auto" w:fill="C0C0C0"/>
          </w:tcPr>
          <w:p>
            <w:pPr>
              <w:jc w:val="right"/>
              <w:ind w:right="230"/>
              <w:spacing w:after="0"/>
              <w:rPr>
                <w:sz w:val="20"/>
                <w:szCs w:val="20"/>
                <w:color w:val="auto"/>
              </w:rPr>
            </w:pPr>
            <w:r>
              <w:rPr>
                <w:rFonts w:ascii="Arial" w:cs="Arial" w:eastAsia="Arial" w:hAnsi="Arial"/>
                <w:sz w:val="18"/>
                <w:szCs w:val="18"/>
                <w:b w:val="1"/>
                <w:bCs w:val="1"/>
                <w:color w:val="auto"/>
              </w:rPr>
              <w:t>$ 144,558</w:t>
            </w:r>
          </w:p>
        </w:tc>
        <w:tc>
          <w:tcPr>
            <w:tcW w:w="700" w:type="dxa"/>
            <w:vAlign w:val="bottom"/>
            <w:gridSpan w:val="5"/>
            <w:shd w:val="clear" w:color="auto" w:fill="C0C0C0"/>
          </w:tcPr>
          <w:p>
            <w:pPr>
              <w:jc w:val="right"/>
              <w:spacing w:after="0"/>
              <w:rPr>
                <w:sz w:val="20"/>
                <w:szCs w:val="20"/>
                <w:color w:val="auto"/>
              </w:rPr>
            </w:pPr>
            <w:r>
              <w:rPr>
                <w:rFonts w:ascii="Arial" w:cs="Arial" w:eastAsia="Arial" w:hAnsi="Arial"/>
                <w:sz w:val="18"/>
                <w:szCs w:val="18"/>
                <w:color w:val="auto"/>
                <w:w w:val="84"/>
              </w:rPr>
              <w:t>$ 139,569</w:t>
            </w:r>
          </w:p>
        </w:tc>
        <w:tc>
          <w:tcPr>
            <w:tcW w:w="80" w:type="dxa"/>
            <w:vAlign w:val="bottom"/>
            <w:shd w:val="clear" w:color="auto" w:fill="C0C0C0"/>
          </w:tcPr>
          <w:p>
            <w:pPr>
              <w:spacing w:after="0"/>
              <w:rPr>
                <w:sz w:val="21"/>
                <w:szCs w:val="21"/>
                <w:color w:val="auto"/>
              </w:rPr>
            </w:pPr>
          </w:p>
        </w:tc>
        <w:tc>
          <w:tcPr>
            <w:tcW w:w="90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$ 138,131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380" w:type="dxa"/>
            <w:vAlign w:val="bottom"/>
          </w:tcPr>
          <w:p>
            <w:pPr>
              <w:ind w:left="320"/>
              <w:spacing w:after="0"/>
              <w:rPr>
                <w:sz w:val="20"/>
                <w:szCs w:val="20"/>
                <w:color w:val="auto"/>
              </w:rPr>
            </w:pPr>
            <w:r>
              <w:rPr>
                <w:rFonts w:ascii="Arial" w:cs="Arial" w:eastAsia="Arial" w:hAnsi="Arial"/>
                <w:sz w:val="18"/>
                <w:szCs w:val="18"/>
                <w:color w:val="auto"/>
              </w:rPr>
              <w:t>Foreign subsidiaries</w:t>
            </w:r>
          </w:p>
        </w:tc>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tcPr>
          <w:p>
            <w:pPr>
              <w:jc w:val="center"/>
              <w:ind w:left="59"/>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9,424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9,692</w:t>
            </w:r>
          </w:p>
        </w:tc>
        <w:tc>
          <w:tcPr>
            <w:tcW w:w="8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10,857</w:t>
            </w:r>
          </w:p>
        </w:tc>
        <w:tc>
          <w:tcPr>
            <w:tcW w:w="0" w:type="dxa"/>
            <w:vAlign w:val="bottom"/>
          </w:tcPr>
          <w:p>
            <w:pPr>
              <w:spacing w:after="0"/>
              <w:rPr>
                <w:sz w:val="1"/>
                <w:szCs w:val="1"/>
                <w:color w:val="auto"/>
              </w:rPr>
            </w:pPr>
          </w:p>
        </w:tc>
      </w:tr>
      <w:tr>
        <w:trPr>
          <w:trHeight w:val="499"/>
        </w:trPr>
        <w:tc>
          <w:tcPr>
            <w:tcW w:w="8520" w:type="dxa"/>
            <w:vAlign w:val="bottom"/>
            <w:gridSpan w:val="8"/>
          </w:tcPr>
          <w:p>
            <w:pPr>
              <w:ind w:left="280"/>
              <w:spacing w:after="0"/>
              <w:rPr>
                <w:sz w:val="20"/>
                <w:szCs w:val="20"/>
                <w:color w:val="auto"/>
              </w:rPr>
            </w:pPr>
            <w:r>
              <w:rPr>
                <w:rFonts w:ascii="Arial" w:cs="Arial" w:eastAsia="Arial" w:hAnsi="Arial"/>
                <w:sz w:val="18"/>
                <w:szCs w:val="18"/>
                <w:color w:val="auto"/>
                <w:w w:val="89"/>
              </w:rPr>
              <w:t>Our largest customer accounted for the following percentage of consolidated net sales and net accounts receivable: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4380" w:type="dxa"/>
            <w:vAlign w:val="bottom"/>
            <w:tcBorders>
              <w:bottom w:val="single" w:sz="8" w:color="C0C0C0"/>
            </w:tcBorders>
          </w:tcPr>
          <w:p>
            <w:pPr>
              <w:spacing w:after="0"/>
              <w:rPr>
                <w:sz w:val="24"/>
                <w:szCs w:val="24"/>
                <w:color w:val="auto"/>
              </w:rPr>
            </w:pPr>
          </w:p>
        </w:tc>
        <w:tc>
          <w:tcPr>
            <w:tcW w:w="266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20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200" w:type="dxa"/>
            <w:vAlign w:val="bottom"/>
            <w:tcBorders>
              <w:bottom w:val="single" w:sz="8" w:color="C0C0C0"/>
            </w:tcBorders>
          </w:tcPr>
          <w:p>
            <w:pPr>
              <w:spacing w:after="0"/>
              <w:rPr>
                <w:sz w:val="24"/>
                <w:szCs w:val="24"/>
                <w:color w:val="auto"/>
              </w:rPr>
            </w:pPr>
          </w:p>
        </w:tc>
        <w:tc>
          <w:tcPr>
            <w:tcW w:w="240" w:type="dxa"/>
            <w:vAlign w:val="bottom"/>
            <w:tcBorders>
              <w:bottom w:val="single" w:sz="8" w:color="C0C0C0"/>
            </w:tcBorders>
          </w:tcPr>
          <w:p>
            <w:pPr>
              <w:spacing w:after="0"/>
              <w:rPr>
                <w:sz w:val="24"/>
                <w:szCs w:val="24"/>
                <w:color w:val="auto"/>
              </w:rPr>
            </w:pPr>
          </w:p>
        </w:tc>
        <w:tc>
          <w:tcPr>
            <w:tcW w:w="180" w:type="dxa"/>
            <w:vAlign w:val="bottom"/>
            <w:tcBorders>
              <w:bottom w:val="single" w:sz="8" w:color="C0C0C0"/>
            </w:tcBorders>
          </w:tcPr>
          <w:p>
            <w:pPr>
              <w:spacing w:after="0"/>
              <w:rPr>
                <w:sz w:val="24"/>
                <w:szCs w:val="24"/>
                <w:color w:val="auto"/>
              </w:rPr>
            </w:pPr>
          </w:p>
        </w:tc>
        <w:tc>
          <w:tcPr>
            <w:tcW w:w="14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16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380" w:type="dxa"/>
            <w:vAlign w:val="bottom"/>
            <w:tcBorders>
              <w:bottom w:val="single" w:sz="8" w:color="C0C0C0"/>
            </w:tcBorders>
          </w:tcPr>
          <w:p>
            <w:pPr>
              <w:spacing w:after="0"/>
              <w:rPr>
                <w:sz w:val="24"/>
                <w:szCs w:val="24"/>
                <w:color w:val="auto"/>
              </w:rPr>
            </w:pPr>
          </w:p>
        </w:tc>
        <w:tc>
          <w:tcPr>
            <w:tcW w:w="120" w:type="dxa"/>
            <w:vAlign w:val="bottom"/>
            <w:tcBorders>
              <w:bottom w:val="single" w:sz="8" w:color="C0C0C0"/>
            </w:tcBorders>
          </w:tcPr>
          <w:p>
            <w:pPr>
              <w:spacing w:after="0"/>
              <w:rPr>
                <w:sz w:val="24"/>
                <w:szCs w:val="24"/>
                <w:color w:val="auto"/>
              </w:rPr>
            </w:pPr>
          </w:p>
        </w:tc>
        <w:tc>
          <w:tcPr>
            <w:tcW w:w="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4"/>
              </w:rPr>
              <w:t>2010</w:t>
            </w:r>
          </w:p>
        </w:tc>
        <w:tc>
          <w:tcPr>
            <w:tcW w:w="200" w:type="dxa"/>
            <w:vAlign w:val="bottom"/>
            <w:tcBorders>
              <w:bottom w:val="single" w:sz="8" w:color="C0C0C0"/>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4"/>
              </w:rPr>
              <w:t>2009</w:t>
            </w:r>
          </w:p>
        </w:tc>
        <w:tc>
          <w:tcPr>
            <w:tcW w:w="160" w:type="dxa"/>
            <w:vAlign w:val="bottom"/>
            <w:tcBorders>
              <w:bottom w:val="single" w:sz="8" w:color="C0C0C0"/>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C0C0C0"/>
          </w:tcPr>
          <w:p>
            <w:pPr>
              <w:spacing w:after="0"/>
              <w:rPr>
                <w:sz w:val="20"/>
                <w:szCs w:val="20"/>
                <w:color w:val="auto"/>
              </w:rPr>
            </w:pPr>
            <w:r>
              <w:rPr>
                <w:rFonts w:ascii="Arial" w:cs="Arial" w:eastAsia="Arial" w:hAnsi="Arial"/>
                <w:sz w:val="18"/>
                <w:szCs w:val="18"/>
                <w:color w:val="auto"/>
              </w:rPr>
              <w:t>Net sales for the years ended July 31</w:t>
            </w:r>
          </w:p>
        </w:tc>
        <w:tc>
          <w:tcPr>
            <w:tcW w:w="26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20" w:type="dxa"/>
            <w:vAlign w:val="bottom"/>
            <w:tcBorders>
              <w:right w:val="single" w:sz="8" w:color="C0C0C0"/>
            </w:tcBorders>
            <w:shd w:val="clear" w:color="auto" w:fill="C0C0C0"/>
          </w:tcPr>
          <w:p>
            <w:pPr>
              <w:spacing w:after="0"/>
              <w:rPr>
                <w:sz w:val="21"/>
                <w:szCs w:val="21"/>
                <w:color w:val="auto"/>
              </w:rPr>
            </w:pPr>
          </w:p>
        </w:tc>
        <w:tc>
          <w:tcPr>
            <w:tcW w:w="380" w:type="dxa"/>
            <w:vAlign w:val="bottom"/>
            <w:gridSpan w:val="3"/>
            <w:shd w:val="clear" w:color="auto" w:fill="C0C0C0"/>
          </w:tcPr>
          <w:p>
            <w:pPr>
              <w:jc w:val="center"/>
              <w:spacing w:after="0"/>
              <w:rPr>
                <w:sz w:val="20"/>
                <w:szCs w:val="20"/>
                <w:color w:val="auto"/>
              </w:rPr>
            </w:pPr>
            <w:r>
              <w:rPr>
                <w:rFonts w:ascii="Arial" w:cs="Arial" w:eastAsia="Arial" w:hAnsi="Arial"/>
                <w:sz w:val="18"/>
                <w:szCs w:val="18"/>
                <w:b w:val="1"/>
                <w:bCs w:val="1"/>
                <w:color w:val="auto"/>
                <w:w w:val="94"/>
              </w:rPr>
              <w:t>20%</w:t>
            </w:r>
          </w:p>
        </w:tc>
        <w:tc>
          <w:tcPr>
            <w:tcW w:w="2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380" w:type="dxa"/>
            <w:vAlign w:val="bottom"/>
            <w:tcBorders>
              <w:right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w w:val="94"/>
              </w:rPr>
              <w:t>26%</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380" w:type="dxa"/>
            <w:vAlign w:val="bottom"/>
          </w:tcPr>
          <w:p>
            <w:pPr>
              <w:spacing w:after="0"/>
              <w:rPr>
                <w:sz w:val="20"/>
                <w:szCs w:val="20"/>
                <w:color w:val="auto"/>
              </w:rPr>
            </w:pPr>
            <w:r>
              <w:rPr>
                <w:rFonts w:ascii="Arial" w:cs="Arial" w:eastAsia="Arial" w:hAnsi="Arial"/>
                <w:sz w:val="18"/>
                <w:szCs w:val="18"/>
                <w:color w:val="auto"/>
              </w:rPr>
              <w:t>Net accounts receivable as of July 31</w:t>
            </w:r>
          </w:p>
        </w:tc>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32%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38%</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72"/>
        </w:trPr>
        <w:tc>
          <w:tcPr>
            <w:tcW w:w="4380" w:type="dxa"/>
            <w:vAlign w:val="bottom"/>
          </w:tcPr>
          <w:p>
            <w:pPr>
              <w:spacing w:after="0"/>
              <w:rPr>
                <w:sz w:val="24"/>
                <w:szCs w:val="24"/>
                <w:color w:val="auto"/>
              </w:rPr>
            </w:pPr>
          </w:p>
        </w:tc>
        <w:tc>
          <w:tcPr>
            <w:tcW w:w="2660" w:type="dxa"/>
            <w:vAlign w:val="bottom"/>
          </w:tcPr>
          <w:p>
            <w:pPr>
              <w:jc w:val="right"/>
              <w:ind w:right="1166"/>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38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28"/>
        </w:trPr>
        <w:tc>
          <w:tcPr>
            <w:tcW w:w="9620" w:type="dxa"/>
            <w:vAlign w:val="bottom"/>
          </w:tcPr>
          <w:p>
            <w:pPr>
              <w:spacing w:after="0"/>
              <w:rPr>
                <w:sz w:val="20"/>
                <w:szCs w:val="20"/>
                <w:color w:val="auto"/>
              </w:rPr>
            </w:pPr>
            <w:r>
              <w:rPr>
                <w:rFonts w:ascii="Arial" w:cs="Arial" w:eastAsia="Arial" w:hAnsi="Arial"/>
                <w:sz w:val="18"/>
                <w:szCs w:val="18"/>
                <w:b w:val="1"/>
                <w:bCs w:val="1"/>
                <w:color w:val="auto"/>
              </w:rPr>
              <w:t>NOTE 4 – NOTES PAYABLE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459"/>
        </w:trPr>
        <w:tc>
          <w:tcPr>
            <w:tcW w:w="9620" w:type="dxa"/>
            <w:vAlign w:val="bottom"/>
          </w:tcPr>
          <w:p>
            <w:pPr>
              <w:spacing w:after="0"/>
              <w:rPr>
                <w:sz w:val="20"/>
                <w:szCs w:val="20"/>
                <w:color w:val="auto"/>
              </w:rPr>
            </w:pPr>
            <w:r>
              <w:rPr>
                <w:rFonts w:ascii="Arial" w:cs="Arial" w:eastAsia="Arial" w:hAnsi="Arial"/>
                <w:sz w:val="18"/>
                <w:szCs w:val="18"/>
                <w:color w:val="auto"/>
              </w:rPr>
              <w:t>The composition of notes payable at July 31 is as follows: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2"/>
        </w:trPr>
        <w:tc>
          <w:tcPr>
            <w:tcW w:w="9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w w:val="99"/>
              </w:rPr>
              <w:t>2010</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2009</w:t>
            </w:r>
          </w:p>
        </w:tc>
      </w:tr>
      <w:tr>
        <w:trPr>
          <w:trHeight w:val="202"/>
        </w:trPr>
        <w:tc>
          <w:tcPr>
            <w:tcW w:w="9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(in thousands)</w:t>
            </w:r>
          </w:p>
        </w:tc>
      </w:tr>
      <w:tr>
        <w:trPr>
          <w:trHeight w:val="41"/>
        </w:trPr>
        <w:tc>
          <w:tcPr>
            <w:tcW w:w="9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28"/>
        </w:trPr>
        <w:tc>
          <w:tcPr>
            <w:tcW w:w="9620" w:type="dxa"/>
            <w:vAlign w:val="bottom"/>
            <w:shd w:val="clear" w:color="auto" w:fill="C0C0C0"/>
          </w:tcPr>
          <w:p>
            <w:pPr>
              <w:spacing w:after="0"/>
              <w:rPr>
                <w:sz w:val="20"/>
                <w:szCs w:val="20"/>
                <w:color w:val="auto"/>
              </w:rPr>
            </w:pPr>
            <w:r>
              <w:rPr>
                <w:rFonts w:ascii="Arial" w:cs="Arial" w:eastAsia="Arial" w:hAnsi="Arial"/>
                <w:sz w:val="18"/>
                <w:szCs w:val="18"/>
                <w:color w:val="auto"/>
              </w:rPr>
              <w:t>Prudential Financial</w:t>
            </w:r>
          </w:p>
        </w:tc>
        <w:tc>
          <w:tcPr>
            <w:tcW w:w="2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r>
      <w:tr>
        <w:trPr>
          <w:trHeight w:val="243"/>
        </w:trPr>
        <w:tc>
          <w:tcPr>
            <w:tcW w:w="9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Payable in annual principal installments on April 15:</w:t>
            </w:r>
          </w:p>
        </w:tc>
        <w:tc>
          <w:tcPr>
            <w:tcW w:w="2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43"/>
        </w:trPr>
        <w:tc>
          <w:tcPr>
            <w:tcW w:w="9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$2,000 in fiscal 2011 and $1,500 in fiscal 2012 and 2013.</w:t>
            </w:r>
          </w:p>
        </w:tc>
        <w:tc>
          <w:tcPr>
            <w:tcW w:w="2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59"/>
        </w:trPr>
        <w:tc>
          <w:tcPr>
            <w:tcW w:w="9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is payable semiannually at an annual rate of 6.55%</w:t>
            </w:r>
          </w:p>
        </w:tc>
        <w:tc>
          <w:tcPr>
            <w:tcW w:w="240" w:type="dxa"/>
            <w:vAlign w:val="bottom"/>
            <w:shd w:val="clear" w:color="auto" w:fill="C0C0C0"/>
          </w:tcPr>
          <w:p>
            <w:pPr>
              <w:spacing w:after="0"/>
              <w:rPr>
                <w:sz w:val="22"/>
                <w:szCs w:val="22"/>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0C0C0"/>
          </w:tcPr>
          <w:p>
            <w:pPr>
              <w:jc w:val="right"/>
              <w:ind w:right="15"/>
              <w:spacing w:after="0"/>
              <w:rPr>
                <w:sz w:val="20"/>
                <w:szCs w:val="20"/>
                <w:color w:val="auto"/>
              </w:rPr>
            </w:pPr>
            <w:r>
              <w:rPr>
                <w:rFonts w:ascii="Arial" w:cs="Arial" w:eastAsia="Arial" w:hAnsi="Arial"/>
                <w:sz w:val="18"/>
                <w:szCs w:val="18"/>
                <w:b w:val="1"/>
                <w:bCs w:val="1"/>
                <w:color w:val="auto"/>
              </w:rPr>
              <w:t>5,000</w:t>
            </w:r>
          </w:p>
        </w:tc>
        <w:tc>
          <w:tcPr>
            <w:tcW w:w="2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8,000</w:t>
            </w:r>
          </w:p>
        </w:tc>
      </w:tr>
      <w:tr>
        <w:trPr>
          <w:trHeight w:val="243"/>
        </w:trPr>
        <w:tc>
          <w:tcPr>
            <w:tcW w:w="9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28"/>
        </w:trPr>
        <w:tc>
          <w:tcPr>
            <w:tcW w:w="9620" w:type="dxa"/>
            <w:vAlign w:val="bottom"/>
            <w:shd w:val="clear" w:color="auto" w:fill="C0C0C0"/>
          </w:tcPr>
          <w:p>
            <w:pPr>
              <w:spacing w:after="0"/>
              <w:rPr>
                <w:sz w:val="20"/>
                <w:szCs w:val="20"/>
                <w:color w:val="auto"/>
              </w:rPr>
            </w:pPr>
            <w:r>
              <w:rPr>
                <w:rFonts w:ascii="Arial" w:cs="Arial" w:eastAsia="Arial" w:hAnsi="Arial"/>
                <w:sz w:val="18"/>
                <w:szCs w:val="18"/>
                <w:color w:val="auto"/>
              </w:rPr>
              <w:t>The Prudential Insurance Company of America and Prudential</w:t>
            </w:r>
          </w:p>
        </w:tc>
        <w:tc>
          <w:tcPr>
            <w:tcW w:w="2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r>
      <w:tr>
        <w:trPr>
          <w:trHeight w:val="243"/>
        </w:trPr>
        <w:tc>
          <w:tcPr>
            <w:tcW w:w="9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Retirement Insurance and Annuity Company</w:t>
            </w:r>
          </w:p>
        </w:tc>
        <w:tc>
          <w:tcPr>
            <w:tcW w:w="2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43"/>
        </w:trPr>
        <w:tc>
          <w:tcPr>
            <w:tcW w:w="9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Payable in annual principal installments on October 15:</w:t>
            </w:r>
          </w:p>
        </w:tc>
        <w:tc>
          <w:tcPr>
            <w:tcW w:w="2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43"/>
        </w:trPr>
        <w:tc>
          <w:tcPr>
            <w:tcW w:w="9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$1,500 in fiscal 2011; $2,100 in fiscal 2012;</w:t>
            </w:r>
          </w:p>
        </w:tc>
        <w:tc>
          <w:tcPr>
            <w:tcW w:w="2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43"/>
        </w:trPr>
        <w:tc>
          <w:tcPr>
            <w:tcW w:w="9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$2,300 in fiscal 2013; $3,500 in fiscal 2014;</w:t>
            </w:r>
          </w:p>
        </w:tc>
        <w:tc>
          <w:tcPr>
            <w:tcW w:w="2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43"/>
        </w:trPr>
        <w:tc>
          <w:tcPr>
            <w:tcW w:w="9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$3,500 in fiscal 2015; and $400 in fiscal 2016.</w:t>
            </w:r>
          </w:p>
        </w:tc>
        <w:tc>
          <w:tcPr>
            <w:tcW w:w="2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43"/>
        </w:trPr>
        <w:tc>
          <w:tcPr>
            <w:tcW w:w="9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is payable semiannually at an annual rate</w:t>
            </w:r>
          </w:p>
        </w:tc>
        <w:tc>
          <w:tcPr>
            <w:tcW w:w="2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59"/>
        </w:trPr>
        <w:tc>
          <w:tcPr>
            <w:tcW w:w="9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of 5.89%</w:t>
            </w:r>
          </w:p>
        </w:tc>
        <w:tc>
          <w:tcPr>
            <w:tcW w:w="240" w:type="dxa"/>
            <w:vAlign w:val="bottom"/>
            <w:shd w:val="clear" w:color="auto" w:fill="C0C0C0"/>
          </w:tcPr>
          <w:p>
            <w:pPr>
              <w:spacing w:after="0"/>
              <w:rPr>
                <w:sz w:val="22"/>
                <w:szCs w:val="22"/>
                <w:color w:val="auto"/>
              </w:rPr>
            </w:pPr>
          </w:p>
        </w:tc>
        <w:tc>
          <w:tcPr>
            <w:tcW w:w="120" w:type="dxa"/>
            <w:vAlign w:val="bottom"/>
            <w:tcBorders>
              <w:bottom w:val="single" w:sz="8" w:color="auto"/>
            </w:tcBorders>
            <w:shd w:val="clear" w:color="auto" w:fill="C0C0C0"/>
          </w:tcPr>
          <w:p>
            <w:pPr>
              <w:spacing w:after="0"/>
              <w:rPr>
                <w:sz w:val="22"/>
                <w:szCs w:val="22"/>
                <w:color w:val="auto"/>
              </w:rPr>
            </w:pPr>
          </w:p>
        </w:tc>
        <w:tc>
          <w:tcPr>
            <w:tcW w:w="580" w:type="dxa"/>
            <w:vAlign w:val="bottom"/>
            <w:tcBorders>
              <w:bottom w:val="single" w:sz="8" w:color="auto"/>
            </w:tcBorders>
            <w:shd w:val="clear" w:color="auto" w:fill="C0C0C0"/>
          </w:tcPr>
          <w:p>
            <w:pPr>
              <w:jc w:val="right"/>
              <w:ind w:right="15"/>
              <w:spacing w:after="0"/>
              <w:rPr>
                <w:sz w:val="20"/>
                <w:szCs w:val="20"/>
                <w:color w:val="auto"/>
              </w:rPr>
            </w:pPr>
            <w:r>
              <w:rPr>
                <w:rFonts w:ascii="Arial" w:cs="Arial" w:eastAsia="Arial" w:hAnsi="Arial"/>
                <w:sz w:val="18"/>
                <w:szCs w:val="18"/>
                <w:b w:val="1"/>
                <w:bCs w:val="1"/>
                <w:color w:val="auto"/>
                <w:w w:val="83"/>
              </w:rPr>
              <w:t>13,300</w:t>
            </w:r>
          </w:p>
        </w:tc>
        <w:tc>
          <w:tcPr>
            <w:tcW w:w="160" w:type="dxa"/>
            <w:vAlign w:val="bottom"/>
            <w:shd w:val="clear" w:color="auto" w:fill="C0C0C0"/>
          </w:tcPr>
          <w:p>
            <w:pPr>
              <w:spacing w:after="0"/>
              <w:rPr>
                <w:sz w:val="22"/>
                <w:szCs w:val="22"/>
                <w:color w:val="auto"/>
              </w:rPr>
            </w:pPr>
          </w:p>
        </w:tc>
        <w:tc>
          <w:tcPr>
            <w:tcW w:w="100" w:type="dxa"/>
            <w:vAlign w:val="bottom"/>
            <w:tcBorders>
              <w:bottom w:val="single" w:sz="8" w:color="auto"/>
            </w:tcBorders>
            <w:shd w:val="clear" w:color="auto" w:fill="C0C0C0"/>
          </w:tcPr>
          <w:p>
            <w:pPr>
              <w:spacing w:after="0"/>
              <w:rPr>
                <w:sz w:val="22"/>
                <w:szCs w:val="22"/>
                <w:color w:val="auto"/>
              </w:rPr>
            </w:pPr>
          </w:p>
        </w:tc>
        <w:tc>
          <w:tcPr>
            <w:tcW w:w="6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highlight w:val="lightGray"/>
                <w:w w:val="87"/>
              </w:rPr>
              <w:t>13,500</w:t>
            </w:r>
          </w:p>
        </w:tc>
      </w:tr>
      <w:tr>
        <w:trPr>
          <w:trHeight w:val="222"/>
        </w:trPr>
        <w:tc>
          <w:tcPr>
            <w:tcW w:w="9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ind w:right="15"/>
              <w:spacing w:after="0"/>
              <w:rPr>
                <w:sz w:val="20"/>
                <w:szCs w:val="20"/>
                <w:color w:val="auto"/>
              </w:rPr>
            </w:pPr>
            <w:r>
              <w:rPr>
                <w:rFonts w:ascii="Arial" w:cs="Arial" w:eastAsia="Arial" w:hAnsi="Arial"/>
                <w:sz w:val="18"/>
                <w:szCs w:val="18"/>
                <w:b w:val="1"/>
                <w:bCs w:val="1"/>
                <w:color w:val="auto"/>
                <w:w w:val="83"/>
              </w:rPr>
              <w:t>18,300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21,500</w:t>
            </w:r>
          </w:p>
        </w:tc>
      </w:tr>
      <w:tr>
        <w:trPr>
          <w:trHeight w:val="258"/>
        </w:trPr>
        <w:tc>
          <w:tcPr>
            <w:tcW w:w="9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37"/>
        </w:trPr>
        <w:tc>
          <w:tcPr>
            <w:tcW w:w="9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Less current maturities of notes payable</w:t>
            </w:r>
          </w:p>
        </w:tc>
        <w:tc>
          <w:tcPr>
            <w:tcW w:w="24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91"/>
              </w:rPr>
              <w:t>(3,500)</w:t>
            </w:r>
          </w:p>
        </w:tc>
        <w:tc>
          <w:tcPr>
            <w:tcW w:w="1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4"/>
              </w:rPr>
              <w:t>(3,200)</w:t>
            </w:r>
          </w:p>
        </w:tc>
      </w:tr>
      <w:tr>
        <w:trPr>
          <w:trHeight w:val="230"/>
        </w:trPr>
        <w:tc>
          <w:tcPr>
            <w:tcW w:w="9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6"/>
        </w:trPr>
        <w:tc>
          <w:tcPr>
            <w:tcW w:w="96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0C0C0"/>
          </w:tcPr>
          <w:p>
            <w:pPr>
              <w:jc w:val="right"/>
              <w:ind w:right="15"/>
              <w:spacing w:after="0"/>
              <w:rPr>
                <w:sz w:val="20"/>
                <w:szCs w:val="20"/>
                <w:color w:val="auto"/>
              </w:rPr>
            </w:pPr>
            <w:r>
              <w:rPr>
                <w:rFonts w:ascii="Arial" w:cs="Arial" w:eastAsia="Arial" w:hAnsi="Arial"/>
                <w:sz w:val="18"/>
                <w:szCs w:val="18"/>
                <w:b w:val="1"/>
                <w:bCs w:val="1"/>
                <w:color w:val="auto"/>
                <w:w w:val="83"/>
              </w:rPr>
              <w:t>14,800</w:t>
            </w:r>
          </w:p>
        </w:tc>
        <w:tc>
          <w:tcPr>
            <w:tcW w:w="2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87"/>
              </w:rPr>
              <w:t>18,300</w:t>
            </w:r>
          </w:p>
        </w:tc>
      </w:tr>
      <w:tr>
        <w:trPr>
          <w:trHeight w:val="34"/>
        </w:trPr>
        <w:tc>
          <w:tcPr>
            <w:tcW w:w="9620" w:type="dxa"/>
            <w:vAlign w:val="bottom"/>
            <w:shd w:val="clear" w:color="auto" w:fill="C0C0C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r>
    </w:tbl>
    <w:p>
      <w:pPr>
        <w:spacing w:after="0" w:line="302"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We sold at face value $15,000,000 in senior promissory notes to The Prudential Insurance Company of America and to Prudential Retirement Insurance and Annuity Company pursuant to a Note Agreement dated December 16, 2005. The notes bear interest at 5.89% per annum and mature on October 15, 2015. The proceeds of the sale may be used to fund future principal payments on debt, acquisitions, stock repurchases, and capital expenditures and for working capital purposes. The Note Agreement contains certain covenants that restrict our ability to, among other things, incur additional indebtedness, dispose of assets and merge or consolidate. The Note Agreement also requires a minimum fixed coverage ratio and a minimum consolidated net worth to be maintained.</w:t>
      </w:r>
    </w:p>
    <w:p>
      <w:pPr>
        <w:spacing w:after="0" w:line="224"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color w:val="auto"/>
        </w:rPr>
        <w:t>We have a $25,000,000 Note Purchase Agreement with Prudential Financial. This agreement includes a fixed charges ratio covenant of 1.50 to 1.00. An additional interest charge of 0.25% will be incurred for any fiscal quarter end for which the fixed charge coverage ratio is less than required amount.</w:t>
      </w:r>
    </w:p>
    <w:p>
      <w:pPr>
        <w:spacing w:after="0" w:line="193"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We have a $15,000,000 unsecured revolving credit agreement with Harris N.A. (“Harris”) effective until December 31, 2011. The credit agreement with Harris provides that we may select a variable rate based on either Harris’ prime rate or a LIBOR-based rate, plus a margin which varies depending on our debt to earnings ratio, or a fixed rate as agreed between us and Harris. As of July 31, 2010 and 2009, there were no outstanding borrowings under this credit facility. At July 31, 2010, the variable rates would have been 3.3% for the Harris’ prime-based rate or 1.6% for the LIBOR-based rate. At July 31, 2009, the variable rates would have been 3.3% for the Harris’ prime-based rate or 1.9%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w:t>
      </w:r>
    </w:p>
    <w:p>
      <w:pPr>
        <w:spacing w:after="0" w:line="22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12, 2006, Favorite Products Company, Ltd., a wholly-owned subsidiary, entered into a credit agreement with the National Bank of Canada that is effective until July 31, 2011. At July 31, 2010, the agreement provided up to $300,000 (Canadian dollars) in committed unsecured revolving credit loans. The interest rate on any outstanding borrowings would be based on the Canadian prime rate. The agreement also contains restrictive covenants that require Favorite Products to maintain a minimum working capital ratio and a maximum debt to equity ratio. As of July 31, 2010, there were no outstanding borrowings against this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NOTE 4 – NOTES PAYABLE (CONTINUED)</w:t>
      </w:r>
    </w:p>
    <w:p>
      <w:pPr>
        <w:spacing w:after="0" w:line="28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The agreements with Prudential Financial and Harris impose working capital requirements, dividend and financing limitations, minimum tangible net worth requirements and other restrictions. Our credit agreement with Harris indirectly restricts dividends by requiring us to maintain consolidated net worth, as defined, of about $56,760,000 plus 25% of cumulative quarterly earnings from January 31, 2006.</w:t>
      </w:r>
    </w:p>
    <w:p>
      <w:pPr>
        <w:spacing w:after="0" w:line="248"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Our debt agreements also contain provisions such that if we default on one debt agreement, the others will automatically default. If we default on any guaranteed debt with a balance greater than $1,000,000, our unsecured revolving credit agreement with Harris will be considered in default. If we default on any debt with a balance greater than $5,000,000 we will also be considered in default on the note agreement with Prudential Financial and with the promissory notes to The Prudential Insurance Company of America and Prudential Retirement Insurance and Annuity Company.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were in compliance with all restrictive covenants and limitations at July 31, 2010.</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is a schedule by fiscal year of future maturities of notes payable as of July 31, 2010 (in thousands):</w:t>
      </w:r>
    </w:p>
    <w:p>
      <w:pPr>
        <w:spacing w:after="0" w:line="261" w:lineRule="exact"/>
        <w:rPr>
          <w:sz w:val="20"/>
          <w:szCs w:val="20"/>
          <w:color w:val="auto"/>
        </w:rPr>
      </w:pPr>
    </w:p>
    <w:tbl>
      <w:tblPr>
        <w:tblLayout w:type="fixed"/>
        <w:tblInd w:w="3440" w:type="dxa"/>
        <w:tblCellMar>
          <w:top w:w="0" w:type="dxa"/>
          <w:left w:w="0" w:type="dxa"/>
          <w:bottom w:w="0" w:type="dxa"/>
          <w:right w:w="0" w:type="dxa"/>
        </w:tblCellMar>
      </w:tblPr>
      <w:tr>
        <w:trPr>
          <w:trHeight w:val="243"/>
        </w:trPr>
        <w:tc>
          <w:tcPr>
            <w:tcW w:w="3980" w:type="dxa"/>
            <w:vAlign w:val="bottom"/>
            <w:shd w:val="clear" w:color="auto" w:fill="C0C0C0"/>
          </w:tcPr>
          <w:p>
            <w:pPr>
              <w:spacing w:after="0"/>
              <w:rPr>
                <w:sz w:val="20"/>
                <w:szCs w:val="20"/>
                <w:color w:val="auto"/>
              </w:rPr>
            </w:pPr>
            <w:r>
              <w:rPr>
                <w:rFonts w:ascii="Arial" w:cs="Arial" w:eastAsia="Arial" w:hAnsi="Arial"/>
                <w:sz w:val="18"/>
                <w:szCs w:val="18"/>
                <w:color w:val="auto"/>
              </w:rPr>
              <w:t>2011</w:t>
            </w:r>
          </w:p>
        </w:tc>
        <w:tc>
          <w:tcPr>
            <w:tcW w:w="80" w:type="dxa"/>
            <w:vAlign w:val="bottom"/>
            <w:gridSpan w:val="2"/>
            <w:shd w:val="clear" w:color="auto" w:fill="C0C0C0"/>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3,500</w:t>
            </w:r>
          </w:p>
        </w:tc>
      </w:tr>
      <w:tr>
        <w:trPr>
          <w:trHeight w:val="236"/>
        </w:trPr>
        <w:tc>
          <w:tcPr>
            <w:tcW w:w="3980" w:type="dxa"/>
            <w:vAlign w:val="bottom"/>
          </w:tcPr>
          <w:p>
            <w:pPr>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3,600</w:t>
            </w:r>
          </w:p>
        </w:tc>
      </w:tr>
      <w:tr>
        <w:trPr>
          <w:trHeight w:val="250"/>
        </w:trPr>
        <w:tc>
          <w:tcPr>
            <w:tcW w:w="3980" w:type="dxa"/>
            <w:vAlign w:val="bottom"/>
            <w:shd w:val="clear" w:color="auto" w:fill="C0C0C0"/>
          </w:tcPr>
          <w:p>
            <w:pPr>
              <w:spacing w:after="0"/>
              <w:rPr>
                <w:sz w:val="20"/>
                <w:szCs w:val="20"/>
                <w:color w:val="auto"/>
              </w:rPr>
            </w:pPr>
            <w:r>
              <w:rPr>
                <w:rFonts w:ascii="Arial" w:cs="Arial" w:eastAsia="Arial" w:hAnsi="Arial"/>
                <w:sz w:val="18"/>
                <w:szCs w:val="18"/>
                <w:color w:val="auto"/>
              </w:rPr>
              <w:t>2013</w:t>
            </w:r>
          </w:p>
        </w:tc>
        <w:tc>
          <w:tcPr>
            <w:tcW w:w="2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3,800</w:t>
            </w:r>
          </w:p>
        </w:tc>
      </w:tr>
      <w:tr>
        <w:trPr>
          <w:trHeight w:val="236"/>
        </w:trPr>
        <w:tc>
          <w:tcPr>
            <w:tcW w:w="3980" w:type="dxa"/>
            <w:vAlign w:val="bottom"/>
          </w:tcPr>
          <w:p>
            <w:pPr>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3,500</w:t>
            </w:r>
          </w:p>
        </w:tc>
      </w:tr>
      <w:tr>
        <w:trPr>
          <w:trHeight w:val="250"/>
        </w:trPr>
        <w:tc>
          <w:tcPr>
            <w:tcW w:w="3980" w:type="dxa"/>
            <w:vAlign w:val="bottom"/>
            <w:shd w:val="clear" w:color="auto" w:fill="C0C0C0"/>
          </w:tcPr>
          <w:p>
            <w:pPr>
              <w:spacing w:after="0"/>
              <w:rPr>
                <w:sz w:val="20"/>
                <w:szCs w:val="20"/>
                <w:color w:val="auto"/>
              </w:rPr>
            </w:pPr>
            <w:r>
              <w:rPr>
                <w:rFonts w:ascii="Arial" w:cs="Arial" w:eastAsia="Arial" w:hAnsi="Arial"/>
                <w:sz w:val="18"/>
                <w:szCs w:val="18"/>
                <w:color w:val="auto"/>
              </w:rPr>
              <w:t>Later years</w:t>
            </w:r>
          </w:p>
        </w:tc>
        <w:tc>
          <w:tcPr>
            <w:tcW w:w="20" w:type="dxa"/>
            <w:vAlign w:val="bottom"/>
            <w:shd w:val="clear" w:color="auto" w:fill="C0C0C0"/>
          </w:tcPr>
          <w:p>
            <w:pPr>
              <w:spacing w:after="0"/>
              <w:rPr>
                <w:sz w:val="21"/>
                <w:szCs w:val="21"/>
                <w:color w:val="auto"/>
              </w:rPr>
            </w:pPr>
          </w:p>
        </w:tc>
        <w:tc>
          <w:tcPr>
            <w:tcW w:w="6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3,900</w:t>
            </w:r>
          </w:p>
        </w:tc>
      </w:tr>
      <w:tr>
        <w:trPr>
          <w:trHeight w:val="244"/>
        </w:trPr>
        <w:tc>
          <w:tcPr>
            <w:tcW w:w="39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18,300</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w:t>
      </w:r>
    </w:p>
    <w:p>
      <w:pPr>
        <w:spacing w:after="0" w:line="28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w:t>
      </w:r>
    </w:p>
    <w:p>
      <w:pPr>
        <w:spacing w:after="0" w:line="221" w:lineRule="exact"/>
        <w:rPr>
          <w:sz w:val="20"/>
          <w:szCs w:val="20"/>
          <w:color w:val="auto"/>
        </w:rPr>
      </w:pPr>
    </w:p>
    <w:p>
      <w:pPr>
        <w:ind w:left="160"/>
        <w:spacing w:after="0"/>
        <w:tabs>
          <w:tab w:leader="none" w:pos="8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Financial assets and liabilities whose values are based on quoted market prices in active markets for identical assets or liabilities.</w:t>
      </w:r>
    </w:p>
    <w:p>
      <w:pPr>
        <w:spacing w:after="0" w:line="15" w:lineRule="exact"/>
        <w:rPr>
          <w:sz w:val="20"/>
          <w:szCs w:val="20"/>
          <w:color w:val="auto"/>
        </w:rPr>
      </w:pPr>
    </w:p>
    <w:p>
      <w:pPr>
        <w:ind w:left="160"/>
        <w:spacing w:after="0"/>
        <w:tabs>
          <w:tab w:leader="none" w:pos="8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5"/>
          <w:szCs w:val="15"/>
          <w:color w:val="auto"/>
        </w:rPr>
        <w:t>Financial assets and liabilities whose values are based on:</w:t>
      </w:r>
    </w:p>
    <w:p>
      <w:pPr>
        <w:spacing w:after="0" w:line="9" w:lineRule="exact"/>
        <w:rPr>
          <w:sz w:val="20"/>
          <w:szCs w:val="20"/>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9" w:lineRule="exact"/>
        <w:rPr>
          <w:sz w:val="20"/>
          <w:szCs w:val="20"/>
          <w:color w:val="auto"/>
        </w:rPr>
      </w:pPr>
    </w:p>
    <w:p>
      <w:pPr>
        <w:jc w:val="both"/>
        <w:ind w:left="880" w:hanging="728"/>
        <w:spacing w:after="0" w:line="255" w:lineRule="auto"/>
        <w:tabs>
          <w:tab w:leader="none" w:pos="860" w:val="left"/>
        </w:tabs>
        <w:rPr>
          <w:sz w:val="20"/>
          <w:szCs w:val="20"/>
          <w:color w:val="auto"/>
        </w:rPr>
      </w:pPr>
      <w:r>
        <w:rPr>
          <w:rFonts w:ascii="Arial" w:cs="Arial" w:eastAsia="Arial" w:hAnsi="Arial"/>
          <w:sz w:val="18"/>
          <w:szCs w:val="18"/>
          <w:color w:val="auto"/>
        </w:rPr>
        <w:t>Level 3:</w:t>
        <w:tab/>
        <w:t>Financial assets and liabilities whose values are based on valuation techniques that require inputs that are both unobservable and significant to the overall fair value measurement. These inputs may reflect estimates of the assumptions that market participants would use in valuing the financial assets and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financial assets and liabilities that were reported at fair value by level within the fair value hierarchy:</w:t>
      </w: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1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Fair Value at July 31, 2010</w:t>
            </w:r>
          </w:p>
        </w:tc>
      </w:tr>
      <w:tr>
        <w:trPr>
          <w:trHeight w:val="252"/>
        </w:trPr>
        <w:tc>
          <w:tcPr>
            <w:tcW w:w="57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660" w:type="dxa"/>
            <w:vAlign w:val="bottom"/>
            <w:tcBorders>
              <w:bottom w:val="single" w:sz="8" w:color="auto"/>
            </w:tcBorders>
            <w:gridSpan w:val="5"/>
          </w:tcPr>
          <w:p>
            <w:pPr>
              <w:jc w:val="center"/>
              <w:ind w:left="332"/>
              <w:spacing w:after="0"/>
              <w:rPr>
                <w:sz w:val="20"/>
                <w:szCs w:val="20"/>
                <w:color w:val="auto"/>
              </w:rPr>
            </w:pPr>
            <w:r>
              <w:rPr>
                <w:rFonts w:ascii="Arial" w:cs="Arial" w:eastAsia="Arial" w:hAnsi="Arial"/>
                <w:sz w:val="18"/>
                <w:szCs w:val="18"/>
                <w:b w:val="1"/>
                <w:bCs w:val="1"/>
                <w:color w:val="auto"/>
                <w:w w:val="87"/>
              </w:rPr>
              <w:t>(in thousands)</w:t>
            </w:r>
          </w:p>
        </w:tc>
        <w:tc>
          <w:tcPr>
            <w:tcW w:w="440" w:type="dxa"/>
            <w:vAlign w:val="bottom"/>
            <w:tcBorders>
              <w:bottom w:val="single" w:sz="8" w:color="auto"/>
            </w:tcBorders>
          </w:tcPr>
          <w:p>
            <w:pPr>
              <w:spacing w:after="0"/>
              <w:rPr>
                <w:sz w:val="21"/>
                <w:szCs w:val="21"/>
                <w:color w:val="auto"/>
              </w:rPr>
            </w:pPr>
          </w:p>
        </w:tc>
      </w:tr>
      <w:tr>
        <w:trPr>
          <w:trHeight w:val="237"/>
        </w:trPr>
        <w:tc>
          <w:tcPr>
            <w:tcW w:w="5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8"/>
              </w:rPr>
              <w:t>Level 1</w:t>
            </w:r>
          </w:p>
        </w:tc>
        <w:tc>
          <w:tcPr>
            <w:tcW w:w="700" w:type="dxa"/>
            <w:vAlign w:val="bottom"/>
            <w:gridSpan w:val="3"/>
          </w:tcPr>
          <w:p>
            <w:pPr>
              <w:ind w:left="140"/>
              <w:spacing w:after="0"/>
              <w:rPr>
                <w:sz w:val="20"/>
                <w:szCs w:val="20"/>
                <w:color w:val="auto"/>
              </w:rPr>
            </w:pPr>
            <w:r>
              <w:rPr>
                <w:rFonts w:ascii="Arial" w:cs="Arial" w:eastAsia="Arial" w:hAnsi="Arial"/>
                <w:sz w:val="18"/>
                <w:szCs w:val="18"/>
                <w:b w:val="1"/>
                <w:bCs w:val="1"/>
                <w:color w:val="auto"/>
                <w:w w:val="88"/>
              </w:rPr>
              <w:t>Level 2</w:t>
            </w:r>
          </w:p>
        </w:tc>
      </w:tr>
      <w:tr>
        <w:trPr>
          <w:trHeight w:val="243"/>
        </w:trPr>
        <w:tc>
          <w:tcPr>
            <w:tcW w:w="57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3040" w:type="dxa"/>
            <w:vAlign w:val="bottom"/>
            <w:tcBorders>
              <w:top w:val="single" w:sz="8" w:color="C0C0C0"/>
            </w:tcBorders>
            <w:shd w:val="clear" w:color="auto" w:fill="C0C0C0"/>
          </w:tcPr>
          <w:p>
            <w:pPr>
              <w:spacing w:after="0"/>
              <w:rPr>
                <w:sz w:val="21"/>
                <w:szCs w:val="21"/>
                <w:color w:val="auto"/>
              </w:rPr>
            </w:pPr>
          </w:p>
        </w:tc>
        <w:tc>
          <w:tcPr>
            <w:tcW w:w="620" w:type="dxa"/>
            <w:vAlign w:val="bottom"/>
            <w:tcBorders>
              <w:top w:val="single" w:sz="8" w:color="auto"/>
            </w:tcBorders>
            <w:shd w:val="clear" w:color="auto" w:fill="C0C0C0"/>
          </w:tcPr>
          <w:p>
            <w:pPr>
              <w:spacing w:after="0"/>
              <w:rPr>
                <w:sz w:val="21"/>
                <w:szCs w:val="21"/>
                <w:color w:val="auto"/>
              </w:rPr>
            </w:pPr>
          </w:p>
        </w:tc>
        <w:tc>
          <w:tcPr>
            <w:tcW w:w="160" w:type="dxa"/>
            <w:vAlign w:val="bottom"/>
            <w:tcBorders>
              <w:top w:val="single" w:sz="8" w:color="C0C0C0"/>
            </w:tcBorders>
            <w:shd w:val="clear" w:color="auto" w:fill="C0C0C0"/>
          </w:tcPr>
          <w:p>
            <w:pPr>
              <w:spacing w:after="0"/>
              <w:rPr>
                <w:sz w:val="21"/>
                <w:szCs w:val="21"/>
                <w:color w:val="auto"/>
              </w:rPr>
            </w:pPr>
          </w:p>
        </w:tc>
        <w:tc>
          <w:tcPr>
            <w:tcW w:w="62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440" w:type="dxa"/>
            <w:vAlign w:val="bottom"/>
            <w:tcBorders>
              <w:top w:val="single" w:sz="8" w:color="auto"/>
            </w:tcBorders>
            <w:shd w:val="clear" w:color="auto" w:fill="C0C0C0"/>
          </w:tcPr>
          <w:p>
            <w:pPr>
              <w:spacing w:after="0"/>
              <w:rPr>
                <w:sz w:val="21"/>
                <w:szCs w:val="21"/>
                <w:color w:val="auto"/>
              </w:rPr>
            </w:pPr>
          </w:p>
        </w:tc>
      </w:tr>
      <w:tr>
        <w:trPr>
          <w:trHeight w:val="235"/>
        </w:trPr>
        <w:tc>
          <w:tcPr>
            <w:tcW w:w="5700" w:type="dxa"/>
            <w:vAlign w:val="bottom"/>
          </w:tcPr>
          <w:p>
            <w:pPr>
              <w:spacing w:after="0"/>
              <w:rPr>
                <w:sz w:val="20"/>
                <w:szCs w:val="20"/>
                <w:color w:val="auto"/>
              </w:rPr>
            </w:pPr>
            <w:r>
              <w:rPr>
                <w:rFonts w:ascii="Arial" w:cs="Arial" w:eastAsia="Arial" w:hAnsi="Arial"/>
                <w:sz w:val="18"/>
                <w:szCs w:val="18"/>
                <w:color w:val="auto"/>
              </w:rPr>
              <w:t>Cash equivalents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$ 11,296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$ 11,296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5700" w:type="dxa"/>
            <w:vAlign w:val="bottom"/>
            <w:shd w:val="clear" w:color="auto" w:fill="C0C0C0"/>
          </w:tcPr>
          <w:p>
            <w:pPr>
              <w:spacing w:after="0"/>
              <w:rPr>
                <w:sz w:val="20"/>
                <w:szCs w:val="20"/>
                <w:color w:val="auto"/>
              </w:rPr>
            </w:pPr>
            <w:r>
              <w:rPr>
                <w:rFonts w:ascii="Arial" w:cs="Arial" w:eastAsia="Arial" w:hAnsi="Arial"/>
                <w:sz w:val="18"/>
                <w:szCs w:val="18"/>
                <w:color w:val="auto"/>
              </w:rPr>
              <w:t>Marketable equity securities</w:t>
            </w:r>
          </w:p>
        </w:tc>
        <w:tc>
          <w:tcPr>
            <w:tcW w:w="3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70</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700" w:type="dxa"/>
            <w:vAlign w:val="bottom"/>
          </w:tcPr>
          <w:p>
            <w:pPr>
              <w:spacing w:after="0"/>
              <w:rPr>
                <w:sz w:val="20"/>
                <w:szCs w:val="20"/>
                <w:color w:val="auto"/>
              </w:rPr>
            </w:pPr>
            <w:r>
              <w:rPr>
                <w:rFonts w:ascii="Arial" w:cs="Arial" w:eastAsia="Arial" w:hAnsi="Arial"/>
                <w:sz w:val="18"/>
                <w:szCs w:val="18"/>
                <w:color w:val="auto"/>
              </w:rPr>
              <w:t>Cash surrender value of life insurance</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3,836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3,836</w:t>
            </w:r>
          </w:p>
        </w:tc>
      </w:tr>
    </w:tbl>
    <w:p>
      <w:pPr>
        <w:spacing w:after="0" w:line="277" w:lineRule="exact"/>
        <w:rPr>
          <w:sz w:val="20"/>
          <w:szCs w:val="20"/>
          <w:color w:val="auto"/>
        </w:rPr>
      </w:pPr>
    </w:p>
    <w:p>
      <w:pPr>
        <w:ind w:firstLine="338"/>
        <w:spacing w:after="0" w:line="268" w:lineRule="auto"/>
        <w:rPr>
          <w:sz w:val="20"/>
          <w:szCs w:val="20"/>
          <w:color w:val="auto"/>
        </w:rPr>
      </w:pPr>
      <w:r>
        <w:rPr>
          <w:rFonts w:ascii="Arial" w:cs="Arial" w:eastAsia="Arial" w:hAnsi="Arial"/>
          <w:sz w:val="18"/>
          <w:szCs w:val="18"/>
          <w:color w:val="auto"/>
        </w:rPr>
        <w:t>Cash equivalents are classified as Level 1 of the fair value hierarchy because they were valued using quoted market prices in active markets. These cash instruments are primarily money market mutual funds.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NOTE 5 – FAIR VALUE (CONTINUED)</w:t>
      </w:r>
    </w:p>
    <w:p>
      <w:pPr>
        <w:spacing w:after="0" w:line="285" w:lineRule="exact"/>
        <w:rPr>
          <w:sz w:val="20"/>
          <w:szCs w:val="20"/>
          <w:color w:val="auto"/>
        </w:rPr>
      </w:pPr>
    </w:p>
    <w:p>
      <w:pPr>
        <w:jc w:val="both"/>
        <w:ind w:right="20" w:firstLine="284"/>
        <w:spacing w:after="0" w:line="332" w:lineRule="auto"/>
        <w:rPr>
          <w:sz w:val="20"/>
          <w:szCs w:val="20"/>
          <w:color w:val="auto"/>
        </w:rPr>
      </w:pPr>
      <w:r>
        <w:rPr>
          <w:rFonts w:ascii="Arial" w:cs="Arial" w:eastAsia="Arial" w:hAnsi="Arial"/>
          <w:sz w:val="16"/>
          <w:szCs w:val="16"/>
          <w:color w:val="auto"/>
        </w:rPr>
        <w:t>Marketable equity securities were valued using quoted market prices in active markets and as such are classified as Level 1 in the fair value hierarchy. These securities represent stock we own in one publicly traded company and are included in other assets on the Consolidated Balance Sheets.</w:t>
      </w:r>
    </w:p>
    <w:p>
      <w:pPr>
        <w:spacing w:after="0" w:line="193" w:lineRule="exact"/>
        <w:rPr>
          <w:sz w:val="20"/>
          <w:szCs w:val="20"/>
          <w:color w:val="auto"/>
        </w:rPr>
      </w:pPr>
    </w:p>
    <w:p>
      <w:pPr>
        <w:jc w:val="both"/>
        <w:ind w:right="20" w:firstLine="297"/>
        <w:spacing w:after="0" w:line="256" w:lineRule="auto"/>
        <w:rPr>
          <w:sz w:val="20"/>
          <w:szCs w:val="20"/>
          <w:color w:val="auto"/>
        </w:rPr>
      </w:pPr>
      <w:r>
        <w:rPr>
          <w:rFonts w:ascii="Arial" w:cs="Arial" w:eastAsia="Arial" w:hAnsi="Arial"/>
          <w:sz w:val="18"/>
          <w:szCs w:val="18"/>
          <w:color w:val="auto"/>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key employees as of July 31, 2010. The cash surrender value of life insurance is included in other assets on the Consolidated Balance Sheets.</w:t>
      </w:r>
    </w:p>
    <w:p>
      <w:pPr>
        <w:spacing w:after="0" w:line="251" w:lineRule="exact"/>
        <w:rPr>
          <w:sz w:val="20"/>
          <w:szCs w:val="20"/>
          <w:color w:val="auto"/>
        </w:rPr>
      </w:pPr>
    </w:p>
    <w:p>
      <w:pPr>
        <w:jc w:val="both"/>
        <w:ind w:right="20" w:firstLine="311"/>
        <w:spacing w:after="0" w:line="306" w:lineRule="auto"/>
        <w:rPr>
          <w:sz w:val="20"/>
          <w:szCs w:val="20"/>
          <w:color w:val="auto"/>
        </w:rPr>
      </w:pPr>
      <w:r>
        <w:rPr>
          <w:rFonts w:ascii="Arial" w:cs="Arial" w:eastAsia="Arial" w:hAnsi="Arial"/>
          <w:sz w:val="16"/>
          <w:szCs w:val="16"/>
          <w:color w:val="auto"/>
        </w:rPr>
        <w:t>The investment in short-term securities on the Consolidated Balance Sheets includes U.S. Treasury securities, certificates of deposit and debt securities. We intend and have the ability to hold our investment in short-term securities to maturity; therefore, these investments were reported at amortized cost on the Consolidated Balance sheets, which approximated fair value as of July 31, 2010, and these balances are excluded from the above table.</w:t>
      </w:r>
    </w:p>
    <w:p>
      <w:pPr>
        <w:spacing w:after="0" w:line="215" w:lineRule="exact"/>
        <w:rPr>
          <w:sz w:val="20"/>
          <w:szCs w:val="20"/>
          <w:color w:val="auto"/>
        </w:rPr>
      </w:pPr>
    </w:p>
    <w:p>
      <w:pPr>
        <w:jc w:val="both"/>
        <w:ind w:right="20" w:firstLine="311"/>
        <w:spacing w:after="0" w:line="268" w:lineRule="auto"/>
        <w:rPr>
          <w:sz w:val="20"/>
          <w:szCs w:val="20"/>
          <w:color w:val="auto"/>
        </w:rPr>
      </w:pPr>
      <w:r>
        <w:rPr>
          <w:rFonts w:ascii="Arial" w:cs="Arial" w:eastAsia="Arial" w:hAnsi="Arial"/>
          <w:sz w:val="18"/>
          <w:szCs w:val="18"/>
          <w:color w:val="auto"/>
        </w:rPr>
        <w:t>Accounts receivable and accounts payable balances on the Consolidated Balance Sheets approximate their fair values at July 31, 2010 and 2009 due to the short maturity and nature of those balances; therefore, these balances are excluded from the above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20" w:type="dxa"/>
            <w:vAlign w:val="bottom"/>
          </w:tcPr>
          <w:p>
            <w:pPr>
              <w:spacing w:after="0"/>
              <w:rPr>
                <w:sz w:val="20"/>
                <w:szCs w:val="20"/>
                <w:color w:val="auto"/>
              </w:rPr>
            </w:pPr>
            <w:r>
              <w:rPr>
                <w:rFonts w:ascii="Arial" w:cs="Arial" w:eastAsia="Arial" w:hAnsi="Arial"/>
                <w:sz w:val="18"/>
                <w:szCs w:val="18"/>
                <w:b w:val="1"/>
                <w:bCs w:val="1"/>
                <w:color w:val="auto"/>
              </w:rPr>
              <w:t>NOTE 6 – INCOME TAXES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59"/>
        </w:trPr>
        <w:tc>
          <w:tcPr>
            <w:tcW w:w="9320" w:type="dxa"/>
            <w:vAlign w:val="bottom"/>
          </w:tcPr>
          <w:p>
            <w:pPr>
              <w:spacing w:after="0"/>
              <w:rPr>
                <w:sz w:val="20"/>
                <w:szCs w:val="20"/>
                <w:color w:val="auto"/>
              </w:rPr>
            </w:pPr>
            <w:r>
              <w:rPr>
                <w:rFonts w:ascii="Arial" w:cs="Arial" w:eastAsia="Arial" w:hAnsi="Arial"/>
                <w:sz w:val="18"/>
                <w:szCs w:val="18"/>
                <w:color w:val="auto"/>
              </w:rPr>
              <w:t>The provision for income tax expense at July 31 consists of the following:</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82"/>
        </w:trPr>
        <w:tc>
          <w:tcPr>
            <w:tcW w:w="9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2010</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r>
      <w:tr>
        <w:trPr>
          <w:trHeight w:val="236"/>
        </w:trPr>
        <w:tc>
          <w:tcPr>
            <w:tcW w:w="9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4"/>
          </w:tcPr>
          <w:p>
            <w:pPr>
              <w:ind w:left="420"/>
              <w:spacing w:after="0"/>
              <w:rPr>
                <w:sz w:val="20"/>
                <w:szCs w:val="20"/>
                <w:color w:val="auto"/>
              </w:rPr>
            </w:pPr>
            <w:r>
              <w:rPr>
                <w:rFonts w:ascii="Arial" w:cs="Arial" w:eastAsia="Arial" w:hAnsi="Arial"/>
                <w:sz w:val="18"/>
                <w:szCs w:val="18"/>
                <w:b w:val="1"/>
                <w:bCs w:val="1"/>
                <w:color w:val="auto"/>
                <w:w w:val="83"/>
              </w:rPr>
              <w:t>(in thousands)</w:t>
            </w:r>
          </w:p>
        </w:tc>
        <w:tc>
          <w:tcPr>
            <w:tcW w:w="520" w:type="dxa"/>
            <w:vAlign w:val="bottom"/>
          </w:tcPr>
          <w:p>
            <w:pPr>
              <w:spacing w:after="0"/>
              <w:rPr>
                <w:sz w:val="20"/>
                <w:szCs w:val="20"/>
                <w:color w:val="auto"/>
              </w:rPr>
            </w:pPr>
          </w:p>
        </w:tc>
      </w:tr>
      <w:tr>
        <w:trPr>
          <w:trHeight w:val="250"/>
        </w:trPr>
        <w:tc>
          <w:tcPr>
            <w:tcW w:w="9320" w:type="dxa"/>
            <w:vAlign w:val="bottom"/>
            <w:shd w:val="clear" w:color="auto" w:fill="C0C0C0"/>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r>
      <w:tr>
        <w:trPr>
          <w:trHeight w:val="236"/>
        </w:trPr>
        <w:tc>
          <w:tcPr>
            <w:tcW w:w="9320" w:type="dxa"/>
            <w:vAlign w:val="bottom"/>
          </w:tcPr>
          <w:p>
            <w:pPr>
              <w:ind w:left="28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w w:val="97"/>
              </w:rPr>
              <w:t>3,529</w:t>
            </w:r>
          </w:p>
        </w:tc>
        <w:tc>
          <w:tcPr>
            <w:tcW w:w="1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83"/>
              </w:rPr>
              <w:t>$ 2,708</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$ 2,349</w:t>
            </w:r>
          </w:p>
        </w:tc>
      </w:tr>
      <w:tr>
        <w:trPr>
          <w:trHeight w:val="250"/>
        </w:trPr>
        <w:tc>
          <w:tcPr>
            <w:tcW w:w="93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327</w:t>
            </w:r>
          </w:p>
        </w:tc>
      </w:tr>
      <w:tr>
        <w:trPr>
          <w:trHeight w:val="237"/>
        </w:trPr>
        <w:tc>
          <w:tcPr>
            <w:tcW w:w="932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State</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7"/>
              </w:rPr>
              <w:t>1,046</w:t>
            </w:r>
          </w:p>
        </w:tc>
        <w:tc>
          <w:tcPr>
            <w:tcW w:w="160" w:type="dxa"/>
            <w:vAlign w:val="bottom"/>
            <w:tcBorders>
              <w:bottom w:val="single" w:sz="8" w:color="C0C0C0"/>
            </w:tcBorders>
          </w:tcPr>
          <w:p>
            <w:pPr>
              <w:spacing w:after="0"/>
              <w:rPr>
                <w:sz w:val="20"/>
                <w:szCs w:val="20"/>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497</w:t>
            </w:r>
          </w:p>
        </w:tc>
        <w:tc>
          <w:tcPr>
            <w:tcW w:w="140" w:type="dxa"/>
            <w:vAlign w:val="bottom"/>
            <w:tcBorders>
              <w:bottom w:val="single" w:sz="8" w:color="C0C0C0"/>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r>
      <w:tr>
        <w:trPr>
          <w:trHeight w:val="243"/>
        </w:trPr>
        <w:tc>
          <w:tcPr>
            <w:tcW w:w="93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w w:val="97"/>
              </w:rPr>
              <w:t>4,597</w:t>
            </w:r>
          </w:p>
        </w:tc>
        <w:tc>
          <w:tcPr>
            <w:tcW w:w="160" w:type="dxa"/>
            <w:vAlign w:val="bottom"/>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3,252</w:t>
            </w:r>
          </w:p>
        </w:tc>
        <w:tc>
          <w:tcPr>
            <w:tcW w:w="140" w:type="dxa"/>
            <w:vAlign w:val="bottom"/>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3,091</w:t>
            </w:r>
          </w:p>
        </w:tc>
      </w:tr>
      <w:tr>
        <w:trPr>
          <w:trHeight w:val="229"/>
        </w:trPr>
        <w:tc>
          <w:tcPr>
            <w:tcW w:w="932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51"/>
        </w:trPr>
        <w:tc>
          <w:tcPr>
            <w:tcW w:w="93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(939)</w:t>
            </w: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w:t>
            </w:r>
          </w:p>
        </w:tc>
      </w:tr>
      <w:tr>
        <w:trPr>
          <w:trHeight w:val="236"/>
        </w:trPr>
        <w:tc>
          <w:tcPr>
            <w:tcW w:w="9320" w:type="dxa"/>
            <w:vAlign w:val="bottom"/>
          </w:tcPr>
          <w:p>
            <w:pPr>
              <w:ind w:left="28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4"/>
        </w:trPr>
        <w:tc>
          <w:tcPr>
            <w:tcW w:w="93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State</w:t>
            </w:r>
          </w:p>
        </w:tc>
        <w:tc>
          <w:tcPr>
            <w:tcW w:w="10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(295)</w:t>
            </w:r>
          </w:p>
        </w:tc>
        <w:tc>
          <w:tcPr>
            <w:tcW w:w="160" w:type="dxa"/>
            <w:vAlign w:val="bottom"/>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93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(1,241)</w:t>
            </w:r>
          </w:p>
        </w:tc>
        <w:tc>
          <w:tcPr>
            <w:tcW w:w="160" w:type="dxa"/>
            <w:vAlign w:val="bottom"/>
            <w:tcBorders>
              <w:bottom w:val="single" w:sz="8" w:color="C0C0C0"/>
            </w:tcBorders>
          </w:tcPr>
          <w:p>
            <w:pPr>
              <w:spacing w:after="0"/>
              <w:rPr>
                <w:sz w:val="20"/>
                <w:szCs w:val="20"/>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471</w:t>
            </w:r>
          </w:p>
        </w:tc>
        <w:tc>
          <w:tcPr>
            <w:tcW w:w="140" w:type="dxa"/>
            <w:vAlign w:val="bottom"/>
            <w:tcBorders>
              <w:bottom w:val="single" w:sz="8" w:color="C0C0C0"/>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50"/>
        </w:trPr>
        <w:tc>
          <w:tcPr>
            <w:tcW w:w="9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 Income Tax Provision</w:t>
            </w: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w w:val="97"/>
              </w:rPr>
              <w:t>3,356</w:t>
            </w:r>
          </w:p>
        </w:tc>
        <w:tc>
          <w:tcPr>
            <w:tcW w:w="16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83"/>
              </w:rPr>
              <w:t>$ 3,723</w:t>
            </w:r>
          </w:p>
        </w:tc>
        <w:tc>
          <w:tcPr>
            <w:tcW w:w="140" w:type="dxa"/>
            <w:vAlign w:val="bottom"/>
            <w:tcBorders>
              <w:bottom w:val="single" w:sz="8" w:color="C0C0C0"/>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3"/>
              </w:rPr>
              <w:t>$ 3,136</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Principal reasons for variations between the statutory federal rate and the effective rates for the years ended July 31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spacing w:after="0"/>
              <w:rPr>
                <w:sz w:val="20"/>
                <w:szCs w:val="20"/>
                <w:color w:val="auto"/>
              </w:rPr>
            </w:pPr>
          </w:p>
        </w:tc>
        <w:tc>
          <w:tcPr>
            <w:tcW w:w="5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9"/>
              </w:rPr>
              <w:t>2009</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r>
      <w:tr>
        <w:trPr>
          <w:trHeight w:val="243"/>
        </w:trPr>
        <w:tc>
          <w:tcPr>
            <w:tcW w:w="47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U.S. federal income tax rate</w:t>
            </w:r>
          </w:p>
        </w:tc>
        <w:tc>
          <w:tcPr>
            <w:tcW w:w="4960" w:type="dxa"/>
            <w:vAlign w:val="bottom"/>
            <w:tcBorders>
              <w:top w:val="single" w:sz="8" w:color="C0C0C0"/>
            </w:tcBorders>
            <w:shd w:val="clear" w:color="auto" w:fill="C0C0C0"/>
          </w:tcPr>
          <w:p>
            <w:pPr>
              <w:spacing w:after="0"/>
              <w:rPr>
                <w:sz w:val="21"/>
                <w:szCs w:val="21"/>
                <w:color w:val="auto"/>
              </w:rPr>
            </w:pPr>
          </w:p>
        </w:tc>
        <w:tc>
          <w:tcPr>
            <w:tcW w:w="4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90"/>
              </w:rPr>
              <w:t>34.0%</w:t>
            </w:r>
          </w:p>
        </w:tc>
        <w:tc>
          <w:tcPr>
            <w:tcW w:w="140" w:type="dxa"/>
            <w:vAlign w:val="bottom"/>
            <w:tcBorders>
              <w:top w:val="single" w:sz="8" w:color="C0C0C0"/>
            </w:tcBorders>
            <w:shd w:val="clear" w:color="auto" w:fill="C0C0C0"/>
          </w:tcPr>
          <w:p>
            <w:pPr>
              <w:spacing w:after="0"/>
              <w:rPr>
                <w:sz w:val="21"/>
                <w:szCs w:val="21"/>
                <w:color w:val="auto"/>
              </w:rPr>
            </w:pPr>
          </w:p>
        </w:tc>
        <w:tc>
          <w:tcPr>
            <w:tcW w:w="4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6"/>
              </w:rPr>
              <w:t>34.0%</w:t>
            </w:r>
          </w:p>
        </w:tc>
        <w:tc>
          <w:tcPr>
            <w:tcW w:w="160" w:type="dxa"/>
            <w:vAlign w:val="bottom"/>
            <w:tcBorders>
              <w:top w:val="single" w:sz="8" w:color="C0C0C0"/>
            </w:tcBorders>
            <w:shd w:val="clear" w:color="auto" w:fill="C0C0C0"/>
          </w:tcPr>
          <w:p>
            <w:pPr>
              <w:spacing w:after="0"/>
              <w:rPr>
                <w:sz w:val="21"/>
                <w:szCs w:val="21"/>
                <w:color w:val="auto"/>
              </w:rPr>
            </w:pPr>
          </w:p>
        </w:tc>
        <w:tc>
          <w:tcPr>
            <w:tcW w:w="5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7"/>
              </w:rPr>
              <w:t>34.0%</w:t>
            </w:r>
          </w:p>
        </w:tc>
        <w:tc>
          <w:tcPr>
            <w:tcW w:w="20" w:type="dxa"/>
            <w:vAlign w:val="bottom"/>
          </w:tcPr>
          <w:p>
            <w:pPr>
              <w:spacing w:after="0"/>
              <w:rPr>
                <w:sz w:val="21"/>
                <w:szCs w:val="21"/>
                <w:color w:val="auto"/>
              </w:rPr>
            </w:pP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Depletion deductions allowed for mining</w:t>
            </w:r>
          </w:p>
        </w:tc>
        <w:tc>
          <w:tcPr>
            <w:tcW w:w="544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(9.2)</w:t>
            </w: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(9.5)</w:t>
            </w:r>
          </w:p>
        </w:tc>
        <w:tc>
          <w:tcPr>
            <w:tcW w:w="16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4"/>
              </w:rPr>
              <w:t>(10.6)</w:t>
            </w:r>
          </w:p>
        </w:tc>
        <w:tc>
          <w:tcPr>
            <w:tcW w:w="20" w:type="dxa"/>
            <w:vAlign w:val="bottom"/>
          </w:tcPr>
          <w:p>
            <w:pPr>
              <w:spacing w:after="0"/>
              <w:rPr>
                <w:sz w:val="20"/>
                <w:szCs w:val="20"/>
                <w:color w:val="auto"/>
              </w:rPr>
            </w:pPr>
          </w:p>
        </w:tc>
      </w:tr>
      <w:tr>
        <w:trPr>
          <w:trHeight w:val="250"/>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State Income tax expense, net of federal tax expense</w:t>
            </w:r>
          </w:p>
        </w:tc>
        <w:tc>
          <w:tcPr>
            <w:tcW w:w="5440" w:type="dxa"/>
            <w:vAlign w:val="bottom"/>
            <w:gridSpan w:val="2"/>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3.9</w:t>
            </w:r>
          </w:p>
        </w:tc>
        <w:tc>
          <w:tcPr>
            <w:tcW w:w="140" w:type="dxa"/>
            <w:vAlign w:val="bottom"/>
            <w:shd w:val="clear" w:color="auto" w:fill="C0C0C0"/>
          </w:tcPr>
          <w:p>
            <w:pPr>
              <w:spacing w:after="0"/>
              <w:rPr>
                <w:sz w:val="21"/>
                <w:szCs w:val="21"/>
                <w:color w:val="auto"/>
              </w:rPr>
            </w:pPr>
          </w:p>
        </w:tc>
        <w:tc>
          <w:tcPr>
            <w:tcW w:w="4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0C0C0"/>
          </w:tcPr>
          <w:p>
            <w:pPr>
              <w:spacing w:after="0"/>
              <w:rPr>
                <w:sz w:val="21"/>
                <w:szCs w:val="21"/>
                <w:color w:val="auto"/>
              </w:rPr>
            </w:pP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Difference in effective tax rate of foreign subsidiaries</w:t>
            </w:r>
          </w:p>
        </w:tc>
        <w:tc>
          <w:tcPr>
            <w:tcW w:w="54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1.3</w:t>
            </w:r>
          </w:p>
        </w:tc>
        <w:tc>
          <w:tcPr>
            <w:tcW w:w="140" w:type="dxa"/>
            <w:vAlign w:val="bottom"/>
          </w:tcPr>
          <w:p>
            <w:pPr>
              <w:spacing w:after="0"/>
              <w:rPr>
                <w:sz w:val="20"/>
                <w:szCs w:val="20"/>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0"/>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Empowerment zone credits</w:t>
            </w:r>
          </w:p>
        </w:tc>
        <w:tc>
          <w:tcPr>
            <w:tcW w:w="544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0C0C0"/>
          </w:tcPr>
          <w:p>
            <w:pPr>
              <w:spacing w:after="0"/>
              <w:rPr>
                <w:sz w:val="21"/>
                <w:szCs w:val="21"/>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(0.3)</w:t>
            </w:r>
          </w:p>
        </w:tc>
        <w:tc>
          <w:tcPr>
            <w:tcW w:w="160" w:type="dxa"/>
            <w:vAlign w:val="bottom"/>
            <w:shd w:val="clear" w:color="auto" w:fill="C0C0C0"/>
          </w:tcPr>
          <w:p>
            <w:pPr>
              <w:spacing w:after="0"/>
              <w:rPr>
                <w:sz w:val="21"/>
                <w:szCs w:val="21"/>
                <w:color w:val="auto"/>
              </w:rPr>
            </w:pPr>
          </w:p>
        </w:tc>
        <w:tc>
          <w:tcPr>
            <w:tcW w:w="5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Valuation allowance release</w:t>
            </w:r>
          </w:p>
        </w:tc>
        <w:tc>
          <w:tcPr>
            <w:tcW w:w="544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(3.6)</w:t>
            </w:r>
          </w:p>
        </w:tc>
        <w:tc>
          <w:tcPr>
            <w:tcW w:w="140" w:type="dxa"/>
            <w:vAlign w:val="bottom"/>
          </w:tcPr>
          <w:p>
            <w:pPr>
              <w:spacing w:after="0"/>
              <w:rPr>
                <w:sz w:val="20"/>
                <w:szCs w:val="20"/>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0"/>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5440" w:type="dxa"/>
            <w:vAlign w:val="bottom"/>
            <w:gridSpan w:val="2"/>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1.0</w:t>
            </w:r>
          </w:p>
        </w:tc>
        <w:tc>
          <w:tcPr>
            <w:tcW w:w="140" w:type="dxa"/>
            <w:vAlign w:val="bottom"/>
            <w:shd w:val="clear" w:color="auto" w:fill="C0C0C0"/>
          </w:tcPr>
          <w:p>
            <w:pPr>
              <w:spacing w:after="0"/>
              <w:rPr>
                <w:sz w:val="21"/>
                <w:szCs w:val="21"/>
                <w:color w:val="auto"/>
              </w:rPr>
            </w:pPr>
          </w:p>
        </w:tc>
        <w:tc>
          <w:tcPr>
            <w:tcW w:w="4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21"/>
                <w:szCs w:val="21"/>
                <w:color w:val="auto"/>
              </w:rPr>
            </w:pPr>
          </w:p>
        </w:tc>
        <w:tc>
          <w:tcPr>
            <w:tcW w:w="5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r>
      <w:tr>
        <w:trPr>
          <w:trHeight w:val="244"/>
        </w:trPr>
        <w:tc>
          <w:tcPr>
            <w:tcW w:w="470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26.2%</w:t>
            </w:r>
          </w:p>
        </w:tc>
        <w:tc>
          <w:tcPr>
            <w:tcW w:w="14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28.0%</w:t>
            </w:r>
          </w:p>
        </w:tc>
        <w:tc>
          <w:tcPr>
            <w:tcW w:w="16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25.8%</w:t>
            </w:r>
          </w:p>
        </w:tc>
        <w:tc>
          <w:tcPr>
            <w:tcW w:w="20" w:type="dxa"/>
            <w:vAlign w:val="bottom"/>
          </w:tcPr>
          <w:p>
            <w:pPr>
              <w:spacing w:after="0"/>
              <w:rPr>
                <w:sz w:val="21"/>
                <w:szCs w:val="21"/>
                <w:color w:val="auto"/>
              </w:rPr>
            </w:pPr>
          </w:p>
        </w:tc>
      </w:tr>
      <w:tr>
        <w:trPr>
          <w:trHeight w:val="498"/>
        </w:trPr>
        <w:tc>
          <w:tcPr>
            <w:tcW w:w="4700" w:type="dxa"/>
            <w:vAlign w:val="bottom"/>
          </w:tcPr>
          <w:p>
            <w:pPr>
              <w:spacing w:after="0"/>
              <w:rPr>
                <w:sz w:val="24"/>
                <w:szCs w:val="24"/>
                <w:color w:val="auto"/>
              </w:rPr>
            </w:pPr>
          </w:p>
        </w:tc>
        <w:tc>
          <w:tcPr>
            <w:tcW w:w="4960" w:type="dxa"/>
            <w:vAlign w:val="bottom"/>
          </w:tcPr>
          <w:p>
            <w:pPr>
              <w:jc w:val="right"/>
              <w:ind w:right="3772"/>
              <w:spacing w:after="0"/>
              <w:rPr>
                <w:sz w:val="20"/>
                <w:szCs w:val="20"/>
                <w:color w:val="auto"/>
              </w:rPr>
            </w:pPr>
            <w:r>
              <w:rPr>
                <w:rFonts w:ascii="Arial" w:cs="Arial" w:eastAsia="Arial" w:hAnsi="Arial"/>
                <w:sz w:val="18"/>
                <w:szCs w:val="18"/>
                <w:color w:val="auto"/>
              </w:rPr>
              <w:t>55</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470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8"/>
        </w:trPr>
        <w:tc>
          <w:tcPr>
            <w:tcW w:w="8060" w:type="dxa"/>
            <w:vAlign w:val="bottom"/>
          </w:tcPr>
          <w:p>
            <w:pPr>
              <w:spacing w:after="0"/>
              <w:rPr>
                <w:sz w:val="20"/>
                <w:szCs w:val="20"/>
                <w:color w:val="auto"/>
              </w:rPr>
            </w:pPr>
            <w:r>
              <w:rPr>
                <w:rFonts w:ascii="Arial" w:cs="Arial" w:eastAsia="Arial" w:hAnsi="Arial"/>
                <w:sz w:val="18"/>
                <w:szCs w:val="18"/>
                <w:b w:val="1"/>
                <w:bCs w:val="1"/>
                <w:color w:val="auto"/>
              </w:rPr>
              <w:t>NOTE 6 – INCOME TAXES (CONTINUED)</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8900" w:type="dxa"/>
            <w:vAlign w:val="bottom"/>
            <w:gridSpan w:val="4"/>
          </w:tcPr>
          <w:p>
            <w:pPr>
              <w:spacing w:after="0"/>
              <w:rPr>
                <w:sz w:val="20"/>
                <w:szCs w:val="20"/>
                <w:color w:val="auto"/>
              </w:rPr>
            </w:pPr>
            <w:r>
              <w:rPr>
                <w:rFonts w:ascii="Arial" w:cs="Arial" w:eastAsia="Arial" w:hAnsi="Arial"/>
                <w:sz w:val="18"/>
                <w:szCs w:val="18"/>
                <w:color w:val="auto"/>
                <w:w w:val="94"/>
              </w:rPr>
              <w:t>The Consolidated Balance Sheets as of July 31 included the following tax effects of cumulative temporary differences:</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2"/>
        </w:trPr>
        <w:tc>
          <w:tcPr>
            <w:tcW w:w="8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2009</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8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6"/>
              </w:rPr>
              <w:t>Liabilities</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Liabilities</w:t>
            </w:r>
          </w:p>
        </w:tc>
        <w:tc>
          <w:tcPr>
            <w:tcW w:w="20" w:type="dxa"/>
            <w:vAlign w:val="bottom"/>
          </w:tcPr>
          <w:p>
            <w:pPr>
              <w:spacing w:after="0"/>
              <w:rPr>
                <w:sz w:val="20"/>
                <w:szCs w:val="20"/>
                <w:color w:val="auto"/>
              </w:rPr>
            </w:pPr>
          </w:p>
        </w:tc>
      </w:tr>
      <w:tr>
        <w:trPr>
          <w:trHeight w:val="236"/>
        </w:trPr>
        <w:tc>
          <w:tcPr>
            <w:tcW w:w="8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6"/>
          </w:tcPr>
          <w:p>
            <w:pPr>
              <w:ind w:left="8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3,708</w:t>
            </w:r>
          </w:p>
        </w:tc>
        <w:tc>
          <w:tcPr>
            <w:tcW w:w="80" w:type="dxa"/>
            <w:vAlign w:val="bottom"/>
            <w:shd w:val="clear" w:color="auto" w:fill="C0C0C0"/>
          </w:tcPr>
          <w:p>
            <w:pPr>
              <w:spacing w:after="0"/>
              <w:rPr>
                <w:sz w:val="21"/>
                <w:szCs w:val="21"/>
                <w:color w:val="auto"/>
              </w:rPr>
            </w:pPr>
          </w:p>
        </w:tc>
        <w:tc>
          <w:tcPr>
            <w:tcW w:w="1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2,469</w:t>
            </w:r>
          </w:p>
        </w:tc>
        <w:tc>
          <w:tcPr>
            <w:tcW w:w="20" w:type="dxa"/>
            <w:vAlign w:val="bottom"/>
          </w:tcPr>
          <w:p>
            <w:pPr>
              <w:spacing w:after="0"/>
              <w:rPr>
                <w:sz w:val="21"/>
                <w:szCs w:val="21"/>
                <w:color w:val="auto"/>
              </w:rPr>
            </w:pPr>
          </w:p>
        </w:tc>
      </w:tr>
      <w:tr>
        <w:trPr>
          <w:trHeight w:val="236"/>
        </w:trPr>
        <w:tc>
          <w:tcPr>
            <w:tcW w:w="8060" w:type="dxa"/>
            <w:vAlign w:val="bottom"/>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3,006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2,581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0"/>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Postretirement benefits</w:t>
            </w: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4,444</w:t>
            </w: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3,661</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6"/>
        </w:trPr>
        <w:tc>
          <w:tcPr>
            <w:tcW w:w="80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245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0"/>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139</w:t>
            </w: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6"/>
        </w:trPr>
        <w:tc>
          <w:tcPr>
            <w:tcW w:w="806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2,313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0"/>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Tax credits</w:t>
            </w: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3,201</w:t>
            </w: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3,544</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6"/>
        </w:trPr>
        <w:tc>
          <w:tcPr>
            <w:tcW w:w="806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r>
      <w:tr>
        <w:trPr>
          <w:trHeight w:val="250"/>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309</w:t>
            </w: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6"/>
        </w:trPr>
        <w:tc>
          <w:tcPr>
            <w:tcW w:w="8060" w:type="dxa"/>
            <w:vAlign w:val="bottom"/>
          </w:tcPr>
          <w:p>
            <w:pPr>
              <w:spacing w:after="0"/>
              <w:rPr>
                <w:sz w:val="20"/>
                <w:szCs w:val="20"/>
                <w:color w:val="auto"/>
              </w:rPr>
            </w:pPr>
            <w:r>
              <w:rPr>
                <w:rFonts w:ascii="Arial" w:cs="Arial" w:eastAsia="Arial" w:hAnsi="Arial"/>
                <w:sz w:val="18"/>
                <w:szCs w:val="18"/>
                <w:color w:val="auto"/>
              </w:rPr>
              <w:t>Depletion</w:t>
            </w:r>
          </w:p>
        </w:tc>
        <w:tc>
          <w:tcPr>
            <w:tcW w:w="10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576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599</w:t>
            </w:r>
          </w:p>
        </w:tc>
      </w:tr>
      <w:tr>
        <w:trPr>
          <w:trHeight w:val="250"/>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Stock compensation expense</w:t>
            </w: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510</w:t>
            </w: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6"/>
        </w:trPr>
        <w:tc>
          <w:tcPr>
            <w:tcW w:w="8060" w:type="dxa"/>
            <w:vAlign w:val="bottom"/>
          </w:tcPr>
          <w:p>
            <w:pPr>
              <w:spacing w:after="0"/>
              <w:rPr>
                <w:sz w:val="20"/>
                <w:szCs w:val="20"/>
                <w:color w:val="auto"/>
              </w:rPr>
            </w:pPr>
            <w:r>
              <w:rPr>
                <w:rFonts w:ascii="Arial" w:cs="Arial" w:eastAsia="Arial" w:hAnsi="Arial"/>
                <w:sz w:val="18"/>
                <w:szCs w:val="18"/>
                <w:color w:val="auto"/>
              </w:rPr>
              <w:t>Reclamation and other</w:t>
            </w:r>
          </w:p>
        </w:tc>
        <w:tc>
          <w:tcPr>
            <w:tcW w:w="10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189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4"/>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Other assets – foreign</w:t>
            </w:r>
          </w:p>
        </w:tc>
        <w:tc>
          <w:tcPr>
            <w:tcW w:w="1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121</w:t>
            </w:r>
          </w:p>
        </w:tc>
        <w:tc>
          <w:tcPr>
            <w:tcW w:w="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21"/>
                <w:szCs w:val="21"/>
                <w:color w:val="auto"/>
              </w:rPr>
            </w:pPr>
          </w:p>
        </w:tc>
      </w:tr>
      <w:tr>
        <w:trPr>
          <w:trHeight w:val="236"/>
        </w:trPr>
        <w:tc>
          <w:tcPr>
            <w:tcW w:w="8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14,356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4,599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83"/>
              </w:rPr>
              <w:t>11,771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3,325</w:t>
            </w:r>
          </w:p>
        </w:tc>
      </w:tr>
      <w:tr>
        <w:trPr>
          <w:trHeight w:val="243"/>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91"/>
              </w:rPr>
              <w:t>(2,909)</w:t>
            </w: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1"/>
              </w:rPr>
              <w:t>(3,222)</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1"/>
        </w:trPr>
        <w:tc>
          <w:tcPr>
            <w:tcW w:w="8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8060" w:type="dxa"/>
            <w:vAlign w:val="bottom"/>
          </w:tcPr>
          <w:p>
            <w:pPr>
              <w:spacing w:after="0"/>
              <w:rPr>
                <w:sz w:val="20"/>
                <w:szCs w:val="20"/>
                <w:color w:val="auto"/>
              </w:rPr>
            </w:pPr>
            <w:r>
              <w:rPr>
                <w:rFonts w:ascii="Arial" w:cs="Arial" w:eastAsia="Arial" w:hAnsi="Arial"/>
                <w:sz w:val="18"/>
                <w:szCs w:val="18"/>
                <w:color w:val="auto"/>
              </w:rPr>
              <w:t>Total deferred taxes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11,447</w:t>
            </w:r>
          </w:p>
        </w:tc>
        <w:tc>
          <w:tcPr>
            <w:tcW w:w="14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4,599</w:t>
            </w:r>
          </w:p>
        </w:tc>
        <w:tc>
          <w:tcPr>
            <w:tcW w:w="8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8,549</w:t>
            </w:r>
          </w:p>
        </w:tc>
        <w:tc>
          <w:tcPr>
            <w:tcW w:w="14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3,325</w:t>
            </w:r>
          </w:p>
        </w:tc>
      </w:tr>
      <w:tr>
        <w:trPr>
          <w:trHeight w:val="28"/>
        </w:trPr>
        <w:tc>
          <w:tcPr>
            <w:tcW w:w="8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302"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As of July 31, 2010, we had alternative minimum tax (“AMT”) credit carryforwards for federal income tax purposes of approximately $2,909,000, which can be carried forward indefinitely or until utilized. A number of factors determine whether or not we will be able to utilize the AMT credit carryforwards. We believe it is more likely than not that we will not realize a benefit from the carryforwards; therefore, a valuation allowance has been established for the full amount of the deferred tax benefit related to the AMT tax credits.</w:t>
      </w:r>
    </w:p>
    <w:p>
      <w:pPr>
        <w:spacing w:after="0" w:line="25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Historically, no provision had been made for possible income taxes which may be paid on the distribution of untaxed earnings of foreign subsidiaries of approximately $5,302,000 as of July 31, 2010. No provision was required as substantially all such amounts were intended to be indefinitely invested in the subsidiaries or to be handled in such a way that no additional income taxes would be incurred when such earnings are distributed.</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fiscal 2010, we increased our liability for unrecognized tax benefits (“UTBs”) based on tax positions related to the current and prior fiscal years.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beginning and ending amount of UTBs for the years ended July 31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00" w:type="dxa"/>
            <w:vAlign w:val="bottom"/>
          </w:tcPr>
          <w:p>
            <w:pPr>
              <w:spacing w:after="0"/>
              <w:rPr>
                <w:sz w:val="20"/>
                <w:szCs w:val="20"/>
                <w:color w:val="auto"/>
              </w:rPr>
            </w:pPr>
          </w:p>
        </w:tc>
        <w:tc>
          <w:tcPr>
            <w:tcW w:w="3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4"/>
              </w:rPr>
              <w:t>2009</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r>
      <w:tr>
        <w:trPr>
          <w:trHeight w:val="236"/>
        </w:trPr>
        <w:tc>
          <w:tcPr>
            <w:tcW w:w="68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40" w:type="dxa"/>
            <w:vAlign w:val="bottom"/>
            <w:tcBorders>
              <w:top w:val="single" w:sz="8" w:color="auto"/>
            </w:tcBorders>
            <w:gridSpan w:val="5"/>
          </w:tcPr>
          <w:p>
            <w:pPr>
              <w:jc w:val="right"/>
              <w:ind w:right="92"/>
              <w:spacing w:after="0"/>
              <w:rPr>
                <w:sz w:val="20"/>
                <w:szCs w:val="20"/>
                <w:color w:val="auto"/>
              </w:rPr>
            </w:pPr>
            <w:r>
              <w:rPr>
                <w:rFonts w:ascii="Arial" w:cs="Arial" w:eastAsia="Arial" w:hAnsi="Arial"/>
                <w:sz w:val="18"/>
                <w:szCs w:val="18"/>
                <w:b w:val="1"/>
                <w:bCs w:val="1"/>
                <w:color w:val="auto"/>
                <w:w w:val="99"/>
              </w:rPr>
              <w:t>(in thousands)</w:t>
            </w:r>
          </w:p>
        </w:tc>
        <w:tc>
          <w:tcPr>
            <w:tcW w:w="20" w:type="dxa"/>
            <w:vAlign w:val="bottom"/>
          </w:tcPr>
          <w:p>
            <w:pPr>
              <w:spacing w:after="0"/>
              <w:rPr>
                <w:sz w:val="20"/>
                <w:szCs w:val="20"/>
                <w:color w:val="auto"/>
              </w:rPr>
            </w:pPr>
          </w:p>
        </w:tc>
      </w:tr>
      <w:tr>
        <w:trPr>
          <w:trHeight w:val="250"/>
        </w:trPr>
        <w:tc>
          <w:tcPr>
            <w:tcW w:w="6800" w:type="dxa"/>
            <w:vAlign w:val="bottom"/>
            <w:shd w:val="clear" w:color="auto" w:fill="C0C0C0"/>
          </w:tcPr>
          <w:p>
            <w:pPr>
              <w:spacing w:after="0"/>
              <w:rPr>
                <w:sz w:val="20"/>
                <w:szCs w:val="20"/>
                <w:color w:val="auto"/>
              </w:rPr>
            </w:pPr>
            <w:r>
              <w:rPr>
                <w:rFonts w:ascii="Arial" w:cs="Arial" w:eastAsia="Arial" w:hAnsi="Arial"/>
                <w:sz w:val="18"/>
                <w:szCs w:val="18"/>
                <w:color w:val="auto"/>
              </w:rPr>
              <w:t>Gross balance – beginning of year</w:t>
            </w:r>
          </w:p>
        </w:tc>
        <w:tc>
          <w:tcPr>
            <w:tcW w:w="3720" w:type="dxa"/>
            <w:vAlign w:val="bottom"/>
            <w:gridSpan w:val="3"/>
            <w:shd w:val="clear" w:color="auto" w:fill="C0C0C0"/>
          </w:tcPr>
          <w:p>
            <w:pPr>
              <w:jc w:val="right"/>
              <w:ind w:right="160"/>
              <w:spacing w:after="0"/>
              <w:rPr>
                <w:sz w:val="20"/>
                <w:szCs w:val="20"/>
                <w:color w:val="auto"/>
              </w:rPr>
            </w:pPr>
            <w:r>
              <w:rPr>
                <w:rFonts w:ascii="Arial" w:cs="Arial" w:eastAsia="Arial" w:hAnsi="Arial"/>
                <w:sz w:val="18"/>
                <w:szCs w:val="18"/>
                <w:b w:val="1"/>
                <w:bCs w:val="1"/>
                <w:color w:val="auto"/>
              </w:rPr>
              <w:t>$ 200</w:t>
            </w:r>
          </w:p>
        </w:tc>
        <w:tc>
          <w:tcPr>
            <w:tcW w:w="3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$ 200</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$ 200</w:t>
            </w:r>
          </w:p>
        </w:tc>
        <w:tc>
          <w:tcPr>
            <w:tcW w:w="20" w:type="dxa"/>
            <w:vAlign w:val="bottom"/>
          </w:tcPr>
          <w:p>
            <w:pPr>
              <w:spacing w:after="0"/>
              <w:rPr>
                <w:sz w:val="21"/>
                <w:szCs w:val="21"/>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Additions related to current/prior year tax positions</w:t>
            </w:r>
          </w:p>
        </w:tc>
        <w:tc>
          <w:tcPr>
            <w:tcW w:w="318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50"/>
        </w:trPr>
        <w:tc>
          <w:tcPr>
            <w:tcW w:w="6800" w:type="dxa"/>
            <w:vAlign w:val="bottom"/>
            <w:tcBorders>
              <w:top w:val="single" w:sz="8" w:color="C0C0C0"/>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Gross balance – end of year</w:t>
            </w:r>
          </w:p>
        </w:tc>
        <w:tc>
          <w:tcPr>
            <w:tcW w:w="3180" w:type="dxa"/>
            <w:vAlign w:val="bottom"/>
            <w:tcBorders>
              <w:top w:val="single" w:sz="8" w:color="C0C0C0"/>
              <w:bottom w:val="single" w:sz="8" w:color="C0C0C0"/>
            </w:tcBorders>
            <w:shd w:val="clear" w:color="auto" w:fill="C0C0C0"/>
          </w:tcPr>
          <w:p>
            <w:pPr>
              <w:spacing w:after="0"/>
              <w:rPr>
                <w:sz w:val="21"/>
                <w:szCs w:val="21"/>
                <w:color w:val="auto"/>
              </w:rPr>
            </w:pPr>
          </w:p>
        </w:tc>
        <w:tc>
          <w:tcPr>
            <w:tcW w:w="3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$ 643</w:t>
            </w:r>
          </w:p>
        </w:tc>
        <w:tc>
          <w:tcPr>
            <w:tcW w:w="160" w:type="dxa"/>
            <w:vAlign w:val="bottom"/>
            <w:tcBorders>
              <w:top w:val="single" w:sz="8" w:color="C0C0C0"/>
              <w:bottom w:val="single" w:sz="8" w:color="C0C0C0"/>
            </w:tcBorders>
            <w:shd w:val="clear" w:color="auto" w:fill="C0C0C0"/>
          </w:tcPr>
          <w:p>
            <w:pPr>
              <w:spacing w:after="0"/>
              <w:rPr>
                <w:sz w:val="21"/>
                <w:szCs w:val="21"/>
                <w:color w:val="auto"/>
              </w:rPr>
            </w:pPr>
          </w:p>
        </w:tc>
        <w:tc>
          <w:tcPr>
            <w:tcW w:w="3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$ 200</w:t>
            </w:r>
          </w:p>
        </w:tc>
        <w:tc>
          <w:tcPr>
            <w:tcW w:w="140" w:type="dxa"/>
            <w:vAlign w:val="bottom"/>
            <w:tcBorders>
              <w:top w:val="single" w:sz="8" w:color="C0C0C0"/>
              <w:bottom w:val="single" w:sz="8" w:color="C0C0C0"/>
            </w:tcBorders>
            <w:shd w:val="clear" w:color="auto" w:fill="C0C0C0"/>
          </w:tcPr>
          <w:p>
            <w:pPr>
              <w:spacing w:after="0"/>
              <w:rPr>
                <w:sz w:val="21"/>
                <w:szCs w:val="21"/>
                <w:color w:val="auto"/>
              </w:rPr>
            </w:pPr>
          </w:p>
        </w:tc>
        <w:tc>
          <w:tcPr>
            <w:tcW w:w="3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$ 200</w:t>
            </w:r>
          </w:p>
        </w:tc>
        <w:tc>
          <w:tcPr>
            <w:tcW w:w="20" w:type="dxa"/>
            <w:vAlign w:val="bottom"/>
          </w:tcPr>
          <w:p>
            <w:pPr>
              <w:spacing w:after="0"/>
              <w:rPr>
                <w:sz w:val="21"/>
                <w:szCs w:val="21"/>
                <w:color w:val="auto"/>
              </w:rPr>
            </w:pPr>
          </w:p>
        </w:tc>
      </w:tr>
    </w:tbl>
    <w:p>
      <w:pPr>
        <w:spacing w:after="0" w:line="302" w:lineRule="exact"/>
        <w:rPr>
          <w:sz w:val="20"/>
          <w:szCs w:val="20"/>
          <w:color w:val="auto"/>
        </w:rPr>
      </w:pPr>
    </w:p>
    <w:p>
      <w:pPr>
        <w:jc w:val="both"/>
        <w:ind w:firstLine="311"/>
        <w:spacing w:after="0" w:line="290" w:lineRule="auto"/>
        <w:rPr>
          <w:sz w:val="20"/>
          <w:szCs w:val="20"/>
          <w:color w:val="auto"/>
        </w:rPr>
      </w:pPr>
      <w:r>
        <w:rPr>
          <w:rFonts w:ascii="Arial" w:cs="Arial" w:eastAsia="Arial" w:hAnsi="Arial"/>
          <w:sz w:val="16"/>
          <w:szCs w:val="16"/>
          <w:color w:val="auto"/>
        </w:rPr>
        <w:t>The amount of UTBs that, if recognized as of July 31, 2010, would affect our effective tax rate was $550,000. We are subject to U.S. federal income tax as well as income tax in multiple state and foreign jurisdictions. Our federal income tax return for the fiscal years ended July 31, 2008 and July 31, 2009 remain open for future examination. Foreign and U.S. state jurisdictions have statutes of limitations generally ranging from 3 to 5 years. The state impact of any federal income tax changes remains subject to examination by various states for a period of up to one year after formal notification to the states. There are no material open or unsettled federal, state, local or foreign income tax audits. We believe our accrual for tax liabilities is adequate for all open audit years. On the basis of present information, it is reasonably possible that, within the next twelve months, total UTBs may decrease in the range of nil to $370,000 primarily as a result of the conclusion of U.S. federal and state income tax proceedings.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NOTE 6 – INCOME TAXES (CONTINUED)</w:t>
      </w:r>
    </w:p>
    <w:p>
      <w:pPr>
        <w:spacing w:after="0" w:line="2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classify interest and penalty accruals related to UTBs as income tax expense. During fiscal 2010, we recognized an immaterial amount of interest and penalties. As of July 31, 2010, we had accrued $87,000 for the payment of interest and penalties.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85" w:lineRule="exact"/>
        <w:rPr>
          <w:sz w:val="20"/>
          <w:szCs w:val="20"/>
          <w:color w:val="auto"/>
        </w:rPr>
      </w:pPr>
    </w:p>
    <w:p>
      <w:pPr>
        <w:jc w:val="both"/>
        <w:ind w:firstLine="284"/>
        <w:spacing w:after="0" w:line="332" w:lineRule="auto"/>
        <w:rPr>
          <w:sz w:val="20"/>
          <w:szCs w:val="20"/>
          <w:color w:val="auto"/>
        </w:rPr>
      </w:pPr>
      <w:r>
        <w:rPr>
          <w:rFonts w:ascii="Arial" w:cs="Arial" w:eastAsia="Arial" w:hAnsi="Arial"/>
          <w:sz w:val="16"/>
          <w:szCs w:val="16"/>
          <w:color w:val="auto"/>
        </w:rPr>
        <w:t>Our authorized capital stock at July 31, 2010 and 2009 consisted of 15,000,000 shares of Common Stock, 7,000,000 shares of Class B Stock and 30,000,000 shares of Class A Common Stock, each with a par value of $.10 per share. There are no Class A Common Stock shares currently outstanding.</w:t>
      </w:r>
    </w:p>
    <w:p>
      <w:pPr>
        <w:spacing w:after="0" w:line="193"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The Common Stock and Class B Stock are equal, on a per share basis, in all respects except as to voting rights, conversion rights, cash dividends and stock splits or stock dividends. The Class A Common Stock is equal, on a per share basis, in all respects, to the Common Stock except as to voting rights and stock splits or stock dividends. In the case of voting rights, Common Stock is entitled to one vote per share and Class B Stock is entitled to ten votes per share, while Class A Common Stock generally has no voting rights. Common Stock and Class A Common Stock have no conversion rights. Class B Stock is convertible on a share-for-share basis into Common Stock at any time and is subject to mandatory conversion under certain circumstances.</w:t>
      </w:r>
    </w:p>
    <w:p>
      <w:pPr>
        <w:spacing w:after="0" w:line="224"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Common Stock is entitled to cash dividends, as and when declared or paid, equal to at least 133 1/3%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 1/3% of the sum of the per share cash dividend paid on Class B Stock and Class A Common Stock. See Note 4 regarding dividend restrictions.</w:t>
      </w:r>
    </w:p>
    <w:p>
      <w:pPr>
        <w:spacing w:after="0" w:line="251"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Shares of Common Stock, Class A Common Stock and Class B Stock are equal in respect of all rights to dividends (other than cash) and distributions in the form of stock or other property (including stock dividends and split-ups) in each case in the same ratio except in the case of a Special Stock Dividend. The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251"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6"/>
          <w:szCs w:val="16"/>
          <w:color w:val="auto"/>
        </w:rPr>
        <w:t>Our Board of Directors has authorized in the aggregate the repurchase of 3,166,771 shares of the Company stock. As of July 31, 2010, 2,590,530 shares of Common Stock and 342,241 shares of Class B Stock have been repurchased under the Board approved repurchase authorizations and 146,545 shares of Common Stock by other transactions authorized by management prior to the adoption of the Board’s repurchase authorizations.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85" w:lineRule="exact"/>
        <w:rPr>
          <w:sz w:val="20"/>
          <w:szCs w:val="20"/>
          <w:color w:val="auto"/>
        </w:rPr>
      </w:pPr>
    </w:p>
    <w:p>
      <w:pPr>
        <w:jc w:val="both"/>
        <w:ind w:right="20" w:firstLine="297"/>
        <w:spacing w:after="0" w:line="259" w:lineRule="auto"/>
        <w:rPr>
          <w:sz w:val="20"/>
          <w:szCs w:val="20"/>
          <w:color w:val="auto"/>
        </w:rPr>
      </w:pPr>
      <w:r>
        <w:rPr>
          <w:rFonts w:ascii="Arial" w:cs="Arial" w:eastAsia="Arial" w:hAnsi="Arial"/>
          <w:sz w:val="18"/>
          <w:szCs w:val="18"/>
          <w:color w:val="auto"/>
        </w:rPr>
        <w:t>We determined the fair value of stock options and restricted stock issued under our long term incentive plans as of the grant date. We recognized the related compensation expense over the period from the date of grant to the date when the award is no longer contingent on the employee providing additional service to the company.</w:t>
      </w:r>
    </w:p>
    <w:p>
      <w:pPr>
        <w:spacing w:after="0" w:line="248"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The fair value of the stock options was estimated on the date of the grant using a Black-Scholes option valuation model that used various assumptions. The risk free interest rate was based on the U.S. Treasury yield curve in effect at the time of grant. Expected life (estimated period of time outstanding) of a grant was determined by reference to the vesting schedule, past exercise behavior and comparison with other reporting companies. The dividend rate at the date of grant was used as the best estimate of future dividends. Expected volatility was determined by calculating the standard deviation of our stock price for the five years immediately prior to the grant date. This period of time closely resembles the expected term. All options currently outstanding have a term of 10 years. All stock options issued under our plans have an exercise price eq ual to the closing market price on the date of grant.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NOTE 8 – STOCK-BASED COMPENSATION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3"/>
          <w:szCs w:val="13"/>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PTIONS</w:t>
      </w:r>
    </w:p>
    <w:p>
      <w:pPr>
        <w:spacing w:after="0" w:line="285" w:lineRule="exact"/>
        <w:rPr>
          <w:sz w:val="20"/>
          <w:szCs w:val="20"/>
          <w:color w:val="auto"/>
        </w:rPr>
      </w:pPr>
    </w:p>
    <w:p>
      <w:pPr>
        <w:jc w:val="both"/>
        <w:ind w:right="20" w:firstLine="311"/>
        <w:spacing w:after="0" w:line="254" w:lineRule="auto"/>
        <w:rPr>
          <w:sz w:val="20"/>
          <w:szCs w:val="20"/>
          <w:color w:val="auto"/>
        </w:rPr>
      </w:pPr>
      <w:r>
        <w:rPr>
          <w:rFonts w:ascii="Arial" w:cs="Arial" w:eastAsia="Arial" w:hAnsi="Arial"/>
          <w:sz w:val="18"/>
          <w:szCs w:val="18"/>
          <w:color w:val="auto"/>
        </w:rPr>
        <w:t>Our 1995 Long Term Incentive Plan (“1995 Plan”) provided for grants of both incentive and non-qualified stock options and restricted stock. Stock options were granted at an option price per share of 100% of the fair market value of our Class A Common Stock or, if no Class A Common Stock is outstanding, our Common Stock (“Stock”) on the date of grant. Stock options were generally granted with a five-year vesting period and a 10-year term. The stock options vest 25% two years after the grant date and 25% in each of the three following anniversaries of the grant date. The 1995 Plan expired for purposes of issuing new grants on August 5, 2005. All shares of stock issued upon option exercises under this plan were from authorized but unissued stock; all shares of restricted stock issued were from treasury stock.</w:t>
      </w:r>
    </w:p>
    <w:p>
      <w:pPr>
        <w:spacing w:after="0" w:line="252" w:lineRule="exact"/>
        <w:rPr>
          <w:sz w:val="20"/>
          <w:szCs w:val="20"/>
          <w:color w:val="auto"/>
        </w:rPr>
      </w:pPr>
    </w:p>
    <w:p>
      <w:pPr>
        <w:jc w:val="both"/>
        <w:ind w:right="20" w:firstLine="324"/>
        <w:spacing w:after="0" w:line="318" w:lineRule="auto"/>
        <w:rPr>
          <w:sz w:val="20"/>
          <w:szCs w:val="20"/>
          <w:color w:val="auto"/>
        </w:rPr>
      </w:pPr>
      <w:r>
        <w:rPr>
          <w:rFonts w:ascii="Arial" w:cs="Arial" w:eastAsia="Arial" w:hAnsi="Arial"/>
          <w:sz w:val="15"/>
          <w:szCs w:val="15"/>
          <w:color w:val="auto"/>
        </w:rPr>
        <w:t>The Oil-Dri Corporation of America 2006 Long Term Incentive Plan (“2006 Plan”) permits the grant of stock options, stock appreciation rights, restricted stock, restricted stock units, performance awards and other stock-based and cash-based awards. Our employees and non-employee directors are eligible to receive grants under the 2006 Plan. The total number of shares of stock subject to grants under the 2006 Plan may not exceed 937,500. Option grants covering 25,000 shares have been issued to our outside directors with a vesting period of one year and option grants covering 32,500 shares have been issued to employees with vesting similar to the vesting described above under the 1995 Plan. In addition, 95,182 shares of restricted stock have been issued under the 2006 Plan.</w:t>
      </w:r>
    </w:p>
    <w:p>
      <w:pPr>
        <w:spacing w:after="0" w:line="208" w:lineRule="exact"/>
        <w:rPr>
          <w:sz w:val="20"/>
          <w:szCs w:val="20"/>
          <w:color w:val="auto"/>
        </w:rPr>
      </w:pPr>
    </w:p>
    <w:p>
      <w:pPr>
        <w:jc w:val="both"/>
        <w:ind w:right="20" w:firstLine="284"/>
        <w:spacing w:after="0" w:line="256" w:lineRule="auto"/>
        <w:rPr>
          <w:sz w:val="20"/>
          <w:szCs w:val="20"/>
          <w:color w:val="auto"/>
        </w:rPr>
      </w:pPr>
      <w:r>
        <w:rPr>
          <w:rFonts w:ascii="Arial" w:cs="Arial" w:eastAsia="Arial" w:hAnsi="Arial"/>
          <w:sz w:val="18"/>
          <w:szCs w:val="18"/>
          <w:color w:val="auto"/>
        </w:rPr>
        <w:t>The Oil-Dri Corporation of America Outside Director Stock Plan (the “Directors’ Plan”) provides for grants of stock options to directors, who are considered employees, at an option price per share of 100% of the fair market value of Common Stock on the date of grant. Stock options have been granted to our directors for a 10-year term with a one year vesting period. There are 48,250 shares outstanding and no shares are available for future grants under this plan. All shares of stock issued under the Directors’ Plan were from treasury stock.</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EQUITY COMPENSATION PLAN INFORMATION AS OF JULY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Number of</w:t>
            </w:r>
          </w:p>
        </w:tc>
      </w:tr>
      <w:tr>
        <w:trPr>
          <w:trHeight w:val="243"/>
        </w:trPr>
        <w:tc>
          <w:tcPr>
            <w:tcW w:w="50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securities</w:t>
            </w:r>
          </w:p>
        </w:tc>
      </w:tr>
      <w:tr>
        <w:trPr>
          <w:trHeight w:val="243"/>
        </w:trPr>
        <w:tc>
          <w:tcPr>
            <w:tcW w:w="50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remaining</w:t>
            </w:r>
          </w:p>
        </w:tc>
      </w:tr>
      <w:tr>
        <w:trPr>
          <w:trHeight w:val="243"/>
        </w:trPr>
        <w:tc>
          <w:tcPr>
            <w:tcW w:w="50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available for</w:t>
            </w:r>
          </w:p>
        </w:tc>
      </w:tr>
      <w:tr>
        <w:trPr>
          <w:trHeight w:val="243"/>
        </w:trPr>
        <w:tc>
          <w:tcPr>
            <w:tcW w:w="50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100" w:type="dxa"/>
            <w:vAlign w:val="bottom"/>
          </w:tcPr>
          <w:p>
            <w:pPr>
              <w:jc w:val="center"/>
              <w:ind w:left="10"/>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further issuance</w:t>
            </w:r>
          </w:p>
        </w:tc>
      </w:tr>
      <w:tr>
        <w:trPr>
          <w:trHeight w:val="243"/>
        </w:trPr>
        <w:tc>
          <w:tcPr>
            <w:tcW w:w="50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100" w:type="dxa"/>
            <w:vAlign w:val="bottom"/>
          </w:tcPr>
          <w:p>
            <w:pPr>
              <w:jc w:val="center"/>
              <w:ind w:left="10"/>
              <w:spacing w:after="0"/>
              <w:rPr>
                <w:sz w:val="20"/>
                <w:szCs w:val="20"/>
                <w:color w:val="auto"/>
              </w:rPr>
            </w:pPr>
            <w:r>
              <w:rPr>
                <w:rFonts w:ascii="Arial" w:cs="Arial" w:eastAsia="Arial" w:hAnsi="Arial"/>
                <w:sz w:val="14"/>
                <w:szCs w:val="14"/>
                <w:b w:val="1"/>
                <w:bCs w:val="1"/>
                <w:color w:val="auto"/>
                <w:w w:val="83"/>
              </w:rPr>
              <w:t>securities to be</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under equity</w:t>
            </w:r>
          </w:p>
        </w:tc>
      </w:tr>
      <w:tr>
        <w:trPr>
          <w:trHeight w:val="243"/>
        </w:trPr>
        <w:tc>
          <w:tcPr>
            <w:tcW w:w="50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100" w:type="dxa"/>
            <w:vAlign w:val="bottom"/>
          </w:tcPr>
          <w:p>
            <w:pPr>
              <w:jc w:val="center"/>
              <w:ind w:left="30"/>
              <w:spacing w:after="0"/>
              <w:rPr>
                <w:sz w:val="20"/>
                <w:szCs w:val="20"/>
                <w:color w:val="auto"/>
              </w:rPr>
            </w:pPr>
            <w:r>
              <w:rPr>
                <w:rFonts w:ascii="Arial" w:cs="Arial" w:eastAsia="Arial" w:hAnsi="Arial"/>
                <w:sz w:val="14"/>
                <w:szCs w:val="14"/>
                <w:b w:val="1"/>
                <w:bCs w:val="1"/>
                <w:color w:val="auto"/>
                <w:w w:val="82"/>
              </w:rPr>
              <w:t>issued upon</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compensation</w:t>
            </w:r>
          </w:p>
        </w:tc>
      </w:tr>
      <w:tr>
        <w:trPr>
          <w:trHeight w:val="243"/>
        </w:trPr>
        <w:tc>
          <w:tcPr>
            <w:tcW w:w="50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100" w:type="dxa"/>
            <w:vAlign w:val="bottom"/>
          </w:tcPr>
          <w:p>
            <w:pPr>
              <w:jc w:val="center"/>
              <w:ind w:left="10"/>
              <w:spacing w:after="0"/>
              <w:rPr>
                <w:sz w:val="20"/>
                <w:szCs w:val="20"/>
                <w:color w:val="auto"/>
              </w:rPr>
            </w:pPr>
            <w:r>
              <w:rPr>
                <w:rFonts w:ascii="Arial" w:cs="Arial" w:eastAsia="Arial" w:hAnsi="Arial"/>
                <w:sz w:val="14"/>
                <w:szCs w:val="14"/>
                <w:b w:val="1"/>
                <w:bCs w:val="1"/>
                <w:color w:val="auto"/>
                <w:w w:val="84"/>
              </w:rPr>
              <w:t>exercise of</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plans (excluding</w:t>
            </w:r>
          </w:p>
        </w:tc>
      </w:tr>
      <w:tr>
        <w:trPr>
          <w:trHeight w:val="243"/>
        </w:trPr>
        <w:tc>
          <w:tcPr>
            <w:tcW w:w="50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100" w:type="dxa"/>
            <w:vAlign w:val="bottom"/>
          </w:tcPr>
          <w:p>
            <w:pPr>
              <w:jc w:val="center"/>
              <w:ind w:left="10"/>
              <w:spacing w:after="0"/>
              <w:rPr>
                <w:sz w:val="20"/>
                <w:szCs w:val="20"/>
                <w:color w:val="auto"/>
              </w:rPr>
            </w:pPr>
            <w:r>
              <w:rPr>
                <w:rFonts w:ascii="Arial" w:cs="Arial" w:eastAsia="Arial" w:hAnsi="Arial"/>
                <w:sz w:val="14"/>
                <w:szCs w:val="14"/>
                <w:b w:val="1"/>
                <w:bCs w:val="1"/>
                <w:color w:val="auto"/>
                <w:w w:val="87"/>
              </w:rPr>
              <w:t>outstanding</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 of</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securities reflected</w:t>
            </w:r>
          </w:p>
        </w:tc>
      </w:tr>
      <w:tr>
        <w:trPr>
          <w:trHeight w:val="243"/>
        </w:trPr>
        <w:tc>
          <w:tcPr>
            <w:tcW w:w="50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100" w:type="dxa"/>
            <w:vAlign w:val="bottom"/>
          </w:tcPr>
          <w:p>
            <w:pPr>
              <w:jc w:val="center"/>
              <w:ind w:left="10"/>
              <w:spacing w:after="0"/>
              <w:rPr>
                <w:sz w:val="20"/>
                <w:szCs w:val="20"/>
                <w:color w:val="auto"/>
              </w:rPr>
            </w:pPr>
            <w:r>
              <w:rPr>
                <w:rFonts w:ascii="Arial" w:cs="Arial" w:eastAsia="Arial" w:hAnsi="Arial"/>
                <w:sz w:val="14"/>
                <w:szCs w:val="14"/>
                <w:b w:val="1"/>
                <w:bCs w:val="1"/>
                <w:color w:val="auto"/>
                <w:w w:val="82"/>
              </w:rPr>
              <w:t>options</w:t>
            </w:r>
          </w:p>
        </w:tc>
        <w:tc>
          <w:tcPr>
            <w:tcW w:w="200" w:type="dxa"/>
            <w:vAlign w:val="bottom"/>
          </w:tcPr>
          <w:p>
            <w:pPr>
              <w:spacing w:after="0"/>
              <w:rPr>
                <w:sz w:val="21"/>
                <w:szCs w:val="21"/>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87"/>
              </w:rPr>
              <w:t>outstanding</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in column (a))</w:t>
            </w:r>
          </w:p>
        </w:tc>
      </w:tr>
      <w:tr>
        <w:trPr>
          <w:trHeight w:val="243"/>
        </w:trPr>
        <w:tc>
          <w:tcPr>
            <w:tcW w:w="50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100" w:type="dxa"/>
            <w:vAlign w:val="bottom"/>
          </w:tcPr>
          <w:p>
            <w:pPr>
              <w:jc w:val="center"/>
              <w:ind w:left="10"/>
              <w:spacing w:after="0"/>
              <w:rPr>
                <w:sz w:val="20"/>
                <w:szCs w:val="20"/>
                <w:color w:val="auto"/>
              </w:rPr>
            </w:pPr>
            <w:r>
              <w:rPr>
                <w:rFonts w:ascii="Arial" w:cs="Arial" w:eastAsia="Arial" w:hAnsi="Arial"/>
                <w:sz w:val="14"/>
                <w:szCs w:val="14"/>
                <w:b w:val="1"/>
                <w:bCs w:val="1"/>
                <w:color w:val="auto"/>
                <w:w w:val="84"/>
              </w:rPr>
              <w:t>(in thousands)</w:t>
            </w:r>
          </w:p>
        </w:tc>
        <w:tc>
          <w:tcPr>
            <w:tcW w:w="200" w:type="dxa"/>
            <w:vAlign w:val="bottom"/>
          </w:tcPr>
          <w:p>
            <w:pPr>
              <w:spacing w:after="0"/>
              <w:rPr>
                <w:sz w:val="21"/>
                <w:szCs w:val="21"/>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82"/>
              </w:rPr>
              <w:t>options</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(in thousands)</w:t>
            </w:r>
          </w:p>
        </w:tc>
      </w:tr>
      <w:tr>
        <w:trPr>
          <w:trHeight w:val="243"/>
        </w:trPr>
        <w:tc>
          <w:tcPr>
            <w:tcW w:w="5020" w:type="dxa"/>
            <w:vAlign w:val="bottom"/>
          </w:tcPr>
          <w:p>
            <w:pPr>
              <w:ind w:left="3600"/>
              <w:spacing w:after="0"/>
              <w:rPr>
                <w:sz w:val="20"/>
                <w:szCs w:val="20"/>
                <w:color w:val="auto"/>
              </w:rPr>
            </w:pPr>
            <w:r>
              <w:rPr>
                <w:rFonts w:ascii="Arial" w:cs="Arial" w:eastAsia="Arial" w:hAnsi="Arial"/>
                <w:sz w:val="14"/>
                <w:szCs w:val="14"/>
                <w:b w:val="1"/>
                <w:bCs w:val="1"/>
                <w:color w:val="auto"/>
              </w:rPr>
              <w:t>Plan category</w:t>
            </w:r>
          </w:p>
        </w:tc>
        <w:tc>
          <w:tcPr>
            <w:tcW w:w="2960" w:type="dxa"/>
            <w:vAlign w:val="bottom"/>
          </w:tcPr>
          <w:p>
            <w:pPr>
              <w:spacing w:after="0"/>
              <w:rPr>
                <w:sz w:val="21"/>
                <w:szCs w:val="21"/>
                <w:color w:val="auto"/>
              </w:rPr>
            </w:pPr>
          </w:p>
        </w:tc>
        <w:tc>
          <w:tcPr>
            <w:tcW w:w="1100" w:type="dxa"/>
            <w:vAlign w:val="bottom"/>
          </w:tcPr>
          <w:p>
            <w:pPr>
              <w:jc w:val="center"/>
              <w:ind w:left="10"/>
              <w:spacing w:after="0"/>
              <w:rPr>
                <w:sz w:val="20"/>
                <w:szCs w:val="20"/>
                <w:color w:val="auto"/>
              </w:rPr>
            </w:pPr>
            <w:r>
              <w:rPr>
                <w:rFonts w:ascii="Arial" w:cs="Arial" w:eastAsia="Arial" w:hAnsi="Arial"/>
                <w:sz w:val="14"/>
                <w:szCs w:val="14"/>
                <w:b w:val="1"/>
                <w:bCs w:val="1"/>
                <w:color w:val="auto"/>
                <w:w w:val="81"/>
              </w:rPr>
              <w:t>(a)</w:t>
            </w:r>
          </w:p>
        </w:tc>
        <w:tc>
          <w:tcPr>
            <w:tcW w:w="200" w:type="dxa"/>
            <w:vAlign w:val="bottom"/>
          </w:tcPr>
          <w:p>
            <w:pPr>
              <w:spacing w:after="0"/>
              <w:rPr>
                <w:sz w:val="21"/>
                <w:szCs w:val="21"/>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rPr>
              <w:t>(b)</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w:t>
            </w:r>
          </w:p>
        </w:tc>
      </w:tr>
      <w:tr>
        <w:trPr>
          <w:trHeight w:val="41"/>
        </w:trPr>
        <w:tc>
          <w:tcPr>
            <w:tcW w:w="502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21"/>
        </w:trPr>
        <w:tc>
          <w:tcPr>
            <w:tcW w:w="5020" w:type="dxa"/>
            <w:vAlign w:val="bottom"/>
            <w:shd w:val="clear" w:color="auto" w:fill="C0C0C0"/>
          </w:tcPr>
          <w:p>
            <w:pPr>
              <w:spacing w:after="0"/>
              <w:rPr>
                <w:sz w:val="20"/>
                <w:szCs w:val="20"/>
                <w:color w:val="auto"/>
              </w:rPr>
            </w:pPr>
            <w:r>
              <w:rPr>
                <w:rFonts w:ascii="Arial" w:cs="Arial" w:eastAsia="Arial" w:hAnsi="Arial"/>
                <w:sz w:val="18"/>
                <w:szCs w:val="18"/>
                <w:color w:val="auto"/>
              </w:rPr>
              <w:t>Equity compensation plans approved by</w:t>
            </w:r>
          </w:p>
        </w:tc>
        <w:tc>
          <w:tcPr>
            <w:tcW w:w="2960" w:type="dxa"/>
            <w:vAlign w:val="bottom"/>
            <w:shd w:val="clear" w:color="auto" w:fill="C0C0C0"/>
          </w:tcPr>
          <w:p>
            <w:pPr>
              <w:spacing w:after="0"/>
              <w:rPr>
                <w:sz w:val="19"/>
                <w:szCs w:val="19"/>
                <w:color w:val="auto"/>
              </w:rPr>
            </w:pPr>
          </w:p>
        </w:tc>
        <w:tc>
          <w:tcPr>
            <w:tcW w:w="11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980" w:type="dxa"/>
            <w:vAlign w:val="bottom"/>
            <w:shd w:val="clear" w:color="auto" w:fill="C0C0C0"/>
          </w:tcPr>
          <w:p>
            <w:pPr>
              <w:spacing w:after="0"/>
              <w:rPr>
                <w:sz w:val="19"/>
                <w:szCs w:val="19"/>
                <w:color w:val="auto"/>
              </w:rPr>
            </w:pPr>
          </w:p>
        </w:tc>
        <w:tc>
          <w:tcPr>
            <w:tcW w:w="11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0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stockholders</w:t>
            </w:r>
          </w:p>
        </w:tc>
        <w:tc>
          <w:tcPr>
            <w:tcW w:w="296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279</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10.09</w:t>
            </w:r>
          </w:p>
        </w:tc>
        <w:tc>
          <w:tcPr>
            <w:tcW w:w="11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21"/>
                <w:szCs w:val="21"/>
                <w:color w:val="auto"/>
              </w:rPr>
            </w:pPr>
          </w:p>
        </w:tc>
      </w:tr>
      <w:tr>
        <w:trPr>
          <w:trHeight w:val="228"/>
        </w:trPr>
        <w:tc>
          <w:tcPr>
            <w:tcW w:w="5020" w:type="dxa"/>
            <w:vAlign w:val="bottom"/>
          </w:tcPr>
          <w:p>
            <w:pPr>
              <w:spacing w:after="0"/>
              <w:rPr>
                <w:sz w:val="20"/>
                <w:szCs w:val="20"/>
                <w:color w:val="auto"/>
              </w:rPr>
            </w:pPr>
            <w:r>
              <w:rPr>
                <w:rFonts w:ascii="Arial" w:cs="Arial" w:eastAsia="Arial" w:hAnsi="Arial"/>
                <w:sz w:val="18"/>
                <w:szCs w:val="18"/>
                <w:color w:val="auto"/>
              </w:rPr>
              <w:t>Equity compensation plans not approved by</w:t>
            </w:r>
          </w:p>
        </w:tc>
        <w:tc>
          <w:tcPr>
            <w:tcW w:w="2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020" w:type="dxa"/>
            <w:vAlign w:val="bottom"/>
          </w:tcPr>
          <w:p>
            <w:pPr>
              <w:spacing w:after="0"/>
              <w:rPr>
                <w:sz w:val="20"/>
                <w:szCs w:val="20"/>
                <w:color w:val="auto"/>
              </w:rPr>
            </w:pPr>
            <w:r>
              <w:rPr>
                <w:rFonts w:ascii="Arial" w:cs="Arial" w:eastAsia="Arial" w:hAnsi="Arial"/>
                <w:sz w:val="18"/>
                <w:szCs w:val="18"/>
                <w:color w:val="auto"/>
              </w:rPr>
              <w:t>stockholders</w:t>
            </w:r>
          </w:p>
        </w:tc>
        <w:tc>
          <w:tcPr>
            <w:tcW w:w="4060" w:type="dxa"/>
            <w:vAlign w:val="bottom"/>
            <w:gridSpan w:val="2"/>
          </w:tcPr>
          <w:p>
            <w:pPr>
              <w:jc w:val="right"/>
              <w:ind w:right="10"/>
              <w:spacing w:after="0"/>
              <w:rPr>
                <w:sz w:val="20"/>
                <w:szCs w:val="20"/>
                <w:color w:val="auto"/>
              </w:rPr>
            </w:pPr>
            <w:r>
              <w:rPr>
                <w:rFonts w:ascii="Arial" w:cs="Arial" w:eastAsia="Arial" w:hAnsi="Arial"/>
                <w:sz w:val="18"/>
                <w:szCs w:val="18"/>
                <w:color w:val="auto"/>
              </w:rPr>
              <w:t>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57"/>
        </w:trPr>
        <w:tc>
          <w:tcPr>
            <w:tcW w:w="502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jc w:val="right"/>
              <w:ind w:right="2092"/>
              <w:spacing w:after="0"/>
              <w:rPr>
                <w:sz w:val="20"/>
                <w:szCs w:val="20"/>
                <w:color w:val="auto"/>
              </w:rPr>
            </w:pPr>
            <w:r>
              <w:rPr>
                <w:rFonts w:ascii="Arial" w:cs="Arial" w:eastAsia="Arial" w:hAnsi="Arial"/>
                <w:sz w:val="18"/>
                <w:szCs w:val="18"/>
                <w:color w:val="auto"/>
              </w:rPr>
              <w:t>58</w:t>
            </w:r>
          </w:p>
        </w:tc>
        <w:tc>
          <w:tcPr>
            <w:tcW w:w="1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502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20"/>
                <w:szCs w:val="20"/>
                <w:color w:val="auto"/>
              </w:rPr>
            </w:pPr>
            <w:r>
              <w:rPr>
                <w:rFonts w:ascii="Arial" w:cs="Arial" w:eastAsia="Arial" w:hAnsi="Arial"/>
                <w:sz w:val="18"/>
                <w:szCs w:val="18"/>
                <w:b w:val="1"/>
                <w:bCs w:val="1"/>
                <w:color w:val="auto"/>
              </w:rPr>
              <w:t>NOTE 8 – STOCK-BASED COMPENSATION (CONTINUED)</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86"/>
        </w:trPr>
        <w:tc>
          <w:tcPr>
            <w:tcW w:w="6080" w:type="dxa"/>
            <w:vAlign w:val="bottom"/>
          </w:tcPr>
          <w:p>
            <w:pPr>
              <w:ind w:left="280"/>
              <w:spacing w:after="0"/>
              <w:rPr>
                <w:sz w:val="20"/>
                <w:szCs w:val="20"/>
                <w:color w:val="auto"/>
              </w:rPr>
            </w:pPr>
            <w:r>
              <w:rPr>
                <w:rFonts w:ascii="Arial" w:cs="Arial" w:eastAsia="Arial" w:hAnsi="Arial"/>
                <w:sz w:val="18"/>
                <w:szCs w:val="18"/>
                <w:color w:val="auto"/>
              </w:rPr>
              <w:t>A summary of option transactions under the plans is shown below.</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3"/>
        </w:trPr>
        <w:tc>
          <w:tcPr>
            <w:tcW w:w="60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Weighted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60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60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Weighted</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200" w:type="dxa"/>
            <w:vAlign w:val="bottom"/>
          </w:tcPr>
          <w:p>
            <w:pPr>
              <w:spacing w:after="0"/>
              <w:rPr>
                <w:sz w:val="21"/>
                <w:szCs w:val="21"/>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Aggregate</w:t>
            </w:r>
          </w:p>
        </w:tc>
      </w:tr>
      <w:tr>
        <w:trPr>
          <w:trHeight w:val="243"/>
        </w:trPr>
        <w:tc>
          <w:tcPr>
            <w:tcW w:w="6080" w:type="dxa"/>
            <w:vAlign w:val="bottom"/>
          </w:tcPr>
          <w:p>
            <w:pPr>
              <w:spacing w:after="0"/>
              <w:rPr>
                <w:sz w:val="21"/>
                <w:szCs w:val="21"/>
                <w:color w:val="auto"/>
              </w:rPr>
            </w:pPr>
          </w:p>
        </w:tc>
        <w:tc>
          <w:tcPr>
            <w:tcW w:w="2260" w:type="dxa"/>
            <w:vAlign w:val="bottom"/>
          </w:tcPr>
          <w:p>
            <w:pPr>
              <w:jc w:val="center"/>
              <w:ind w:left="972"/>
              <w:spacing w:after="0"/>
              <w:rPr>
                <w:sz w:val="20"/>
                <w:szCs w:val="20"/>
                <w:color w:val="auto"/>
              </w:rPr>
            </w:pPr>
            <w:r>
              <w:rPr>
                <w:rFonts w:ascii="Arial" w:cs="Arial" w:eastAsia="Arial" w:hAnsi="Arial"/>
                <w:sz w:val="18"/>
                <w:szCs w:val="18"/>
                <w:b w:val="1"/>
                <w:bCs w:val="1"/>
                <w:color w:val="auto"/>
                <w:w w:val="88"/>
              </w:rPr>
              <w:t>Number of</w:t>
            </w: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5"/>
              </w:rPr>
              <w:t>Contractual</w:t>
            </w:r>
          </w:p>
        </w:tc>
        <w:tc>
          <w:tcPr>
            <w:tcW w:w="200" w:type="dxa"/>
            <w:vAlign w:val="bottom"/>
          </w:tcPr>
          <w:p>
            <w:pPr>
              <w:spacing w:after="0"/>
              <w:rPr>
                <w:sz w:val="21"/>
                <w:szCs w:val="21"/>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91"/>
              </w:rPr>
              <w:t>Intrinsic</w:t>
            </w:r>
          </w:p>
        </w:tc>
      </w:tr>
      <w:tr>
        <w:trPr>
          <w:trHeight w:val="243"/>
        </w:trPr>
        <w:tc>
          <w:tcPr>
            <w:tcW w:w="6080" w:type="dxa"/>
            <w:vAlign w:val="bottom"/>
          </w:tcPr>
          <w:p>
            <w:pPr>
              <w:spacing w:after="0"/>
              <w:rPr>
                <w:sz w:val="21"/>
                <w:szCs w:val="21"/>
                <w:color w:val="auto"/>
              </w:rPr>
            </w:pPr>
          </w:p>
        </w:tc>
        <w:tc>
          <w:tcPr>
            <w:tcW w:w="2260" w:type="dxa"/>
            <w:vAlign w:val="bottom"/>
          </w:tcPr>
          <w:p>
            <w:pPr>
              <w:jc w:val="center"/>
              <w:ind w:left="972"/>
              <w:spacing w:after="0"/>
              <w:rPr>
                <w:sz w:val="20"/>
                <w:szCs w:val="20"/>
                <w:color w:val="auto"/>
              </w:rPr>
            </w:pPr>
            <w:r>
              <w:rPr>
                <w:rFonts w:ascii="Arial" w:cs="Arial" w:eastAsia="Arial" w:hAnsi="Arial"/>
                <w:sz w:val="18"/>
                <w:szCs w:val="18"/>
                <w:b w:val="1"/>
                <w:bCs w:val="1"/>
                <w:color w:val="auto"/>
                <w:w w:val="86"/>
              </w:rPr>
              <w:t>Shares</w:t>
            </w: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200" w:type="dxa"/>
            <w:vAlign w:val="bottom"/>
          </w:tcPr>
          <w:p>
            <w:pPr>
              <w:spacing w:after="0"/>
              <w:rPr>
                <w:sz w:val="21"/>
                <w:szCs w:val="21"/>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91"/>
              </w:rPr>
              <w:t>Value</w:t>
            </w:r>
          </w:p>
        </w:tc>
      </w:tr>
      <w:tr>
        <w:trPr>
          <w:trHeight w:val="252"/>
        </w:trPr>
        <w:tc>
          <w:tcPr>
            <w:tcW w:w="60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center"/>
              <w:ind w:left="972"/>
              <w:spacing w:after="0"/>
              <w:rPr>
                <w:sz w:val="20"/>
                <w:szCs w:val="20"/>
                <w:color w:val="auto"/>
              </w:rPr>
            </w:pPr>
            <w:r>
              <w:rPr>
                <w:rFonts w:ascii="Arial" w:cs="Arial" w:eastAsia="Arial" w:hAnsi="Arial"/>
                <w:sz w:val="18"/>
                <w:szCs w:val="18"/>
                <w:b w:val="1"/>
                <w:bCs w:val="1"/>
                <w:color w:val="auto"/>
                <w:w w:val="87"/>
              </w:rPr>
              <w:t>(in thousands)</w:t>
            </w: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6"/>
              </w:rPr>
              <w:t>Price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85"/>
              </w:rPr>
              <w:t>(in thousands)</w:t>
            </w:r>
          </w:p>
        </w:tc>
      </w:tr>
      <w:tr>
        <w:trPr>
          <w:trHeight w:val="243"/>
        </w:trPr>
        <w:tc>
          <w:tcPr>
            <w:tcW w:w="6080" w:type="dxa"/>
            <w:vAlign w:val="bottom"/>
            <w:shd w:val="clear" w:color="auto" w:fill="C0C0C0"/>
          </w:tcPr>
          <w:p>
            <w:pPr>
              <w:spacing w:after="0"/>
              <w:rPr>
                <w:sz w:val="20"/>
                <w:szCs w:val="20"/>
                <w:color w:val="auto"/>
              </w:rPr>
            </w:pPr>
            <w:r>
              <w:rPr>
                <w:rFonts w:ascii="Arial" w:cs="Arial" w:eastAsia="Arial" w:hAnsi="Arial"/>
                <w:sz w:val="18"/>
                <w:szCs w:val="18"/>
                <w:color w:val="auto"/>
              </w:rPr>
              <w:t>Options outstanding at July 31, 2007</w:t>
            </w:r>
          </w:p>
        </w:tc>
        <w:tc>
          <w:tcPr>
            <w:tcW w:w="22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8.87</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6,147</w:t>
            </w:r>
          </w:p>
        </w:tc>
      </w:tr>
      <w:tr>
        <w:trPr>
          <w:trHeight w:val="235"/>
        </w:trPr>
        <w:tc>
          <w:tcPr>
            <w:tcW w:w="608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2260" w:type="dxa"/>
            <w:vAlign w:val="bottom"/>
          </w:tcPr>
          <w:p>
            <w:pPr>
              <w:jc w:val="right"/>
              <w:ind w:right="72"/>
              <w:spacing w:after="0"/>
              <w:rPr>
                <w:sz w:val="20"/>
                <w:szCs w:val="20"/>
                <w:color w:val="auto"/>
              </w:rPr>
            </w:pPr>
            <w:r>
              <w:rPr>
                <w:rFonts w:ascii="Arial" w:cs="Arial" w:eastAsia="Arial" w:hAnsi="Arial"/>
                <w:sz w:val="18"/>
                <w:szCs w:val="18"/>
                <w:color w:val="auto"/>
              </w:rPr>
              <w:t>(152)</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9.70</w:t>
            </w:r>
          </w:p>
        </w:tc>
        <w:tc>
          <w:tcPr>
            <w:tcW w:w="1060" w:type="dxa"/>
            <w:vAlign w:val="bottom"/>
          </w:tcPr>
          <w:p>
            <w:pPr>
              <w:spacing w:after="0"/>
              <w:rPr>
                <w:sz w:val="20"/>
                <w:szCs w:val="20"/>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1,378</w:t>
            </w:r>
          </w:p>
        </w:tc>
      </w:tr>
      <w:tr>
        <w:trPr>
          <w:trHeight w:val="244"/>
        </w:trPr>
        <w:tc>
          <w:tcPr>
            <w:tcW w:w="6080" w:type="dxa"/>
            <w:vAlign w:val="bottom"/>
            <w:tcBorders>
              <w:bottom w:val="single" w:sz="8" w:color="auto"/>
            </w:tcBorders>
            <w:shd w:val="clear" w:color="auto" w:fill="C0C0C0"/>
          </w:tcPr>
          <w:p>
            <w:pPr>
              <w:ind w:left="320"/>
              <w:spacing w:after="0"/>
              <w:rPr>
                <w:sz w:val="20"/>
                <w:szCs w:val="20"/>
                <w:color w:val="auto"/>
              </w:rPr>
            </w:pPr>
            <w:r>
              <w:rPr>
                <w:rFonts w:ascii="Arial" w:cs="Arial" w:eastAsia="Arial" w:hAnsi="Arial"/>
                <w:sz w:val="18"/>
                <w:szCs w:val="18"/>
                <w:color w:val="auto"/>
              </w:rPr>
              <w:t>Forfeited</w:t>
            </w:r>
          </w:p>
        </w:tc>
        <w:tc>
          <w:tcPr>
            <w:tcW w:w="22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9.33</w:t>
            </w:r>
          </w:p>
        </w:tc>
        <w:tc>
          <w:tcPr>
            <w:tcW w:w="1060" w:type="dxa"/>
            <w:vAlign w:val="bottom"/>
            <w:tcBorders>
              <w:bottom w:val="single" w:sz="8" w:color="auto"/>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r>
      <w:tr>
        <w:trPr>
          <w:trHeight w:val="235"/>
        </w:trPr>
        <w:tc>
          <w:tcPr>
            <w:tcW w:w="6080" w:type="dxa"/>
            <w:vAlign w:val="bottom"/>
          </w:tcPr>
          <w:p>
            <w:pPr>
              <w:spacing w:after="0"/>
              <w:rPr>
                <w:sz w:val="20"/>
                <w:szCs w:val="20"/>
                <w:color w:val="auto"/>
              </w:rPr>
            </w:pPr>
            <w:r>
              <w:rPr>
                <w:rFonts w:ascii="Arial" w:cs="Arial" w:eastAsia="Arial" w:hAnsi="Arial"/>
                <w:sz w:val="18"/>
                <w:szCs w:val="18"/>
                <w:color w:val="auto"/>
              </w:rPr>
              <w:t>Options outstanding at July 31, 2008</w:t>
            </w:r>
          </w:p>
        </w:tc>
        <w:tc>
          <w:tcPr>
            <w:tcW w:w="2260" w:type="dxa"/>
            <w:vAlign w:val="bottom"/>
          </w:tcPr>
          <w:p>
            <w:pPr>
              <w:jc w:val="right"/>
              <w:ind w:right="132"/>
              <w:spacing w:after="0"/>
              <w:rPr>
                <w:sz w:val="20"/>
                <w:szCs w:val="20"/>
                <w:color w:val="auto"/>
              </w:rPr>
            </w:pPr>
            <w:r>
              <w:rPr>
                <w:rFonts w:ascii="Arial" w:cs="Arial" w:eastAsia="Arial" w:hAnsi="Arial"/>
                <w:sz w:val="18"/>
                <w:szCs w:val="18"/>
                <w:color w:val="auto"/>
              </w:rPr>
              <w:t>624</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8.66</w:t>
            </w: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5,345</w:t>
            </w:r>
          </w:p>
        </w:tc>
      </w:tr>
      <w:tr>
        <w:trPr>
          <w:trHeight w:val="251"/>
        </w:trPr>
        <w:tc>
          <w:tcPr>
            <w:tcW w:w="6080" w:type="dxa"/>
            <w:vAlign w:val="bottom"/>
            <w:shd w:val="clear" w:color="auto" w:fill="C0C0C0"/>
          </w:tcPr>
          <w:p>
            <w:pPr>
              <w:spacing w:after="0"/>
              <w:rPr>
                <w:sz w:val="20"/>
                <w:szCs w:val="20"/>
                <w:color w:val="auto"/>
              </w:rPr>
            </w:pPr>
            <w:r>
              <w:rPr>
                <w:rFonts w:ascii="Arial" w:cs="Arial" w:eastAsia="Arial" w:hAnsi="Arial"/>
                <w:sz w:val="18"/>
                <w:szCs w:val="18"/>
                <w:color w:val="auto"/>
              </w:rPr>
              <w:t>Options vested at July 31, 2008</w:t>
            </w:r>
          </w:p>
        </w:tc>
        <w:tc>
          <w:tcPr>
            <w:tcW w:w="22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8.68</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3,661</w:t>
            </w:r>
          </w:p>
        </w:tc>
      </w:tr>
      <w:tr>
        <w:trPr>
          <w:trHeight w:val="237"/>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Options unvested at July 31, 2008</w:t>
            </w:r>
          </w:p>
        </w:tc>
        <w:tc>
          <w:tcPr>
            <w:tcW w:w="2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195</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43"/>
        </w:trPr>
        <w:tc>
          <w:tcPr>
            <w:tcW w:w="6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Exercised</w:t>
            </w:r>
          </w:p>
        </w:tc>
        <w:tc>
          <w:tcPr>
            <w:tcW w:w="22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6.39</w:t>
            </w:r>
          </w:p>
        </w:tc>
        <w:tc>
          <w:tcPr>
            <w:tcW w:w="1060" w:type="dxa"/>
            <w:vAlign w:val="bottom"/>
            <w:shd w:val="clear" w:color="auto" w:fill="C0C0C0"/>
          </w:tcPr>
          <w:p>
            <w:pPr>
              <w:spacing w:after="0"/>
              <w:rPr>
                <w:sz w:val="21"/>
                <w:szCs w:val="21"/>
                <w:color w:val="auto"/>
              </w:rPr>
            </w:pP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1,117</w:t>
            </w:r>
          </w:p>
        </w:tc>
      </w:tr>
      <w:tr>
        <w:trPr>
          <w:trHeight w:val="235"/>
        </w:trPr>
        <w:tc>
          <w:tcPr>
            <w:tcW w:w="6080" w:type="dxa"/>
            <w:vAlign w:val="bottom"/>
          </w:tcPr>
          <w:p>
            <w:pPr>
              <w:ind w:left="320"/>
              <w:spacing w:after="0"/>
              <w:rPr>
                <w:sz w:val="20"/>
                <w:szCs w:val="20"/>
                <w:color w:val="auto"/>
              </w:rPr>
            </w:pPr>
            <w:r>
              <w:rPr>
                <w:rFonts w:ascii="Arial" w:cs="Arial" w:eastAsia="Arial" w:hAnsi="Arial"/>
                <w:sz w:val="18"/>
                <w:szCs w:val="18"/>
                <w:color w:val="auto"/>
              </w:rPr>
              <w:t>Forfeited</w:t>
            </w:r>
          </w:p>
        </w:tc>
        <w:tc>
          <w:tcPr>
            <w:tcW w:w="22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4.92</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4"/>
        </w:trPr>
        <w:tc>
          <w:tcPr>
            <w:tcW w:w="6080" w:type="dxa"/>
            <w:vAlign w:val="bottom"/>
            <w:tcBorders>
              <w:bottom w:val="single" w:sz="8" w:color="auto"/>
            </w:tcBorders>
            <w:shd w:val="clear" w:color="auto" w:fill="C0C0C0"/>
          </w:tcPr>
          <w:p>
            <w:pPr>
              <w:ind w:left="320"/>
              <w:spacing w:after="0"/>
              <w:rPr>
                <w:sz w:val="20"/>
                <w:szCs w:val="20"/>
                <w:color w:val="auto"/>
              </w:rPr>
            </w:pPr>
            <w:r>
              <w:rPr>
                <w:rFonts w:ascii="Arial" w:cs="Arial" w:eastAsia="Arial" w:hAnsi="Arial"/>
                <w:sz w:val="18"/>
                <w:szCs w:val="18"/>
                <w:color w:val="auto"/>
              </w:rPr>
              <w:t>Expired</w:t>
            </w:r>
          </w:p>
        </w:tc>
        <w:tc>
          <w:tcPr>
            <w:tcW w:w="22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9.00</w:t>
            </w:r>
          </w:p>
        </w:tc>
        <w:tc>
          <w:tcPr>
            <w:tcW w:w="1060" w:type="dxa"/>
            <w:vAlign w:val="bottom"/>
            <w:tcBorders>
              <w:bottom w:val="single" w:sz="8" w:color="auto"/>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r>
      <w:tr>
        <w:trPr>
          <w:trHeight w:val="235"/>
        </w:trPr>
        <w:tc>
          <w:tcPr>
            <w:tcW w:w="6080" w:type="dxa"/>
            <w:vAlign w:val="bottom"/>
          </w:tcPr>
          <w:p>
            <w:pPr>
              <w:spacing w:after="0"/>
              <w:rPr>
                <w:sz w:val="20"/>
                <w:szCs w:val="20"/>
                <w:color w:val="auto"/>
              </w:rPr>
            </w:pPr>
            <w:r>
              <w:rPr>
                <w:rFonts w:ascii="Arial" w:cs="Arial" w:eastAsia="Arial" w:hAnsi="Arial"/>
                <w:sz w:val="18"/>
                <w:szCs w:val="18"/>
                <w:color w:val="auto"/>
              </w:rPr>
              <w:t>Options outstanding at July 31, 2009</w:t>
            </w:r>
          </w:p>
        </w:tc>
        <w:tc>
          <w:tcPr>
            <w:tcW w:w="2260" w:type="dxa"/>
            <w:vAlign w:val="bottom"/>
          </w:tcPr>
          <w:p>
            <w:pPr>
              <w:jc w:val="right"/>
              <w:ind w:right="132"/>
              <w:spacing w:after="0"/>
              <w:rPr>
                <w:sz w:val="20"/>
                <w:szCs w:val="20"/>
                <w:color w:val="auto"/>
              </w:rPr>
            </w:pPr>
            <w:r>
              <w:rPr>
                <w:rFonts w:ascii="Arial" w:cs="Arial" w:eastAsia="Arial" w:hAnsi="Arial"/>
                <w:sz w:val="18"/>
                <w:szCs w:val="18"/>
                <w:color w:val="auto"/>
              </w:rPr>
              <w:t>505</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9.14</w:t>
            </w: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3,363</w:t>
            </w:r>
          </w:p>
        </w:tc>
      </w:tr>
      <w:tr>
        <w:trPr>
          <w:trHeight w:val="251"/>
        </w:trPr>
        <w:tc>
          <w:tcPr>
            <w:tcW w:w="6080" w:type="dxa"/>
            <w:vAlign w:val="bottom"/>
            <w:shd w:val="clear" w:color="auto" w:fill="C0C0C0"/>
          </w:tcPr>
          <w:p>
            <w:pPr>
              <w:spacing w:after="0"/>
              <w:rPr>
                <w:sz w:val="20"/>
                <w:szCs w:val="20"/>
                <w:color w:val="auto"/>
              </w:rPr>
            </w:pPr>
            <w:r>
              <w:rPr>
                <w:rFonts w:ascii="Arial" w:cs="Arial" w:eastAsia="Arial" w:hAnsi="Arial"/>
                <w:sz w:val="18"/>
                <w:szCs w:val="18"/>
                <w:color w:val="auto"/>
              </w:rPr>
              <w:t>Options vested at July 31, 2009</w:t>
            </w:r>
          </w:p>
        </w:tc>
        <w:tc>
          <w:tcPr>
            <w:tcW w:w="22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473</w:t>
            </w: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8.74</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3,321</w:t>
            </w:r>
          </w:p>
        </w:tc>
      </w:tr>
      <w:tr>
        <w:trPr>
          <w:trHeight w:val="237"/>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Options unvested at July 31, 2009</w:t>
            </w:r>
          </w:p>
        </w:tc>
        <w:tc>
          <w:tcPr>
            <w:tcW w:w="2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43"/>
        </w:trPr>
        <w:tc>
          <w:tcPr>
            <w:tcW w:w="6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Exercised</w:t>
            </w:r>
          </w:p>
        </w:tc>
        <w:tc>
          <w:tcPr>
            <w:tcW w:w="22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7.75</w:t>
            </w:r>
          </w:p>
        </w:tc>
        <w:tc>
          <w:tcPr>
            <w:tcW w:w="1060" w:type="dxa"/>
            <w:vAlign w:val="bottom"/>
            <w:shd w:val="clear" w:color="auto" w:fill="C0C0C0"/>
          </w:tcPr>
          <w:p>
            <w:pPr>
              <w:spacing w:after="0"/>
              <w:rPr>
                <w:sz w:val="21"/>
                <w:szCs w:val="21"/>
                <w:color w:val="auto"/>
              </w:rPr>
            </w:pP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1,881</w:t>
            </w:r>
          </w:p>
        </w:tc>
      </w:tr>
      <w:tr>
        <w:trPr>
          <w:trHeight w:val="237"/>
        </w:trPr>
        <w:tc>
          <w:tcPr>
            <w:tcW w:w="60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Expired</w:t>
            </w:r>
          </w:p>
        </w:tc>
        <w:tc>
          <w:tcPr>
            <w:tcW w:w="2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43"/>
        </w:trPr>
        <w:tc>
          <w:tcPr>
            <w:tcW w:w="60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Options outstanding at July 31, 2010</w:t>
            </w:r>
          </w:p>
        </w:tc>
        <w:tc>
          <w:tcPr>
            <w:tcW w:w="226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327</w:t>
            </w: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9.87</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3.2</w:t>
            </w: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3,934</w:t>
            </w:r>
          </w:p>
        </w:tc>
      </w:tr>
      <w:tr>
        <w:trPr>
          <w:trHeight w:val="228"/>
        </w:trPr>
        <w:tc>
          <w:tcPr>
            <w:tcW w:w="6080" w:type="dxa"/>
            <w:vAlign w:val="bottom"/>
          </w:tcPr>
          <w:p>
            <w:pPr>
              <w:spacing w:after="0"/>
              <w:rPr>
                <w:sz w:val="20"/>
                <w:szCs w:val="20"/>
                <w:color w:val="auto"/>
              </w:rPr>
            </w:pPr>
            <w:r>
              <w:rPr>
                <w:rFonts w:ascii="Arial" w:cs="Arial" w:eastAsia="Arial" w:hAnsi="Arial"/>
                <w:sz w:val="18"/>
                <w:szCs w:val="18"/>
                <w:b w:val="1"/>
                <w:bCs w:val="1"/>
                <w:color w:val="auto"/>
              </w:rPr>
              <w:t>Options vested at July 31, 2010</w:t>
            </w:r>
          </w:p>
        </w:tc>
        <w:tc>
          <w:tcPr>
            <w:tcW w:w="2260" w:type="dxa"/>
            <w:vAlign w:val="bottom"/>
          </w:tcPr>
          <w:p>
            <w:pPr>
              <w:jc w:val="right"/>
              <w:ind w:right="132"/>
              <w:spacing w:after="0"/>
              <w:rPr>
                <w:sz w:val="20"/>
                <w:szCs w:val="20"/>
                <w:color w:val="auto"/>
              </w:rPr>
            </w:pPr>
            <w:r>
              <w:rPr>
                <w:rFonts w:ascii="Arial" w:cs="Arial" w:eastAsia="Arial" w:hAnsi="Arial"/>
                <w:sz w:val="18"/>
                <w:szCs w:val="18"/>
                <w:b w:val="1"/>
                <w:bCs w:val="1"/>
                <w:color w:val="auto"/>
              </w:rPr>
              <w:t>317</w:t>
            </w:r>
          </w:p>
        </w:tc>
        <w:tc>
          <w:tcPr>
            <w:tcW w:w="200" w:type="dxa"/>
            <w:vAlign w:val="bottom"/>
          </w:tcPr>
          <w:p>
            <w:pPr>
              <w:ind w:left="8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9.64</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ind w:left="8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3,885</w:t>
            </w:r>
          </w:p>
        </w:tc>
      </w:tr>
      <w:tr>
        <w:trPr>
          <w:trHeight w:val="251"/>
        </w:trPr>
        <w:tc>
          <w:tcPr>
            <w:tcW w:w="60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Options unvested at July 31, 2010</w:t>
            </w:r>
          </w:p>
        </w:tc>
        <w:tc>
          <w:tcPr>
            <w:tcW w:w="22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bottom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17.00</w:t>
            </w:r>
          </w:p>
        </w:tc>
        <w:tc>
          <w:tcPr>
            <w:tcW w:w="1060" w:type="dxa"/>
            <w:vAlign w:val="bottom"/>
            <w:tcBorders>
              <w:bottom w:val="single" w:sz="8" w:color="auto"/>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r>
    </w:tbl>
    <w:p>
      <w:pPr>
        <w:spacing w:after="0" w:line="262" w:lineRule="exact"/>
        <w:rPr>
          <w:sz w:val="20"/>
          <w:szCs w:val="20"/>
          <w:color w:val="auto"/>
        </w:rPr>
      </w:pPr>
    </w:p>
    <w:p>
      <w:pPr>
        <w:jc w:val="both"/>
        <w:ind w:right="20" w:firstLine="270"/>
        <w:spacing w:after="0" w:line="256" w:lineRule="auto"/>
        <w:rPr>
          <w:sz w:val="20"/>
          <w:szCs w:val="20"/>
          <w:color w:val="auto"/>
        </w:rPr>
      </w:pPr>
      <w:r>
        <w:rPr>
          <w:rFonts w:ascii="Arial" w:cs="Arial" w:eastAsia="Arial" w:hAnsi="Arial"/>
          <w:sz w:val="18"/>
          <w:szCs w:val="18"/>
          <w:color w:val="auto"/>
        </w:rPr>
        <w:t>The amount of cash received from the exercise of options during the fiscal year ended July 31, 2010 was approximately $3,242,000 and the related tax benefit was approximately $849,000. The amount of cash received from the exercise of options during the fiscal year ended July 31, 2009 was approximately $1,783,000 and the related tax benefit was approximately $302,000. The amount of cash received from the exercise of options during the fiscal year ended July 31, 2008 was approximately $2,854,000 and the related tax benefit was approximately $355,000.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60" w:type="dxa"/>
            <w:vAlign w:val="bottom"/>
            <w:gridSpan w:val="10"/>
          </w:tcPr>
          <w:p>
            <w:pPr>
              <w:jc w:val="right"/>
              <w:spacing w:after="0"/>
              <w:rPr>
                <w:sz w:val="20"/>
                <w:szCs w:val="20"/>
                <w:color w:val="auto"/>
              </w:rPr>
            </w:pPr>
            <w:r>
              <w:rPr>
                <w:rFonts w:ascii="Arial" w:cs="Arial" w:eastAsia="Arial" w:hAnsi="Arial"/>
                <w:sz w:val="18"/>
                <w:szCs w:val="18"/>
                <w:b w:val="1"/>
                <w:bCs w:val="1"/>
                <w:color w:val="auto"/>
              </w:rPr>
              <w:t>OPTIONS OUTSTANDING AND EXERCISABLE</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BY PRICE RANGE AS OF JULY 31, 2010</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tcBorders>
              <w:bottom w:val="single" w:sz="8" w:color="auto"/>
            </w:tcBorders>
            <w:gridSpan w:val="5"/>
          </w:tcPr>
          <w:p>
            <w:pPr>
              <w:jc w:val="center"/>
              <w:ind w:left="792"/>
              <w:spacing w:after="0"/>
              <w:rPr>
                <w:sz w:val="20"/>
                <w:szCs w:val="20"/>
                <w:color w:val="auto"/>
              </w:rPr>
            </w:pPr>
            <w:r>
              <w:rPr>
                <w:rFonts w:ascii="Arial" w:cs="Arial" w:eastAsia="Arial" w:hAnsi="Arial"/>
                <w:sz w:val="18"/>
                <w:szCs w:val="18"/>
                <w:b w:val="1"/>
                <w:bCs w:val="1"/>
                <w:color w:val="auto"/>
                <w:w w:val="88"/>
              </w:rPr>
              <w:t>Options Outstanding</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rPr>
              <w:t>Options Exercisable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Weighted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Range of</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Contractual</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Weighted</w:t>
            </w:r>
          </w:p>
        </w:tc>
        <w:tc>
          <w:tcPr>
            <w:tcW w:w="0" w:type="dxa"/>
            <w:vAlign w:val="bottom"/>
          </w:tcPr>
          <w:p>
            <w:pPr>
              <w:spacing w:after="0"/>
              <w:rPr>
                <w:sz w:val="1"/>
                <w:szCs w:val="1"/>
                <w:color w:val="auto"/>
              </w:rPr>
            </w:pPr>
          </w:p>
        </w:tc>
      </w:tr>
      <w:tr>
        <w:trPr>
          <w:trHeight w:val="243"/>
        </w:trPr>
        <w:tc>
          <w:tcPr>
            <w:tcW w:w="5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Exercise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Outstanding</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Life</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Average</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Shares</w:t>
            </w:r>
          </w:p>
        </w:tc>
        <w:tc>
          <w:tcPr>
            <w:tcW w:w="140" w:type="dxa"/>
            <w:vAlign w:val="bottom"/>
          </w:tcPr>
          <w:p>
            <w:pPr>
              <w:spacing w:after="0"/>
              <w:rPr>
                <w:sz w:val="21"/>
                <w:szCs w:val="21"/>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51"/>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5"/>
              </w:rPr>
              <w:t>Prices</w:t>
            </w:r>
          </w:p>
        </w:tc>
        <w:tc>
          <w:tcPr>
            <w:tcW w:w="1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136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Exercise Price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(in thousands)</w:t>
            </w: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1"/>
        </w:trPr>
        <w:tc>
          <w:tcPr>
            <w:tcW w:w="55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shd w:val="clear" w:color="auto" w:fill="C0C0C0"/>
          </w:tcPr>
          <w:p>
            <w:pPr>
              <w:spacing w:after="0"/>
              <w:rPr>
                <w:sz w:val="20"/>
                <w:szCs w:val="20"/>
                <w:color w:val="auto"/>
              </w:rPr>
            </w:pPr>
            <w:r>
              <w:rPr>
                <w:rFonts w:ascii="Arial" w:cs="Arial" w:eastAsia="Arial" w:hAnsi="Arial"/>
                <w:sz w:val="18"/>
                <w:szCs w:val="18"/>
                <w:color w:val="auto"/>
              </w:rPr>
              <w:t>$3.40 - $5.10</w:t>
            </w:r>
          </w:p>
        </w:tc>
        <w:tc>
          <w:tcPr>
            <w:tcW w:w="140" w:type="dxa"/>
            <w:vAlign w:val="bottom"/>
            <w:shd w:val="clear" w:color="auto" w:fill="C0C0C0"/>
          </w:tcPr>
          <w:p>
            <w:pPr>
              <w:spacing w:after="0"/>
              <w:rPr>
                <w:sz w:val="21"/>
                <w:szCs w:val="21"/>
                <w:color w:val="auto"/>
              </w:rPr>
            </w:pPr>
          </w:p>
        </w:tc>
        <w:tc>
          <w:tcPr>
            <w:tcW w:w="12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60</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1.20</w:t>
            </w:r>
          </w:p>
        </w:tc>
        <w:tc>
          <w:tcPr>
            <w:tcW w:w="320" w:type="dxa"/>
            <w:vAlign w:val="bottom"/>
            <w:gridSpan w:val="2"/>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4.92</w:t>
            </w:r>
          </w:p>
        </w:tc>
        <w:tc>
          <w:tcPr>
            <w:tcW w:w="160" w:type="dxa"/>
            <w:vAlign w:val="bottom"/>
            <w:shd w:val="clear" w:color="auto" w:fill="C0C0C0"/>
          </w:tcPr>
          <w:p>
            <w:pPr>
              <w:spacing w:after="0"/>
              <w:rPr>
                <w:sz w:val="21"/>
                <w:szCs w:val="21"/>
                <w:color w:val="auto"/>
              </w:rPr>
            </w:pPr>
          </w:p>
        </w:tc>
        <w:tc>
          <w:tcPr>
            <w:tcW w:w="12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00" w:type="dxa"/>
            <w:vAlign w:val="bottom"/>
          </w:tcPr>
          <w:p>
            <w:pPr>
              <w:spacing w:after="0"/>
              <w:rPr>
                <w:sz w:val="20"/>
                <w:szCs w:val="20"/>
                <w:color w:val="auto"/>
              </w:rPr>
            </w:pPr>
            <w:r>
              <w:rPr>
                <w:rFonts w:ascii="Arial" w:cs="Arial" w:eastAsia="Arial" w:hAnsi="Arial"/>
                <w:sz w:val="18"/>
                <w:szCs w:val="18"/>
                <w:color w:val="auto"/>
              </w:rPr>
              <w:t>$5.11 - $6.80</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51"/>
        </w:trPr>
        <w:tc>
          <w:tcPr>
            <w:tcW w:w="5500" w:type="dxa"/>
            <w:vAlign w:val="bottom"/>
            <w:shd w:val="clear" w:color="auto" w:fill="C0C0C0"/>
          </w:tcPr>
          <w:p>
            <w:pPr>
              <w:spacing w:after="0"/>
              <w:rPr>
                <w:sz w:val="20"/>
                <w:szCs w:val="20"/>
                <w:color w:val="auto"/>
              </w:rPr>
            </w:pPr>
            <w:r>
              <w:rPr>
                <w:rFonts w:ascii="Arial" w:cs="Arial" w:eastAsia="Arial" w:hAnsi="Arial"/>
                <w:sz w:val="18"/>
                <w:szCs w:val="18"/>
                <w:color w:val="auto"/>
              </w:rPr>
              <w:t>$6.81 - $8.50</w:t>
            </w:r>
          </w:p>
        </w:tc>
        <w:tc>
          <w:tcPr>
            <w:tcW w:w="140" w:type="dxa"/>
            <w:vAlign w:val="bottom"/>
            <w:shd w:val="clear" w:color="auto" w:fill="C0C0C0"/>
          </w:tcPr>
          <w:p>
            <w:pPr>
              <w:spacing w:after="0"/>
              <w:rPr>
                <w:sz w:val="21"/>
                <w:szCs w:val="21"/>
                <w:color w:val="auto"/>
              </w:rPr>
            </w:pPr>
          </w:p>
        </w:tc>
        <w:tc>
          <w:tcPr>
            <w:tcW w:w="12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21"/>
                <w:szCs w:val="21"/>
                <w:color w:val="auto"/>
              </w:rPr>
            </w:pPr>
          </w:p>
        </w:tc>
        <w:tc>
          <w:tcPr>
            <w:tcW w:w="12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00" w:type="dxa"/>
            <w:vAlign w:val="bottom"/>
          </w:tcPr>
          <w:p>
            <w:pPr>
              <w:spacing w:after="0"/>
              <w:rPr>
                <w:sz w:val="20"/>
                <w:szCs w:val="20"/>
                <w:color w:val="auto"/>
              </w:rPr>
            </w:pPr>
            <w:r>
              <w:rPr>
                <w:rFonts w:ascii="Arial" w:cs="Arial" w:eastAsia="Arial" w:hAnsi="Arial"/>
                <w:sz w:val="18"/>
                <w:szCs w:val="18"/>
                <w:color w:val="auto"/>
              </w:rPr>
              <w:t>$8.51 - $10.20</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920" w:type="dxa"/>
            <w:vAlign w:val="bottom"/>
          </w:tcPr>
          <w:p>
            <w:pPr>
              <w:jc w:val="right"/>
              <w:spacing w:after="0"/>
              <w:rPr>
                <w:sz w:val="20"/>
                <w:szCs w:val="20"/>
                <w:color w:val="auto"/>
              </w:rPr>
            </w:pPr>
            <w:r>
              <w:rPr>
                <w:rFonts w:ascii="Arial" w:cs="Arial" w:eastAsia="Arial" w:hAnsi="Arial"/>
                <w:sz w:val="18"/>
                <w:szCs w:val="18"/>
                <w:color w:val="auto"/>
              </w:rPr>
              <w:t>3.07</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9.34</w:t>
            </w:r>
          </w:p>
        </w:tc>
        <w:tc>
          <w:tcPr>
            <w:tcW w:w="1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51"/>
        </w:trPr>
        <w:tc>
          <w:tcPr>
            <w:tcW w:w="5500" w:type="dxa"/>
            <w:vAlign w:val="bottom"/>
            <w:shd w:val="clear" w:color="auto" w:fill="C0C0C0"/>
          </w:tcPr>
          <w:p>
            <w:pPr>
              <w:spacing w:after="0"/>
              <w:rPr>
                <w:sz w:val="20"/>
                <w:szCs w:val="20"/>
                <w:color w:val="auto"/>
              </w:rPr>
            </w:pPr>
            <w:r>
              <w:rPr>
                <w:rFonts w:ascii="Arial" w:cs="Arial" w:eastAsia="Arial" w:hAnsi="Arial"/>
                <w:sz w:val="18"/>
                <w:szCs w:val="18"/>
                <w:color w:val="auto"/>
              </w:rPr>
              <w:t>$10.21 - $11.90</w:t>
            </w:r>
          </w:p>
        </w:tc>
        <w:tc>
          <w:tcPr>
            <w:tcW w:w="140" w:type="dxa"/>
            <w:vAlign w:val="bottom"/>
            <w:shd w:val="clear" w:color="auto" w:fill="C0C0C0"/>
          </w:tcPr>
          <w:p>
            <w:pPr>
              <w:spacing w:after="0"/>
              <w:rPr>
                <w:sz w:val="21"/>
                <w:szCs w:val="21"/>
                <w:color w:val="auto"/>
              </w:rPr>
            </w:pPr>
          </w:p>
        </w:tc>
        <w:tc>
          <w:tcPr>
            <w:tcW w:w="12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21"/>
                <w:szCs w:val="21"/>
                <w:color w:val="auto"/>
              </w:rPr>
            </w:pPr>
          </w:p>
        </w:tc>
        <w:tc>
          <w:tcPr>
            <w:tcW w:w="12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00" w:type="dxa"/>
            <w:vAlign w:val="bottom"/>
          </w:tcPr>
          <w:p>
            <w:pPr>
              <w:spacing w:after="0"/>
              <w:rPr>
                <w:sz w:val="20"/>
                <w:szCs w:val="20"/>
                <w:color w:val="auto"/>
              </w:rPr>
            </w:pPr>
            <w:r>
              <w:rPr>
                <w:rFonts w:ascii="Arial" w:cs="Arial" w:eastAsia="Arial" w:hAnsi="Arial"/>
                <w:sz w:val="18"/>
                <w:szCs w:val="18"/>
                <w:color w:val="auto"/>
              </w:rPr>
              <w:t>$11.91 - $13.60</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920" w:type="dxa"/>
            <w:vAlign w:val="bottom"/>
          </w:tcPr>
          <w:p>
            <w:pPr>
              <w:jc w:val="right"/>
              <w:spacing w:after="0"/>
              <w:rPr>
                <w:sz w:val="20"/>
                <w:szCs w:val="20"/>
                <w:color w:val="auto"/>
              </w:rPr>
            </w:pPr>
            <w:r>
              <w:rPr>
                <w:rFonts w:ascii="Arial" w:cs="Arial" w:eastAsia="Arial" w:hAnsi="Arial"/>
                <w:sz w:val="18"/>
                <w:szCs w:val="18"/>
                <w:color w:val="auto"/>
              </w:rPr>
              <w:t>4.20</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51"/>
        </w:trPr>
        <w:tc>
          <w:tcPr>
            <w:tcW w:w="5500" w:type="dxa"/>
            <w:vAlign w:val="bottom"/>
            <w:shd w:val="clear" w:color="auto" w:fill="C0C0C0"/>
          </w:tcPr>
          <w:p>
            <w:pPr>
              <w:spacing w:after="0"/>
              <w:rPr>
                <w:sz w:val="20"/>
                <w:szCs w:val="20"/>
                <w:color w:val="auto"/>
              </w:rPr>
            </w:pPr>
            <w:r>
              <w:rPr>
                <w:rFonts w:ascii="Arial" w:cs="Arial" w:eastAsia="Arial" w:hAnsi="Arial"/>
                <w:sz w:val="18"/>
                <w:szCs w:val="18"/>
                <w:color w:val="auto"/>
              </w:rPr>
              <w:t>$13.61 - $15.30</w:t>
            </w:r>
          </w:p>
        </w:tc>
        <w:tc>
          <w:tcPr>
            <w:tcW w:w="140" w:type="dxa"/>
            <w:vAlign w:val="bottom"/>
            <w:shd w:val="clear" w:color="auto" w:fill="C0C0C0"/>
          </w:tcPr>
          <w:p>
            <w:pPr>
              <w:spacing w:after="0"/>
              <w:rPr>
                <w:sz w:val="21"/>
                <w:szCs w:val="21"/>
                <w:color w:val="auto"/>
              </w:rPr>
            </w:pPr>
          </w:p>
        </w:tc>
        <w:tc>
          <w:tcPr>
            <w:tcW w:w="12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25</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5.86</w:t>
            </w:r>
          </w:p>
        </w:tc>
        <w:tc>
          <w:tcPr>
            <w:tcW w:w="320" w:type="dxa"/>
            <w:vAlign w:val="bottom"/>
            <w:gridSpan w:val="2"/>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14.82</w:t>
            </w:r>
          </w:p>
        </w:tc>
        <w:tc>
          <w:tcPr>
            <w:tcW w:w="160" w:type="dxa"/>
            <w:vAlign w:val="bottom"/>
            <w:shd w:val="clear" w:color="auto" w:fill="C0C0C0"/>
          </w:tcPr>
          <w:p>
            <w:pPr>
              <w:spacing w:after="0"/>
              <w:rPr>
                <w:sz w:val="21"/>
                <w:szCs w:val="21"/>
                <w:color w:val="auto"/>
              </w:rPr>
            </w:pPr>
          </w:p>
        </w:tc>
        <w:tc>
          <w:tcPr>
            <w:tcW w:w="12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00" w:type="dxa"/>
            <w:vAlign w:val="bottom"/>
          </w:tcPr>
          <w:p>
            <w:pPr>
              <w:spacing w:after="0"/>
              <w:rPr>
                <w:sz w:val="20"/>
                <w:szCs w:val="20"/>
                <w:color w:val="auto"/>
              </w:rPr>
            </w:pPr>
            <w:r>
              <w:rPr>
                <w:rFonts w:ascii="Arial" w:cs="Arial" w:eastAsia="Arial" w:hAnsi="Arial"/>
                <w:sz w:val="18"/>
                <w:szCs w:val="18"/>
                <w:color w:val="auto"/>
              </w:rPr>
              <w:t>$15.31 - $17.00</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920" w:type="dxa"/>
            <w:vAlign w:val="bottom"/>
          </w:tcPr>
          <w:p>
            <w:pPr>
              <w:jc w:val="right"/>
              <w:spacing w:after="0"/>
              <w:rPr>
                <w:sz w:val="20"/>
                <w:szCs w:val="20"/>
                <w:color w:val="auto"/>
              </w:rPr>
            </w:pPr>
            <w:r>
              <w:rPr>
                <w:rFonts w:ascii="Arial" w:cs="Arial" w:eastAsia="Arial" w:hAnsi="Arial"/>
                <w:sz w:val="18"/>
                <w:szCs w:val="18"/>
                <w:color w:val="auto"/>
              </w:rPr>
              <w:t>5.93</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16.09</w:t>
            </w:r>
          </w:p>
        </w:tc>
        <w:tc>
          <w:tcPr>
            <w:tcW w:w="1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
        </w:trPr>
        <w:tc>
          <w:tcPr>
            <w:tcW w:w="55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920" w:type="dxa"/>
            <w:vAlign w:val="bottom"/>
            <w:vMerge w:val="restart"/>
            <w:shd w:val="clear" w:color="auto" w:fill="C0C0C0"/>
          </w:tcPr>
          <w:p>
            <w:pPr>
              <w:jc w:val="right"/>
              <w:spacing w:after="0"/>
              <w:rPr>
                <w:sz w:val="20"/>
                <w:szCs w:val="20"/>
                <w:color w:val="auto"/>
              </w:rPr>
            </w:pPr>
            <w:r>
              <w:rPr>
                <w:rFonts w:ascii="Arial" w:cs="Arial" w:eastAsia="Arial" w:hAnsi="Arial"/>
                <w:sz w:val="18"/>
                <w:szCs w:val="18"/>
                <w:color w:val="auto"/>
              </w:rPr>
              <w:t>3.21</w:t>
            </w:r>
          </w:p>
        </w:tc>
        <w:tc>
          <w:tcPr>
            <w:tcW w:w="320" w:type="dxa"/>
            <w:vAlign w:val="bottom"/>
            <w:gridSpan w:val="2"/>
            <w:vMerge w:val="restart"/>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0C0C0"/>
          </w:tcPr>
          <w:p>
            <w:pPr>
              <w:jc w:val="right"/>
              <w:spacing w:after="0"/>
              <w:rPr>
                <w:sz w:val="20"/>
                <w:szCs w:val="20"/>
                <w:color w:val="auto"/>
              </w:rPr>
            </w:pPr>
            <w:r>
              <w:rPr>
                <w:rFonts w:ascii="Arial" w:cs="Arial" w:eastAsia="Arial" w:hAnsi="Arial"/>
                <w:sz w:val="18"/>
                <w:szCs w:val="18"/>
                <w:color w:val="auto"/>
              </w:rPr>
              <w:t>9.87</w:t>
            </w:r>
          </w:p>
        </w:tc>
        <w:tc>
          <w:tcPr>
            <w:tcW w:w="160" w:type="dxa"/>
            <w:vAlign w:val="bottom"/>
            <w:shd w:val="clear" w:color="auto" w:fill="C0C0C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vMerge w:val="restart"/>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0C0C0"/>
          </w:tcPr>
          <w:p>
            <w:pPr>
              <w:jc w:val="right"/>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$3.40 - $17.00</w:t>
            </w:r>
          </w:p>
        </w:tc>
        <w:tc>
          <w:tcPr>
            <w:tcW w:w="140" w:type="dxa"/>
            <w:vAlign w:val="bottom"/>
            <w:tcBorders>
              <w:bottom w:val="single" w:sz="8" w:color="auto"/>
            </w:tcBorders>
            <w:shd w:val="clear" w:color="auto" w:fill="C0C0C0"/>
          </w:tcPr>
          <w:p>
            <w:pPr>
              <w:spacing w:after="0"/>
              <w:rPr>
                <w:sz w:val="21"/>
                <w:szCs w:val="21"/>
                <w:color w:val="auto"/>
              </w:rPr>
            </w:pPr>
          </w:p>
        </w:tc>
        <w:tc>
          <w:tcPr>
            <w:tcW w:w="1220" w:type="dxa"/>
            <w:vAlign w:val="bottom"/>
            <w:tcBorders>
              <w:bottom w:val="single" w:sz="8" w:color="auto"/>
            </w:tcBorders>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327</w:t>
            </w:r>
          </w:p>
        </w:tc>
        <w:tc>
          <w:tcPr>
            <w:tcW w:w="920" w:type="dxa"/>
            <w:vAlign w:val="bottom"/>
            <w:tcBorders>
              <w:bottom w:val="single" w:sz="8" w:color="auto"/>
            </w:tcBorders>
            <w:vMerge w:val="continue"/>
            <w:shd w:val="clear" w:color="auto" w:fill="C0C0C0"/>
          </w:tcPr>
          <w:p>
            <w:pPr>
              <w:spacing w:after="0"/>
              <w:rPr>
                <w:sz w:val="21"/>
                <w:szCs w:val="21"/>
                <w:color w:val="auto"/>
              </w:rPr>
            </w:pPr>
          </w:p>
        </w:tc>
        <w:tc>
          <w:tcPr>
            <w:tcW w:w="320" w:type="dxa"/>
            <w:vAlign w:val="bottom"/>
            <w:tcBorders>
              <w:bottom w:val="single" w:sz="8" w:color="auto"/>
            </w:tcBorders>
            <w:gridSpan w:val="2"/>
            <w:vMerge w:val="continue"/>
            <w:shd w:val="clear" w:color="auto" w:fill="C0C0C0"/>
          </w:tcPr>
          <w:p>
            <w:pPr>
              <w:spacing w:after="0"/>
              <w:rPr>
                <w:sz w:val="21"/>
                <w:szCs w:val="21"/>
                <w:color w:val="auto"/>
              </w:rPr>
            </w:pPr>
          </w:p>
        </w:tc>
        <w:tc>
          <w:tcPr>
            <w:tcW w:w="880" w:type="dxa"/>
            <w:vAlign w:val="bottom"/>
            <w:tcBorders>
              <w:bottom w:val="single" w:sz="8" w:color="auto"/>
            </w:tcBorders>
            <w:vMerge w:val="continue"/>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220" w:type="dxa"/>
            <w:vAlign w:val="bottom"/>
            <w:tcBorders>
              <w:bottom w:val="single" w:sz="8" w:color="auto"/>
            </w:tcBorders>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317</w:t>
            </w:r>
          </w:p>
        </w:tc>
        <w:tc>
          <w:tcPr>
            <w:tcW w:w="140" w:type="dxa"/>
            <w:vAlign w:val="bottom"/>
            <w:tcBorders>
              <w:bottom w:val="single" w:sz="8" w:color="auto"/>
            </w:tcBorders>
            <w:vMerge w:val="continue"/>
            <w:shd w:val="clear" w:color="auto" w:fill="C0C0C0"/>
          </w:tcPr>
          <w:p>
            <w:pPr>
              <w:spacing w:after="0"/>
              <w:rPr>
                <w:sz w:val="21"/>
                <w:szCs w:val="21"/>
                <w:color w:val="auto"/>
              </w:rPr>
            </w:pPr>
          </w:p>
        </w:tc>
        <w:tc>
          <w:tcPr>
            <w:tcW w:w="920" w:type="dxa"/>
            <w:vAlign w:val="bottom"/>
            <w:tcBorders>
              <w:bottom w:val="single" w:sz="8" w:color="auto"/>
            </w:tcBorders>
            <w:vMerge w:val="continue"/>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right="20" w:firstLine="284"/>
        <w:spacing w:after="0" w:line="291" w:lineRule="auto"/>
        <w:rPr>
          <w:sz w:val="20"/>
          <w:szCs w:val="20"/>
          <w:color w:val="auto"/>
        </w:rPr>
      </w:pPr>
      <w:r>
        <w:rPr>
          <w:rFonts w:ascii="Arial" w:cs="Arial" w:eastAsia="Arial" w:hAnsi="Arial"/>
          <w:sz w:val="16"/>
          <w:szCs w:val="16"/>
          <w:color w:val="auto"/>
        </w:rPr>
        <w:t xml:space="preserve">A five-for-four stock split was declared by our Board on June 6, 2006, during our fiscal year 2006. In keeping with historical practices, we have adjusted the number of shares and the option prices to equitably adjust all outstanding stock options.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the equitable adjustment of outstanding options to reflect a change in capitalization (such as a stock split) may require the recognition of incremental compensation expense if the adjustment is not determined to have been required by the actual terms of the equity incentive plan. The Director’s Plan and the 1995 Plan may be deem ed to have been discretionary, rather than required by the actual terms of these plans. We recognized additional stock-based compensation expense of $117,000 in fiscal 2009, which was the last year this additional expense was incurred.</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611" w:right="219" w:bottom="1147"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NOTE 8 – STOCK-BASED COMPENSATION (CONTINUED)</w:t>
      </w:r>
    </w:p>
    <w:p>
      <w:pPr>
        <w:spacing w:after="0" w:line="285"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As of July 31, 2010, we had a total of approximately $18,000 in unamortized expense associated with all outstanding stock options. The weighted average period over which this expense is expected to be amortized is 1.3 years. As of July 31, 2009 and July 31, 2008, we had total unamortized compensation expense of approximately $47,000 and $348,000, respectively. The weighted average period over which this expense was expected to be amortized was 1.7 years and 1.2 years at July 31, 2009 and July 31, 2008, respectively.</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There were no stock options granted in fiscal years 2010, 2009 or 2008.</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3"/>
          <w:szCs w:val="13"/>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TOCK</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1995 Plan and 2006 Plan both provide for grants of restricted stock. The vesting schedule under the 1995 Plan has varied, but has been three years or less.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Under the 2006 Plan, the grants issued so far have vesting periods between 2 years and five years.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A summary of option transactions under the plans is shown below.</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3"/>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Average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6"/>
              </w:rPr>
              <w:t>Remaining</w:t>
            </w:r>
          </w:p>
        </w:tc>
        <w:tc>
          <w:tcPr>
            <w:tcW w:w="1060" w:type="dxa"/>
            <w:vAlign w:val="bottom"/>
            <w:gridSpan w:val="3"/>
          </w:tcPr>
          <w:p>
            <w:pPr>
              <w:ind w:left="60"/>
              <w:spacing w:after="0"/>
              <w:rPr>
                <w:sz w:val="20"/>
                <w:szCs w:val="20"/>
                <w:color w:val="auto"/>
              </w:rPr>
            </w:pPr>
            <w:r>
              <w:rPr>
                <w:rFonts w:ascii="Arial" w:cs="Arial" w:eastAsia="Arial" w:hAnsi="Arial"/>
                <w:sz w:val="18"/>
                <w:szCs w:val="18"/>
                <w:b w:val="1"/>
                <w:bCs w:val="1"/>
                <w:color w:val="auto"/>
                <w:w w:val="89"/>
              </w:rPr>
              <w:t>Unamortized</w:t>
            </w:r>
          </w:p>
        </w:tc>
      </w:tr>
      <w:tr>
        <w:trPr>
          <w:trHeight w:val="243"/>
        </w:trPr>
        <w:tc>
          <w:tcPr>
            <w:tcW w:w="2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21"/>
                <w:szCs w:val="21"/>
                <w:color w:val="auto"/>
              </w:rPr>
            </w:pPr>
          </w:p>
        </w:tc>
        <w:tc>
          <w:tcPr>
            <w:tcW w:w="82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Average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21"/>
                <w:szCs w:val="21"/>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Expense</w:t>
            </w:r>
          </w:p>
        </w:tc>
      </w:tr>
      <w:tr>
        <w:trPr>
          <w:trHeight w:val="243"/>
        </w:trPr>
        <w:tc>
          <w:tcPr>
            <w:tcW w:w="2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(in</w:t>
            </w: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w w:val="97"/>
              </w:rPr>
              <w:t>Grant Date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200" w:type="dxa"/>
            <w:vAlign w:val="bottom"/>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(in</w:t>
            </w:r>
          </w:p>
        </w:tc>
      </w:tr>
      <w:tr>
        <w:trPr>
          <w:trHeight w:val="252"/>
        </w:trPr>
        <w:tc>
          <w:tcPr>
            <w:tcW w:w="2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1080" w:type="dxa"/>
            <w:vAlign w:val="bottom"/>
          </w:tcPr>
          <w:p>
            <w:pPr>
              <w:jc w:val="center"/>
              <w:ind w:left="12"/>
              <w:spacing w:after="0"/>
              <w:rPr>
                <w:sz w:val="20"/>
                <w:szCs w:val="20"/>
                <w:color w:val="auto"/>
              </w:rPr>
            </w:pPr>
            <w:r>
              <w:rPr>
                <w:rFonts w:ascii="Arial" w:cs="Arial" w:eastAsia="Arial" w:hAnsi="Arial"/>
                <w:sz w:val="18"/>
                <w:szCs w:val="18"/>
                <w:b w:val="1"/>
                <w:bCs w:val="1"/>
                <w:color w:val="auto"/>
                <w:w w:val="84"/>
              </w:rPr>
              <w:t>thousands)</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c>
          <w:tcPr>
            <w:tcW w:w="1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4"/>
              </w:rPr>
              <w:t>thousands)</w:t>
            </w:r>
          </w:p>
        </w:tc>
      </w:tr>
      <w:tr>
        <w:trPr>
          <w:trHeight w:val="228"/>
        </w:trPr>
        <w:tc>
          <w:tcPr>
            <w:tcW w:w="20" w:type="dxa"/>
            <w:vAlign w:val="bottom"/>
          </w:tcPr>
          <w:p>
            <w:pPr>
              <w:spacing w:after="0"/>
              <w:rPr>
                <w:sz w:val="19"/>
                <w:szCs w:val="19"/>
                <w:color w:val="auto"/>
              </w:rPr>
            </w:pPr>
          </w:p>
        </w:tc>
        <w:tc>
          <w:tcPr>
            <w:tcW w:w="71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Unvested restricted stock outstanding at</w:t>
            </w:r>
          </w:p>
        </w:tc>
        <w:tc>
          <w:tcPr>
            <w:tcW w:w="1080" w:type="dxa"/>
            <w:vAlign w:val="bottom"/>
            <w:tcBorders>
              <w:top w:val="single" w:sz="8" w:color="auto"/>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820" w:type="dxa"/>
            <w:vAlign w:val="bottom"/>
            <w:tcBorders>
              <w:top w:val="single" w:sz="8" w:color="auto"/>
            </w:tcBorders>
            <w:shd w:val="clear" w:color="auto" w:fill="C0C0C0"/>
          </w:tcPr>
          <w:p>
            <w:pPr>
              <w:spacing w:after="0"/>
              <w:rPr>
                <w:sz w:val="19"/>
                <w:szCs w:val="19"/>
                <w:color w:val="auto"/>
              </w:rPr>
            </w:pPr>
          </w:p>
        </w:tc>
        <w:tc>
          <w:tcPr>
            <w:tcW w:w="1080" w:type="dxa"/>
            <w:vAlign w:val="bottom"/>
            <w:tcBorders>
              <w:top w:val="single" w:sz="8" w:color="auto"/>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840" w:type="dxa"/>
            <w:vAlign w:val="bottom"/>
            <w:tcBorders>
              <w:top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7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July 31, 2007</w:t>
            </w:r>
          </w:p>
        </w:tc>
        <w:tc>
          <w:tcPr>
            <w:tcW w:w="10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15.38</w:t>
            </w:r>
          </w:p>
        </w:tc>
        <w:tc>
          <w:tcPr>
            <w:tcW w:w="10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auto"/>
            </w:tcBorders>
            <w:shd w:val="clear" w:color="auto" w:fill="C0C0C0"/>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Vested</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7180" w:type="dxa"/>
            <w:vAlign w:val="bottom"/>
            <w:shd w:val="clear" w:color="auto" w:fill="C0C0C0"/>
          </w:tcPr>
          <w:p>
            <w:pPr>
              <w:spacing w:after="0"/>
              <w:rPr>
                <w:sz w:val="20"/>
                <w:szCs w:val="20"/>
                <w:color w:val="auto"/>
              </w:rPr>
            </w:pPr>
            <w:r>
              <w:rPr>
                <w:rFonts w:ascii="Arial" w:cs="Arial" w:eastAsia="Arial" w:hAnsi="Arial"/>
                <w:sz w:val="18"/>
                <w:szCs w:val="18"/>
                <w:color w:val="auto"/>
              </w:rPr>
              <w:t>Unvested restricted stock outstanding at</w:t>
            </w:r>
          </w:p>
        </w:tc>
        <w:tc>
          <w:tcPr>
            <w:tcW w:w="10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10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7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July 31, 2008</w:t>
            </w:r>
          </w:p>
        </w:tc>
        <w:tc>
          <w:tcPr>
            <w:tcW w:w="10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15.42</w:t>
            </w:r>
          </w:p>
        </w:tc>
        <w:tc>
          <w:tcPr>
            <w:tcW w:w="10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auto"/>
            </w:tcBorders>
            <w:shd w:val="clear" w:color="auto" w:fill="C0C0C0"/>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674</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Vested</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7180" w:type="dxa"/>
            <w:vAlign w:val="bottom"/>
            <w:shd w:val="clear" w:color="auto" w:fill="C0C0C0"/>
          </w:tcPr>
          <w:p>
            <w:pPr>
              <w:spacing w:after="0"/>
              <w:rPr>
                <w:sz w:val="20"/>
                <w:szCs w:val="20"/>
                <w:color w:val="auto"/>
              </w:rPr>
            </w:pPr>
            <w:r>
              <w:rPr>
                <w:rFonts w:ascii="Arial" w:cs="Arial" w:eastAsia="Arial" w:hAnsi="Arial"/>
                <w:sz w:val="18"/>
                <w:szCs w:val="18"/>
                <w:color w:val="auto"/>
              </w:rPr>
              <w:t>Unvested restricted stock outstanding at</w:t>
            </w:r>
          </w:p>
        </w:tc>
        <w:tc>
          <w:tcPr>
            <w:tcW w:w="10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10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7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July 31, 2009</w:t>
            </w:r>
          </w:p>
        </w:tc>
        <w:tc>
          <w:tcPr>
            <w:tcW w:w="10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15.37</w:t>
            </w:r>
          </w:p>
        </w:tc>
        <w:tc>
          <w:tcPr>
            <w:tcW w:w="10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shd w:val="clear" w:color="auto" w:fill="C0C0C0"/>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180" w:type="dxa"/>
            <w:vAlign w:val="bottom"/>
          </w:tcPr>
          <w:p>
            <w:pPr>
              <w:ind w:left="300"/>
              <w:spacing w:after="0"/>
              <w:rPr>
                <w:sz w:val="20"/>
                <w:szCs w:val="20"/>
                <w:color w:val="auto"/>
              </w:rPr>
            </w:pPr>
            <w:r>
              <w:rPr>
                <w:rFonts w:ascii="Arial" w:cs="Arial" w:eastAsia="Arial" w:hAnsi="Arial"/>
                <w:sz w:val="18"/>
                <w:szCs w:val="18"/>
                <w:b w:val="1"/>
                <w:bCs w:val="1"/>
                <w:color w:val="auto"/>
              </w:rPr>
              <w:t>Granted</w:t>
            </w: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ind w:left="8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15.10</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4"/>
        </w:trPr>
        <w:tc>
          <w:tcPr>
            <w:tcW w:w="20" w:type="dxa"/>
            <w:vAlign w:val="bottom"/>
          </w:tcPr>
          <w:p>
            <w:pPr>
              <w:spacing w:after="0"/>
              <w:rPr>
                <w:sz w:val="21"/>
                <w:szCs w:val="21"/>
                <w:color w:val="auto"/>
              </w:rPr>
            </w:pPr>
          </w:p>
        </w:tc>
        <w:tc>
          <w:tcPr>
            <w:tcW w:w="7180" w:type="dxa"/>
            <w:vAlign w:val="bottom"/>
            <w:tcBorders>
              <w:bottom w:val="single" w:sz="8" w:color="auto"/>
            </w:tcBorders>
            <w:shd w:val="clear" w:color="auto" w:fill="C0C0C0"/>
          </w:tcPr>
          <w:p>
            <w:pPr>
              <w:ind w:left="300"/>
              <w:spacing w:after="0"/>
              <w:rPr>
                <w:sz w:val="20"/>
                <w:szCs w:val="20"/>
                <w:color w:val="auto"/>
              </w:rPr>
            </w:pPr>
            <w:r>
              <w:rPr>
                <w:rFonts w:ascii="Arial" w:cs="Arial" w:eastAsia="Arial" w:hAnsi="Arial"/>
                <w:sz w:val="18"/>
                <w:szCs w:val="18"/>
                <w:b w:val="1"/>
                <w:bCs w:val="1"/>
                <w:color w:val="auto"/>
              </w:rPr>
              <w:t>Vested</w:t>
            </w:r>
          </w:p>
        </w:tc>
        <w:tc>
          <w:tcPr>
            <w:tcW w:w="10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(17)</w:t>
            </w:r>
          </w:p>
        </w:tc>
        <w:tc>
          <w:tcPr>
            <w:tcW w:w="200" w:type="dxa"/>
            <w:vAlign w:val="bottom"/>
            <w:tcBorders>
              <w:bottom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15.37</w:t>
            </w:r>
          </w:p>
        </w:tc>
        <w:tc>
          <w:tcPr>
            <w:tcW w:w="1080" w:type="dxa"/>
            <w:vAlign w:val="bottom"/>
            <w:tcBorders>
              <w:bottom w:val="single" w:sz="8" w:color="auto"/>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Unvested restricted stock outstanding</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at July 31, 2010</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23</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2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EMPLOYEE BENEFIT PLANS</w:t>
      </w:r>
    </w:p>
    <w:p>
      <w:pPr>
        <w:spacing w:after="0" w:line="285" w:lineRule="exact"/>
        <w:rPr>
          <w:sz w:val="20"/>
          <w:szCs w:val="20"/>
          <w:color w:val="auto"/>
        </w:rPr>
      </w:pPr>
    </w:p>
    <w:p>
      <w:pPr>
        <w:jc w:val="both"/>
        <w:ind w:right="20" w:firstLine="270"/>
        <w:spacing w:after="0" w:line="268" w:lineRule="auto"/>
        <w:rPr>
          <w:sz w:val="20"/>
          <w:szCs w:val="20"/>
          <w:color w:val="auto"/>
        </w:rPr>
      </w:pPr>
      <w:r>
        <w:rPr>
          <w:rFonts w:ascii="Arial" w:cs="Arial" w:eastAsia="Arial" w:hAnsi="Arial"/>
          <w:sz w:val="18"/>
          <w:szCs w:val="18"/>
          <w:color w:val="auto"/>
        </w:rPr>
        <w:t>We provide a defined benefit pension plan for eligible salaried and hourly employees. Pension benefits are based on a formula of years of credited service and levels of compensation or stated amounts for each year of credited service.</w:t>
      </w:r>
    </w:p>
    <w:p>
      <w:pPr>
        <w:spacing w:after="0" w:line="240" w:lineRule="exact"/>
        <w:rPr>
          <w:sz w:val="20"/>
          <w:szCs w:val="20"/>
          <w:color w:val="auto"/>
        </w:rPr>
      </w:pPr>
    </w:p>
    <w:p>
      <w:pPr>
        <w:jc w:val="both"/>
        <w:ind w:right="20" w:firstLine="378"/>
        <w:spacing w:after="0" w:line="259" w:lineRule="auto"/>
        <w:rPr>
          <w:sz w:val="20"/>
          <w:szCs w:val="20"/>
          <w:color w:val="auto"/>
        </w:rPr>
      </w:pPr>
      <w:r>
        <w:rPr>
          <w:rFonts w:ascii="Arial" w:cs="Arial" w:eastAsia="Arial" w:hAnsi="Arial"/>
          <w:sz w:val="18"/>
          <w:szCs w:val="18"/>
          <w:color w:val="auto"/>
        </w:rPr>
        <w:t>We also provide a postretirement health benefit plan to domestic salaried employees who retire prior to reaching age 65 and have at least 17 years of continuous service and whose age is at least 55 and whose age plus years of service equals at least 80. Eligible employees may elect to continue their health care coverage under the Oil-Dri Corporation of America Employee Benefits Plan until they reach the age of 65.</w:t>
      </w:r>
    </w:p>
    <w:p>
      <w:pPr>
        <w:spacing w:after="0" w:line="248" w:lineRule="exact"/>
        <w:rPr>
          <w:sz w:val="20"/>
          <w:szCs w:val="20"/>
          <w:color w:val="auto"/>
        </w:rPr>
      </w:pPr>
    </w:p>
    <w:p>
      <w:pPr>
        <w:jc w:val="both"/>
        <w:ind w:right="20" w:firstLine="392"/>
        <w:spacing w:after="0" w:line="259" w:lineRule="auto"/>
        <w:rPr>
          <w:sz w:val="20"/>
          <w:szCs w:val="20"/>
          <w:color w:val="auto"/>
        </w:rPr>
      </w:pPr>
      <w:r>
        <w:rPr>
          <w:rFonts w:ascii="Arial" w:cs="Arial" w:eastAsia="Arial" w:hAnsi="Arial"/>
          <w:sz w:val="18"/>
          <w:szCs w:val="18"/>
          <w:color w:val="auto"/>
        </w:rPr>
        <w:t>We also maintain a 401(k) savings plan under which we match a portion of employee contributions. This plan is available to essentially all domestic employees following 30 or 60 days of employment. Our contributions to this plan, and to similar plans maintained by our foreign subsidiaries, were $660,000 for each of the fiscal years ended July 31, 2010, 2009 and 2008.</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NOTE 9 – EMPLOYEE BENEFIT PLANS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tables provide a reconciliation of changes in the plans’ benefit obligations, assets’ fair values and plans’ funded status for the fiscal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July 31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Postretirement Health</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4"/>
          </w:tcPr>
          <w:p>
            <w:pPr>
              <w:ind w:left="80"/>
              <w:spacing w:after="0"/>
              <w:rPr>
                <w:sz w:val="20"/>
                <w:szCs w:val="20"/>
                <w:color w:val="auto"/>
              </w:rPr>
            </w:pPr>
            <w:r>
              <w:rPr>
                <w:rFonts w:ascii="Arial" w:cs="Arial" w:eastAsia="Arial" w:hAnsi="Arial"/>
                <w:sz w:val="18"/>
                <w:szCs w:val="18"/>
                <w:b w:val="1"/>
                <w:bCs w:val="1"/>
                <w:color w:val="auto"/>
              </w:rPr>
              <w:t>Pension Benefits</w:t>
            </w:r>
          </w:p>
        </w:tc>
        <w:tc>
          <w:tcPr>
            <w:tcW w:w="1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bottom w:val="single" w:sz="8" w:color="C0C0C0"/>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bottom w:val="single" w:sz="8" w:color="C0C0C0"/>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bottom w:val="single" w:sz="8" w:color="C0C0C0"/>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4"/>
              </w:rPr>
              <w:t>2009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Change in benefit obligation</w:t>
            </w: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80" w:type="dxa"/>
            <w:vAlign w:val="bottom"/>
            <w:gridSpan w:val="2"/>
          </w:tcPr>
          <w:p>
            <w:pPr>
              <w:spacing w:after="0"/>
              <w:rPr>
                <w:sz w:val="20"/>
                <w:szCs w:val="20"/>
                <w:color w:val="auto"/>
              </w:rPr>
            </w:pPr>
            <w:r>
              <w:rPr>
                <w:rFonts w:ascii="Arial" w:cs="Arial" w:eastAsia="Arial" w:hAnsi="Arial"/>
                <w:sz w:val="18"/>
                <w:szCs w:val="18"/>
                <w:color w:val="auto"/>
              </w:rPr>
              <w:t>Benefit obligation at beginning of year</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w w:val="94"/>
              </w:rPr>
              <w:t>24,529</w:t>
            </w: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2"/>
              </w:rPr>
              <w:t>$ 19,422</w:t>
            </w:r>
          </w:p>
        </w:tc>
        <w:tc>
          <w:tcPr>
            <w:tcW w:w="160" w:type="dxa"/>
            <w:vAlign w:val="bottom"/>
          </w:tcPr>
          <w:p>
            <w:pPr>
              <w:spacing w:after="0"/>
              <w:rPr>
                <w:sz w:val="20"/>
                <w:szCs w:val="20"/>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ind w:right="32"/>
              <w:spacing w:after="0"/>
              <w:rPr>
                <w:sz w:val="20"/>
                <w:szCs w:val="20"/>
                <w:color w:val="auto"/>
              </w:rPr>
            </w:pPr>
            <w:r>
              <w:rPr>
                <w:rFonts w:ascii="Arial" w:cs="Arial" w:eastAsia="Arial" w:hAnsi="Arial"/>
                <w:sz w:val="18"/>
                <w:szCs w:val="18"/>
                <w:b w:val="1"/>
                <w:bCs w:val="1"/>
                <w:color w:val="auto"/>
              </w:rPr>
              <w:t>1,636</w:t>
            </w:r>
          </w:p>
        </w:tc>
        <w:tc>
          <w:tcPr>
            <w:tcW w:w="3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shd w:val="clear" w:color="auto" w:fill="C0C0C0"/>
          </w:tcPr>
          <w:p>
            <w:pPr>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1,137</w:t>
            </w: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879</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74</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6"/>
        </w:trPr>
        <w:tc>
          <w:tcPr>
            <w:tcW w:w="76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1,416</w:t>
            </w: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1,338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b w:val="1"/>
                <w:bCs w:val="1"/>
                <w:color w:val="auto"/>
              </w:rPr>
              <w:t>96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shd w:val="clear" w:color="auto" w:fill="C0C0C0"/>
          </w:tcPr>
          <w:p>
            <w:pPr>
              <w:spacing w:after="0"/>
              <w:rPr>
                <w:sz w:val="20"/>
                <w:szCs w:val="20"/>
                <w:color w:val="auto"/>
              </w:rPr>
            </w:pPr>
            <w:r>
              <w:rPr>
                <w:rFonts w:ascii="Arial" w:cs="Arial" w:eastAsia="Arial" w:hAnsi="Arial"/>
                <w:sz w:val="18"/>
                <w:szCs w:val="18"/>
                <w:color w:val="auto"/>
              </w:rPr>
              <w:t>Actuarial loss</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1,623</w:t>
            </w: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3,595</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152</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7"/>
        </w:trPr>
        <w:tc>
          <w:tcPr>
            <w:tcW w:w="768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(711)</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Borders>
              <w:top w:val="single" w:sz="8" w:color="C0C0C0"/>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Benefit obligation at end of year</w:t>
            </w:r>
          </w:p>
        </w:tc>
        <w:tc>
          <w:tcPr>
            <w:tcW w:w="140" w:type="dxa"/>
            <w:vAlign w:val="bottom"/>
            <w:tcBorders>
              <w:top w:val="single" w:sz="8" w:color="C0C0C0"/>
              <w:bottom w:val="single" w:sz="8" w:color="C0C0C0"/>
            </w:tcBorders>
            <w:shd w:val="clear" w:color="auto" w:fill="C0C0C0"/>
          </w:tcPr>
          <w:p>
            <w:pPr>
              <w:spacing w:after="0"/>
              <w:rPr>
                <w:sz w:val="21"/>
                <w:szCs w:val="21"/>
                <w:color w:val="auto"/>
              </w:rPr>
            </w:pPr>
          </w:p>
        </w:tc>
        <w:tc>
          <w:tcPr>
            <w:tcW w:w="1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w w:val="94"/>
              </w:rPr>
              <w:t>27,994</w:t>
            </w:r>
          </w:p>
        </w:tc>
        <w:tc>
          <w:tcPr>
            <w:tcW w:w="140" w:type="dxa"/>
            <w:vAlign w:val="bottom"/>
            <w:tcBorders>
              <w:top w:val="single" w:sz="8" w:color="C0C0C0"/>
              <w:bottom w:val="single" w:sz="8" w:color="C0C0C0"/>
            </w:tcBorders>
            <w:shd w:val="clear" w:color="auto" w:fill="C0C0C0"/>
          </w:tcPr>
          <w:p>
            <w:pPr>
              <w:spacing w:after="0"/>
              <w:rPr>
                <w:sz w:val="21"/>
                <w:szCs w:val="21"/>
                <w:color w:val="auto"/>
              </w:rPr>
            </w:pPr>
          </w:p>
        </w:tc>
        <w:tc>
          <w:tcPr>
            <w:tcW w:w="70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82"/>
              </w:rPr>
              <w:t>$ 24,529</w:t>
            </w:r>
          </w:p>
        </w:tc>
        <w:tc>
          <w:tcPr>
            <w:tcW w:w="160" w:type="dxa"/>
            <w:vAlign w:val="bottom"/>
            <w:tcBorders>
              <w:top w:val="single" w:sz="8" w:color="C0C0C0"/>
              <w:bottom w:val="single" w:sz="8" w:color="C0C0C0"/>
            </w:tcBorders>
            <w:shd w:val="clear" w:color="auto" w:fill="C0C0C0"/>
          </w:tcPr>
          <w:p>
            <w:pPr>
              <w:spacing w:after="0"/>
              <w:rPr>
                <w:sz w:val="21"/>
                <w:szCs w:val="21"/>
                <w:color w:val="auto"/>
              </w:rPr>
            </w:pPr>
          </w:p>
        </w:tc>
        <w:tc>
          <w:tcPr>
            <w:tcW w:w="160" w:type="dxa"/>
            <w:vAlign w:val="bottom"/>
            <w:tcBorders>
              <w:top w:val="single" w:sz="8" w:color="auto"/>
              <w:bottom w:val="single" w:sz="8" w:color="auto"/>
            </w:tcBorders>
            <w:shd w:val="clear" w:color="auto" w:fill="C0C0C0"/>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1,933</w:t>
            </w:r>
          </w:p>
        </w:tc>
        <w:tc>
          <w:tcPr>
            <w:tcW w:w="140" w:type="dxa"/>
            <w:vAlign w:val="bottom"/>
            <w:tcBorders>
              <w:top w:val="single" w:sz="8" w:color="C0C0C0"/>
              <w:bottom w:val="single" w:sz="8" w:color="C0C0C0"/>
            </w:tcBorders>
            <w:shd w:val="clear" w:color="auto" w:fill="C0C0C0"/>
          </w:tcPr>
          <w:p>
            <w:pPr>
              <w:spacing w:after="0"/>
              <w:rPr>
                <w:sz w:val="21"/>
                <w:szCs w:val="21"/>
                <w:color w:val="auto"/>
              </w:rPr>
            </w:pPr>
          </w:p>
        </w:tc>
        <w:tc>
          <w:tcPr>
            <w:tcW w:w="2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Change in plan assets:</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80" w:type="dxa"/>
            <w:vAlign w:val="bottom"/>
            <w:gridSpan w:val="2"/>
          </w:tcPr>
          <w:p>
            <w:pPr>
              <w:spacing w:after="0"/>
              <w:rPr>
                <w:sz w:val="20"/>
                <w:szCs w:val="20"/>
                <w:color w:val="auto"/>
              </w:rPr>
            </w:pPr>
            <w:r>
              <w:rPr>
                <w:rFonts w:ascii="Arial" w:cs="Arial" w:eastAsia="Arial" w:hAnsi="Arial"/>
                <w:sz w:val="18"/>
                <w:szCs w:val="18"/>
                <w:color w:val="auto"/>
              </w:rPr>
              <w:t>Fair value of plan assets, beginning of year</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w w:val="94"/>
              </w:rPr>
              <w:t>15,619</w:t>
            </w: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2"/>
              </w:rPr>
              <w:t>$ 17,706</w:t>
            </w:r>
          </w:p>
        </w:tc>
        <w:tc>
          <w:tcPr>
            <w:tcW w:w="160" w:type="dxa"/>
            <w:vAlign w:val="bottom"/>
          </w:tcPr>
          <w:p>
            <w:pPr>
              <w:spacing w:after="0"/>
              <w:rPr>
                <w:sz w:val="20"/>
                <w:szCs w:val="20"/>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shd w:val="clear" w:color="auto" w:fill="C0C0C0"/>
          </w:tcPr>
          <w:p>
            <w:pPr>
              <w:spacing w:after="0"/>
              <w:rPr>
                <w:sz w:val="20"/>
                <w:szCs w:val="20"/>
                <w:color w:val="auto"/>
              </w:rPr>
            </w:pPr>
            <w:r>
              <w:rPr>
                <w:rFonts w:ascii="Arial" w:cs="Arial" w:eastAsia="Arial" w:hAnsi="Arial"/>
                <w:sz w:val="18"/>
                <w:szCs w:val="18"/>
                <w:color w:val="auto"/>
              </w:rPr>
              <w:t>Actual return (loss) on plan assets</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1,457</w:t>
            </w: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(2,209)</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680" w:type="dxa"/>
            <w:vAlign w:val="bottom"/>
            <w:gridSpan w:val="2"/>
          </w:tcPr>
          <w:p>
            <w:pPr>
              <w:spacing w:after="0"/>
              <w:rPr>
                <w:sz w:val="20"/>
                <w:szCs w:val="20"/>
                <w:color w:val="auto"/>
              </w:rPr>
            </w:pPr>
            <w:r>
              <w:rPr>
                <w:rFonts w:ascii="Arial" w:cs="Arial" w:eastAsia="Arial" w:hAnsi="Arial"/>
                <w:sz w:val="18"/>
                <w:szCs w:val="18"/>
                <w:color w:val="auto"/>
              </w:rPr>
              <w:t>Employer contribution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922</w:t>
            </w: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827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shd w:val="clear" w:color="auto" w:fill="C0C0C0"/>
          </w:tcPr>
          <w:p>
            <w:pPr>
              <w:spacing w:after="0"/>
              <w:rPr>
                <w:sz w:val="20"/>
                <w:szCs w:val="20"/>
                <w:color w:val="auto"/>
              </w:rPr>
            </w:pPr>
            <w:r>
              <w:rPr>
                <w:rFonts w:ascii="Arial" w:cs="Arial" w:eastAsia="Arial" w:hAnsi="Arial"/>
                <w:sz w:val="18"/>
                <w:szCs w:val="18"/>
                <w:color w:val="auto"/>
              </w:rPr>
              <w:t>Benefits paid</w:t>
            </w:r>
          </w:p>
        </w:tc>
        <w:tc>
          <w:tcPr>
            <w:tcW w:w="14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(711)</w:t>
            </w:r>
          </w:p>
        </w:tc>
        <w:tc>
          <w:tcPr>
            <w:tcW w:w="140" w:type="dxa"/>
            <w:vAlign w:val="bottom"/>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(705)</w:t>
            </w:r>
          </w:p>
        </w:tc>
        <w:tc>
          <w:tcPr>
            <w:tcW w:w="1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(25)</w:t>
            </w:r>
          </w:p>
        </w:tc>
        <w:tc>
          <w:tcPr>
            <w:tcW w:w="14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66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Fair value of plan assets at end of year</w:t>
            </w: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4"/>
              </w:rPr>
              <w:t>17,287</w:t>
            </w:r>
          </w:p>
        </w:tc>
        <w:tc>
          <w:tcPr>
            <w:tcW w:w="140" w:type="dxa"/>
            <w:vAlign w:val="bottom"/>
            <w:tcBorders>
              <w:bottom w:val="single" w:sz="8" w:color="C0C0C0"/>
            </w:tcBorders>
          </w:tcPr>
          <w:p>
            <w:pPr>
              <w:spacing w:after="0"/>
              <w:rPr>
                <w:sz w:val="21"/>
                <w:szCs w:val="21"/>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2"/>
              </w:rPr>
              <w:t>$ 15,619</w:t>
            </w:r>
          </w:p>
        </w:tc>
        <w:tc>
          <w:tcPr>
            <w:tcW w:w="1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Funded status, end of year, recorded in</w:t>
            </w:r>
          </w:p>
        </w:tc>
        <w:tc>
          <w:tcPr>
            <w:tcW w:w="140" w:type="dxa"/>
            <w:vAlign w:val="bottom"/>
            <w:vMerge w:val="restart"/>
            <w:shd w:val="clear" w:color="auto" w:fill="C0C0C0"/>
          </w:tcPr>
          <w:p>
            <w:pPr>
              <w:spacing w:after="0"/>
              <w:rPr>
                <w:sz w:val="19"/>
                <w:szCs w:val="19"/>
                <w:color w:val="auto"/>
              </w:rPr>
            </w:pPr>
          </w:p>
        </w:tc>
        <w:tc>
          <w:tcPr>
            <w:tcW w:w="120" w:type="dxa"/>
            <w:vAlign w:val="bottom"/>
            <w:vMerge w:val="restart"/>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shd w:val="clear" w:color="auto" w:fill="C0C0C0"/>
          </w:tcPr>
          <w:p>
            <w:pPr>
              <w:jc w:val="right"/>
              <w:spacing w:after="0"/>
              <w:rPr>
                <w:sz w:val="20"/>
                <w:szCs w:val="20"/>
                <w:color w:val="auto"/>
              </w:rPr>
            </w:pPr>
            <w:r>
              <w:rPr>
                <w:rFonts w:ascii="Arial" w:cs="Arial" w:eastAsia="Arial" w:hAnsi="Arial"/>
                <w:sz w:val="18"/>
                <w:szCs w:val="18"/>
                <w:b w:val="1"/>
                <w:bCs w:val="1"/>
                <w:color w:val="auto"/>
                <w:w w:val="86"/>
              </w:rPr>
              <w:t>(10,707)</w:t>
            </w:r>
          </w:p>
        </w:tc>
        <w:tc>
          <w:tcPr>
            <w:tcW w:w="140" w:type="dxa"/>
            <w:vAlign w:val="bottom"/>
            <w:shd w:val="clear" w:color="auto" w:fill="C0C0C0"/>
          </w:tcPr>
          <w:p>
            <w:pPr>
              <w:spacing w:after="0"/>
              <w:rPr>
                <w:sz w:val="19"/>
                <w:szCs w:val="19"/>
                <w:color w:val="auto"/>
              </w:rPr>
            </w:pPr>
          </w:p>
        </w:tc>
        <w:tc>
          <w:tcPr>
            <w:tcW w:w="700" w:type="dxa"/>
            <w:vAlign w:val="bottom"/>
            <w:vMerge w:val="restart"/>
            <w:shd w:val="clear" w:color="auto" w:fill="C0C0C0"/>
          </w:tcPr>
          <w:p>
            <w:pPr>
              <w:jc w:val="right"/>
              <w:spacing w:after="0"/>
              <w:rPr>
                <w:sz w:val="20"/>
                <w:szCs w:val="20"/>
                <w:color w:val="auto"/>
              </w:rPr>
            </w:pPr>
            <w:r>
              <w:rPr>
                <w:rFonts w:ascii="Arial" w:cs="Arial" w:eastAsia="Arial" w:hAnsi="Arial"/>
                <w:sz w:val="18"/>
                <w:szCs w:val="18"/>
                <w:color w:val="auto"/>
                <w:w w:val="88"/>
              </w:rPr>
              <w:t>$ (8,910)</w:t>
            </w:r>
          </w:p>
        </w:tc>
        <w:tc>
          <w:tcPr>
            <w:tcW w:w="160" w:type="dxa"/>
            <w:vAlign w:val="bottom"/>
            <w:shd w:val="clear" w:color="auto" w:fill="C0C0C0"/>
          </w:tcPr>
          <w:p>
            <w:pPr>
              <w:spacing w:after="0"/>
              <w:rPr>
                <w:sz w:val="19"/>
                <w:szCs w:val="19"/>
                <w:color w:val="auto"/>
              </w:rPr>
            </w:pPr>
          </w:p>
        </w:tc>
        <w:tc>
          <w:tcPr>
            <w:tcW w:w="160" w:type="dxa"/>
            <w:vAlign w:val="bottom"/>
            <w:vMerge w:val="restart"/>
            <w:shd w:val="clear" w:color="auto" w:fill="C0C0C0"/>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680" w:type="dxa"/>
            <w:vAlign w:val="bottom"/>
            <w:vMerge w:val="restart"/>
            <w:shd w:val="clear" w:color="auto" w:fill="C0C0C0"/>
          </w:tcPr>
          <w:p>
            <w:pPr>
              <w:jc w:val="right"/>
              <w:spacing w:after="0"/>
              <w:rPr>
                <w:sz w:val="20"/>
                <w:szCs w:val="20"/>
                <w:color w:val="auto"/>
              </w:rPr>
            </w:pPr>
            <w:r>
              <w:rPr>
                <w:rFonts w:ascii="Arial" w:cs="Arial" w:eastAsia="Arial" w:hAnsi="Arial"/>
                <w:sz w:val="18"/>
                <w:szCs w:val="18"/>
                <w:b w:val="1"/>
                <w:bCs w:val="1"/>
                <w:color w:val="auto"/>
              </w:rPr>
              <w:t>(1,933)</w:t>
            </w:r>
          </w:p>
        </w:tc>
        <w:tc>
          <w:tcPr>
            <w:tcW w:w="140" w:type="dxa"/>
            <w:vAlign w:val="bottom"/>
            <w:vMerge w:val="restart"/>
            <w:shd w:val="clear" w:color="auto" w:fill="C0C0C0"/>
          </w:tcPr>
          <w:p>
            <w:pPr>
              <w:spacing w:after="0"/>
              <w:rPr>
                <w:sz w:val="19"/>
                <w:szCs w:val="19"/>
                <w:color w:val="auto"/>
              </w:rPr>
            </w:pPr>
          </w:p>
        </w:tc>
        <w:tc>
          <w:tcPr>
            <w:tcW w:w="240" w:type="dxa"/>
            <w:vAlign w:val="bottom"/>
            <w:vMerge w:val="restart"/>
            <w:shd w:val="clear" w:color="auto" w:fill="C0C0C0"/>
          </w:tcPr>
          <w:p>
            <w:pPr>
              <w:jc w:val="right"/>
              <w:ind w:right="52"/>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0C0C0"/>
          </w:tcPr>
          <w:p>
            <w:pPr>
              <w:jc w:val="right"/>
              <w:spacing w:after="0"/>
              <w:rPr>
                <w:sz w:val="20"/>
                <w:szCs w:val="20"/>
                <w:color w:val="auto"/>
              </w:rPr>
            </w:pPr>
            <w:r>
              <w:rPr>
                <w:rFonts w:ascii="Arial" w:cs="Arial" w:eastAsia="Arial" w:hAnsi="Arial"/>
                <w:sz w:val="18"/>
                <w:szCs w:val="18"/>
                <w:color w:val="auto"/>
                <w:w w:val="94"/>
              </w:rPr>
              <w:t>(1,636)</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6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b w:val="1"/>
                <w:bCs w:val="1"/>
                <w:color w:val="auto"/>
              </w:rPr>
              <w:t>Consolidated Balance Sheets</w:t>
            </w:r>
          </w:p>
        </w:tc>
        <w:tc>
          <w:tcPr>
            <w:tcW w:w="140" w:type="dxa"/>
            <w:vAlign w:val="bottom"/>
            <w:tcBorders>
              <w:bottom w:val="single" w:sz="8" w:color="C0C0C0"/>
            </w:tcBorders>
            <w:vMerge w:val="continue"/>
            <w:shd w:val="clear" w:color="auto" w:fill="C0C0C0"/>
          </w:tcPr>
          <w:p>
            <w:pPr>
              <w:spacing w:after="0"/>
              <w:rPr>
                <w:sz w:val="23"/>
                <w:szCs w:val="23"/>
                <w:color w:val="auto"/>
              </w:rPr>
            </w:pPr>
          </w:p>
        </w:tc>
        <w:tc>
          <w:tcPr>
            <w:tcW w:w="120" w:type="dxa"/>
            <w:vAlign w:val="bottom"/>
            <w:tcBorders>
              <w:bottom w:val="single" w:sz="8" w:color="auto"/>
            </w:tcBorders>
            <w:vMerge w:val="continue"/>
            <w:shd w:val="clear" w:color="auto" w:fill="C0C0C0"/>
          </w:tcPr>
          <w:p>
            <w:pPr>
              <w:spacing w:after="0"/>
              <w:rPr>
                <w:sz w:val="23"/>
                <w:szCs w:val="23"/>
                <w:color w:val="auto"/>
              </w:rPr>
            </w:pPr>
          </w:p>
        </w:tc>
        <w:tc>
          <w:tcPr>
            <w:tcW w:w="660" w:type="dxa"/>
            <w:vAlign w:val="bottom"/>
            <w:tcBorders>
              <w:bottom w:val="single" w:sz="8" w:color="auto"/>
            </w:tcBorders>
            <w:vMerge w:val="continue"/>
            <w:shd w:val="clear" w:color="auto" w:fill="C0C0C0"/>
          </w:tcPr>
          <w:p>
            <w:pPr>
              <w:spacing w:after="0"/>
              <w:rPr>
                <w:sz w:val="23"/>
                <w:szCs w:val="23"/>
                <w:color w:val="auto"/>
              </w:rPr>
            </w:pPr>
          </w:p>
        </w:tc>
        <w:tc>
          <w:tcPr>
            <w:tcW w:w="140" w:type="dxa"/>
            <w:vAlign w:val="bottom"/>
            <w:tcBorders>
              <w:bottom w:val="single" w:sz="8" w:color="C0C0C0"/>
            </w:tcBorders>
            <w:shd w:val="clear" w:color="auto" w:fill="C0C0C0"/>
          </w:tcPr>
          <w:p>
            <w:pPr>
              <w:spacing w:after="0"/>
              <w:rPr>
                <w:sz w:val="23"/>
                <w:szCs w:val="23"/>
                <w:color w:val="auto"/>
              </w:rPr>
            </w:pPr>
          </w:p>
        </w:tc>
        <w:tc>
          <w:tcPr>
            <w:tcW w:w="700" w:type="dxa"/>
            <w:vAlign w:val="bottom"/>
            <w:tcBorders>
              <w:bottom w:val="single" w:sz="8" w:color="auto"/>
            </w:tcBorders>
            <w:vMerge w:val="continue"/>
            <w:shd w:val="clear" w:color="auto" w:fill="C0C0C0"/>
          </w:tcPr>
          <w:p>
            <w:pPr>
              <w:spacing w:after="0"/>
              <w:rPr>
                <w:sz w:val="23"/>
                <w:szCs w:val="23"/>
                <w:color w:val="auto"/>
              </w:rPr>
            </w:pPr>
          </w:p>
        </w:tc>
        <w:tc>
          <w:tcPr>
            <w:tcW w:w="160" w:type="dxa"/>
            <w:vAlign w:val="bottom"/>
            <w:tcBorders>
              <w:bottom w:val="single" w:sz="8" w:color="C0C0C0"/>
            </w:tcBorders>
            <w:shd w:val="clear" w:color="auto" w:fill="C0C0C0"/>
          </w:tcPr>
          <w:p>
            <w:pPr>
              <w:spacing w:after="0"/>
              <w:rPr>
                <w:sz w:val="23"/>
                <w:szCs w:val="23"/>
                <w:color w:val="auto"/>
              </w:rPr>
            </w:pPr>
          </w:p>
        </w:tc>
        <w:tc>
          <w:tcPr>
            <w:tcW w:w="160" w:type="dxa"/>
            <w:vAlign w:val="bottom"/>
            <w:tcBorders>
              <w:bottom w:val="single" w:sz="8" w:color="auto"/>
            </w:tcBorders>
            <w:vMerge w:val="continue"/>
            <w:shd w:val="clear" w:color="auto" w:fill="C0C0C0"/>
          </w:tcPr>
          <w:p>
            <w:pPr>
              <w:spacing w:after="0"/>
              <w:rPr>
                <w:sz w:val="23"/>
                <w:szCs w:val="23"/>
                <w:color w:val="auto"/>
              </w:rPr>
            </w:pPr>
          </w:p>
        </w:tc>
        <w:tc>
          <w:tcPr>
            <w:tcW w:w="680" w:type="dxa"/>
            <w:vAlign w:val="bottom"/>
            <w:tcBorders>
              <w:bottom w:val="single" w:sz="8" w:color="auto"/>
            </w:tcBorders>
            <w:vMerge w:val="continue"/>
            <w:shd w:val="clear" w:color="auto" w:fill="C0C0C0"/>
          </w:tcPr>
          <w:p>
            <w:pPr>
              <w:spacing w:after="0"/>
              <w:rPr>
                <w:sz w:val="23"/>
                <w:szCs w:val="23"/>
                <w:color w:val="auto"/>
              </w:rPr>
            </w:pPr>
          </w:p>
        </w:tc>
        <w:tc>
          <w:tcPr>
            <w:tcW w:w="140" w:type="dxa"/>
            <w:vAlign w:val="bottom"/>
            <w:tcBorders>
              <w:bottom w:val="single" w:sz="8" w:color="C0C0C0"/>
            </w:tcBorders>
            <w:vMerge w:val="continue"/>
            <w:shd w:val="clear" w:color="auto" w:fill="C0C0C0"/>
          </w:tcPr>
          <w:p>
            <w:pPr>
              <w:spacing w:after="0"/>
              <w:rPr>
                <w:sz w:val="23"/>
                <w:szCs w:val="23"/>
                <w:color w:val="auto"/>
              </w:rPr>
            </w:pPr>
          </w:p>
        </w:tc>
        <w:tc>
          <w:tcPr>
            <w:tcW w:w="240" w:type="dxa"/>
            <w:vAlign w:val="bottom"/>
            <w:tcBorders>
              <w:bottom w:val="single" w:sz="8" w:color="auto"/>
            </w:tcBorders>
            <w:vMerge w:val="continue"/>
            <w:shd w:val="clear" w:color="auto" w:fill="C0C0C0"/>
          </w:tcPr>
          <w:p>
            <w:pPr>
              <w:spacing w:after="0"/>
              <w:rPr>
                <w:sz w:val="23"/>
                <w:szCs w:val="23"/>
                <w:color w:val="auto"/>
              </w:rPr>
            </w:pPr>
          </w:p>
        </w:tc>
        <w:tc>
          <w:tcPr>
            <w:tcW w:w="600" w:type="dxa"/>
            <w:vAlign w:val="bottom"/>
            <w:tcBorders>
              <w:bottom w:val="single" w:sz="8" w:color="auto"/>
            </w:tcBorders>
            <w:vMerge w:val="continue"/>
            <w:shd w:val="clear" w:color="auto" w:fill="C0C0C0"/>
          </w:tcPr>
          <w:p>
            <w:pPr>
              <w:spacing w:after="0"/>
              <w:rPr>
                <w:sz w:val="23"/>
                <w:szCs w:val="23"/>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accumulated benefit obligation for the pension plan was $22,912,000 as of July 31, 2010 and $20,124,000 as of July 31, 2009.</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amounts recognized in the Consolidated Balance Sheets as of July 31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4"/>
          </w:tcPr>
          <w:p>
            <w:pPr>
              <w:jc w:val="right"/>
              <w:ind w:right="12"/>
              <w:spacing w:after="0"/>
              <w:rPr>
                <w:sz w:val="20"/>
                <w:szCs w:val="20"/>
                <w:color w:val="auto"/>
              </w:rPr>
            </w:pPr>
            <w:r>
              <w:rPr>
                <w:rFonts w:ascii="Arial" w:cs="Arial" w:eastAsia="Arial" w:hAnsi="Arial"/>
                <w:sz w:val="18"/>
                <w:szCs w:val="18"/>
                <w:b w:val="1"/>
                <w:bCs w:val="1"/>
                <w:color w:val="auto"/>
                <w:w w:val="87"/>
              </w:rPr>
              <w:t>Postretirement Health</w:t>
            </w:r>
          </w:p>
        </w:tc>
        <w:tc>
          <w:tcPr>
            <w:tcW w:w="20" w:type="dxa"/>
            <w:vAlign w:val="bottom"/>
          </w:tcPr>
          <w:p>
            <w:pPr>
              <w:spacing w:after="0"/>
              <w:rPr>
                <w:sz w:val="19"/>
                <w:szCs w:val="19"/>
                <w:color w:val="auto"/>
              </w:rPr>
            </w:pPr>
          </w:p>
        </w:tc>
      </w:tr>
      <w:tr>
        <w:trPr>
          <w:trHeight w:val="252"/>
        </w:trPr>
        <w:tc>
          <w:tcPr>
            <w:tcW w:w="47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5"/>
          </w:tcPr>
          <w:p>
            <w:pPr>
              <w:ind w:left="60"/>
              <w:spacing w:after="0"/>
              <w:rPr>
                <w:sz w:val="20"/>
                <w:szCs w:val="20"/>
                <w:color w:val="auto"/>
              </w:rPr>
            </w:pPr>
            <w:r>
              <w:rPr>
                <w:rFonts w:ascii="Arial" w:cs="Arial" w:eastAsia="Arial" w:hAnsi="Arial"/>
                <w:sz w:val="18"/>
                <w:szCs w:val="18"/>
                <w:b w:val="1"/>
                <w:bCs w:val="1"/>
                <w:color w:val="auto"/>
              </w:rPr>
              <w:t>Pension Benefits</w:t>
            </w:r>
          </w:p>
        </w:tc>
        <w:tc>
          <w:tcPr>
            <w:tcW w:w="1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40" w:type="dxa"/>
            <w:vAlign w:val="bottom"/>
            <w:tcBorders>
              <w:bottom w:val="single" w:sz="8" w:color="C0C0C0"/>
            </w:tcBorders>
          </w:tcPr>
          <w:p>
            <w:pPr>
              <w:spacing w:after="0"/>
              <w:rPr>
                <w:sz w:val="20"/>
                <w:szCs w:val="20"/>
                <w:color w:val="auto"/>
              </w:rPr>
            </w:pPr>
          </w:p>
        </w:tc>
        <w:tc>
          <w:tcPr>
            <w:tcW w:w="3080" w:type="dxa"/>
            <w:vAlign w:val="bottom"/>
            <w:tcBorders>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2009</w:t>
            </w:r>
          </w:p>
        </w:tc>
        <w:tc>
          <w:tcPr>
            <w:tcW w:w="140" w:type="dxa"/>
            <w:vAlign w:val="bottom"/>
            <w:tcBorders>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bottom w:val="single" w:sz="8" w:color="C0C0C0"/>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9"/>
              </w:rPr>
              <w:t>2009</w:t>
            </w:r>
          </w:p>
        </w:tc>
        <w:tc>
          <w:tcPr>
            <w:tcW w:w="20" w:type="dxa"/>
            <w:vAlign w:val="bottom"/>
          </w:tcPr>
          <w:p>
            <w:pPr>
              <w:spacing w:after="0"/>
              <w:rPr>
                <w:sz w:val="20"/>
                <w:szCs w:val="20"/>
                <w:color w:val="auto"/>
              </w:rPr>
            </w:pPr>
          </w:p>
        </w:tc>
      </w:tr>
      <w:tr>
        <w:trPr>
          <w:trHeight w:val="243"/>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Deferred income taxes</w:t>
            </w:r>
          </w:p>
        </w:tc>
        <w:tc>
          <w:tcPr>
            <w:tcW w:w="308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2,993</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2,591</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262</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21"/>
                <w:szCs w:val="21"/>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r>
      <w:tr>
        <w:trPr>
          <w:trHeight w:val="250"/>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Other noncurrent liabilities</w:t>
            </w:r>
          </w:p>
        </w:tc>
        <w:tc>
          <w:tcPr>
            <w:tcW w:w="30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86"/>
              </w:rPr>
              <w:t>(10,707)</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1"/>
              </w:rPr>
              <w:t>(8,910)</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(1,851)</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(1,581)</w:t>
            </w:r>
          </w:p>
        </w:tc>
        <w:tc>
          <w:tcPr>
            <w:tcW w:w="20" w:type="dxa"/>
            <w:vAlign w:val="bottom"/>
          </w:tcPr>
          <w:p>
            <w:pPr>
              <w:spacing w:after="0"/>
              <w:rPr>
                <w:sz w:val="21"/>
                <w:szCs w:val="21"/>
                <w:color w:val="auto"/>
              </w:rPr>
            </w:pP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Accumulated other comprehensive income –net of tax:</w:t>
            </w: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7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Net actuarial loss</w:t>
            </w:r>
          </w:p>
        </w:tc>
        <w:tc>
          <w:tcPr>
            <w:tcW w:w="30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5,662</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4,144</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455</w:t>
            </w: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21"/>
                <w:szCs w:val="21"/>
                <w:color w:val="auto"/>
              </w:rPr>
            </w:pPr>
          </w:p>
        </w:tc>
      </w:tr>
      <w:tr>
        <w:trPr>
          <w:trHeight w:val="236"/>
        </w:trPr>
        <w:tc>
          <w:tcPr>
            <w:tcW w:w="4740" w:type="dxa"/>
            <w:vAlign w:val="bottom"/>
          </w:tcPr>
          <w:p>
            <w:pPr>
              <w:ind w:left="320"/>
              <w:spacing w:after="0"/>
              <w:rPr>
                <w:sz w:val="20"/>
                <w:szCs w:val="20"/>
                <w:color w:val="auto"/>
              </w:rPr>
            </w:pPr>
            <w:r>
              <w:rPr>
                <w:rFonts w:ascii="Arial" w:cs="Arial" w:eastAsia="Arial" w:hAnsi="Arial"/>
                <w:sz w:val="18"/>
                <w:szCs w:val="18"/>
                <w:color w:val="auto"/>
              </w:rPr>
              <w:t>Prior service cost</w:t>
            </w: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0"/>
        </w:trPr>
        <w:tc>
          <w:tcPr>
            <w:tcW w:w="47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Net obligation at transition</w:t>
            </w:r>
          </w:p>
        </w:tc>
        <w:tc>
          <w:tcPr>
            <w:tcW w:w="30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46</w:t>
            </w:r>
          </w:p>
        </w:tc>
        <w:tc>
          <w:tcPr>
            <w:tcW w:w="14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r>
      <w:tr>
        <w:trPr>
          <w:trHeight w:val="244"/>
        </w:trPr>
        <w:tc>
          <w:tcPr>
            <w:tcW w:w="47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(1,986)</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(2,090)</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(1,170)</w:t>
            </w:r>
          </w:p>
        </w:tc>
        <w:tc>
          <w:tcPr>
            <w:tcW w:w="140" w:type="dxa"/>
            <w:vAlign w:val="bottom"/>
          </w:tcPr>
          <w:p>
            <w:pPr>
              <w:spacing w:after="0"/>
              <w:rPr>
                <w:sz w:val="21"/>
                <w:szCs w:val="21"/>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(1,062)</w:t>
            </w:r>
          </w:p>
        </w:tc>
        <w:tc>
          <w:tcPr>
            <w:tcW w:w="20" w:type="dxa"/>
            <w:vAlign w:val="bottom"/>
          </w:tcPr>
          <w:p>
            <w:pPr>
              <w:spacing w:after="0"/>
              <w:rPr>
                <w:sz w:val="21"/>
                <w:szCs w:val="21"/>
                <w:color w:val="auto"/>
              </w:rPr>
            </w:pPr>
          </w:p>
        </w:tc>
      </w:tr>
      <w:tr>
        <w:trPr>
          <w:trHeight w:val="498"/>
        </w:trPr>
        <w:tc>
          <w:tcPr>
            <w:tcW w:w="4740" w:type="dxa"/>
            <w:vAlign w:val="bottom"/>
          </w:tcPr>
          <w:p>
            <w:pPr>
              <w:spacing w:after="0"/>
              <w:rPr>
                <w:sz w:val="24"/>
                <w:szCs w:val="24"/>
                <w:color w:val="auto"/>
              </w:rPr>
            </w:pPr>
          </w:p>
        </w:tc>
        <w:tc>
          <w:tcPr>
            <w:tcW w:w="3080" w:type="dxa"/>
            <w:vAlign w:val="bottom"/>
          </w:tcPr>
          <w:p>
            <w:pPr>
              <w:jc w:val="right"/>
              <w:ind w:right="193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474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9 – EMPLOYEE BENEFIT PLANS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Costs and Amortizations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shows the components of the net periodic pension and postretirement health benefit costs for the fiscal years ended July 31(in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9"/>
          </w:tcPr>
          <w:p>
            <w:pPr>
              <w:spacing w:after="0"/>
              <w:rPr>
                <w:sz w:val="20"/>
                <w:szCs w:val="20"/>
                <w:color w:val="auto"/>
              </w:rPr>
            </w:pPr>
            <w:r>
              <w:rPr>
                <w:rFonts w:ascii="Arial" w:cs="Arial" w:eastAsia="Arial" w:hAnsi="Arial"/>
                <w:sz w:val="18"/>
                <w:szCs w:val="18"/>
                <w:b w:val="1"/>
                <w:bCs w:val="1"/>
                <w:color w:val="auto"/>
                <w:w w:val="87"/>
              </w:rPr>
              <w:t>Postretirement Health Benefit</w:t>
            </w:r>
          </w:p>
        </w:tc>
      </w:tr>
      <w:tr>
        <w:trPr>
          <w:trHeight w:val="252"/>
        </w:trPr>
        <w:tc>
          <w:tcPr>
            <w:tcW w:w="6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1"/>
              </w:rPr>
              <w:t>Pension Cost</w:t>
            </w: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658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2010</w:t>
            </w:r>
          </w:p>
        </w:tc>
        <w:tc>
          <w:tcPr>
            <w:tcW w:w="1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2009</w:t>
            </w:r>
          </w:p>
        </w:tc>
        <w:tc>
          <w:tcPr>
            <w:tcW w:w="1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2008</w:t>
            </w:r>
          </w:p>
        </w:tc>
        <w:tc>
          <w:tcPr>
            <w:tcW w:w="1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Pr>
          <w:p>
            <w:pPr>
              <w:spacing w:after="0"/>
              <w:rPr>
                <w:sz w:val="20"/>
                <w:szCs w:val="20"/>
                <w:color w:val="auto"/>
              </w:rPr>
            </w:pPr>
          </w:p>
        </w:tc>
      </w:tr>
      <w:tr>
        <w:trPr>
          <w:trHeight w:val="243"/>
        </w:trPr>
        <w:tc>
          <w:tcPr>
            <w:tcW w:w="6580" w:type="dxa"/>
            <w:vAlign w:val="bottom"/>
            <w:shd w:val="clear" w:color="auto" w:fill="C0C0C0"/>
          </w:tcPr>
          <w:p>
            <w:pPr>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w w:val="97"/>
              </w:rPr>
              <w:t>1,137</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879</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783</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74</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1"/>
                <w:szCs w:val="21"/>
                <w:color w:val="auto"/>
              </w:rPr>
            </w:pPr>
          </w:p>
        </w:tc>
      </w:tr>
      <w:tr>
        <w:trPr>
          <w:trHeight w:val="228"/>
        </w:trPr>
        <w:tc>
          <w:tcPr>
            <w:tcW w:w="6580" w:type="dxa"/>
            <w:vAlign w:val="bottom"/>
          </w:tcPr>
          <w:p>
            <w:pPr>
              <w:spacing w:after="0"/>
              <w:rPr>
                <w:sz w:val="20"/>
                <w:szCs w:val="20"/>
                <w:color w:val="auto"/>
              </w:rPr>
            </w:pPr>
            <w:r>
              <w:rPr>
                <w:rFonts w:ascii="Arial" w:cs="Arial" w:eastAsia="Arial" w:hAnsi="Arial"/>
                <w:sz w:val="18"/>
                <w:szCs w:val="18"/>
                <w:color w:val="auto"/>
              </w:rPr>
              <w:t>Interest cost on projected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benefit obligations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w w:val="97"/>
              </w:rPr>
              <w:t>1,416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1,338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1,153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r>
      <w:tr>
        <w:trPr>
          <w:trHeight w:val="259"/>
        </w:trPr>
        <w:tc>
          <w:tcPr>
            <w:tcW w:w="6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6580" w:type="dxa"/>
            <w:vAlign w:val="bottom"/>
            <w:shd w:val="clear" w:color="auto" w:fill="C0C0C0"/>
          </w:tcPr>
          <w:p>
            <w:pPr>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87"/>
              </w:rPr>
              <w:t>(1,167)</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7"/>
              </w:rPr>
              <w:t>(1,323)</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1"/>
              </w:rPr>
              <w:t>(1,385)</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5"/>
        </w:trPr>
        <w:tc>
          <w:tcPr>
            <w:tcW w:w="6580" w:type="dxa"/>
            <w:vAlign w:val="bottom"/>
          </w:tcPr>
          <w:p>
            <w:pPr>
              <w:spacing w:after="0"/>
              <w:rPr>
                <w:sz w:val="20"/>
                <w:szCs w:val="20"/>
                <w:color w:val="auto"/>
              </w:rPr>
            </w:pPr>
            <w:r>
              <w:rPr>
                <w:rFonts w:ascii="Arial" w:cs="Arial" w:eastAsia="Arial" w:hAnsi="Arial"/>
                <w:sz w:val="18"/>
                <w:szCs w:val="18"/>
                <w:color w:val="auto"/>
              </w:rPr>
              <w:t>Amortization of:</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6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Net transition (asset)</w:t>
            </w: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59"/>
        </w:trPr>
        <w:tc>
          <w:tcPr>
            <w:tcW w:w="6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obligation</w:t>
            </w:r>
          </w:p>
        </w:tc>
        <w:tc>
          <w:tcPr>
            <w:tcW w:w="1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0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0C0C0"/>
          </w:tcPr>
          <w:p>
            <w:pPr>
              <w:spacing w:after="0"/>
              <w:rPr>
                <w:sz w:val="22"/>
                <w:szCs w:val="22"/>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2"/>
                <w:szCs w:val="22"/>
                <w:color w:val="auto"/>
              </w:rPr>
            </w:pPr>
          </w:p>
        </w:tc>
      </w:tr>
      <w:tr>
        <w:trPr>
          <w:trHeight w:val="236"/>
        </w:trPr>
        <w:tc>
          <w:tcPr>
            <w:tcW w:w="6580" w:type="dxa"/>
            <w:vAlign w:val="bottom"/>
          </w:tcPr>
          <w:p>
            <w:pPr>
              <w:ind w:left="320"/>
              <w:spacing w:after="0"/>
              <w:rPr>
                <w:sz w:val="20"/>
                <w:szCs w:val="20"/>
                <w:color w:val="auto"/>
              </w:rPr>
            </w:pPr>
            <w:r>
              <w:rPr>
                <w:rFonts w:ascii="Arial" w:cs="Arial" w:eastAsia="Arial" w:hAnsi="Arial"/>
                <w:sz w:val="18"/>
                <w:szCs w:val="18"/>
                <w:color w:val="auto"/>
              </w:rPr>
              <w:t>Prior service costs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rPr>
              <w:t>46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0"/>
        </w:trPr>
        <w:tc>
          <w:tcPr>
            <w:tcW w:w="6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Other actuarial (gain) loss</w:t>
            </w:r>
          </w:p>
        </w:tc>
        <w:tc>
          <w:tcPr>
            <w:tcW w:w="14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230</w:t>
            </w:r>
          </w:p>
        </w:tc>
        <w:tc>
          <w:tcPr>
            <w:tcW w:w="14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21</w:t>
            </w:r>
          </w:p>
        </w:tc>
        <w:tc>
          <w:tcPr>
            <w:tcW w:w="2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44"/>
        </w:trPr>
        <w:tc>
          <w:tcPr>
            <w:tcW w:w="65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7"/>
              </w:rPr>
              <w:t>1,662</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941</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1"/>
                <w:szCs w:val="21"/>
                <w:color w:val="auto"/>
              </w:rPr>
            </w:pPr>
          </w:p>
        </w:tc>
      </w:tr>
    </w:tbl>
    <w:p>
      <w:pPr>
        <w:spacing w:after="0" w:line="30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shows amounts, net of tax, that are components of other comprehensive income for the fiscal years ended July 31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4"/>
          </w:tcPr>
          <w:p>
            <w:pPr>
              <w:jc w:val="right"/>
              <w:ind w:right="12"/>
              <w:spacing w:after="0"/>
              <w:rPr>
                <w:sz w:val="20"/>
                <w:szCs w:val="20"/>
                <w:color w:val="auto"/>
              </w:rPr>
            </w:pPr>
            <w:r>
              <w:rPr>
                <w:rFonts w:ascii="Arial" w:cs="Arial" w:eastAsia="Arial" w:hAnsi="Arial"/>
                <w:sz w:val="18"/>
                <w:szCs w:val="18"/>
                <w:b w:val="1"/>
                <w:bCs w:val="1"/>
                <w:color w:val="auto"/>
                <w:w w:val="91"/>
              </w:rPr>
              <w:t>Postretirement</w:t>
            </w:r>
          </w:p>
        </w:tc>
      </w:tr>
      <w:tr>
        <w:trPr>
          <w:trHeight w:val="252"/>
        </w:trPr>
        <w:tc>
          <w:tcPr>
            <w:tcW w:w="49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8"/>
              </w:rPr>
              <w:t>Pension Benefits</w:t>
            </w:r>
          </w:p>
        </w:tc>
        <w:tc>
          <w:tcPr>
            <w:tcW w:w="2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Health Benefits</w:t>
            </w:r>
          </w:p>
        </w:tc>
      </w:tr>
      <w:tr>
        <w:trPr>
          <w:trHeight w:val="237"/>
        </w:trPr>
        <w:tc>
          <w:tcPr>
            <w:tcW w:w="4920" w:type="dxa"/>
            <w:vAlign w:val="bottom"/>
            <w:tcBorders>
              <w:bottom w:val="single" w:sz="8" w:color="C0C0C0"/>
            </w:tcBorders>
          </w:tcPr>
          <w:p>
            <w:pPr>
              <w:spacing w:after="0"/>
              <w:rPr>
                <w:sz w:val="20"/>
                <w:szCs w:val="20"/>
                <w:color w:val="auto"/>
              </w:rPr>
            </w:pPr>
          </w:p>
        </w:tc>
        <w:tc>
          <w:tcPr>
            <w:tcW w:w="2500" w:type="dxa"/>
            <w:vAlign w:val="bottom"/>
            <w:tcBorders>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2010</w:t>
            </w:r>
          </w:p>
        </w:tc>
        <w:tc>
          <w:tcPr>
            <w:tcW w:w="7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2010</w:t>
            </w: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2009</w:t>
            </w:r>
          </w:p>
        </w:tc>
      </w:tr>
      <w:tr>
        <w:trPr>
          <w:trHeight w:val="243"/>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Net actuarial loss</w:t>
            </w:r>
          </w:p>
        </w:tc>
        <w:tc>
          <w:tcPr>
            <w:tcW w:w="250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827</w:t>
            </w: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$ 4,419</w:t>
            </w:r>
          </w:p>
        </w:tc>
        <w:tc>
          <w:tcPr>
            <w:tcW w:w="14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94</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92</w:t>
            </w: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Amortization of:</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51"/>
        </w:trPr>
        <w:tc>
          <w:tcPr>
            <w:tcW w:w="49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Prior service cost</w:t>
            </w:r>
          </w:p>
        </w:tc>
        <w:tc>
          <w:tcPr>
            <w:tcW w:w="25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(29)</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0C0C0"/>
          </w:tcPr>
          <w:p>
            <w:pPr>
              <w:spacing w:after="0"/>
              <w:rPr>
                <w:sz w:val="21"/>
                <w:szCs w:val="21"/>
                <w:color w:val="auto"/>
              </w:rPr>
            </w:pPr>
          </w:p>
        </w:tc>
        <w:tc>
          <w:tcPr>
            <w:tcW w:w="4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6"/>
        </w:trPr>
        <w:tc>
          <w:tcPr>
            <w:tcW w:w="4920" w:type="dxa"/>
            <w:vAlign w:val="bottom"/>
          </w:tcPr>
          <w:p>
            <w:pPr>
              <w:ind w:left="320"/>
              <w:spacing w:after="0"/>
              <w:rPr>
                <w:sz w:val="20"/>
                <w:szCs w:val="20"/>
                <w:color w:val="auto"/>
              </w:rPr>
            </w:pPr>
            <w:r>
              <w:rPr>
                <w:rFonts w:ascii="Arial" w:cs="Arial" w:eastAsia="Arial" w:hAnsi="Arial"/>
                <w:sz w:val="18"/>
                <w:szCs w:val="18"/>
                <w:color w:val="auto"/>
              </w:rPr>
              <w:t>Net obligation at transition</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b w:val="1"/>
                <w:bCs w:val="1"/>
                <w:color w:val="auto"/>
              </w:rPr>
              <w:t>(10)</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49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Amortization of actuarial loss</w:t>
            </w:r>
          </w:p>
        </w:tc>
        <w:tc>
          <w:tcPr>
            <w:tcW w:w="25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w w:val="95"/>
              </w:rPr>
              <w:t>(143)</w:t>
            </w:r>
          </w:p>
        </w:tc>
        <w:tc>
          <w:tcPr>
            <w:tcW w:w="7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(13)</w:t>
            </w:r>
          </w:p>
        </w:tc>
        <w:tc>
          <w:tcPr>
            <w:tcW w:w="180" w:type="dxa"/>
            <w:vAlign w:val="bottom"/>
            <w:tcBorders>
              <w:bottom w:val="single" w:sz="8" w:color="auto"/>
            </w:tcBorders>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w:t>
            </w:r>
          </w:p>
        </w:tc>
      </w:tr>
      <w:tr>
        <w:trPr>
          <w:trHeight w:val="244"/>
        </w:trPr>
        <w:tc>
          <w:tcPr>
            <w:tcW w:w="49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655</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$ 4,390</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w:t>
            </w:r>
          </w:p>
        </w:tc>
      </w:tr>
    </w:tbl>
    <w:p>
      <w:pPr>
        <w:spacing w:after="0" w:line="302"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The following table shows amortization amounts, net of tax, expected to be recognized in fiscal 2011 in accumulated other comprehensive income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w w:val="88"/>
              </w:rPr>
              <w:t>Postretirement</w:t>
            </w:r>
          </w:p>
        </w:tc>
      </w:tr>
      <w:tr>
        <w:trPr>
          <w:trHeight w:val="252"/>
        </w:trPr>
        <w:tc>
          <w:tcPr>
            <w:tcW w:w="7180" w:type="dxa"/>
            <w:vAlign w:val="bottom"/>
          </w:tcPr>
          <w:p>
            <w:pPr>
              <w:spacing w:after="0"/>
              <w:rPr>
                <w:sz w:val="20"/>
                <w:szCs w:val="20"/>
                <w:color w:val="auto"/>
              </w:rPr>
            </w:pPr>
            <w:r>
              <w:rPr>
                <w:rFonts w:ascii="Arial" w:cs="Arial" w:eastAsia="Arial" w:hAnsi="Arial"/>
                <w:sz w:val="18"/>
                <w:szCs w:val="18"/>
                <w:color w:val="auto"/>
              </w:rPr>
              <w:t>Amortization of:</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93"/>
              </w:rPr>
              <w:t>Pension Benefits</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86"/>
              </w:rPr>
              <w:t>Health Benefits</w:t>
            </w:r>
          </w:p>
        </w:tc>
      </w:tr>
      <w:tr>
        <w:trPr>
          <w:trHeight w:val="243"/>
        </w:trPr>
        <w:tc>
          <w:tcPr>
            <w:tcW w:w="7180" w:type="dxa"/>
            <w:vAlign w:val="bottom"/>
            <w:tcBorders>
              <w:top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Net actuarial loss</w:t>
            </w:r>
          </w:p>
        </w:tc>
        <w:tc>
          <w:tcPr>
            <w:tcW w:w="5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top w:val="single" w:sz="8" w:color="C0C0C0"/>
            </w:tcBorders>
            <w:shd w:val="clear" w:color="auto" w:fill="C0C0C0"/>
          </w:tcPr>
          <w:p>
            <w:pPr>
              <w:spacing w:after="0"/>
              <w:rPr>
                <w:sz w:val="21"/>
                <w:szCs w:val="21"/>
                <w:color w:val="auto"/>
              </w:rPr>
            </w:pPr>
          </w:p>
        </w:tc>
        <w:tc>
          <w:tcPr>
            <w:tcW w:w="5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r>
      <w:tr>
        <w:trPr>
          <w:trHeight w:val="235"/>
        </w:trPr>
        <w:tc>
          <w:tcPr>
            <w:tcW w:w="7180" w:type="dxa"/>
            <w:vAlign w:val="bottom"/>
          </w:tcPr>
          <w:p>
            <w:pPr>
              <w:ind w:left="320"/>
              <w:spacing w:after="0"/>
              <w:rPr>
                <w:sz w:val="20"/>
                <w:szCs w:val="20"/>
                <w:color w:val="auto"/>
              </w:rPr>
            </w:pPr>
            <w:r>
              <w:rPr>
                <w:rFonts w:ascii="Arial" w:cs="Arial" w:eastAsia="Arial" w:hAnsi="Arial"/>
                <w:sz w:val="18"/>
                <w:szCs w:val="18"/>
                <w:color w:val="auto"/>
              </w:rPr>
              <w:t>Prior service cost</w:t>
            </w:r>
          </w:p>
        </w:tc>
        <w:tc>
          <w:tcPr>
            <w:tcW w:w="5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4"/>
        </w:trPr>
        <w:tc>
          <w:tcPr>
            <w:tcW w:w="71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Net obligation at transition</w:t>
            </w:r>
          </w:p>
        </w:tc>
        <w:tc>
          <w:tcPr>
            <w:tcW w:w="52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r>
      <w:tr>
        <w:trPr>
          <w:trHeight w:val="250"/>
        </w:trPr>
        <w:tc>
          <w:tcPr>
            <w:tcW w:w="7180" w:type="dxa"/>
            <w:vAlign w:val="bottom"/>
          </w:tcPr>
          <w:p>
            <w:pPr>
              <w:spacing w:after="0"/>
              <w:rPr>
                <w:sz w:val="21"/>
                <w:szCs w:val="21"/>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21"/>
                <w:szCs w:val="21"/>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85" w:lineRule="exact"/>
        <w:rPr>
          <w:sz w:val="20"/>
          <w:szCs w:val="20"/>
          <w:color w:val="auto"/>
        </w:rPr>
      </w:pPr>
    </w:p>
    <w:p>
      <w:pPr>
        <w:jc w:val="both"/>
        <w:ind w:right="20" w:firstLine="297"/>
        <w:spacing w:after="0" w:line="256" w:lineRule="auto"/>
        <w:rPr>
          <w:sz w:val="20"/>
          <w:szCs w:val="20"/>
          <w:color w:val="auto"/>
        </w:rPr>
      </w:pPr>
      <w:r>
        <w:rPr>
          <w:rFonts w:ascii="Arial" w:cs="Arial" w:eastAsia="Arial" w:hAnsi="Arial"/>
          <w:sz w:val="18"/>
          <w:szCs w:val="18"/>
          <w:color w:val="auto"/>
        </w:rPr>
        <w:t>We have funded the pension plan based upon actuarially determined contributions that take into account the amount deductible for income tax purposes, the normal cost and the minimum contribution required and the maximum contribution allowed under the Employee Retirement Income Security Act of 1974 (ERISA), as amended. We contributed $922,000 and $827,000 during fiscal years 2010 and 2009, respectively. We expect to contribute approximately $920,000 in fiscal 2011.</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postretirement health plan is an unfunded plan. Our policy is to pay insurance premiums and claims from our assets.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8"/>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NOTE 9 – EMPLOYEE BENEFIT PLANS (CONTINUED)</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7800" w:type="dxa"/>
            <w:vAlign w:val="bottom"/>
            <w:gridSpan w:val="2"/>
          </w:tcPr>
          <w:p>
            <w:pPr>
              <w:ind w:left="280"/>
              <w:spacing w:after="0"/>
              <w:rPr>
                <w:sz w:val="20"/>
                <w:szCs w:val="20"/>
                <w:color w:val="auto"/>
              </w:rPr>
            </w:pPr>
            <w:r>
              <w:rPr>
                <w:rFonts w:ascii="Arial" w:cs="Arial" w:eastAsia="Arial" w:hAnsi="Arial"/>
                <w:sz w:val="18"/>
                <w:szCs w:val="18"/>
                <w:color w:val="auto"/>
              </w:rPr>
              <w:t>The following table shows the estimated future benefit payments (in thousands):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7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b w:val="1"/>
                <w:bCs w:val="1"/>
                <w:color w:val="auto"/>
                <w:w w:val="79"/>
              </w:rPr>
              <w:t>Pension</w:t>
            </w:r>
          </w:p>
        </w:tc>
        <w:tc>
          <w:tcPr>
            <w:tcW w:w="16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w w:val="88"/>
              </w:rPr>
              <w:t>Postretirement</w:t>
            </w:r>
          </w:p>
        </w:tc>
        <w:tc>
          <w:tcPr>
            <w:tcW w:w="0" w:type="dxa"/>
            <w:vAlign w:val="bottom"/>
          </w:tcPr>
          <w:p>
            <w:pPr>
              <w:spacing w:after="0"/>
              <w:rPr>
                <w:sz w:val="1"/>
                <w:szCs w:val="1"/>
                <w:color w:val="auto"/>
              </w:rPr>
            </w:pPr>
          </w:p>
        </w:tc>
      </w:tr>
      <w:tr>
        <w:trPr>
          <w:trHeight w:val="251"/>
        </w:trPr>
        <w:tc>
          <w:tcPr>
            <w:tcW w:w="172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Arial" w:cs="Arial" w:eastAsia="Arial" w:hAnsi="Arial"/>
                <w:sz w:val="18"/>
                <w:szCs w:val="18"/>
                <w:b w:val="1"/>
                <w:bCs w:val="1"/>
                <w:color w:val="auto"/>
                <w:w w:val="81"/>
              </w:rPr>
              <w:t>Benefits</w:t>
            </w:r>
          </w:p>
        </w:tc>
        <w:tc>
          <w:tcPr>
            <w:tcW w:w="1320" w:type="dxa"/>
            <w:vAlign w:val="bottom"/>
            <w:gridSpan w:val="4"/>
          </w:tcPr>
          <w:p>
            <w:pPr>
              <w:ind w:left="160"/>
              <w:spacing w:after="0"/>
              <w:rPr>
                <w:sz w:val="20"/>
                <w:szCs w:val="20"/>
                <w:color w:val="auto"/>
              </w:rPr>
            </w:pPr>
            <w:r>
              <w:rPr>
                <w:rFonts w:ascii="Arial" w:cs="Arial" w:eastAsia="Arial" w:hAnsi="Arial"/>
                <w:sz w:val="18"/>
                <w:szCs w:val="18"/>
                <w:b w:val="1"/>
                <w:bCs w:val="1"/>
                <w:color w:val="auto"/>
                <w:w w:val="86"/>
              </w:rPr>
              <w:t>Health Benefits</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608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720" w:type="dxa"/>
            <w:vAlign w:val="bottom"/>
          </w:tcPr>
          <w:p>
            <w:pPr>
              <w:spacing w:after="0"/>
              <w:rPr>
                <w:sz w:val="21"/>
                <w:szCs w:val="21"/>
                <w:color w:val="auto"/>
              </w:rPr>
            </w:pPr>
          </w:p>
        </w:tc>
        <w:tc>
          <w:tcPr>
            <w:tcW w:w="6080" w:type="dxa"/>
            <w:vAlign w:val="bottom"/>
            <w:vMerge w:val="continue"/>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749</w:t>
            </w:r>
          </w:p>
        </w:tc>
        <w:tc>
          <w:tcPr>
            <w:tcW w:w="580" w:type="dxa"/>
            <w:vAlign w:val="bottom"/>
            <w:gridSpan w:val="2"/>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800" w:type="dxa"/>
            <w:vAlign w:val="bottom"/>
            <w:gridSpan w:val="2"/>
          </w:tcPr>
          <w:p>
            <w:pPr>
              <w:ind w:left="172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808</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1"/>
        </w:trPr>
        <w:tc>
          <w:tcPr>
            <w:tcW w:w="1720" w:type="dxa"/>
            <w:vAlign w:val="bottom"/>
          </w:tcPr>
          <w:p>
            <w:pPr>
              <w:spacing w:after="0"/>
              <w:rPr>
                <w:sz w:val="21"/>
                <w:szCs w:val="21"/>
                <w:color w:val="auto"/>
              </w:rPr>
            </w:pPr>
          </w:p>
        </w:tc>
        <w:tc>
          <w:tcPr>
            <w:tcW w:w="6080" w:type="dxa"/>
            <w:vAlign w:val="bottom"/>
            <w:shd w:val="clear" w:color="auto" w:fill="C0C0C0"/>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877</w:t>
            </w:r>
          </w:p>
        </w:tc>
        <w:tc>
          <w:tcPr>
            <w:tcW w:w="16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800" w:type="dxa"/>
            <w:vAlign w:val="bottom"/>
            <w:gridSpan w:val="2"/>
          </w:tcPr>
          <w:p>
            <w:pPr>
              <w:ind w:left="172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1"/>
        </w:trPr>
        <w:tc>
          <w:tcPr>
            <w:tcW w:w="1720" w:type="dxa"/>
            <w:vAlign w:val="bottom"/>
          </w:tcPr>
          <w:p>
            <w:pPr>
              <w:spacing w:after="0"/>
              <w:rPr>
                <w:sz w:val="21"/>
                <w:szCs w:val="21"/>
                <w:color w:val="auto"/>
              </w:rPr>
            </w:pPr>
          </w:p>
        </w:tc>
        <w:tc>
          <w:tcPr>
            <w:tcW w:w="6080" w:type="dxa"/>
            <w:vAlign w:val="bottom"/>
            <w:shd w:val="clear" w:color="auto" w:fill="C0C0C0"/>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7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2016-20</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6,041</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60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720" w:type="dxa"/>
            <w:vAlign w:val="bottom"/>
          </w:tcPr>
          <w:p>
            <w:pPr>
              <w:spacing w:after="0"/>
              <w:rPr>
                <w:sz w:val="20"/>
                <w:szCs w:val="20"/>
                <w:color w:val="auto"/>
              </w:rPr>
            </w:pPr>
          </w:p>
        </w:tc>
        <w:tc>
          <w:tcPr>
            <w:tcW w:w="60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7"/>
              </w:rPr>
              <w:t>10,441</w:t>
            </w:r>
          </w:p>
        </w:tc>
        <w:tc>
          <w:tcPr>
            <w:tcW w:w="580" w:type="dxa"/>
            <w:vAlign w:val="bottom"/>
            <w:gridSpan w:val="2"/>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1720" w:type="dxa"/>
            <w:vAlign w:val="bottom"/>
          </w:tcPr>
          <w:p>
            <w:pPr>
              <w:spacing w:after="0"/>
              <w:rPr>
                <w:sz w:val="3"/>
                <w:szCs w:val="3"/>
                <w:color w:val="auto"/>
              </w:rPr>
            </w:pPr>
          </w:p>
        </w:tc>
        <w:tc>
          <w:tcPr>
            <w:tcW w:w="608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60" w:type="dxa"/>
            <w:vAlign w:val="bottom"/>
            <w:shd w:val="clear" w:color="auto" w:fill="C0C0C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85" w:lineRule="exact"/>
        <w:rPr>
          <w:sz w:val="20"/>
          <w:szCs w:val="20"/>
          <w:color w:val="auto"/>
        </w:rPr>
      </w:pPr>
    </w:p>
    <w:p>
      <w:pPr>
        <w:jc w:val="both"/>
        <w:ind w:right="40" w:firstLine="419"/>
        <w:spacing w:after="0" w:line="294" w:lineRule="auto"/>
        <w:rPr>
          <w:sz w:val="20"/>
          <w:szCs w:val="20"/>
          <w:color w:val="auto"/>
        </w:rPr>
      </w:pPr>
      <w:r>
        <w:rPr>
          <w:rFonts w:ascii="Arial" w:cs="Arial" w:eastAsia="Arial" w:hAnsi="Arial"/>
          <w:sz w:val="16"/>
          <w:szCs w:val="16"/>
          <w:color w:val="auto"/>
        </w:rPr>
        <w:t>Our pension benefit and postretirement health benefit obligations and the related effects on operations are calculated using actuarial models. Critical assumptions that are important elements of plan expense and asset/liability measurement include discount rate and expected return on assets for the pension plan and health care cost trend for the postretirement health plan. We evaluate these critical assumptions at least annually. Other assumptions involving demographic factors such as retirement age, mortality and turnover are evaluated periodically and are updated to reflect our experience. Actual results in any given year will often differ from actuarial assumptions because of economic and other factors. The assumptions used in the previous calculations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20" w:type="dxa"/>
            <w:vAlign w:val="bottom"/>
            <w:gridSpan w:val="5"/>
          </w:tcPr>
          <w:p>
            <w:pPr>
              <w:jc w:val="center"/>
              <w:ind w:left="52"/>
              <w:spacing w:after="0"/>
              <w:rPr>
                <w:sz w:val="20"/>
                <w:szCs w:val="20"/>
                <w:color w:val="auto"/>
              </w:rPr>
            </w:pPr>
            <w:r>
              <w:rPr>
                <w:rFonts w:ascii="Arial" w:cs="Arial" w:eastAsia="Arial" w:hAnsi="Arial"/>
                <w:sz w:val="18"/>
                <w:szCs w:val="18"/>
                <w:b w:val="1"/>
                <w:bCs w:val="1"/>
                <w:color w:val="auto"/>
                <w:w w:val="89"/>
              </w:rPr>
              <w:t>Postretirement Health</w:t>
            </w:r>
          </w:p>
        </w:tc>
      </w:tr>
      <w:tr>
        <w:trPr>
          <w:trHeight w:val="252"/>
        </w:trPr>
        <w:tc>
          <w:tcPr>
            <w:tcW w:w="8360" w:type="dxa"/>
            <w:vAlign w:val="bottom"/>
          </w:tcPr>
          <w:p>
            <w:pPr>
              <w:spacing w:after="0"/>
              <w:rPr>
                <w:sz w:val="21"/>
                <w:szCs w:val="21"/>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w w:val="84"/>
              </w:rPr>
              <w:t>Pension Benefits</w:t>
            </w:r>
          </w:p>
        </w:tc>
        <w:tc>
          <w:tcPr>
            <w:tcW w:w="140" w:type="dxa"/>
            <w:vAlign w:val="bottom"/>
          </w:tcPr>
          <w:p>
            <w:pPr>
              <w:spacing w:after="0"/>
              <w:rPr>
                <w:sz w:val="21"/>
                <w:szCs w:val="21"/>
                <w:color w:val="auto"/>
              </w:rPr>
            </w:pPr>
          </w:p>
        </w:tc>
        <w:tc>
          <w:tcPr>
            <w:tcW w:w="16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4"/>
              </w:rPr>
              <w:t>Benefits</w:t>
            </w:r>
          </w:p>
        </w:tc>
      </w:tr>
      <w:tr>
        <w:trPr>
          <w:trHeight w:val="237"/>
        </w:trPr>
        <w:tc>
          <w:tcPr>
            <w:tcW w:w="8360" w:type="dxa"/>
            <w:vAlign w:val="bottom"/>
            <w:tcBorders>
              <w:bottom w:val="single" w:sz="8" w:color="C0C0C0"/>
            </w:tcBorders>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bottom w:val="single" w:sz="8" w:color="C0C0C0"/>
            </w:tcBorders>
          </w:tcPr>
          <w:p>
            <w:pPr>
              <w:spacing w:after="0"/>
              <w:rPr>
                <w:sz w:val="20"/>
                <w:szCs w:val="20"/>
                <w:color w:val="auto"/>
              </w:rPr>
            </w:pPr>
          </w:p>
        </w:tc>
        <w:tc>
          <w:tcPr>
            <w:tcW w:w="5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C0C0C0"/>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top w:val="single" w:sz="8" w:color="auto"/>
              <w:bottom w:val="single" w:sz="8" w:color="C0C0C0"/>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40" w:type="dxa"/>
            <w:vAlign w:val="bottom"/>
          </w:tcPr>
          <w:p>
            <w:pPr>
              <w:spacing w:after="0"/>
              <w:rPr>
                <w:sz w:val="20"/>
                <w:szCs w:val="20"/>
                <w:color w:val="auto"/>
              </w:rPr>
            </w:pPr>
          </w:p>
        </w:tc>
      </w:tr>
      <w:tr>
        <w:trPr>
          <w:trHeight w:val="243"/>
        </w:trPr>
        <w:tc>
          <w:tcPr>
            <w:tcW w:w="8360" w:type="dxa"/>
            <w:vAlign w:val="bottom"/>
            <w:shd w:val="clear" w:color="auto" w:fill="C0C0C0"/>
          </w:tcPr>
          <w:p>
            <w:pPr>
              <w:spacing w:after="0"/>
              <w:rPr>
                <w:sz w:val="20"/>
                <w:szCs w:val="20"/>
                <w:color w:val="auto"/>
              </w:rPr>
            </w:pPr>
            <w:r>
              <w:rPr>
                <w:rFonts w:ascii="Arial" w:cs="Arial" w:eastAsia="Arial" w:hAnsi="Arial"/>
                <w:sz w:val="18"/>
                <w:szCs w:val="18"/>
                <w:color w:val="auto"/>
              </w:rPr>
              <w:t>Discount rate for net periodic benefit costs</w:t>
            </w:r>
          </w:p>
        </w:tc>
        <w:tc>
          <w:tcPr>
            <w:tcW w:w="580" w:type="dxa"/>
            <w:vAlign w:val="bottom"/>
            <w:shd w:val="clear" w:color="auto" w:fill="C0C0C0"/>
          </w:tcPr>
          <w:p>
            <w:pPr>
              <w:ind w:left="100"/>
              <w:spacing w:after="0"/>
              <w:rPr>
                <w:sz w:val="20"/>
                <w:szCs w:val="20"/>
                <w:color w:val="auto"/>
              </w:rPr>
            </w:pPr>
            <w:r>
              <w:rPr>
                <w:rFonts w:ascii="Arial" w:cs="Arial" w:eastAsia="Arial" w:hAnsi="Arial"/>
                <w:sz w:val="18"/>
                <w:szCs w:val="18"/>
                <w:b w:val="1"/>
                <w:bCs w:val="1"/>
                <w:color w:val="auto"/>
                <w:w w:val="90"/>
              </w:rPr>
              <w:t>6.00%</w:t>
            </w: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86"/>
              </w:rPr>
              <w:t>7.00%</w:t>
            </w: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6.00%</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7.00%</w:t>
            </w:r>
          </w:p>
        </w:tc>
        <w:tc>
          <w:tcPr>
            <w:tcW w:w="40" w:type="dxa"/>
            <w:vAlign w:val="bottom"/>
          </w:tcPr>
          <w:p>
            <w:pPr>
              <w:spacing w:after="0"/>
              <w:rPr>
                <w:sz w:val="21"/>
                <w:szCs w:val="21"/>
                <w:color w:val="auto"/>
              </w:rPr>
            </w:pPr>
          </w:p>
        </w:tc>
      </w:tr>
      <w:tr>
        <w:trPr>
          <w:trHeight w:val="236"/>
        </w:trPr>
        <w:tc>
          <w:tcPr>
            <w:tcW w:w="8360" w:type="dxa"/>
            <w:vAlign w:val="bottom"/>
          </w:tcPr>
          <w:p>
            <w:pPr>
              <w:spacing w:after="0"/>
              <w:rPr>
                <w:sz w:val="20"/>
                <w:szCs w:val="20"/>
                <w:color w:val="auto"/>
              </w:rPr>
            </w:pPr>
            <w:r>
              <w:rPr>
                <w:rFonts w:ascii="Arial" w:cs="Arial" w:eastAsia="Arial" w:hAnsi="Arial"/>
                <w:sz w:val="18"/>
                <w:szCs w:val="18"/>
                <w:color w:val="auto"/>
              </w:rPr>
              <w:t>Discount rate for year-end obligations</w:t>
            </w:r>
          </w:p>
        </w:tc>
        <w:tc>
          <w:tcPr>
            <w:tcW w:w="720" w:type="dxa"/>
            <w:vAlign w:val="bottom"/>
            <w:gridSpan w:val="2"/>
          </w:tcPr>
          <w:p>
            <w:pPr>
              <w:ind w:left="100"/>
              <w:spacing w:after="0"/>
              <w:rPr>
                <w:sz w:val="20"/>
                <w:szCs w:val="20"/>
                <w:color w:val="auto"/>
              </w:rPr>
            </w:pPr>
            <w:r>
              <w:rPr>
                <w:rFonts w:ascii="Arial" w:cs="Arial" w:eastAsia="Arial" w:hAnsi="Arial"/>
                <w:sz w:val="18"/>
                <w:szCs w:val="18"/>
                <w:b w:val="1"/>
                <w:bCs w:val="1"/>
                <w:color w:val="auto"/>
              </w:rPr>
              <w:t>5.50%</w:t>
            </w:r>
          </w:p>
        </w:tc>
        <w:tc>
          <w:tcPr>
            <w:tcW w:w="560" w:type="dxa"/>
            <w:vAlign w:val="bottom"/>
          </w:tcPr>
          <w:p>
            <w:pPr>
              <w:ind w:left="100"/>
              <w:spacing w:after="0"/>
              <w:rPr>
                <w:sz w:val="20"/>
                <w:szCs w:val="20"/>
                <w:color w:val="auto"/>
              </w:rPr>
            </w:pPr>
            <w:r>
              <w:rPr>
                <w:rFonts w:ascii="Arial" w:cs="Arial" w:eastAsia="Arial" w:hAnsi="Arial"/>
                <w:sz w:val="18"/>
                <w:szCs w:val="18"/>
                <w:color w:val="auto"/>
                <w:w w:val="86"/>
              </w:rPr>
              <w:t>6.00%</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5.50%</w:t>
            </w: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20"/>
                <w:szCs w:val="20"/>
                <w:color w:val="auto"/>
              </w:rPr>
            </w:pPr>
          </w:p>
        </w:tc>
      </w:tr>
      <w:tr>
        <w:trPr>
          <w:trHeight w:val="250"/>
        </w:trPr>
        <w:tc>
          <w:tcPr>
            <w:tcW w:w="8360" w:type="dxa"/>
            <w:vAlign w:val="bottom"/>
            <w:shd w:val="clear" w:color="auto" w:fill="C0C0C0"/>
          </w:tcPr>
          <w:p>
            <w:pPr>
              <w:spacing w:after="0"/>
              <w:rPr>
                <w:sz w:val="20"/>
                <w:szCs w:val="20"/>
                <w:color w:val="auto"/>
              </w:rPr>
            </w:pPr>
            <w:r>
              <w:rPr>
                <w:rFonts w:ascii="Arial" w:cs="Arial" w:eastAsia="Arial" w:hAnsi="Arial"/>
                <w:sz w:val="18"/>
                <w:szCs w:val="18"/>
                <w:color w:val="auto"/>
              </w:rPr>
              <w:t>Rate of increase in compensation levels</w:t>
            </w:r>
          </w:p>
        </w:tc>
        <w:tc>
          <w:tcPr>
            <w:tcW w:w="720" w:type="dxa"/>
            <w:vAlign w:val="bottom"/>
            <w:gridSpan w:val="2"/>
            <w:shd w:val="clear" w:color="auto" w:fill="C0C0C0"/>
          </w:tcPr>
          <w:p>
            <w:pPr>
              <w:ind w:left="100"/>
              <w:spacing w:after="0"/>
              <w:rPr>
                <w:sz w:val="20"/>
                <w:szCs w:val="20"/>
                <w:color w:val="auto"/>
              </w:rPr>
            </w:pPr>
            <w:r>
              <w:rPr>
                <w:rFonts w:ascii="Arial" w:cs="Arial" w:eastAsia="Arial" w:hAnsi="Arial"/>
                <w:sz w:val="18"/>
                <w:szCs w:val="18"/>
                <w:b w:val="1"/>
                <w:bCs w:val="1"/>
                <w:color w:val="auto"/>
              </w:rPr>
              <w:t>4.00%</w:t>
            </w:r>
          </w:p>
        </w:tc>
        <w:tc>
          <w:tcPr>
            <w:tcW w:w="5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86"/>
              </w:rPr>
              <w:t>4.00%</w:t>
            </w:r>
          </w:p>
        </w:tc>
        <w:tc>
          <w:tcPr>
            <w:tcW w:w="880" w:type="dxa"/>
            <w:vAlign w:val="bottom"/>
            <w:gridSpan w:val="2"/>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28"/>
        </w:trPr>
        <w:tc>
          <w:tcPr>
            <w:tcW w:w="8360" w:type="dxa"/>
            <w:vAlign w:val="bottom"/>
          </w:tcPr>
          <w:p>
            <w:pPr>
              <w:spacing w:after="0"/>
              <w:rPr>
                <w:sz w:val="20"/>
                <w:szCs w:val="20"/>
                <w:color w:val="auto"/>
              </w:rPr>
            </w:pPr>
            <w:r>
              <w:rPr>
                <w:rFonts w:ascii="Arial" w:cs="Arial" w:eastAsia="Arial" w:hAnsi="Arial"/>
                <w:sz w:val="18"/>
                <w:szCs w:val="18"/>
                <w:color w:val="auto"/>
              </w:rPr>
              <w:t>Long-term expected rate of return on assets</w:t>
            </w:r>
          </w:p>
        </w:tc>
        <w:tc>
          <w:tcPr>
            <w:tcW w:w="720" w:type="dxa"/>
            <w:vAlign w:val="bottom"/>
            <w:gridSpan w:val="2"/>
          </w:tcPr>
          <w:p>
            <w:pPr>
              <w:ind w:left="100"/>
              <w:spacing w:after="0"/>
              <w:rPr>
                <w:sz w:val="20"/>
                <w:szCs w:val="20"/>
                <w:color w:val="auto"/>
              </w:rPr>
            </w:pPr>
            <w:r>
              <w:rPr>
                <w:rFonts w:ascii="Arial" w:cs="Arial" w:eastAsia="Arial" w:hAnsi="Arial"/>
                <w:sz w:val="18"/>
                <w:szCs w:val="18"/>
                <w:b w:val="1"/>
                <w:bCs w:val="1"/>
                <w:color w:val="auto"/>
              </w:rPr>
              <w:t>7.50%</w:t>
            </w:r>
          </w:p>
        </w:tc>
        <w:tc>
          <w:tcPr>
            <w:tcW w:w="560" w:type="dxa"/>
            <w:vAlign w:val="bottom"/>
          </w:tcPr>
          <w:p>
            <w:pPr>
              <w:ind w:left="100"/>
              <w:spacing w:after="0"/>
              <w:rPr>
                <w:sz w:val="20"/>
                <w:szCs w:val="20"/>
                <w:color w:val="auto"/>
              </w:rPr>
            </w:pPr>
            <w:r>
              <w:rPr>
                <w:rFonts w:ascii="Arial" w:cs="Arial" w:eastAsia="Arial" w:hAnsi="Arial"/>
                <w:sz w:val="18"/>
                <w:szCs w:val="18"/>
                <w:color w:val="auto"/>
                <w:w w:val="86"/>
              </w:rPr>
              <w:t>7.50%</w:t>
            </w:r>
          </w:p>
        </w:tc>
        <w:tc>
          <w:tcPr>
            <w:tcW w:w="8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bl>
    <w:p>
      <w:pPr>
        <w:spacing w:after="0" w:line="276" w:lineRule="exact"/>
        <w:rPr>
          <w:sz w:val="20"/>
          <w:szCs w:val="20"/>
          <w:color w:val="auto"/>
        </w:rPr>
      </w:pPr>
    </w:p>
    <w:p>
      <w:pPr>
        <w:jc w:val="both"/>
        <w:ind w:right="40" w:firstLine="284"/>
        <w:spacing w:after="0" w:line="332" w:lineRule="auto"/>
        <w:rPr>
          <w:sz w:val="20"/>
          <w:szCs w:val="20"/>
          <w:color w:val="auto"/>
        </w:rPr>
      </w:pPr>
      <w:r>
        <w:rPr>
          <w:rFonts w:ascii="Arial" w:cs="Arial" w:eastAsia="Arial" w:hAnsi="Arial"/>
          <w:sz w:val="16"/>
          <w:szCs w:val="16"/>
          <w:color w:val="auto"/>
        </w:rPr>
        <w:t>The discount rate for fiscal 2010 and 2009 was the single equivalent rate that would yield the same present value as the plan’s expected cashflows discounted with spot rates on a yield curve of investment-grade corporate bonds. The yield curve is the Citigroup Pension Liability Index.</w:t>
      </w:r>
    </w:p>
    <w:p>
      <w:pPr>
        <w:spacing w:after="0" w:line="193" w:lineRule="exact"/>
        <w:rPr>
          <w:sz w:val="20"/>
          <w:szCs w:val="20"/>
          <w:color w:val="auto"/>
        </w:rPr>
      </w:pPr>
    </w:p>
    <w:p>
      <w:pPr>
        <w:jc w:val="both"/>
        <w:ind w:right="40" w:firstLine="284"/>
        <w:spacing w:after="0" w:line="255" w:lineRule="auto"/>
        <w:rPr>
          <w:sz w:val="20"/>
          <w:szCs w:val="20"/>
          <w:color w:val="auto"/>
        </w:rPr>
      </w:pPr>
      <w:r>
        <w:rPr>
          <w:rFonts w:ascii="Arial" w:cs="Arial" w:eastAsia="Arial" w:hAnsi="Arial"/>
          <w:sz w:val="18"/>
          <w:szCs w:val="18"/>
          <w:color w:val="auto"/>
        </w:rPr>
        <w:t>Our expected rate of return on plan assets is determined by our asset allocation, our historical long-term investment performance, our estimate of future long-term returns by asset class (using input from our actuaries, investment services and investment managers), and long-term inflation assumptions. Our historical actual return averaged approximately 4.9% for the 10-year period ending July 31, 2010. The actual rate of return in fiscal 2010 was approximately 10.5%. Future actual pension expense will depend on future investment performance, changes in future discount rates and various other factors related to the population of participants in our pension plans</w:t>
      </w:r>
    </w:p>
    <w:p>
      <w:pPr>
        <w:spacing w:after="0" w:line="251" w:lineRule="exact"/>
        <w:rPr>
          <w:sz w:val="20"/>
          <w:szCs w:val="20"/>
          <w:color w:val="auto"/>
        </w:rPr>
      </w:pPr>
    </w:p>
    <w:p>
      <w:pPr>
        <w:jc w:val="both"/>
        <w:ind w:right="60" w:firstLine="311"/>
        <w:spacing w:after="0" w:line="268" w:lineRule="auto"/>
        <w:rPr>
          <w:sz w:val="20"/>
          <w:szCs w:val="20"/>
          <w:color w:val="auto"/>
        </w:rPr>
      </w:pPr>
      <w:r>
        <w:rPr>
          <w:rFonts w:ascii="Arial" w:cs="Arial" w:eastAsia="Arial" w:hAnsi="Arial"/>
          <w:sz w:val="18"/>
          <w:szCs w:val="18"/>
          <w:color w:val="auto"/>
        </w:rPr>
        <w:t>For fiscal 2009 and 2010, the medical cost trend assumption was 9%. The graded trend rate is expected to decrease to an ultimate rate of 5% in 1% annual increments.</w:t>
      </w:r>
    </w:p>
    <w:p>
      <w:pPr>
        <w:spacing w:after="0" w:line="240" w:lineRule="exact"/>
        <w:rPr>
          <w:sz w:val="20"/>
          <w:szCs w:val="20"/>
          <w:color w:val="auto"/>
        </w:rPr>
      </w:pPr>
    </w:p>
    <w:p>
      <w:pPr>
        <w:jc w:val="both"/>
        <w:ind w:right="60" w:firstLine="311"/>
        <w:spacing w:after="0" w:line="268" w:lineRule="auto"/>
        <w:rPr>
          <w:sz w:val="20"/>
          <w:szCs w:val="20"/>
          <w:color w:val="auto"/>
        </w:rPr>
      </w:pPr>
      <w:r>
        <w:rPr>
          <w:rFonts w:ascii="Arial" w:cs="Arial" w:eastAsia="Arial" w:hAnsi="Arial"/>
          <w:sz w:val="18"/>
          <w:szCs w:val="18"/>
          <w:color w:val="auto"/>
        </w:rPr>
        <w:t>The following table reflects the effect on postretirement health costs and accruals of a one-percentage point change in the assumed health care cost trend in the fiscal year ended July 31, 2010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89"/>
              </w:rPr>
              <w:t>One-Percentage Point</w:t>
            </w:r>
          </w:p>
        </w:tc>
        <w:tc>
          <w:tcPr>
            <w:tcW w:w="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One-Percentage</w:t>
            </w:r>
          </w:p>
        </w:tc>
        <w:tc>
          <w:tcPr>
            <w:tcW w:w="1740" w:type="dxa"/>
            <w:vAlign w:val="bottom"/>
          </w:tcPr>
          <w:p>
            <w:pPr>
              <w:spacing w:after="0"/>
              <w:rPr>
                <w:sz w:val="19"/>
                <w:szCs w:val="19"/>
                <w:color w:val="auto"/>
              </w:rPr>
            </w:pPr>
          </w:p>
        </w:tc>
      </w:tr>
      <w:tr>
        <w:trPr>
          <w:trHeight w:val="252"/>
        </w:trPr>
        <w:tc>
          <w:tcPr>
            <w:tcW w:w="42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Increase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b w:val="1"/>
                <w:bCs w:val="1"/>
                <w:color w:val="auto"/>
                <w:w w:val="84"/>
              </w:rPr>
              <w:t>Point Decrease</w:t>
            </w:r>
          </w:p>
        </w:tc>
        <w:tc>
          <w:tcPr>
            <w:tcW w:w="1740" w:type="dxa"/>
            <w:vAlign w:val="bottom"/>
          </w:tcPr>
          <w:p>
            <w:pPr>
              <w:spacing w:after="0"/>
              <w:rPr>
                <w:sz w:val="21"/>
                <w:szCs w:val="21"/>
                <w:color w:val="auto"/>
              </w:rPr>
            </w:pPr>
          </w:p>
        </w:tc>
      </w:tr>
      <w:tr>
        <w:trPr>
          <w:trHeight w:val="228"/>
        </w:trPr>
        <w:tc>
          <w:tcPr>
            <w:tcW w:w="422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Effect on total service and interest costs</w:t>
            </w:r>
          </w:p>
        </w:tc>
        <w:tc>
          <w:tcPr>
            <w:tcW w:w="2200" w:type="dxa"/>
            <w:vAlign w:val="bottom"/>
            <w:tcBorders>
              <w:top w:val="single" w:sz="8" w:color="C0C0C0"/>
            </w:tcBorders>
            <w:shd w:val="clear" w:color="auto" w:fill="C0C0C0"/>
          </w:tcPr>
          <w:p>
            <w:pPr>
              <w:spacing w:after="0"/>
              <w:rPr>
                <w:sz w:val="19"/>
                <w:szCs w:val="19"/>
                <w:color w:val="auto"/>
              </w:rPr>
            </w:pPr>
          </w:p>
        </w:tc>
        <w:tc>
          <w:tcPr>
            <w:tcW w:w="160" w:type="dxa"/>
            <w:vAlign w:val="bottom"/>
            <w:tcBorders>
              <w:top w:val="single" w:sz="8" w:color="C0C0C0"/>
            </w:tcBorders>
            <w:shd w:val="clear" w:color="auto" w:fill="C0C0C0"/>
          </w:tcPr>
          <w:p>
            <w:pPr>
              <w:spacing w:after="0"/>
              <w:rPr>
                <w:sz w:val="19"/>
                <w:szCs w:val="19"/>
                <w:color w:val="auto"/>
              </w:rPr>
            </w:pPr>
          </w:p>
        </w:tc>
        <w:tc>
          <w:tcPr>
            <w:tcW w:w="280" w:type="dxa"/>
            <w:vAlign w:val="bottom"/>
            <w:tcBorders>
              <w:top w:val="single" w:sz="8" w:color="auto"/>
            </w:tcBorders>
            <w:shd w:val="clear" w:color="auto" w:fill="C0C0C0"/>
          </w:tcPr>
          <w:p>
            <w:pPr>
              <w:spacing w:after="0"/>
              <w:rPr>
                <w:sz w:val="19"/>
                <w:szCs w:val="19"/>
                <w:color w:val="auto"/>
              </w:rPr>
            </w:pPr>
          </w:p>
        </w:tc>
        <w:tc>
          <w:tcPr>
            <w:tcW w:w="1340" w:type="dxa"/>
            <w:vAlign w:val="bottom"/>
            <w:tcBorders>
              <w:top w:val="single" w:sz="8" w:color="auto"/>
            </w:tcBorders>
            <w:shd w:val="clear" w:color="auto" w:fill="C0C0C0"/>
          </w:tcPr>
          <w:p>
            <w:pPr>
              <w:spacing w:after="0"/>
              <w:rPr>
                <w:sz w:val="19"/>
                <w:szCs w:val="19"/>
                <w:color w:val="auto"/>
              </w:rPr>
            </w:pPr>
          </w:p>
        </w:tc>
        <w:tc>
          <w:tcPr>
            <w:tcW w:w="80" w:type="dxa"/>
            <w:vAlign w:val="bottom"/>
            <w:tcBorders>
              <w:top w:val="single" w:sz="8" w:color="C0C0C0"/>
            </w:tcBorders>
            <w:shd w:val="clear" w:color="auto" w:fill="C0C0C0"/>
          </w:tcPr>
          <w:p>
            <w:pPr>
              <w:spacing w:after="0"/>
              <w:rPr>
                <w:sz w:val="19"/>
                <w:szCs w:val="19"/>
                <w:color w:val="auto"/>
              </w:rPr>
            </w:pPr>
          </w:p>
        </w:tc>
        <w:tc>
          <w:tcPr>
            <w:tcW w:w="8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1240" w:type="dxa"/>
            <w:vAlign w:val="bottom"/>
            <w:tcBorders>
              <w:top w:val="single" w:sz="8" w:color="auto"/>
            </w:tcBorders>
            <w:shd w:val="clear" w:color="auto" w:fill="C0C0C0"/>
          </w:tcPr>
          <w:p>
            <w:pPr>
              <w:spacing w:after="0"/>
              <w:rPr>
                <w:sz w:val="19"/>
                <w:szCs w:val="19"/>
                <w:color w:val="auto"/>
              </w:rPr>
            </w:pPr>
          </w:p>
        </w:tc>
        <w:tc>
          <w:tcPr>
            <w:tcW w:w="1740" w:type="dxa"/>
            <w:vAlign w:val="bottom"/>
          </w:tcPr>
          <w:p>
            <w:pPr>
              <w:spacing w:after="0"/>
              <w:rPr>
                <w:sz w:val="19"/>
                <w:szCs w:val="19"/>
                <w:color w:val="auto"/>
              </w:rPr>
            </w:pPr>
          </w:p>
        </w:tc>
      </w:tr>
      <w:tr>
        <w:trPr>
          <w:trHeight w:val="259"/>
        </w:trPr>
        <w:tc>
          <w:tcPr>
            <w:tcW w:w="4220" w:type="dxa"/>
            <w:vAlign w:val="bottom"/>
            <w:shd w:val="clear" w:color="auto" w:fill="C0C0C0"/>
          </w:tcPr>
          <w:p>
            <w:pPr>
              <w:spacing w:after="0"/>
              <w:rPr>
                <w:sz w:val="20"/>
                <w:szCs w:val="20"/>
                <w:color w:val="auto"/>
              </w:rPr>
            </w:pPr>
            <w:r>
              <w:rPr>
                <w:rFonts w:ascii="Arial" w:cs="Arial" w:eastAsia="Arial" w:hAnsi="Arial"/>
                <w:sz w:val="18"/>
                <w:szCs w:val="18"/>
                <w:color w:val="auto"/>
              </w:rPr>
              <w:t>for fiscal year ended July 31, 2010</w:t>
            </w:r>
          </w:p>
        </w:tc>
        <w:tc>
          <w:tcPr>
            <w:tcW w:w="2200" w:type="dxa"/>
            <w:vAlign w:val="bottom"/>
            <w:shd w:val="clear" w:color="auto" w:fill="C0C0C0"/>
          </w:tcPr>
          <w:p>
            <w:pPr>
              <w:spacing w:after="0"/>
              <w:rPr>
                <w:sz w:val="22"/>
                <w:szCs w:val="22"/>
                <w:color w:val="auto"/>
              </w:rPr>
            </w:pPr>
          </w:p>
        </w:tc>
        <w:tc>
          <w:tcPr>
            <w:tcW w:w="440" w:type="dxa"/>
            <w:vAlign w:val="bottom"/>
            <w:gridSpan w:val="2"/>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20</w:t>
            </w:r>
          </w:p>
        </w:tc>
        <w:tc>
          <w:tcPr>
            <w:tcW w:w="1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w:t>
            </w:r>
          </w:p>
        </w:tc>
        <w:tc>
          <w:tcPr>
            <w:tcW w:w="1740" w:type="dxa"/>
            <w:vAlign w:val="bottom"/>
          </w:tcPr>
          <w:p>
            <w:pPr>
              <w:spacing w:after="0"/>
              <w:rPr>
                <w:sz w:val="22"/>
                <w:szCs w:val="22"/>
                <w:color w:val="auto"/>
              </w:rPr>
            </w:pPr>
          </w:p>
        </w:tc>
      </w:tr>
      <w:tr>
        <w:trPr>
          <w:trHeight w:val="228"/>
        </w:trPr>
        <w:tc>
          <w:tcPr>
            <w:tcW w:w="4220" w:type="dxa"/>
            <w:vAlign w:val="bottom"/>
          </w:tcPr>
          <w:p>
            <w:pPr>
              <w:spacing w:after="0"/>
              <w:rPr>
                <w:sz w:val="20"/>
                <w:szCs w:val="20"/>
                <w:color w:val="auto"/>
              </w:rPr>
            </w:pPr>
            <w:r>
              <w:rPr>
                <w:rFonts w:ascii="Arial" w:cs="Arial" w:eastAsia="Arial" w:hAnsi="Arial"/>
                <w:sz w:val="18"/>
                <w:szCs w:val="18"/>
                <w:color w:val="auto"/>
              </w:rPr>
              <w:t>Effect on accumulated postretirement</w:t>
            </w: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benefit obligation as of July 31, 2010</w:t>
            </w:r>
          </w:p>
        </w:tc>
        <w:tc>
          <w:tcPr>
            <w:tcW w:w="2640" w:type="dxa"/>
            <w:vAlign w:val="bottom"/>
            <w:gridSpan w:val="3"/>
          </w:tcPr>
          <w:p>
            <w:pPr>
              <w:ind w:left="23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(219)</w:t>
            </w:r>
          </w:p>
        </w:tc>
        <w:tc>
          <w:tcPr>
            <w:tcW w:w="1740" w:type="dxa"/>
            <w:vAlign w:val="bottom"/>
          </w:tcPr>
          <w:p>
            <w:pPr>
              <w:spacing w:after="0"/>
              <w:rPr>
                <w:sz w:val="21"/>
                <w:szCs w:val="21"/>
                <w:color w:val="auto"/>
              </w:rPr>
            </w:pPr>
          </w:p>
        </w:tc>
      </w:tr>
      <w:tr>
        <w:trPr>
          <w:trHeight w:val="473"/>
        </w:trPr>
        <w:tc>
          <w:tcPr>
            <w:tcW w:w="4220" w:type="dxa"/>
            <w:vAlign w:val="bottom"/>
          </w:tcPr>
          <w:p>
            <w:pPr>
              <w:spacing w:after="0"/>
              <w:rPr>
                <w:sz w:val="24"/>
                <w:szCs w:val="24"/>
                <w:color w:val="auto"/>
              </w:rPr>
            </w:pPr>
          </w:p>
        </w:tc>
        <w:tc>
          <w:tcPr>
            <w:tcW w:w="2200" w:type="dxa"/>
            <w:vAlign w:val="bottom"/>
          </w:tcPr>
          <w:p>
            <w:pPr>
              <w:jc w:val="right"/>
              <w:ind w:right="532"/>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63"/>
        </w:trPr>
        <w:tc>
          <w:tcPr>
            <w:tcW w:w="422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611" w:right="1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NOTE 9 – EMPLOYEE BENEFIT PLANS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investment objective for the pension plan assets is to optimize long-term return at a moderate level of risk in order to secure the benefit obligations to participants at a reasonable cost. To reach this goal, our investment structure includes various asset classes, asset allocations and investment management styles that, in total, have a reasonable likelihood of producing a sufficient level of overall diversification that balances expected return with expected risk over the long-term. The plan does not invest directly in Company stock.</w:t>
      </w:r>
    </w:p>
    <w:p>
      <w:pPr>
        <w:spacing w:after="0" w:line="25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We measure and monitor the plan’s investment performance and the allocation of plan assets through quarterly investment portfolio reviews. Investment performance is measured by absolute returns, returns relative to benchmark indices and any other appropriate basis of comparison. The targeted allocation percentages of plan assets is shown below for fiscal 2011 and the actual allocation as of July 31: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880" w:type="dxa"/>
            <w:vAlign w:val="bottom"/>
            <w:gridSpan w:val="4"/>
          </w:tcPr>
          <w:p>
            <w:pPr>
              <w:ind w:left="140"/>
              <w:spacing w:after="0"/>
              <w:rPr>
                <w:sz w:val="20"/>
                <w:szCs w:val="20"/>
                <w:color w:val="auto"/>
              </w:rPr>
            </w:pPr>
            <w:r>
              <w:rPr>
                <w:rFonts w:ascii="Arial" w:cs="Arial" w:eastAsia="Arial" w:hAnsi="Arial"/>
                <w:sz w:val="18"/>
                <w:szCs w:val="18"/>
                <w:b w:val="1"/>
                <w:bCs w:val="1"/>
                <w:color w:val="auto"/>
              </w:rPr>
              <w:t>Target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2"/>
        </w:trPr>
        <w:tc>
          <w:tcPr>
            <w:tcW w:w="2300" w:type="dxa"/>
            <w:vAlign w:val="bottom"/>
          </w:tcPr>
          <w:p>
            <w:pPr>
              <w:spacing w:after="0"/>
              <w:rPr>
                <w:sz w:val="21"/>
                <w:szCs w:val="21"/>
                <w:color w:val="auto"/>
              </w:rPr>
            </w:pPr>
          </w:p>
        </w:tc>
        <w:tc>
          <w:tcPr>
            <w:tcW w:w="4980" w:type="dxa"/>
            <w:vAlign w:val="bottom"/>
            <w:tcBorders>
              <w:bottom w:val="single" w:sz="8" w:color="C0C0C0"/>
            </w:tcBorders>
          </w:tcPr>
          <w:p>
            <w:pPr>
              <w:ind w:left="1780"/>
              <w:spacing w:after="0"/>
              <w:rPr>
                <w:sz w:val="20"/>
                <w:szCs w:val="20"/>
                <w:color w:val="auto"/>
              </w:rPr>
            </w:pPr>
            <w:r>
              <w:rPr>
                <w:rFonts w:ascii="Arial" w:cs="Arial" w:eastAsia="Arial" w:hAnsi="Arial"/>
                <w:sz w:val="18"/>
                <w:szCs w:val="18"/>
                <w:b w:val="1"/>
                <w:bCs w:val="1"/>
                <w:color w:val="auto"/>
              </w:rPr>
              <w:t>Asset Allocation</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3"/>
              </w:rPr>
              <w:t>fiscal 2011</w:t>
            </w:r>
          </w:p>
        </w:tc>
        <w:tc>
          <w:tcPr>
            <w:tcW w:w="10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2010</w:t>
            </w:r>
          </w:p>
        </w:tc>
        <w:tc>
          <w:tcPr>
            <w:tcW w:w="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4980" w:type="dxa"/>
            <w:vAlign w:val="bottom"/>
            <w:shd w:val="clear" w:color="auto" w:fill="C0C0C0"/>
          </w:tcPr>
          <w:p>
            <w:pPr>
              <w:spacing w:after="0"/>
              <w:rPr>
                <w:sz w:val="20"/>
                <w:szCs w:val="20"/>
                <w:color w:val="auto"/>
              </w:rPr>
            </w:pPr>
            <w:r>
              <w:rPr>
                <w:rFonts w:ascii="Arial" w:cs="Arial" w:eastAsia="Arial" w:hAnsi="Arial"/>
                <w:sz w:val="18"/>
                <w:szCs w:val="18"/>
                <w:color w:val="auto"/>
              </w:rPr>
              <w:t>Cash and accrued income</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2%</w:t>
            </w:r>
          </w:p>
        </w:tc>
        <w:tc>
          <w:tcPr>
            <w:tcW w:w="520" w:type="dxa"/>
            <w:vAlign w:val="bottom"/>
            <w:gridSpan w:val="3"/>
            <w:shd w:val="clear" w:color="auto" w:fill="C0C0C0"/>
          </w:tcPr>
          <w:p>
            <w:pPr>
              <w:jc w:val="right"/>
              <w:ind w:right="80"/>
              <w:spacing w:after="0"/>
              <w:rPr>
                <w:sz w:val="20"/>
                <w:szCs w:val="20"/>
                <w:color w:val="auto"/>
              </w:rPr>
            </w:pPr>
            <w:r>
              <w:rPr>
                <w:rFonts w:ascii="Arial" w:cs="Arial" w:eastAsia="Arial" w:hAnsi="Arial"/>
                <w:sz w:val="18"/>
                <w:szCs w:val="18"/>
                <w:color w:val="auto"/>
              </w:rPr>
              <w:t>13%</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5"/>
        </w:trPr>
        <w:tc>
          <w:tcPr>
            <w:tcW w:w="7280" w:type="dxa"/>
            <w:vAlign w:val="bottom"/>
            <w:gridSpan w:val="2"/>
          </w:tcPr>
          <w:p>
            <w:pPr>
              <w:ind w:left="2300"/>
              <w:spacing w:after="0"/>
              <w:rPr>
                <w:sz w:val="20"/>
                <w:szCs w:val="20"/>
                <w:color w:val="auto"/>
              </w:rPr>
            </w:pPr>
            <w:r>
              <w:rPr>
                <w:rFonts w:ascii="Arial" w:cs="Arial" w:eastAsia="Arial" w:hAnsi="Arial"/>
                <w:sz w:val="18"/>
                <w:szCs w:val="18"/>
                <w:color w:val="auto"/>
              </w:rPr>
              <w:t>Fixed income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rPr>
              <w:t>32%</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1"/>
        </w:trPr>
        <w:tc>
          <w:tcPr>
            <w:tcW w:w="2300" w:type="dxa"/>
            <w:vAlign w:val="bottom"/>
          </w:tcPr>
          <w:p>
            <w:pPr>
              <w:spacing w:after="0"/>
              <w:rPr>
                <w:sz w:val="21"/>
                <w:szCs w:val="21"/>
                <w:color w:val="auto"/>
              </w:rPr>
            </w:pPr>
          </w:p>
        </w:tc>
        <w:tc>
          <w:tcPr>
            <w:tcW w:w="4980" w:type="dxa"/>
            <w:vAlign w:val="bottom"/>
            <w:shd w:val="clear" w:color="auto" w:fill="C0C0C0"/>
          </w:tcPr>
          <w:p>
            <w:pPr>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60%</w:t>
            </w:r>
          </w:p>
        </w:tc>
        <w:tc>
          <w:tcPr>
            <w:tcW w:w="520" w:type="dxa"/>
            <w:vAlign w:val="bottom"/>
            <w:gridSpan w:val="3"/>
            <w:shd w:val="clear" w:color="auto" w:fill="C0C0C0"/>
          </w:tcPr>
          <w:p>
            <w:pPr>
              <w:jc w:val="right"/>
              <w:ind w:right="80"/>
              <w:spacing w:after="0"/>
              <w:rPr>
                <w:sz w:val="20"/>
                <w:szCs w:val="20"/>
                <w:color w:val="auto"/>
              </w:rPr>
            </w:pPr>
            <w:r>
              <w:rPr>
                <w:rFonts w:ascii="Arial" w:cs="Arial" w:eastAsia="Arial" w:hAnsi="Arial"/>
                <w:sz w:val="18"/>
                <w:szCs w:val="18"/>
                <w:color w:val="auto"/>
              </w:rPr>
              <w:t>55%</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84"/>
        </w:trPr>
        <w:tc>
          <w:tcPr>
            <w:tcW w:w="7280" w:type="dxa"/>
            <w:vAlign w:val="bottom"/>
            <w:gridSpan w:val="2"/>
          </w:tcPr>
          <w:p>
            <w:pPr>
              <w:ind w:left="280"/>
              <w:spacing w:after="0"/>
              <w:rPr>
                <w:sz w:val="20"/>
                <w:szCs w:val="20"/>
                <w:color w:val="auto"/>
              </w:rPr>
            </w:pPr>
            <w:r>
              <w:rPr>
                <w:rFonts w:ascii="Arial" w:cs="Arial" w:eastAsia="Arial" w:hAnsi="Arial"/>
                <w:sz w:val="18"/>
                <w:szCs w:val="18"/>
                <w:color w:val="auto"/>
              </w:rPr>
              <w:t>The fair value of our pension plan assets at July 31, 2010 by asset class are as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73"/>
        </w:trPr>
        <w:tc>
          <w:tcPr>
            <w:tcW w:w="23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11"/>
          </w:tcPr>
          <w:p>
            <w:pPr>
              <w:jc w:val="center"/>
              <w:ind w:left="72"/>
              <w:spacing w:after="0"/>
              <w:rPr>
                <w:sz w:val="20"/>
                <w:szCs w:val="20"/>
                <w:color w:val="auto"/>
              </w:rPr>
            </w:pPr>
            <w:r>
              <w:rPr>
                <w:rFonts w:ascii="Arial" w:cs="Arial" w:eastAsia="Arial" w:hAnsi="Arial"/>
                <w:sz w:val="18"/>
                <w:szCs w:val="18"/>
                <w:b w:val="1"/>
                <w:bCs w:val="1"/>
                <w:color w:val="auto"/>
                <w:w w:val="89"/>
              </w:rPr>
              <w:t>Fair Value at July 31, 2010</w:t>
            </w:r>
          </w:p>
        </w:tc>
        <w:tc>
          <w:tcPr>
            <w:tcW w:w="940" w:type="dxa"/>
            <w:vAlign w:val="bottom"/>
          </w:tcPr>
          <w:p>
            <w:pPr>
              <w:spacing w:after="0"/>
              <w:rPr>
                <w:sz w:val="24"/>
                <w:szCs w:val="24"/>
                <w:color w:val="auto"/>
              </w:rPr>
            </w:pPr>
          </w:p>
        </w:tc>
      </w:tr>
      <w:tr>
        <w:trPr>
          <w:trHeight w:val="252"/>
        </w:trPr>
        <w:tc>
          <w:tcPr>
            <w:tcW w:w="230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8"/>
        </w:trPr>
        <w:tc>
          <w:tcPr>
            <w:tcW w:w="23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8"/>
              </w:rPr>
              <w:t>Quoted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2"/>
        </w:trPr>
        <w:tc>
          <w:tcPr>
            <w:tcW w:w="230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7"/>
              </w:rPr>
              <w:t>Prices in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8"/>
              </w:rPr>
              <w:t>Active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2"/>
              </w:rPr>
              <w:t>Markets for</w:t>
            </w:r>
          </w:p>
        </w:tc>
        <w:tc>
          <w:tcPr>
            <w:tcW w:w="80" w:type="dxa"/>
            <w:vAlign w:val="bottom"/>
          </w:tcPr>
          <w:p>
            <w:pPr>
              <w:spacing w:after="0"/>
              <w:rPr>
                <w:sz w:val="21"/>
                <w:szCs w:val="21"/>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6"/>
              </w:rPr>
              <w:t>Significant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ind w:right="12"/>
              <w:spacing w:after="0"/>
              <w:rPr>
                <w:sz w:val="20"/>
                <w:szCs w:val="20"/>
                <w:color w:val="auto"/>
              </w:rPr>
            </w:pPr>
            <w:r>
              <w:rPr>
                <w:rFonts w:ascii="Arial" w:cs="Arial" w:eastAsia="Arial" w:hAnsi="Arial"/>
                <w:sz w:val="18"/>
                <w:szCs w:val="18"/>
                <w:b w:val="1"/>
                <w:bCs w:val="1"/>
                <w:color w:val="auto"/>
                <w:w w:val="86"/>
              </w:rPr>
              <w:t>Significant</w:t>
            </w:r>
          </w:p>
        </w:tc>
      </w:tr>
      <w:tr>
        <w:trPr>
          <w:trHeight w:val="243"/>
        </w:trPr>
        <w:tc>
          <w:tcPr>
            <w:tcW w:w="230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7"/>
              </w:rPr>
              <w:t>identical</w:t>
            </w:r>
          </w:p>
        </w:tc>
        <w:tc>
          <w:tcPr>
            <w:tcW w:w="80" w:type="dxa"/>
            <w:vAlign w:val="bottom"/>
          </w:tcPr>
          <w:p>
            <w:pPr>
              <w:spacing w:after="0"/>
              <w:rPr>
                <w:sz w:val="21"/>
                <w:szCs w:val="21"/>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Observable</w:t>
            </w: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Unobservable</w:t>
            </w:r>
          </w:p>
        </w:tc>
      </w:tr>
      <w:tr>
        <w:trPr>
          <w:trHeight w:val="243"/>
        </w:trPr>
        <w:tc>
          <w:tcPr>
            <w:tcW w:w="230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77"/>
              </w:rPr>
              <w:t>Assets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Inputs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Inputs</w:t>
            </w:r>
          </w:p>
        </w:tc>
      </w:tr>
      <w:tr>
        <w:trPr>
          <w:trHeight w:val="252"/>
        </w:trPr>
        <w:tc>
          <w:tcPr>
            <w:tcW w:w="230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1"/>
                <w:szCs w:val="21"/>
                <w:color w:val="auto"/>
              </w:rPr>
            </w:pPr>
          </w:p>
        </w:tc>
        <w:tc>
          <w:tcPr>
            <w:tcW w:w="10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(Level 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(Level 3)</w:t>
            </w:r>
          </w:p>
        </w:tc>
      </w:tr>
      <w:tr>
        <w:trPr>
          <w:trHeight w:val="243"/>
        </w:trPr>
        <w:tc>
          <w:tcPr>
            <w:tcW w:w="7280" w:type="dxa"/>
            <w:vAlign w:val="bottom"/>
            <w:tcBorders>
              <w:top w:val="single" w:sz="8" w:color="C0C0C0"/>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Asset Class</w:t>
            </w:r>
          </w:p>
        </w:tc>
        <w:tc>
          <w:tcPr>
            <w:tcW w:w="18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50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80" w:type="dxa"/>
            <w:vAlign w:val="bottom"/>
            <w:tcBorders>
              <w:top w:val="single" w:sz="8" w:color="C0C0C0"/>
            </w:tcBorders>
            <w:shd w:val="clear" w:color="auto" w:fill="C0C0C0"/>
          </w:tcPr>
          <w:p>
            <w:pPr>
              <w:spacing w:after="0"/>
              <w:rPr>
                <w:sz w:val="21"/>
                <w:szCs w:val="21"/>
                <w:color w:val="auto"/>
              </w:rPr>
            </w:pPr>
          </w:p>
        </w:tc>
        <w:tc>
          <w:tcPr>
            <w:tcW w:w="360" w:type="dxa"/>
            <w:vAlign w:val="bottom"/>
            <w:tcBorders>
              <w:top w:val="single" w:sz="8" w:color="auto"/>
            </w:tcBorders>
            <w:shd w:val="clear" w:color="auto" w:fill="C0C0C0"/>
          </w:tcPr>
          <w:p>
            <w:pPr>
              <w:spacing w:after="0"/>
              <w:rPr>
                <w:sz w:val="21"/>
                <w:szCs w:val="21"/>
                <w:color w:val="auto"/>
              </w:rPr>
            </w:pPr>
          </w:p>
        </w:tc>
        <w:tc>
          <w:tcPr>
            <w:tcW w:w="8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36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8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780" w:type="dxa"/>
            <w:vAlign w:val="bottom"/>
            <w:tcBorders>
              <w:top w:val="single" w:sz="8" w:color="auto"/>
            </w:tcBorders>
            <w:shd w:val="clear" w:color="auto" w:fill="C0C0C0"/>
          </w:tcPr>
          <w:p>
            <w:pPr>
              <w:spacing w:after="0"/>
              <w:rPr>
                <w:sz w:val="21"/>
                <w:szCs w:val="21"/>
                <w:color w:val="auto"/>
              </w:rPr>
            </w:pPr>
          </w:p>
        </w:tc>
        <w:tc>
          <w:tcPr>
            <w:tcW w:w="8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940" w:type="dxa"/>
            <w:vAlign w:val="bottom"/>
            <w:tcBorders>
              <w:top w:val="single" w:sz="8" w:color="auto"/>
            </w:tcBorders>
            <w:shd w:val="clear" w:color="auto" w:fill="C0C0C0"/>
          </w:tcPr>
          <w:p>
            <w:pPr>
              <w:spacing w:after="0"/>
              <w:rPr>
                <w:sz w:val="21"/>
                <w:szCs w:val="21"/>
                <w:color w:val="auto"/>
              </w:rPr>
            </w:pPr>
          </w:p>
        </w:tc>
      </w:tr>
      <w:tr>
        <w:trPr>
          <w:trHeight w:val="249"/>
        </w:trPr>
        <w:tc>
          <w:tcPr>
            <w:tcW w:w="7280" w:type="dxa"/>
            <w:vAlign w:val="bottom"/>
            <w:gridSpan w:val="2"/>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2"/>
                <w:szCs w:val="12"/>
                <w:color w:val="auto"/>
              </w:rPr>
              <w:t>(a)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2,229</w:t>
            </w:r>
          </w:p>
        </w:tc>
        <w:tc>
          <w:tcPr>
            <w:tcW w:w="4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1,829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728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Equity securities</w:t>
            </w:r>
            <w:r>
              <w:rPr>
                <w:rFonts w:ascii="Arial" w:cs="Arial" w:eastAsia="Arial" w:hAnsi="Arial"/>
                <w:sz w:val="12"/>
                <w:szCs w:val="12"/>
                <w:color w:val="auto"/>
              </w:rPr>
              <w:t>(b)</w:t>
            </w:r>
            <w:r>
              <w:rPr>
                <w:rFonts w:ascii="Arial" w:cs="Arial" w:eastAsia="Arial" w:hAnsi="Arial"/>
                <w:sz w:val="18"/>
                <w:szCs w:val="18"/>
                <w:color w:val="auto"/>
              </w:rPr>
              <w:t>:</w:t>
            </w:r>
          </w:p>
        </w:tc>
        <w:tc>
          <w:tcPr>
            <w:tcW w:w="1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5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36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3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78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940" w:type="dxa"/>
            <w:vAlign w:val="bottom"/>
            <w:tcBorders>
              <w:bottom w:val="single" w:sz="8" w:color="C0C0C0"/>
            </w:tcBorders>
            <w:shd w:val="clear" w:color="auto" w:fill="C0C0C0"/>
          </w:tcPr>
          <w:p>
            <w:pPr>
              <w:spacing w:after="0"/>
              <w:rPr>
                <w:sz w:val="21"/>
                <w:szCs w:val="21"/>
                <w:color w:val="auto"/>
              </w:rPr>
            </w:pPr>
          </w:p>
        </w:tc>
      </w:tr>
      <w:tr>
        <w:trPr>
          <w:trHeight w:val="235"/>
        </w:trPr>
        <w:tc>
          <w:tcPr>
            <w:tcW w:w="7280" w:type="dxa"/>
            <w:vAlign w:val="bottom"/>
            <w:gridSpan w:val="2"/>
          </w:tcPr>
          <w:p>
            <w:pPr>
              <w:ind w:left="320"/>
              <w:spacing w:after="0"/>
              <w:rPr>
                <w:sz w:val="20"/>
                <w:szCs w:val="20"/>
                <w:color w:val="auto"/>
              </w:rPr>
            </w:pPr>
            <w:r>
              <w:rPr>
                <w:rFonts w:ascii="Arial" w:cs="Arial" w:eastAsia="Arial" w:hAnsi="Arial"/>
                <w:sz w:val="18"/>
                <w:szCs w:val="18"/>
                <w:color w:val="auto"/>
              </w:rPr>
              <w:t>U.S. companies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5,651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5,539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728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International companies</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7280" w:type="dxa"/>
            <w:vAlign w:val="bottom"/>
            <w:gridSpan w:val="2"/>
          </w:tcPr>
          <w:p>
            <w:pPr>
              <w:spacing w:after="0"/>
              <w:rPr>
                <w:sz w:val="20"/>
                <w:szCs w:val="20"/>
                <w:color w:val="auto"/>
              </w:rPr>
            </w:pPr>
            <w:r>
              <w:rPr>
                <w:rFonts w:ascii="Arial" w:cs="Arial" w:eastAsia="Arial" w:hAnsi="Arial"/>
                <w:sz w:val="18"/>
                <w:szCs w:val="18"/>
                <w:color w:val="auto"/>
              </w:rPr>
              <w:t>Equity securities - international mutual funds: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4"/>
        </w:trPr>
        <w:tc>
          <w:tcPr>
            <w:tcW w:w="728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Developed market</w:t>
            </w:r>
            <w:r>
              <w:rPr>
                <w:rFonts w:ascii="Arial" w:cs="Arial" w:eastAsia="Arial" w:hAnsi="Arial"/>
                <w:sz w:val="12"/>
                <w:szCs w:val="12"/>
                <w:color w:val="auto"/>
              </w:rPr>
              <w:t>(c)</w:t>
            </w:r>
          </w:p>
        </w:tc>
        <w:tc>
          <w:tcPr>
            <w:tcW w:w="1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2,426</w:t>
            </w:r>
          </w:p>
        </w:tc>
        <w:tc>
          <w:tcPr>
            <w:tcW w:w="80" w:type="dxa"/>
            <w:vAlign w:val="bottom"/>
            <w:shd w:val="clear" w:color="auto" w:fill="C0C0C0"/>
          </w:tcPr>
          <w:p>
            <w:pPr>
              <w:spacing w:after="0"/>
              <w:rPr>
                <w:sz w:val="22"/>
                <w:szCs w:val="22"/>
                <w:color w:val="auto"/>
              </w:rPr>
            </w:pPr>
          </w:p>
        </w:tc>
        <w:tc>
          <w:tcPr>
            <w:tcW w:w="36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5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2,426</w:t>
            </w:r>
          </w:p>
        </w:tc>
        <w:tc>
          <w:tcPr>
            <w:tcW w:w="1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7280" w:type="dxa"/>
            <w:vAlign w:val="bottom"/>
            <w:gridSpan w:val="2"/>
          </w:tcPr>
          <w:p>
            <w:pPr>
              <w:ind w:left="320"/>
              <w:spacing w:after="0"/>
              <w:rPr>
                <w:sz w:val="20"/>
                <w:szCs w:val="20"/>
                <w:color w:val="auto"/>
              </w:rPr>
            </w:pPr>
            <w:r>
              <w:rPr>
                <w:rFonts w:ascii="Arial" w:cs="Arial" w:eastAsia="Arial" w:hAnsi="Arial"/>
                <w:sz w:val="18"/>
                <w:szCs w:val="18"/>
                <w:color w:val="auto"/>
              </w:rPr>
              <w:t>Emerging markets</w:t>
            </w:r>
            <w:r>
              <w:rPr>
                <w:rFonts w:ascii="Arial" w:cs="Arial" w:eastAsia="Arial" w:hAnsi="Arial"/>
                <w:sz w:val="12"/>
                <w:szCs w:val="12"/>
                <w:color w:val="auto"/>
              </w:rPr>
              <w:t>(d)</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72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Commodities</w:t>
            </w:r>
            <w:r>
              <w:rPr>
                <w:rFonts w:ascii="Arial" w:cs="Arial" w:eastAsia="Arial" w:hAnsi="Arial"/>
                <w:sz w:val="12"/>
                <w:szCs w:val="12"/>
                <w:color w:val="auto"/>
              </w:rPr>
              <w:t>(e)</w:t>
            </w:r>
          </w:p>
        </w:tc>
        <w:tc>
          <w:tcPr>
            <w:tcW w:w="1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0C0C0"/>
          </w:tcPr>
          <w:p>
            <w:pPr>
              <w:spacing w:after="0"/>
              <w:rPr>
                <w:sz w:val="22"/>
                <w:szCs w:val="22"/>
                <w:color w:val="auto"/>
              </w:rPr>
            </w:pPr>
          </w:p>
        </w:tc>
        <w:tc>
          <w:tcPr>
            <w:tcW w:w="36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5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728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1"/>
        </w:trPr>
        <w:tc>
          <w:tcPr>
            <w:tcW w:w="728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U.S. Treasuries</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2,999</w:t>
            </w:r>
          </w:p>
        </w:tc>
        <w:tc>
          <w:tcPr>
            <w:tcW w:w="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tcBorders>
              <w:bottom w:val="single" w:sz="8" w:color="C0C0C0"/>
            </w:tcBorders>
            <w:gridSpan w:val="2"/>
          </w:tcPr>
          <w:p>
            <w:pPr>
              <w:ind w:left="320"/>
              <w:spacing w:after="0"/>
              <w:rPr>
                <w:sz w:val="20"/>
                <w:szCs w:val="20"/>
                <w:color w:val="auto"/>
              </w:rPr>
            </w:pPr>
            <w:r>
              <w:rPr>
                <w:rFonts w:ascii="Arial" w:cs="Arial" w:eastAsia="Arial" w:hAnsi="Arial"/>
                <w:sz w:val="18"/>
                <w:szCs w:val="18"/>
                <w:color w:val="auto"/>
              </w:rPr>
              <w:t>Corporate bonds</w:t>
            </w:r>
            <w:r>
              <w:rPr>
                <w:rFonts w:ascii="Arial" w:cs="Arial" w:eastAsia="Arial" w:hAnsi="Arial"/>
                <w:sz w:val="12"/>
                <w:szCs w:val="12"/>
                <w:color w:val="auto"/>
              </w:rPr>
              <w:t>(f)</w:t>
            </w:r>
          </w:p>
        </w:tc>
        <w:tc>
          <w:tcPr>
            <w:tcW w:w="1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7"/>
              </w:rPr>
              <w:t>17,287</w:t>
            </w:r>
          </w:p>
        </w:tc>
        <w:tc>
          <w:tcPr>
            <w:tcW w:w="1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36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0C0C0"/>
          </w:tcPr>
          <w:p>
            <w:pPr>
              <w:spacing w:after="0"/>
              <w:rPr>
                <w:sz w:val="21"/>
                <w:szCs w:val="21"/>
                <w:color w:val="auto"/>
              </w:rPr>
            </w:pPr>
          </w:p>
        </w:tc>
        <w:tc>
          <w:tcPr>
            <w:tcW w:w="46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w w:val="97"/>
              </w:rPr>
              <w:t>8,418</w:t>
            </w:r>
          </w:p>
        </w:tc>
        <w:tc>
          <w:tcPr>
            <w:tcW w:w="1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8,869</w:t>
            </w:r>
          </w:p>
        </w:tc>
        <w:tc>
          <w:tcPr>
            <w:tcW w:w="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cash equivalents consists of highly liquid investments which are traded in active markets.</w:t>
      </w:r>
    </w:p>
    <w:p>
      <w:pPr>
        <w:spacing w:after="0" w:line="157"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class represents equities traded on regulated exchanges.</w:t>
      </w:r>
    </w:p>
    <w:p>
      <w:pPr>
        <w:spacing w:after="0" w:line="157" w:lineRule="exact"/>
        <w:rPr>
          <w:rFonts w:ascii="Arial" w:cs="Arial" w:eastAsia="Arial" w:hAnsi="Arial"/>
          <w:sz w:val="18"/>
          <w:szCs w:val="18"/>
          <w:color w:val="auto"/>
        </w:rPr>
      </w:pPr>
    </w:p>
    <w:p>
      <w:pPr>
        <w:ind w:left="420" w:right="20" w:hanging="412"/>
        <w:spacing w:after="0" w:line="268"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mutual funds seek long-term capital growth by investing at least 80% of their assets in stocks of non- U.S. companies that are primarily in developed markets, however some funds allow up to 35% to be invested in emerging markets.</w:t>
      </w:r>
    </w:p>
    <w:p>
      <w:pPr>
        <w:spacing w:after="0" w:line="118"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mutual funds seek long-term capital growth by investing at least 80% of their assets in stocks of companies located in Asia, excluding Japan.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NOTE 9 – EMPLOYEE BENEFIT PLANS (CONTINUED)</w:t>
      </w:r>
    </w:p>
    <w:p>
      <w:pPr>
        <w:spacing w:after="0" w:line="258" w:lineRule="exact"/>
        <w:rPr>
          <w:sz w:val="20"/>
          <w:szCs w:val="20"/>
          <w:color w:val="auto"/>
        </w:rPr>
      </w:pPr>
    </w:p>
    <w:p>
      <w:pPr>
        <w:ind w:left="400" w:right="20" w:hanging="392"/>
        <w:spacing w:after="0" w:line="268"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class represents a fund that invests in actively traded futures contracts traded on regulated futures exchanges and is managed to track the Deutsche Bank Liquid Commodity Index – Optimum Yield Diversified Excess Return.</w:t>
      </w:r>
    </w:p>
    <w:p>
      <w:pPr>
        <w:spacing w:after="0" w:line="118"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class includes bonds of U.S. and non-U.S. issuers from diverse industries.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DEFERRED COMPENSATION</w:t>
      </w:r>
    </w:p>
    <w:p>
      <w:pPr>
        <w:spacing w:after="0" w:line="285" w:lineRule="exact"/>
        <w:rPr>
          <w:sz w:val="20"/>
          <w:szCs w:val="20"/>
          <w:color w:val="auto"/>
        </w:rPr>
      </w:pPr>
    </w:p>
    <w:p>
      <w:pPr>
        <w:jc w:val="both"/>
        <w:ind w:right="20" w:firstLine="473"/>
        <w:spacing w:after="0" w:line="294" w:lineRule="auto"/>
        <w:rPr>
          <w:sz w:val="20"/>
          <w:szCs w:val="20"/>
          <w:color w:val="auto"/>
        </w:rPr>
      </w:pPr>
      <w:r>
        <w:rPr>
          <w:rFonts w:ascii="Arial" w:cs="Arial" w:eastAsia="Arial" w:hAnsi="Arial"/>
          <w:sz w:val="16"/>
          <w:szCs w:val="16"/>
          <w:color w:val="auto"/>
        </w:rPr>
        <w:t>The Oil-Dri Corporation of America Deferred Compensation Plan permits directors and certain management employees to defer portions of their compensation and to earn interest on the deferred amounts. The participants’ returns are set at our long-term cost of borrowing plus 1%. Participants have deferred $454,000 and $414,000 into these plans in fiscal years 2010 and 2009, respectively. We recorded $409,000 and $383,000 of interest expense associated with these plans in fiscal years 2010 and 2009, respectively. Payments to participants were $384,000 and $343,000 in fiscal 2010 and 2009, respectively, and the total liability recorded for deferred compensation was $6,269,000 and $5,710,000 at July 31, 2010 and 2009, respectively.</w:t>
      </w:r>
    </w:p>
    <w:p>
      <w:pPr>
        <w:spacing w:after="0" w:line="224"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The Oil-Dri Corporation of America Supplemental Executive Retirement Plan (“SERP”) provides certain retired participants in the Oil-Dri Corporation of America Pension Plan (“Retirement Plan”) with the amount of benefits that would have been provided under the Retirement Plan but for: (1) the limitations on benefits imposed by Section 415 of the Internal Revenue Code (“Code”), and/or (2) the limitation on compensation for purposes of calculating benefits under the Retirement Plan imposed by Section 401(a)(17) of the Code. We recorded $103,000 and $149,000 in expense associated with this plan in the fiscal years ended July 31, 2010 and 2009, respectively. The plan is unfunded and we will fund benefits when payments are made. The total liability recorded for the SERP was $520,000 at July 31, 2010 and $417,000 at July 31, 2009.</w:t>
      </w:r>
    </w:p>
    <w:p>
      <w:pPr>
        <w:spacing w:after="0" w:line="252" w:lineRule="exact"/>
        <w:rPr>
          <w:sz w:val="20"/>
          <w:szCs w:val="20"/>
          <w:color w:val="auto"/>
        </w:rPr>
      </w:pPr>
    </w:p>
    <w:p>
      <w:pPr>
        <w:jc w:val="both"/>
        <w:ind w:right="20" w:firstLine="311"/>
        <w:spacing w:after="0" w:line="256" w:lineRule="auto"/>
        <w:rPr>
          <w:sz w:val="20"/>
          <w:szCs w:val="20"/>
          <w:color w:val="auto"/>
        </w:rPr>
      </w:pPr>
      <w:r>
        <w:rPr>
          <w:rFonts w:ascii="Arial" w:cs="Arial" w:eastAsia="Arial" w:hAnsi="Arial"/>
          <w:sz w:val="18"/>
          <w:szCs w:val="18"/>
          <w:color w:val="auto"/>
        </w:rPr>
        <w:t>The Oil-Dri Corporation of America Annual Incentive Plan provides certain executives with the opportunity to receive a deferred executive bonus award if certain financial goals are met. A total of $407,000 and $316,000 were awarded for the fiscal years ended July 31, 2010 and 2009, respectively, to certain executives under the provisions of the plan. These awards will vest over a three-year vesting period and accrue interest at our long-term cost of borrowing plus 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85" w:lineRule="exact"/>
        <w:rPr>
          <w:sz w:val="20"/>
          <w:szCs w:val="20"/>
          <w:color w:val="auto"/>
        </w:rPr>
      </w:pPr>
    </w:p>
    <w:p>
      <w:pPr>
        <w:jc w:val="both"/>
        <w:ind w:right="20" w:firstLine="297"/>
        <w:spacing w:after="0" w:line="259"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or other lawsuits, we believe that none of the pending proceedings will have a material adverse effect on our business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85" w:lineRule="exact"/>
        <w:rPr>
          <w:sz w:val="20"/>
          <w:szCs w:val="20"/>
          <w:color w:val="auto"/>
        </w:rPr>
      </w:pPr>
    </w:p>
    <w:p>
      <w:pPr>
        <w:jc w:val="both"/>
        <w:ind w:right="20" w:firstLine="297"/>
        <w:spacing w:after="0" w:line="298" w:lineRule="auto"/>
        <w:rPr>
          <w:sz w:val="20"/>
          <w:szCs w:val="20"/>
          <w:color w:val="auto"/>
        </w:rPr>
      </w:pPr>
      <w:r>
        <w:rPr>
          <w:rFonts w:ascii="Arial" w:cs="Arial" w:eastAsia="Arial" w:hAnsi="Arial"/>
          <w:sz w:val="16"/>
          <w:szCs w:val="16"/>
          <w:color w:val="auto"/>
        </w:rPr>
        <w:t>Our mining operations are conducted on leased or owned property. These leases generally provide us with the right to mine as long as we continue to pay a minimum monthly rental, which is applied against the per ton royalty when the property is mined. We also lease certain offices and production facilities. In addition, we lease vehicles, railcars, mining property and equipment, warehouse space, data processing equipment, and office equipment. In most cases, we expect that, in the normal course of business, leases will be renewed or replaced by other leases.</w:t>
      </w:r>
    </w:p>
    <w:p>
      <w:pPr>
        <w:spacing w:after="0" w:line="221"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8"/>
          <w:szCs w:val="18"/>
          <w:color w:val="auto"/>
        </w:rPr>
        <w:t>The following is a schedule by year of future minimum rental requirements under operating leases that have initial or remaining noncancelable lease terms in excess of one year as of July 31, 2010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00" w:type="dxa"/>
            <w:vAlign w:val="bottom"/>
          </w:tcPr>
          <w:p>
            <w:pPr>
              <w:spacing w:after="0"/>
              <w:rPr>
                <w:sz w:val="21"/>
                <w:szCs w:val="21"/>
                <w:color w:val="auto"/>
              </w:rPr>
            </w:pPr>
          </w:p>
        </w:tc>
        <w:tc>
          <w:tcPr>
            <w:tcW w:w="2060" w:type="dxa"/>
            <w:vAlign w:val="bottom"/>
            <w:shd w:val="clear" w:color="auto" w:fill="C0C0C0"/>
          </w:tcPr>
          <w:p>
            <w:pPr>
              <w:jc w:val="right"/>
              <w:ind w:right="1632"/>
              <w:spacing w:after="0"/>
              <w:rPr>
                <w:sz w:val="20"/>
                <w:szCs w:val="20"/>
                <w:color w:val="auto"/>
              </w:rPr>
            </w:pPr>
            <w:r>
              <w:rPr>
                <w:rFonts w:ascii="Arial" w:cs="Arial" w:eastAsia="Arial" w:hAnsi="Arial"/>
                <w:sz w:val="18"/>
                <w:szCs w:val="18"/>
                <w:color w:val="auto"/>
                <w:w w:val="79"/>
              </w:rPr>
              <w:t>2011</w:t>
            </w:r>
          </w:p>
        </w:tc>
        <w:tc>
          <w:tcPr>
            <w:tcW w:w="4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1,972</w:t>
            </w:r>
          </w:p>
        </w:tc>
        <w:tc>
          <w:tcPr>
            <w:tcW w:w="2300" w:type="dxa"/>
            <w:vAlign w:val="bottom"/>
          </w:tcPr>
          <w:p>
            <w:pPr>
              <w:spacing w:after="0"/>
              <w:rPr>
                <w:sz w:val="21"/>
                <w:szCs w:val="21"/>
                <w:color w:val="auto"/>
              </w:rPr>
            </w:pPr>
          </w:p>
        </w:tc>
      </w:tr>
      <w:tr>
        <w:trPr>
          <w:trHeight w:val="235"/>
        </w:trPr>
        <w:tc>
          <w:tcPr>
            <w:tcW w:w="4360" w:type="dxa"/>
            <w:vAlign w:val="bottom"/>
            <w:gridSpan w:val="2"/>
          </w:tcPr>
          <w:p>
            <w:pPr>
              <w:jc w:val="right"/>
              <w:ind w:right="1632"/>
              <w:spacing w:after="0"/>
              <w:rPr>
                <w:sz w:val="20"/>
                <w:szCs w:val="20"/>
                <w:color w:val="auto"/>
              </w:rPr>
            </w:pPr>
            <w:r>
              <w:rPr>
                <w:rFonts w:ascii="Arial" w:cs="Arial" w:eastAsia="Arial" w:hAnsi="Arial"/>
                <w:sz w:val="18"/>
                <w:szCs w:val="18"/>
                <w:color w:val="auto"/>
              </w:rPr>
              <w:t>2012</w:t>
            </w: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2"/>
          </w:tcPr>
          <w:p>
            <w:pPr>
              <w:jc w:val="right"/>
              <w:ind w:right="2300"/>
              <w:spacing w:after="0"/>
              <w:rPr>
                <w:sz w:val="20"/>
                <w:szCs w:val="20"/>
                <w:color w:val="auto"/>
              </w:rPr>
            </w:pPr>
            <w:r>
              <w:rPr>
                <w:rFonts w:ascii="Arial" w:cs="Arial" w:eastAsia="Arial" w:hAnsi="Arial"/>
                <w:sz w:val="18"/>
                <w:szCs w:val="18"/>
                <w:color w:val="auto"/>
              </w:rPr>
              <w:t>1,583</w:t>
            </w:r>
          </w:p>
        </w:tc>
      </w:tr>
      <w:tr>
        <w:trPr>
          <w:trHeight w:val="251"/>
        </w:trPr>
        <w:tc>
          <w:tcPr>
            <w:tcW w:w="2300" w:type="dxa"/>
            <w:vAlign w:val="bottom"/>
          </w:tcPr>
          <w:p>
            <w:pPr>
              <w:spacing w:after="0"/>
              <w:rPr>
                <w:sz w:val="21"/>
                <w:szCs w:val="21"/>
                <w:color w:val="auto"/>
              </w:rPr>
            </w:pPr>
          </w:p>
        </w:tc>
        <w:tc>
          <w:tcPr>
            <w:tcW w:w="2060" w:type="dxa"/>
            <w:vAlign w:val="bottom"/>
            <w:shd w:val="clear" w:color="auto" w:fill="C0C0C0"/>
          </w:tcPr>
          <w:p>
            <w:pPr>
              <w:jc w:val="right"/>
              <w:ind w:right="1632"/>
              <w:spacing w:after="0"/>
              <w:rPr>
                <w:sz w:val="20"/>
                <w:szCs w:val="20"/>
                <w:color w:val="auto"/>
              </w:rPr>
            </w:pPr>
            <w:r>
              <w:rPr>
                <w:rFonts w:ascii="Arial" w:cs="Arial" w:eastAsia="Arial" w:hAnsi="Arial"/>
                <w:sz w:val="18"/>
                <w:szCs w:val="18"/>
                <w:color w:val="auto"/>
                <w:w w:val="79"/>
              </w:rPr>
              <w:t>2013</w:t>
            </w:r>
          </w:p>
        </w:tc>
        <w:tc>
          <w:tcPr>
            <w:tcW w:w="4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1,230</w:t>
            </w:r>
          </w:p>
        </w:tc>
        <w:tc>
          <w:tcPr>
            <w:tcW w:w="2300" w:type="dxa"/>
            <w:vAlign w:val="bottom"/>
          </w:tcPr>
          <w:p>
            <w:pPr>
              <w:spacing w:after="0"/>
              <w:rPr>
                <w:sz w:val="21"/>
                <w:szCs w:val="21"/>
                <w:color w:val="auto"/>
              </w:rPr>
            </w:pPr>
          </w:p>
        </w:tc>
      </w:tr>
      <w:tr>
        <w:trPr>
          <w:trHeight w:val="235"/>
        </w:trPr>
        <w:tc>
          <w:tcPr>
            <w:tcW w:w="4360" w:type="dxa"/>
            <w:vAlign w:val="bottom"/>
            <w:gridSpan w:val="2"/>
          </w:tcPr>
          <w:p>
            <w:pPr>
              <w:jc w:val="right"/>
              <w:ind w:right="1632"/>
              <w:spacing w:after="0"/>
              <w:rPr>
                <w:sz w:val="20"/>
                <w:szCs w:val="20"/>
                <w:color w:val="auto"/>
              </w:rPr>
            </w:pPr>
            <w:r>
              <w:rPr>
                <w:rFonts w:ascii="Arial" w:cs="Arial" w:eastAsia="Arial" w:hAnsi="Arial"/>
                <w:sz w:val="18"/>
                <w:szCs w:val="18"/>
                <w:color w:val="auto"/>
              </w:rPr>
              <w:t>2014</w:t>
            </w: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2"/>
          </w:tcPr>
          <w:p>
            <w:pPr>
              <w:jc w:val="right"/>
              <w:ind w:right="2300"/>
              <w:spacing w:after="0"/>
              <w:rPr>
                <w:sz w:val="20"/>
                <w:szCs w:val="20"/>
                <w:color w:val="auto"/>
              </w:rPr>
            </w:pPr>
            <w:r>
              <w:rPr>
                <w:rFonts w:ascii="Arial" w:cs="Arial" w:eastAsia="Arial" w:hAnsi="Arial"/>
                <w:sz w:val="18"/>
                <w:szCs w:val="18"/>
                <w:color w:val="auto"/>
              </w:rPr>
              <w:t>1,447</w:t>
            </w:r>
          </w:p>
        </w:tc>
      </w:tr>
      <w:tr>
        <w:trPr>
          <w:trHeight w:val="251"/>
        </w:trPr>
        <w:tc>
          <w:tcPr>
            <w:tcW w:w="2300" w:type="dxa"/>
            <w:vAlign w:val="bottom"/>
          </w:tcPr>
          <w:p>
            <w:pPr>
              <w:spacing w:after="0"/>
              <w:rPr>
                <w:sz w:val="21"/>
                <w:szCs w:val="21"/>
                <w:color w:val="auto"/>
              </w:rPr>
            </w:pPr>
          </w:p>
        </w:tc>
        <w:tc>
          <w:tcPr>
            <w:tcW w:w="2060" w:type="dxa"/>
            <w:vAlign w:val="bottom"/>
            <w:shd w:val="clear" w:color="auto" w:fill="C0C0C0"/>
          </w:tcPr>
          <w:p>
            <w:pPr>
              <w:jc w:val="right"/>
              <w:ind w:right="1632"/>
              <w:spacing w:after="0"/>
              <w:rPr>
                <w:sz w:val="20"/>
                <w:szCs w:val="20"/>
                <w:color w:val="auto"/>
              </w:rPr>
            </w:pPr>
            <w:r>
              <w:rPr>
                <w:rFonts w:ascii="Arial" w:cs="Arial" w:eastAsia="Arial" w:hAnsi="Arial"/>
                <w:sz w:val="18"/>
                <w:szCs w:val="18"/>
                <w:color w:val="auto"/>
                <w:w w:val="79"/>
              </w:rPr>
              <w:t>2015</w:t>
            </w:r>
          </w:p>
        </w:tc>
        <w:tc>
          <w:tcPr>
            <w:tcW w:w="4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362</w:t>
            </w:r>
          </w:p>
        </w:tc>
        <w:tc>
          <w:tcPr>
            <w:tcW w:w="2300" w:type="dxa"/>
            <w:vAlign w:val="bottom"/>
          </w:tcPr>
          <w:p>
            <w:pPr>
              <w:spacing w:after="0"/>
              <w:rPr>
                <w:sz w:val="21"/>
                <w:szCs w:val="21"/>
                <w:color w:val="auto"/>
              </w:rPr>
            </w:pPr>
          </w:p>
        </w:tc>
      </w:tr>
      <w:tr>
        <w:trPr>
          <w:trHeight w:val="235"/>
        </w:trPr>
        <w:tc>
          <w:tcPr>
            <w:tcW w:w="4360" w:type="dxa"/>
            <w:vAlign w:val="bottom"/>
            <w:gridSpan w:val="2"/>
          </w:tcPr>
          <w:p>
            <w:pPr>
              <w:jc w:val="right"/>
              <w:ind w:right="1192"/>
              <w:spacing w:after="0"/>
              <w:rPr>
                <w:sz w:val="20"/>
                <w:szCs w:val="20"/>
                <w:color w:val="auto"/>
              </w:rPr>
            </w:pPr>
            <w:r>
              <w:rPr>
                <w:rFonts w:ascii="Arial" w:cs="Arial" w:eastAsia="Arial" w:hAnsi="Arial"/>
                <w:sz w:val="18"/>
                <w:szCs w:val="18"/>
                <w:color w:val="auto"/>
              </w:rPr>
              <w:t>Later years</w:t>
            </w: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2"/>
          </w:tcPr>
          <w:p>
            <w:pPr>
              <w:jc w:val="right"/>
              <w:ind w:right="2300"/>
              <w:spacing w:after="0"/>
              <w:rPr>
                <w:sz w:val="20"/>
                <w:szCs w:val="20"/>
                <w:color w:val="auto"/>
              </w:rPr>
            </w:pPr>
            <w:r>
              <w:rPr>
                <w:rFonts w:ascii="Arial" w:cs="Arial" w:eastAsia="Arial" w:hAnsi="Arial"/>
                <w:sz w:val="18"/>
                <w:szCs w:val="18"/>
                <w:color w:val="auto"/>
              </w:rPr>
              <w:t>4,509</w:t>
            </w:r>
          </w:p>
        </w:tc>
      </w:tr>
      <w:tr>
        <w:trPr>
          <w:trHeight w:val="21"/>
        </w:trPr>
        <w:tc>
          <w:tcPr>
            <w:tcW w:w="2300" w:type="dxa"/>
            <w:vAlign w:val="bottom"/>
          </w:tcPr>
          <w:p>
            <w:pPr>
              <w:spacing w:after="0" w:line="20" w:lineRule="exact"/>
              <w:rPr>
                <w:sz w:val="1"/>
                <w:szCs w:val="1"/>
                <w:color w:val="auto"/>
              </w:rPr>
            </w:pPr>
          </w:p>
        </w:tc>
        <w:tc>
          <w:tcPr>
            <w:tcW w:w="2060" w:type="dxa"/>
            <w:vAlign w:val="bottom"/>
            <w:shd w:val="clear" w:color="auto" w:fill="C0C0C0"/>
          </w:tcPr>
          <w:p>
            <w:pPr>
              <w:spacing w:after="0" w:line="20" w:lineRule="exact"/>
              <w:rPr>
                <w:sz w:val="1"/>
                <w:szCs w:val="1"/>
                <w:color w:val="auto"/>
              </w:rPr>
            </w:pPr>
          </w:p>
        </w:tc>
        <w:tc>
          <w:tcPr>
            <w:tcW w:w="42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57"/>
        </w:trPr>
        <w:tc>
          <w:tcPr>
            <w:tcW w:w="2300" w:type="dxa"/>
            <w:vAlign w:val="bottom"/>
          </w:tcPr>
          <w:p>
            <w:pPr>
              <w:spacing w:after="0"/>
              <w:rPr>
                <w:sz w:val="22"/>
                <w:szCs w:val="22"/>
                <w:color w:val="auto"/>
              </w:rPr>
            </w:pPr>
          </w:p>
        </w:tc>
        <w:tc>
          <w:tcPr>
            <w:tcW w:w="2060" w:type="dxa"/>
            <w:vAlign w:val="bottom"/>
            <w:shd w:val="clear" w:color="auto" w:fill="C0C0C0"/>
          </w:tcPr>
          <w:p>
            <w:pPr>
              <w:spacing w:after="0"/>
              <w:rPr>
                <w:sz w:val="22"/>
                <w:szCs w:val="22"/>
                <w:color w:val="auto"/>
              </w:rPr>
            </w:pPr>
          </w:p>
        </w:tc>
        <w:tc>
          <w:tcPr>
            <w:tcW w:w="43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3"/>
              </w:rPr>
              <w:t>11,103</w:t>
            </w:r>
          </w:p>
        </w:tc>
        <w:tc>
          <w:tcPr>
            <w:tcW w:w="2300" w:type="dxa"/>
            <w:vAlign w:val="bottom"/>
          </w:tcPr>
          <w:p>
            <w:pPr>
              <w:spacing w:after="0"/>
              <w:rPr>
                <w:sz w:val="22"/>
                <w:szCs w:val="22"/>
                <w:color w:val="auto"/>
              </w:rPr>
            </w:pPr>
          </w:p>
        </w:tc>
      </w:tr>
      <w:tr>
        <w:trPr>
          <w:trHeight w:val="451"/>
        </w:trPr>
        <w:tc>
          <w:tcPr>
            <w:tcW w:w="2300" w:type="dxa"/>
            <w:vAlign w:val="bottom"/>
          </w:tcPr>
          <w:p>
            <w:pPr>
              <w:spacing w:after="0"/>
              <w:rPr>
                <w:sz w:val="24"/>
                <w:szCs w:val="24"/>
                <w:color w:val="auto"/>
              </w:rPr>
            </w:pPr>
          </w:p>
        </w:tc>
        <w:tc>
          <w:tcPr>
            <w:tcW w:w="2060" w:type="dxa"/>
            <w:vAlign w:val="bottom"/>
            <w:tcBorders>
              <w:top w:val="single" w:sz="8" w:color="C0C0C0"/>
            </w:tcBorders>
          </w:tcPr>
          <w:p>
            <w:pPr>
              <w:spacing w:after="0"/>
              <w:rPr>
                <w:sz w:val="24"/>
                <w:szCs w:val="24"/>
                <w:color w:val="auto"/>
              </w:rPr>
            </w:pPr>
          </w:p>
        </w:tc>
        <w:tc>
          <w:tcPr>
            <w:tcW w:w="4200" w:type="dxa"/>
            <w:vAlign w:val="bottom"/>
            <w:tcBorders>
              <w:top w:val="single" w:sz="8" w:color="C0C0C0"/>
            </w:tcBorders>
          </w:tcPr>
          <w:p>
            <w:pPr>
              <w:jc w:val="right"/>
              <w:ind w:right="2672"/>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363"/>
        </w:trPr>
        <w:tc>
          <w:tcPr>
            <w:tcW w:w="230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NOTE 12 – LEASES (CONTINUED)</w:t>
      </w:r>
    </w:p>
    <w:p>
      <w:pPr>
        <w:spacing w:after="0" w:line="285" w:lineRule="exact"/>
        <w:rPr>
          <w:sz w:val="20"/>
          <w:szCs w:val="20"/>
          <w:color w:val="auto"/>
        </w:rPr>
      </w:pPr>
    </w:p>
    <w:p>
      <w:pPr>
        <w:jc w:val="both"/>
        <w:ind w:right="20" w:firstLine="270"/>
        <w:spacing w:after="0" w:line="268" w:lineRule="auto"/>
        <w:rPr>
          <w:sz w:val="20"/>
          <w:szCs w:val="20"/>
          <w:color w:val="auto"/>
        </w:rPr>
      </w:pPr>
      <w:r>
        <w:rPr>
          <w:rFonts w:ascii="Arial" w:cs="Arial" w:eastAsia="Arial" w:hAnsi="Arial"/>
          <w:sz w:val="18"/>
          <w:szCs w:val="18"/>
          <w:color w:val="auto"/>
        </w:rPr>
        <w:t>The following schedule shows the composition of total rental expense for all operating leases, including those with terms of one month or less which were not renewed, as of the years ended July 31:</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496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2010</w:t>
            </w: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2008</w:t>
            </w:r>
          </w:p>
        </w:tc>
        <w:tc>
          <w:tcPr>
            <w:tcW w:w="20" w:type="dxa"/>
            <w:vAlign w:val="bottom"/>
          </w:tcPr>
          <w:p>
            <w:pPr>
              <w:spacing w:after="0"/>
              <w:rPr>
                <w:sz w:val="20"/>
                <w:szCs w:val="20"/>
                <w:color w:val="auto"/>
              </w:rPr>
            </w:pPr>
          </w:p>
        </w:tc>
      </w:tr>
      <w:tr>
        <w:trPr>
          <w:trHeight w:val="236"/>
        </w:trPr>
        <w:tc>
          <w:tcPr>
            <w:tcW w:w="4960" w:type="dxa"/>
            <w:vAlign w:val="bottom"/>
          </w:tcPr>
          <w:p>
            <w:pPr>
              <w:spacing w:after="0"/>
              <w:rPr>
                <w:sz w:val="20"/>
                <w:szCs w:val="20"/>
                <w:color w:val="auto"/>
              </w:rPr>
            </w:pPr>
          </w:p>
        </w:tc>
        <w:tc>
          <w:tcPr>
            <w:tcW w:w="1880" w:type="dxa"/>
            <w:vAlign w:val="bottom"/>
            <w:gridSpan w:val="5"/>
          </w:tcPr>
          <w:p>
            <w:pPr>
              <w:jc w:val="right"/>
              <w:ind w:right="312"/>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20"/>
                <w:szCs w:val="20"/>
                <w:color w:val="auto"/>
              </w:rPr>
            </w:pPr>
          </w:p>
        </w:tc>
      </w:tr>
      <w:tr>
        <w:trPr>
          <w:trHeight w:val="250"/>
        </w:trPr>
        <w:tc>
          <w:tcPr>
            <w:tcW w:w="4960" w:type="dxa"/>
            <w:vAlign w:val="bottom"/>
            <w:shd w:val="clear" w:color="auto" w:fill="C0C0C0"/>
          </w:tcPr>
          <w:p>
            <w:pPr>
              <w:spacing w:after="0"/>
              <w:rPr>
                <w:sz w:val="20"/>
                <w:szCs w:val="20"/>
                <w:color w:val="auto"/>
              </w:rPr>
            </w:pPr>
            <w:r>
              <w:rPr>
                <w:rFonts w:ascii="Arial" w:cs="Arial" w:eastAsia="Arial" w:hAnsi="Arial"/>
                <w:sz w:val="18"/>
                <w:szCs w:val="18"/>
                <w:color w:val="auto"/>
              </w:rPr>
              <w:t>Vehicles and Railcars</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87"/>
              </w:rPr>
              <w:t>$1,536</w:t>
            </w:r>
          </w:p>
        </w:tc>
        <w:tc>
          <w:tcPr>
            <w:tcW w:w="18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7"/>
              </w:rPr>
              <w:t>$1,447</w:t>
            </w:r>
          </w:p>
        </w:tc>
        <w:tc>
          <w:tcPr>
            <w:tcW w:w="20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$ 1,011</w:t>
            </w:r>
          </w:p>
        </w:tc>
        <w:tc>
          <w:tcPr>
            <w:tcW w:w="20" w:type="dxa"/>
            <w:vAlign w:val="bottom"/>
          </w:tcPr>
          <w:p>
            <w:pPr>
              <w:spacing w:after="0"/>
              <w:rPr>
                <w:sz w:val="21"/>
                <w:szCs w:val="21"/>
                <w:color w:val="auto"/>
              </w:rPr>
            </w:pPr>
          </w:p>
        </w:tc>
      </w:tr>
      <w:tr>
        <w:trPr>
          <w:trHeight w:val="236"/>
        </w:trPr>
        <w:tc>
          <w:tcPr>
            <w:tcW w:w="4960" w:type="dxa"/>
            <w:vAlign w:val="bottom"/>
          </w:tcPr>
          <w:p>
            <w:pPr>
              <w:spacing w:after="0"/>
              <w:rPr>
                <w:sz w:val="20"/>
                <w:szCs w:val="20"/>
                <w:color w:val="auto"/>
              </w:rPr>
            </w:pPr>
            <w:r>
              <w:rPr>
                <w:rFonts w:ascii="Arial" w:cs="Arial" w:eastAsia="Arial" w:hAnsi="Arial"/>
                <w:sz w:val="18"/>
                <w:szCs w:val="18"/>
                <w:color w:val="auto"/>
              </w:rPr>
              <w:t>Office facilities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809</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821</w:t>
            </w:r>
          </w:p>
        </w:tc>
        <w:tc>
          <w:tcPr>
            <w:tcW w:w="2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r>
      <w:tr>
        <w:trPr>
          <w:trHeight w:val="250"/>
        </w:trPr>
        <w:tc>
          <w:tcPr>
            <w:tcW w:w="4960" w:type="dxa"/>
            <w:vAlign w:val="bottom"/>
            <w:shd w:val="clear" w:color="auto" w:fill="C0C0C0"/>
          </w:tcPr>
          <w:p>
            <w:pPr>
              <w:spacing w:after="0"/>
              <w:rPr>
                <w:sz w:val="20"/>
                <w:szCs w:val="20"/>
                <w:color w:val="auto"/>
              </w:rPr>
            </w:pPr>
            <w:r>
              <w:rPr>
                <w:rFonts w:ascii="Arial" w:cs="Arial" w:eastAsia="Arial" w:hAnsi="Arial"/>
                <w:sz w:val="18"/>
                <w:szCs w:val="18"/>
                <w:color w:val="auto"/>
              </w:rPr>
              <w:t>Warehouse facilities</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335</w:t>
            </w:r>
          </w:p>
        </w:tc>
        <w:tc>
          <w:tcPr>
            <w:tcW w:w="18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1"/>
                <w:szCs w:val="21"/>
                <w:color w:val="auto"/>
              </w:rPr>
            </w:pPr>
          </w:p>
        </w:tc>
      </w:tr>
      <w:tr>
        <w:trPr>
          <w:trHeight w:val="235"/>
        </w:trPr>
        <w:tc>
          <w:tcPr>
            <w:tcW w:w="4960" w:type="dxa"/>
            <w:vAlign w:val="bottom"/>
          </w:tcPr>
          <w:p>
            <w:pPr>
              <w:spacing w:after="0"/>
              <w:rPr>
                <w:sz w:val="20"/>
                <w:szCs w:val="20"/>
                <w:color w:val="auto"/>
              </w:rPr>
            </w:pPr>
            <w:r>
              <w:rPr>
                <w:rFonts w:ascii="Arial" w:cs="Arial" w:eastAsia="Arial" w:hAnsi="Arial"/>
                <w:sz w:val="18"/>
                <w:szCs w:val="18"/>
                <w:color w:val="auto"/>
              </w:rPr>
              <w:t>Mining properties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9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Minimum</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113</w:t>
            </w:r>
          </w:p>
        </w:tc>
        <w:tc>
          <w:tcPr>
            <w:tcW w:w="18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21"/>
                <w:szCs w:val="21"/>
                <w:color w:val="auto"/>
              </w:rPr>
            </w:pPr>
          </w:p>
        </w:tc>
      </w:tr>
      <w:tr>
        <w:trPr>
          <w:trHeight w:val="236"/>
        </w:trPr>
        <w:tc>
          <w:tcPr>
            <w:tcW w:w="4960" w:type="dxa"/>
            <w:vAlign w:val="bottom"/>
          </w:tcPr>
          <w:p>
            <w:pPr>
              <w:ind w:left="300"/>
              <w:spacing w:after="0"/>
              <w:rPr>
                <w:sz w:val="20"/>
                <w:szCs w:val="20"/>
                <w:color w:val="auto"/>
              </w:rPr>
            </w:pPr>
            <w:r>
              <w:rPr>
                <w:rFonts w:ascii="Arial" w:cs="Arial" w:eastAsia="Arial" w:hAnsi="Arial"/>
                <w:sz w:val="18"/>
                <w:szCs w:val="18"/>
                <w:color w:val="auto"/>
              </w:rPr>
              <w:t>Contingent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336</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r>
      <w:tr>
        <w:trPr>
          <w:trHeight w:val="244"/>
        </w:trPr>
        <w:tc>
          <w:tcPr>
            <w:tcW w:w="496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167</w:t>
            </w:r>
          </w:p>
        </w:tc>
        <w:tc>
          <w:tcPr>
            <w:tcW w:w="180" w:type="dxa"/>
            <w:vAlign w:val="bottom"/>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21"/>
                <w:szCs w:val="21"/>
                <w:color w:val="auto"/>
              </w:rPr>
            </w:pPr>
          </w:p>
        </w:tc>
      </w:tr>
      <w:tr>
        <w:trPr>
          <w:trHeight w:val="250"/>
        </w:trPr>
        <w:tc>
          <w:tcPr>
            <w:tcW w:w="496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$3,296</w:t>
            </w:r>
          </w:p>
        </w:tc>
        <w:tc>
          <w:tcPr>
            <w:tcW w:w="18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$3,141</w:t>
            </w:r>
          </w:p>
        </w:tc>
        <w:tc>
          <w:tcPr>
            <w:tcW w:w="200" w:type="dxa"/>
            <w:vAlign w:val="bottom"/>
          </w:tcPr>
          <w:p>
            <w:pPr>
              <w:spacing w:after="0"/>
              <w:rPr>
                <w:sz w:val="21"/>
                <w:szCs w:val="21"/>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$2,993</w:t>
            </w:r>
          </w:p>
        </w:tc>
      </w:tr>
    </w:tbl>
    <w:p>
      <w:pPr>
        <w:spacing w:after="0" w:line="200" w:lineRule="exact"/>
        <w:rPr>
          <w:sz w:val="20"/>
          <w:szCs w:val="20"/>
          <w:color w:val="auto"/>
        </w:rPr>
      </w:pPr>
    </w:p>
    <w:p>
      <w:pPr>
        <w:spacing w:after="0" w:line="30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Contingent mining royalty payments are determined based on the tons of raw clay mined.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CASH FLOW INFORMATION</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payments for interest and income taxes were as follows for the years ended July 31, (in thousands):</w:t>
      </w:r>
    </w:p>
    <w:p>
      <w:pPr>
        <w:spacing w:after="0" w:line="260"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4960" w:type="dxa"/>
            <w:vAlign w:val="bottom"/>
            <w:tcBorders>
              <w:bottom w:val="single" w:sz="8" w:color="C0C0C0"/>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2010</w:t>
            </w:r>
          </w:p>
        </w:tc>
        <w:tc>
          <w:tcPr>
            <w:tcW w:w="180" w:type="dxa"/>
            <w:vAlign w:val="bottom"/>
            <w:tcBorders>
              <w:bottom w:val="single" w:sz="8" w:color="C0C0C0"/>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Borders>
              <w:bottom w:val="single" w:sz="8" w:color="C0C0C0"/>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2008</w:t>
            </w:r>
          </w:p>
        </w:tc>
      </w:tr>
      <w:tr>
        <w:trPr>
          <w:trHeight w:val="243"/>
        </w:trPr>
        <w:tc>
          <w:tcPr>
            <w:tcW w:w="4960" w:type="dxa"/>
            <w:vAlign w:val="bottom"/>
            <w:shd w:val="clear" w:color="auto" w:fill="C0C0C0"/>
          </w:tcPr>
          <w:p>
            <w:pPr>
              <w:spacing w:after="0"/>
              <w:rPr>
                <w:sz w:val="20"/>
                <w:szCs w:val="20"/>
                <w:color w:val="auto"/>
              </w:rPr>
            </w:pPr>
            <w:r>
              <w:rPr>
                <w:rFonts w:ascii="Arial" w:cs="Arial" w:eastAsia="Arial" w:hAnsi="Arial"/>
                <w:sz w:val="18"/>
                <w:szCs w:val="18"/>
                <w:color w:val="auto"/>
              </w:rPr>
              <w:t>Interest</w:t>
            </w:r>
          </w:p>
        </w:tc>
        <w:tc>
          <w:tcPr>
            <w:tcW w:w="50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$1,332</w:t>
            </w:r>
          </w:p>
        </w:tc>
        <w:tc>
          <w:tcPr>
            <w:tcW w:w="180" w:type="dxa"/>
            <w:vAlign w:val="bottom"/>
            <w:shd w:val="clear" w:color="auto" w:fill="C0C0C0"/>
          </w:tcPr>
          <w:p>
            <w:pPr>
              <w:spacing w:after="0"/>
              <w:rPr>
                <w:sz w:val="21"/>
                <w:szCs w:val="21"/>
                <w:color w:val="auto"/>
              </w:rPr>
            </w:pPr>
          </w:p>
        </w:tc>
        <w:tc>
          <w:tcPr>
            <w:tcW w:w="5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$1,502</w:t>
            </w:r>
          </w:p>
        </w:tc>
        <w:tc>
          <w:tcPr>
            <w:tcW w:w="700" w:type="dxa"/>
            <w:vAlign w:val="bottom"/>
            <w:gridSpan w:val="2"/>
            <w:shd w:val="clear" w:color="auto" w:fill="C0C0C0"/>
          </w:tcPr>
          <w:p>
            <w:pPr>
              <w:jc w:val="center"/>
              <w:ind w:left="112"/>
              <w:spacing w:after="0"/>
              <w:rPr>
                <w:sz w:val="20"/>
                <w:szCs w:val="20"/>
                <w:color w:val="auto"/>
              </w:rPr>
            </w:pPr>
            <w:r>
              <w:rPr>
                <w:rFonts w:ascii="Arial" w:cs="Arial" w:eastAsia="Arial" w:hAnsi="Arial"/>
                <w:sz w:val="18"/>
                <w:szCs w:val="18"/>
                <w:color w:val="auto"/>
                <w:w w:val="90"/>
              </w:rPr>
              <w:t>$1,861</w:t>
            </w:r>
          </w:p>
        </w:tc>
      </w:tr>
      <w:tr>
        <w:trPr>
          <w:trHeight w:val="228"/>
        </w:trPr>
        <w:tc>
          <w:tcPr>
            <w:tcW w:w="4960" w:type="dxa"/>
            <w:vAlign w:val="bottom"/>
          </w:tcPr>
          <w:p>
            <w:pPr>
              <w:spacing w:after="0"/>
              <w:rPr>
                <w:sz w:val="20"/>
                <w:szCs w:val="20"/>
                <w:color w:val="auto"/>
              </w:rPr>
            </w:pPr>
            <w:r>
              <w:rPr>
                <w:rFonts w:ascii="Arial" w:cs="Arial" w:eastAsia="Arial" w:hAnsi="Arial"/>
                <w:sz w:val="18"/>
                <w:szCs w:val="18"/>
                <w:color w:val="auto"/>
              </w:rPr>
              <w:t>Income taxes</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0"/>
              </w:rPr>
              <w:t>$2,608</w:t>
            </w:r>
          </w:p>
        </w:tc>
        <w:tc>
          <w:tcPr>
            <w:tcW w:w="1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$2,854</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$2,902</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DERIVATIVE INSTRUMENTS</w:t>
      </w:r>
    </w:p>
    <w:p>
      <w:pPr>
        <w:spacing w:after="0" w:line="285" w:lineRule="exact"/>
        <w:rPr>
          <w:sz w:val="20"/>
          <w:szCs w:val="20"/>
          <w:color w:val="auto"/>
        </w:rPr>
      </w:pPr>
    </w:p>
    <w:p>
      <w:pPr>
        <w:jc w:val="both"/>
        <w:ind w:right="20" w:firstLine="311"/>
        <w:spacing w:after="0" w:line="294" w:lineRule="auto"/>
        <w:rPr>
          <w:sz w:val="20"/>
          <w:szCs w:val="20"/>
          <w:color w:val="auto"/>
        </w:rPr>
      </w:pPr>
      <w:r>
        <w:rPr>
          <w:rFonts w:ascii="Arial" w:cs="Arial" w:eastAsia="Arial" w:hAnsi="Arial"/>
          <w:sz w:val="16"/>
          <w:szCs w:val="16"/>
          <w:color w:val="auto"/>
        </w:rPr>
        <w:t>During the third quarter of fiscal 2010, the process was complete to unwind our two offsetting interest rate swap agreements that were entered into in 1998 with the same counterparty. While these agreements were in effect they did not qualify for hedge accounting and, accordingly, we recorded these derivative instruments and the associated assets or liabilities at their fair values with the related gains or losses recorded as other income or expense in the Consolidated Statements of Operations. We recognized additional interest expense of $11,000, $6,000 and $7,000 in fiscal years 2010, 2009 and 2008, respectively, as a result of these contracts. The notional amount of these agreements was $22,000,000 at July 31,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SELECTED QUARTERLY FINANCIAL DATA (UNAUDITED)</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summary of selected information for 2010 and 2009 is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5"/>
          </w:tcPr>
          <w:p>
            <w:pPr>
              <w:jc w:val="center"/>
              <w:ind w:right="134"/>
              <w:spacing w:after="0"/>
              <w:rPr>
                <w:sz w:val="20"/>
                <w:szCs w:val="20"/>
                <w:color w:val="auto"/>
              </w:rPr>
            </w:pPr>
            <w:r>
              <w:rPr>
                <w:rFonts w:ascii="Arial" w:cs="Arial" w:eastAsia="Arial" w:hAnsi="Arial"/>
                <w:sz w:val="14"/>
                <w:szCs w:val="14"/>
                <w:b w:val="1"/>
                <w:bCs w:val="1"/>
                <w:color w:val="auto"/>
                <w:w w:val="88"/>
              </w:rPr>
              <w:t>Fiscal 2010 Quarter Ended</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
        </w:trPr>
        <w:tc>
          <w:tcPr>
            <w:tcW w:w="38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38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October 31</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April 30</w:t>
            </w:r>
          </w:p>
        </w:tc>
        <w:tc>
          <w:tcPr>
            <w:tcW w:w="180" w:type="dxa"/>
            <w:vAlign w:val="bottom"/>
          </w:tcPr>
          <w:p>
            <w:pPr>
              <w:spacing w:after="0"/>
              <w:rPr>
                <w:sz w:val="17"/>
                <w:szCs w:val="17"/>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w w:val="84"/>
              </w:rPr>
              <w:t>July 31</w:t>
            </w:r>
          </w:p>
        </w:tc>
        <w:tc>
          <w:tcPr>
            <w:tcW w:w="16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41"/>
        </w:trPr>
        <w:tc>
          <w:tcPr>
            <w:tcW w:w="38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6"/>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38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
        </w:trPr>
        <w:tc>
          <w:tcPr>
            <w:tcW w:w="38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gridSpan w:val="2"/>
          </w:tcPr>
          <w:p>
            <w:pPr>
              <w:spacing w:after="0"/>
              <w:rPr>
                <w:sz w:val="3"/>
                <w:szCs w:val="3"/>
                <w:color w:val="auto"/>
              </w:rPr>
            </w:pPr>
          </w:p>
        </w:tc>
      </w:tr>
      <w:tr>
        <w:trPr>
          <w:trHeight w:val="243"/>
        </w:trPr>
        <w:tc>
          <w:tcPr>
            <w:tcW w:w="384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3780" w:type="dxa"/>
            <w:vAlign w:val="bottom"/>
            <w:gridSpan w:val="2"/>
            <w:shd w:val="clear" w:color="auto" w:fill="C0C0C0"/>
          </w:tcPr>
          <w:p>
            <w:pPr>
              <w:ind w:left="36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0"/>
              </w:rPr>
              <w:t>53,404</w:t>
            </w:r>
          </w:p>
        </w:tc>
        <w:tc>
          <w:tcPr>
            <w:tcW w:w="2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w w:val="90"/>
              </w:rPr>
              <w:t>54,734</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87"/>
              </w:rPr>
              <w:t>56,259</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4"/>
              <w:spacing w:after="0"/>
              <w:rPr>
                <w:sz w:val="20"/>
                <w:szCs w:val="20"/>
                <w:color w:val="auto"/>
              </w:rPr>
            </w:pPr>
            <w:r>
              <w:rPr>
                <w:rFonts w:ascii="Arial" w:cs="Arial" w:eastAsia="Arial" w:hAnsi="Arial"/>
                <w:sz w:val="18"/>
                <w:szCs w:val="18"/>
                <w:color w:val="auto"/>
                <w:w w:val="87"/>
              </w:rPr>
              <w:t>54,653</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219,050</w:t>
            </w:r>
          </w:p>
        </w:tc>
        <w:tc>
          <w:tcPr>
            <w:tcW w:w="20" w:type="dxa"/>
            <w:vAlign w:val="bottom"/>
          </w:tcPr>
          <w:p>
            <w:pPr>
              <w:spacing w:after="0"/>
              <w:rPr>
                <w:sz w:val="21"/>
                <w:szCs w:val="21"/>
                <w:color w:val="auto"/>
              </w:rPr>
            </w:pPr>
          </w:p>
        </w:tc>
      </w:tr>
      <w:tr>
        <w:trPr>
          <w:trHeight w:val="235"/>
        </w:trPr>
        <w:tc>
          <w:tcPr>
            <w:tcW w:w="3840" w:type="dxa"/>
            <w:vAlign w:val="bottom"/>
          </w:tcPr>
          <w:p>
            <w:pPr>
              <w:spacing w:after="0"/>
              <w:rPr>
                <w:sz w:val="20"/>
                <w:szCs w:val="20"/>
                <w:color w:val="auto"/>
              </w:rPr>
            </w:pPr>
            <w:r>
              <w:rPr>
                <w:rFonts w:ascii="Arial" w:cs="Arial" w:eastAsia="Arial" w:hAnsi="Arial"/>
                <w:sz w:val="18"/>
                <w:szCs w:val="18"/>
                <w:color w:val="auto"/>
              </w:rPr>
              <w:t>Gross Profit</w:t>
            </w:r>
          </w:p>
        </w:tc>
        <w:tc>
          <w:tcPr>
            <w:tcW w:w="3780" w:type="dxa"/>
            <w:vAlign w:val="bottom"/>
            <w:gridSpan w:val="2"/>
          </w:tcPr>
          <w:p>
            <w:pPr>
              <w:ind w:left="36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12,323</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w w:val="90"/>
              </w:rPr>
              <w:t>12,670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13,170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w w:val="87"/>
              </w:rPr>
              <w:t>11,525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49,688</w:t>
            </w:r>
          </w:p>
        </w:tc>
      </w:tr>
      <w:tr>
        <w:trPr>
          <w:trHeight w:val="251"/>
        </w:trPr>
        <w:tc>
          <w:tcPr>
            <w:tcW w:w="384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3780" w:type="dxa"/>
            <w:vAlign w:val="bottom"/>
            <w:gridSpan w:val="2"/>
            <w:shd w:val="clear" w:color="auto" w:fill="C0C0C0"/>
          </w:tcPr>
          <w:p>
            <w:pPr>
              <w:ind w:left="36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2,194</w:t>
            </w:r>
          </w:p>
        </w:tc>
        <w:tc>
          <w:tcPr>
            <w:tcW w:w="2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2,262</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2,586</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4"/>
              <w:spacing w:after="0"/>
              <w:rPr>
                <w:sz w:val="20"/>
                <w:szCs w:val="20"/>
                <w:color w:val="auto"/>
              </w:rPr>
            </w:pPr>
            <w:r>
              <w:rPr>
                <w:rFonts w:ascii="Arial" w:cs="Arial" w:eastAsia="Arial" w:hAnsi="Arial"/>
                <w:sz w:val="18"/>
                <w:szCs w:val="18"/>
                <w:color w:val="auto"/>
              </w:rPr>
              <w:t>2,416</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9,458</w:t>
            </w:r>
          </w:p>
        </w:tc>
        <w:tc>
          <w:tcPr>
            <w:tcW w:w="20" w:type="dxa"/>
            <w:vAlign w:val="bottom"/>
          </w:tcPr>
          <w:p>
            <w:pPr>
              <w:spacing w:after="0"/>
              <w:rPr>
                <w:sz w:val="21"/>
                <w:szCs w:val="21"/>
                <w:color w:val="auto"/>
              </w:rPr>
            </w:pPr>
          </w:p>
        </w:tc>
      </w:tr>
      <w:tr>
        <w:trPr>
          <w:trHeight w:val="235"/>
        </w:trPr>
        <w:tc>
          <w:tcPr>
            <w:tcW w:w="3840" w:type="dxa"/>
            <w:vAlign w:val="bottom"/>
          </w:tcPr>
          <w:p>
            <w:pPr>
              <w:spacing w:after="0"/>
              <w:rPr>
                <w:sz w:val="20"/>
                <w:szCs w:val="20"/>
                <w:color w:val="auto"/>
              </w:rPr>
            </w:pPr>
            <w:r>
              <w:rPr>
                <w:rFonts w:ascii="Arial" w:cs="Arial" w:eastAsia="Arial" w:hAnsi="Arial"/>
                <w:sz w:val="18"/>
                <w:szCs w:val="18"/>
                <w:color w:val="auto"/>
              </w:rPr>
              <w:t>Net Income Per Share</w:t>
            </w:r>
          </w:p>
        </w:tc>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8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Basic Common</w:t>
            </w:r>
          </w:p>
        </w:tc>
        <w:tc>
          <w:tcPr>
            <w:tcW w:w="3780" w:type="dxa"/>
            <w:vAlign w:val="bottom"/>
            <w:gridSpan w:val="2"/>
            <w:shd w:val="clear" w:color="auto" w:fill="C0C0C0"/>
          </w:tcPr>
          <w:p>
            <w:pPr>
              <w:ind w:left="36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0.33</w:t>
            </w:r>
          </w:p>
        </w:tc>
        <w:tc>
          <w:tcPr>
            <w:tcW w:w="2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0.34</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4"/>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1"/>
                <w:szCs w:val="21"/>
                <w:color w:val="auto"/>
              </w:rPr>
            </w:pPr>
          </w:p>
        </w:tc>
      </w:tr>
      <w:tr>
        <w:trPr>
          <w:trHeight w:val="235"/>
        </w:trPr>
        <w:tc>
          <w:tcPr>
            <w:tcW w:w="3840" w:type="dxa"/>
            <w:vAlign w:val="bottom"/>
          </w:tcPr>
          <w:p>
            <w:pPr>
              <w:ind w:left="320"/>
              <w:spacing w:after="0"/>
              <w:rPr>
                <w:sz w:val="20"/>
                <w:szCs w:val="20"/>
                <w:color w:val="auto"/>
              </w:rPr>
            </w:pPr>
            <w:r>
              <w:rPr>
                <w:rFonts w:ascii="Arial" w:cs="Arial" w:eastAsia="Arial" w:hAnsi="Arial"/>
                <w:sz w:val="18"/>
                <w:szCs w:val="18"/>
                <w:color w:val="auto"/>
              </w:rPr>
              <w:t>Basic Class B Common</w:t>
            </w:r>
          </w:p>
        </w:tc>
        <w:tc>
          <w:tcPr>
            <w:tcW w:w="3780" w:type="dxa"/>
            <w:vAlign w:val="bottom"/>
            <w:gridSpan w:val="2"/>
          </w:tcPr>
          <w:p>
            <w:pPr>
              <w:ind w:left="36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0.26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0.29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0.28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251"/>
        </w:trPr>
        <w:tc>
          <w:tcPr>
            <w:tcW w:w="38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Diluted</w:t>
            </w:r>
          </w:p>
        </w:tc>
        <w:tc>
          <w:tcPr>
            <w:tcW w:w="3780" w:type="dxa"/>
            <w:vAlign w:val="bottom"/>
            <w:gridSpan w:val="2"/>
            <w:shd w:val="clear" w:color="auto" w:fill="C0C0C0"/>
          </w:tcPr>
          <w:p>
            <w:pPr>
              <w:ind w:left="36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0.31</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4"/>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1"/>
                <w:szCs w:val="21"/>
                <w:color w:val="auto"/>
              </w:rPr>
            </w:pPr>
          </w:p>
        </w:tc>
      </w:tr>
      <w:tr>
        <w:trPr>
          <w:trHeight w:val="235"/>
        </w:trPr>
        <w:tc>
          <w:tcPr>
            <w:tcW w:w="3840" w:type="dxa"/>
            <w:vAlign w:val="bottom"/>
          </w:tcPr>
          <w:p>
            <w:pPr>
              <w:spacing w:after="0"/>
              <w:rPr>
                <w:sz w:val="20"/>
                <w:szCs w:val="20"/>
                <w:color w:val="auto"/>
              </w:rPr>
            </w:pPr>
            <w:r>
              <w:rPr>
                <w:rFonts w:ascii="Arial" w:cs="Arial" w:eastAsia="Arial" w:hAnsi="Arial"/>
                <w:sz w:val="18"/>
                <w:szCs w:val="18"/>
                <w:color w:val="auto"/>
              </w:rPr>
              <w:t>Dividends Per Share</w:t>
            </w:r>
          </w:p>
        </w:tc>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8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Common</w:t>
            </w:r>
          </w:p>
        </w:tc>
        <w:tc>
          <w:tcPr>
            <w:tcW w:w="3780" w:type="dxa"/>
            <w:vAlign w:val="bottom"/>
            <w:gridSpan w:val="2"/>
            <w:shd w:val="clear" w:color="auto" w:fill="C0C0C0"/>
          </w:tcPr>
          <w:p>
            <w:pPr>
              <w:ind w:left="36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0"/>
              </w:rPr>
              <w:t>0.1500</w:t>
            </w:r>
          </w:p>
        </w:tc>
        <w:tc>
          <w:tcPr>
            <w:tcW w:w="2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w w:val="90"/>
              </w:rPr>
              <w:t>0.1500</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87"/>
              </w:rPr>
              <w:t>0.1500</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4"/>
              <w:spacing w:after="0"/>
              <w:rPr>
                <w:sz w:val="20"/>
                <w:szCs w:val="20"/>
                <w:color w:val="auto"/>
              </w:rPr>
            </w:pPr>
            <w:r>
              <w:rPr>
                <w:rFonts w:ascii="Arial" w:cs="Arial" w:eastAsia="Arial" w:hAnsi="Arial"/>
                <w:sz w:val="18"/>
                <w:szCs w:val="18"/>
                <w:color w:val="auto"/>
                <w:w w:val="87"/>
              </w:rPr>
              <w:t>0.1600</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0.6100</w:t>
            </w:r>
          </w:p>
        </w:tc>
        <w:tc>
          <w:tcPr>
            <w:tcW w:w="20" w:type="dxa"/>
            <w:vAlign w:val="bottom"/>
          </w:tcPr>
          <w:p>
            <w:pPr>
              <w:spacing w:after="0"/>
              <w:rPr>
                <w:sz w:val="21"/>
                <w:szCs w:val="21"/>
                <w:color w:val="auto"/>
              </w:rPr>
            </w:pPr>
          </w:p>
        </w:tc>
      </w:tr>
      <w:tr>
        <w:trPr>
          <w:trHeight w:val="235"/>
        </w:trPr>
        <w:tc>
          <w:tcPr>
            <w:tcW w:w="3840" w:type="dxa"/>
            <w:vAlign w:val="bottom"/>
          </w:tcPr>
          <w:p>
            <w:pPr>
              <w:ind w:left="320"/>
              <w:spacing w:after="0"/>
              <w:rPr>
                <w:sz w:val="20"/>
                <w:szCs w:val="20"/>
                <w:color w:val="auto"/>
              </w:rPr>
            </w:pPr>
            <w:r>
              <w:rPr>
                <w:rFonts w:ascii="Arial" w:cs="Arial" w:eastAsia="Arial" w:hAnsi="Arial"/>
                <w:sz w:val="18"/>
                <w:szCs w:val="18"/>
                <w:color w:val="auto"/>
              </w:rPr>
              <w:t>Class B</w:t>
            </w:r>
          </w:p>
        </w:tc>
        <w:tc>
          <w:tcPr>
            <w:tcW w:w="3780" w:type="dxa"/>
            <w:vAlign w:val="bottom"/>
            <w:gridSpan w:val="2"/>
          </w:tcPr>
          <w:p>
            <w:pPr>
              <w:ind w:left="36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0.1125</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w w:val="90"/>
              </w:rPr>
              <w:t>0.1125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0.1125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w w:val="87"/>
              </w:rPr>
              <w:t>0.1200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0.4575</w:t>
            </w:r>
          </w:p>
        </w:tc>
      </w:tr>
      <w:tr>
        <w:trPr>
          <w:trHeight w:val="251"/>
        </w:trPr>
        <w:tc>
          <w:tcPr>
            <w:tcW w:w="3840" w:type="dxa"/>
            <w:vAlign w:val="bottom"/>
            <w:shd w:val="clear" w:color="auto" w:fill="C0C0C0"/>
          </w:tcPr>
          <w:p>
            <w:pPr>
              <w:spacing w:after="0"/>
              <w:rPr>
                <w:sz w:val="20"/>
                <w:szCs w:val="20"/>
                <w:color w:val="auto"/>
              </w:rPr>
            </w:pPr>
            <w:r>
              <w:rPr>
                <w:rFonts w:ascii="Arial" w:cs="Arial" w:eastAsia="Arial" w:hAnsi="Arial"/>
                <w:sz w:val="18"/>
                <w:szCs w:val="18"/>
                <w:color w:val="auto"/>
              </w:rPr>
              <w:t>Common Stock Price Range:</w:t>
            </w:r>
          </w:p>
        </w:tc>
        <w:tc>
          <w:tcPr>
            <w:tcW w:w="36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840" w:type="dxa"/>
            <w:vAlign w:val="bottom"/>
          </w:tcPr>
          <w:p>
            <w:pPr>
              <w:ind w:left="320"/>
              <w:spacing w:after="0"/>
              <w:rPr>
                <w:sz w:val="20"/>
                <w:szCs w:val="20"/>
                <w:color w:val="auto"/>
              </w:rPr>
            </w:pPr>
            <w:r>
              <w:rPr>
                <w:rFonts w:ascii="Arial" w:cs="Arial" w:eastAsia="Arial" w:hAnsi="Arial"/>
                <w:sz w:val="18"/>
                <w:szCs w:val="18"/>
                <w:color w:val="auto"/>
              </w:rPr>
              <w:t>High</w:t>
            </w:r>
          </w:p>
        </w:tc>
        <w:tc>
          <w:tcPr>
            <w:tcW w:w="3780" w:type="dxa"/>
            <w:vAlign w:val="bottom"/>
            <w:gridSpan w:val="2"/>
          </w:tcPr>
          <w:p>
            <w:pPr>
              <w:ind w:left="36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17.40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16.54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20.76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23.53</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8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Low</w:t>
            </w:r>
          </w:p>
        </w:tc>
        <w:tc>
          <w:tcPr>
            <w:tcW w:w="3780" w:type="dxa"/>
            <w:vAlign w:val="bottom"/>
            <w:gridSpan w:val="2"/>
            <w:shd w:val="clear" w:color="auto" w:fill="C0C0C0"/>
          </w:tcPr>
          <w:p>
            <w:pPr>
              <w:ind w:left="36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14.05</w:t>
            </w:r>
          </w:p>
        </w:tc>
        <w:tc>
          <w:tcPr>
            <w:tcW w:w="2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14.75</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15.10</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4"/>
              <w:spacing w:after="0"/>
              <w:rPr>
                <w:sz w:val="20"/>
                <w:szCs w:val="20"/>
                <w:color w:val="auto"/>
              </w:rPr>
            </w:pPr>
            <w:r>
              <w:rPr>
                <w:rFonts w:ascii="Arial" w:cs="Arial" w:eastAsia="Arial" w:hAnsi="Arial"/>
                <w:sz w:val="18"/>
                <w:szCs w:val="18"/>
                <w:color w:val="auto"/>
              </w:rPr>
              <w:t>18.50</w:t>
            </w:r>
          </w:p>
        </w:tc>
        <w:tc>
          <w:tcPr>
            <w:tcW w:w="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457"/>
        </w:trPr>
        <w:tc>
          <w:tcPr>
            <w:tcW w:w="3840" w:type="dxa"/>
            <w:vAlign w:val="bottom"/>
          </w:tcPr>
          <w:p>
            <w:pPr>
              <w:spacing w:after="0"/>
              <w:rPr>
                <w:sz w:val="24"/>
                <w:szCs w:val="24"/>
                <w:color w:val="auto"/>
              </w:rPr>
            </w:pPr>
          </w:p>
        </w:tc>
        <w:tc>
          <w:tcPr>
            <w:tcW w:w="3640" w:type="dxa"/>
            <w:vAlign w:val="bottom"/>
          </w:tcPr>
          <w:p>
            <w:pPr>
              <w:jc w:val="right"/>
              <w:ind w:right="1592"/>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384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NOTE 15 – SELECTED QUARTERLY FINANCIAL DATA (UNAUDITED) (CONTINUED)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5"/>
          </w:tcPr>
          <w:p>
            <w:pPr>
              <w:jc w:val="center"/>
              <w:ind w:right="134"/>
              <w:spacing w:after="0"/>
              <w:rPr>
                <w:sz w:val="20"/>
                <w:szCs w:val="20"/>
                <w:color w:val="auto"/>
              </w:rPr>
            </w:pPr>
            <w:r>
              <w:rPr>
                <w:rFonts w:ascii="Arial" w:cs="Arial" w:eastAsia="Arial" w:hAnsi="Arial"/>
                <w:sz w:val="14"/>
                <w:szCs w:val="14"/>
                <w:b w:val="1"/>
                <w:bCs w:val="1"/>
                <w:color w:val="auto"/>
                <w:w w:val="88"/>
              </w:rPr>
              <w:t>Fiscal 2009 Quarter Ended</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41"/>
        </w:trPr>
        <w:tc>
          <w:tcPr>
            <w:tcW w:w="7480" w:type="dxa"/>
            <w:vAlign w:val="bottom"/>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6"/>
        </w:trPr>
        <w:tc>
          <w:tcPr>
            <w:tcW w:w="748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October 31</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April 30</w:t>
            </w:r>
          </w:p>
        </w:tc>
        <w:tc>
          <w:tcPr>
            <w:tcW w:w="180" w:type="dxa"/>
            <w:vAlign w:val="bottom"/>
          </w:tcPr>
          <w:p>
            <w:pPr>
              <w:spacing w:after="0"/>
              <w:rPr>
                <w:sz w:val="17"/>
                <w:szCs w:val="17"/>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w w:val="84"/>
              </w:rPr>
              <w:t>July 31</w:t>
            </w:r>
          </w:p>
        </w:tc>
        <w:tc>
          <w:tcPr>
            <w:tcW w:w="160" w:type="dxa"/>
            <w:vAlign w:val="bottom"/>
          </w:tcPr>
          <w:p>
            <w:pPr>
              <w:spacing w:after="0"/>
              <w:rPr>
                <w:sz w:val="17"/>
                <w:szCs w:val="17"/>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Total</w:t>
            </w:r>
          </w:p>
        </w:tc>
      </w:tr>
      <w:tr>
        <w:trPr>
          <w:trHeight w:val="41"/>
        </w:trPr>
        <w:tc>
          <w:tcPr>
            <w:tcW w:w="74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6"/>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6"/>
        </w:trPr>
        <w:tc>
          <w:tcPr>
            <w:tcW w:w="7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1"/>
        </w:trPr>
        <w:tc>
          <w:tcPr>
            <w:tcW w:w="7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43"/>
        </w:trPr>
        <w:tc>
          <w:tcPr>
            <w:tcW w:w="748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0C0C0"/>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0"/>
              </w:rPr>
              <w:t>63,128</w:t>
            </w:r>
          </w:p>
        </w:tc>
        <w:tc>
          <w:tcPr>
            <w:tcW w:w="2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w w:val="90"/>
              </w:rPr>
              <w:t>59,130</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87"/>
              </w:rPr>
              <w:t>58,053</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4"/>
              <w:spacing w:after="0"/>
              <w:rPr>
                <w:sz w:val="20"/>
                <w:szCs w:val="20"/>
                <w:color w:val="auto"/>
              </w:rPr>
            </w:pPr>
            <w:r>
              <w:rPr>
                <w:rFonts w:ascii="Arial" w:cs="Arial" w:eastAsia="Arial" w:hAnsi="Arial"/>
                <w:sz w:val="18"/>
                <w:szCs w:val="18"/>
                <w:color w:val="auto"/>
                <w:w w:val="87"/>
              </w:rPr>
              <w:t>55,934</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236,245</w:t>
            </w:r>
          </w:p>
        </w:tc>
      </w:tr>
      <w:tr>
        <w:trPr>
          <w:trHeight w:val="235"/>
        </w:trPr>
        <w:tc>
          <w:tcPr>
            <w:tcW w:w="748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12,376</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w w:val="90"/>
              </w:rPr>
              <w:t>11,913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13,220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w w:val="87"/>
              </w:rPr>
              <w:t>11,875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49,384</w:t>
            </w:r>
          </w:p>
        </w:tc>
      </w:tr>
      <w:tr>
        <w:trPr>
          <w:trHeight w:val="251"/>
        </w:trPr>
        <w:tc>
          <w:tcPr>
            <w:tcW w:w="748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0C0C0"/>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2,246</w:t>
            </w:r>
          </w:p>
        </w:tc>
        <w:tc>
          <w:tcPr>
            <w:tcW w:w="2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2,372</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2,416</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4"/>
              <w:spacing w:after="0"/>
              <w:rPr>
                <w:sz w:val="20"/>
                <w:szCs w:val="20"/>
                <w:color w:val="auto"/>
              </w:rPr>
            </w:pPr>
            <w:r>
              <w:rPr>
                <w:rFonts w:ascii="Arial" w:cs="Arial" w:eastAsia="Arial" w:hAnsi="Arial"/>
                <w:sz w:val="18"/>
                <w:szCs w:val="18"/>
                <w:color w:val="auto"/>
              </w:rPr>
              <w:t>2,552</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9,586</w:t>
            </w:r>
          </w:p>
        </w:tc>
      </w:tr>
      <w:tr>
        <w:trPr>
          <w:trHeight w:val="235"/>
        </w:trPr>
        <w:tc>
          <w:tcPr>
            <w:tcW w:w="7480" w:type="dxa"/>
            <w:vAlign w:val="bottom"/>
          </w:tcPr>
          <w:p>
            <w:pPr>
              <w:spacing w:after="0"/>
              <w:rPr>
                <w:sz w:val="20"/>
                <w:szCs w:val="20"/>
                <w:color w:val="auto"/>
              </w:rPr>
            </w:pPr>
            <w:r>
              <w:rPr>
                <w:rFonts w:ascii="Arial" w:cs="Arial" w:eastAsia="Arial" w:hAnsi="Arial"/>
                <w:sz w:val="18"/>
                <w:szCs w:val="18"/>
                <w:color w:val="auto"/>
              </w:rPr>
              <w:t>Net Income Per Share (1)</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74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Basic Common</w:t>
            </w:r>
          </w:p>
        </w:tc>
        <w:tc>
          <w:tcPr>
            <w:tcW w:w="140" w:type="dxa"/>
            <w:vAlign w:val="bottom"/>
            <w:shd w:val="clear" w:color="auto" w:fill="C0C0C0"/>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0.34</w:t>
            </w:r>
          </w:p>
        </w:tc>
        <w:tc>
          <w:tcPr>
            <w:tcW w:w="2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0.36</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4"/>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1.46</w:t>
            </w:r>
          </w:p>
        </w:tc>
      </w:tr>
      <w:tr>
        <w:trPr>
          <w:trHeight w:val="235"/>
        </w:trPr>
        <w:tc>
          <w:tcPr>
            <w:tcW w:w="7480" w:type="dxa"/>
            <w:vAlign w:val="bottom"/>
          </w:tcPr>
          <w:p>
            <w:pPr>
              <w:ind w:left="320"/>
              <w:spacing w:after="0"/>
              <w:rPr>
                <w:sz w:val="20"/>
                <w:szCs w:val="20"/>
                <w:color w:val="auto"/>
              </w:rPr>
            </w:pPr>
            <w:r>
              <w:rPr>
                <w:rFonts w:ascii="Arial" w:cs="Arial" w:eastAsia="Arial" w:hAnsi="Arial"/>
                <w:sz w:val="18"/>
                <w:szCs w:val="18"/>
                <w:color w:val="auto"/>
              </w:rPr>
              <w:t>Basic Class B Common</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0.27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0.27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0.29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51"/>
        </w:trPr>
        <w:tc>
          <w:tcPr>
            <w:tcW w:w="74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0C0C0"/>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0.33</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0.33</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4"/>
              <w:spacing w:after="0"/>
              <w:rPr>
                <w:sz w:val="20"/>
                <w:szCs w:val="20"/>
                <w:color w:val="auto"/>
              </w:rPr>
            </w:pPr>
            <w:r>
              <w:rPr>
                <w:rFonts w:ascii="Arial" w:cs="Arial" w:eastAsia="Arial" w:hAnsi="Arial"/>
                <w:sz w:val="18"/>
                <w:szCs w:val="18"/>
                <w:color w:val="auto"/>
              </w:rPr>
              <w:t>0.35</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w:t>
            </w:r>
          </w:p>
        </w:tc>
      </w:tr>
      <w:tr>
        <w:trPr>
          <w:trHeight w:val="235"/>
        </w:trPr>
        <w:tc>
          <w:tcPr>
            <w:tcW w:w="7480" w:type="dxa"/>
            <w:vAlign w:val="bottom"/>
          </w:tcPr>
          <w:p>
            <w:pPr>
              <w:spacing w:after="0"/>
              <w:rPr>
                <w:sz w:val="20"/>
                <w:szCs w:val="20"/>
                <w:color w:val="auto"/>
              </w:rPr>
            </w:pPr>
            <w:r>
              <w:rPr>
                <w:rFonts w:ascii="Arial" w:cs="Arial" w:eastAsia="Arial" w:hAnsi="Arial"/>
                <w:sz w:val="18"/>
                <w:szCs w:val="18"/>
                <w:color w:val="auto"/>
              </w:rPr>
              <w:t>Dividends Per Share</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74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Common</w:t>
            </w:r>
          </w:p>
        </w:tc>
        <w:tc>
          <w:tcPr>
            <w:tcW w:w="140" w:type="dxa"/>
            <w:vAlign w:val="bottom"/>
            <w:shd w:val="clear" w:color="auto" w:fill="C0C0C0"/>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0"/>
              </w:rPr>
              <w:t>0.1400</w:t>
            </w:r>
          </w:p>
        </w:tc>
        <w:tc>
          <w:tcPr>
            <w:tcW w:w="2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w w:val="90"/>
              </w:rPr>
              <w:t>0.1400</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87"/>
              </w:rPr>
              <w:t>0.1400</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4"/>
              <w:spacing w:after="0"/>
              <w:rPr>
                <w:sz w:val="20"/>
                <w:szCs w:val="20"/>
                <w:color w:val="auto"/>
              </w:rPr>
            </w:pPr>
            <w:r>
              <w:rPr>
                <w:rFonts w:ascii="Arial" w:cs="Arial" w:eastAsia="Arial" w:hAnsi="Arial"/>
                <w:sz w:val="18"/>
                <w:szCs w:val="18"/>
                <w:color w:val="auto"/>
                <w:w w:val="87"/>
              </w:rPr>
              <w:t>0.1500</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0.5700</w:t>
            </w:r>
          </w:p>
        </w:tc>
      </w:tr>
      <w:tr>
        <w:trPr>
          <w:trHeight w:val="235"/>
        </w:trPr>
        <w:tc>
          <w:tcPr>
            <w:tcW w:w="7480" w:type="dxa"/>
            <w:vAlign w:val="bottom"/>
          </w:tcPr>
          <w:p>
            <w:pPr>
              <w:ind w:left="320"/>
              <w:spacing w:after="0"/>
              <w:rPr>
                <w:sz w:val="20"/>
                <w:szCs w:val="20"/>
                <w:color w:val="auto"/>
              </w:rPr>
            </w:pPr>
            <w:r>
              <w:rPr>
                <w:rFonts w:ascii="Arial" w:cs="Arial" w:eastAsia="Arial" w:hAnsi="Arial"/>
                <w:sz w:val="18"/>
                <w:szCs w:val="18"/>
                <w:color w:val="auto"/>
              </w:rPr>
              <w:t>Class B</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0.1050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w w:val="90"/>
              </w:rPr>
              <w:t>0.1050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0.1050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w w:val="87"/>
              </w:rPr>
              <w:t>0.1125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0.4275</w:t>
            </w:r>
          </w:p>
        </w:tc>
      </w:tr>
      <w:tr>
        <w:trPr>
          <w:trHeight w:val="251"/>
        </w:trPr>
        <w:tc>
          <w:tcPr>
            <w:tcW w:w="7480" w:type="dxa"/>
            <w:vAlign w:val="bottom"/>
            <w:shd w:val="clear" w:color="auto" w:fill="C0C0C0"/>
          </w:tcPr>
          <w:p>
            <w:pPr>
              <w:spacing w:after="0"/>
              <w:rPr>
                <w:sz w:val="20"/>
                <w:szCs w:val="20"/>
                <w:color w:val="auto"/>
              </w:rPr>
            </w:pPr>
            <w:r>
              <w:rPr>
                <w:rFonts w:ascii="Arial" w:cs="Arial" w:eastAsia="Arial" w:hAnsi="Arial"/>
                <w:sz w:val="18"/>
                <w:szCs w:val="18"/>
                <w:color w:val="auto"/>
              </w:rPr>
              <w:t>Common Stock Price Range:</w:t>
            </w: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5"/>
        </w:trPr>
        <w:tc>
          <w:tcPr>
            <w:tcW w:w="7480" w:type="dxa"/>
            <w:vAlign w:val="bottom"/>
          </w:tcPr>
          <w:p>
            <w:pPr>
              <w:ind w:left="320"/>
              <w:spacing w:after="0"/>
              <w:rPr>
                <w:sz w:val="20"/>
                <w:szCs w:val="20"/>
                <w:color w:val="auto"/>
              </w:rPr>
            </w:pPr>
            <w:r>
              <w:rPr>
                <w:rFonts w:ascii="Arial" w:cs="Arial" w:eastAsia="Arial" w:hAnsi="Arial"/>
                <w:sz w:val="18"/>
                <w:szCs w:val="18"/>
                <w:color w:val="auto"/>
              </w:rPr>
              <w:t>High</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18.50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19.00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17.13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19.20</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74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Low</w:t>
            </w:r>
          </w:p>
        </w:tc>
        <w:tc>
          <w:tcPr>
            <w:tcW w:w="140" w:type="dxa"/>
            <w:vAlign w:val="bottom"/>
            <w:shd w:val="clear" w:color="auto" w:fill="C0C0C0"/>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10.19</w:t>
            </w:r>
          </w:p>
        </w:tc>
        <w:tc>
          <w:tcPr>
            <w:tcW w:w="2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12.85</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4"/>
              <w:spacing w:after="0"/>
              <w:rPr>
                <w:sz w:val="20"/>
                <w:szCs w:val="20"/>
                <w:color w:val="auto"/>
              </w:rPr>
            </w:pPr>
            <w:r>
              <w:rPr>
                <w:rFonts w:ascii="Arial" w:cs="Arial" w:eastAsia="Arial" w:hAnsi="Arial"/>
                <w:sz w:val="18"/>
                <w:szCs w:val="18"/>
                <w:color w:val="auto"/>
              </w:rPr>
              <w:t>13.78</w:t>
            </w:r>
          </w:p>
        </w:tc>
        <w:tc>
          <w:tcPr>
            <w:tcW w:w="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bl>
    <w:p>
      <w:pPr>
        <w:spacing w:after="0" w:line="235" w:lineRule="exact"/>
        <w:rPr>
          <w:sz w:val="20"/>
          <w:szCs w:val="20"/>
          <w:color w:val="auto"/>
        </w:rPr>
      </w:pPr>
    </w:p>
    <w:p>
      <w:pPr>
        <w:jc w:val="both"/>
        <w:ind w:left="460" w:hanging="452"/>
        <w:spacing w:after="0" w:line="30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fiscal 2010, we adopted guidance under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which required our unvested restricted stock awards to be considered participating securities and to be included in the computation of earnings per share pursuant to the two-class method. Upon adoption, we were required to retrospectively adjust earnings per share data to conform to this standard. Accordingly, we have restated net income per share for all periods presented.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5"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15"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Sponsoring Organizations of the Treadway Commission (COSO). Based on our assessment, our management concluded that our internal control over financial reporting was effective as of July 31, 2010.</w:t>
      </w:r>
    </w:p>
    <w:p>
      <w:pPr>
        <w:spacing w:after="0" w:line="251"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8"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Our internal controls over financial reporting as of July 31, 2010 have been audited by PricewaterhouseCoopers LLP, an independent registered public accounting firm, as stated in their report which appears on the next page of this Annual Report on Form 10-K.</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8" w:name="page69"/>
    <w:bookmarkEnd w:id="68"/>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and Stockholders of Oil-Dri Corporation of America:</w:t>
      </w:r>
    </w:p>
    <w:p>
      <w:pPr>
        <w:spacing w:after="0" w:line="279" w:lineRule="exact"/>
        <w:rPr>
          <w:sz w:val="20"/>
          <w:szCs w:val="20"/>
          <w:color w:val="auto"/>
        </w:rPr>
      </w:pPr>
    </w:p>
    <w:p>
      <w:pPr>
        <w:jc w:val="both"/>
        <w:ind w:firstLine="311"/>
        <w:spacing w:after="0" w:line="286" w:lineRule="auto"/>
        <w:rPr>
          <w:sz w:val="20"/>
          <w:szCs w:val="20"/>
          <w:color w:val="auto"/>
        </w:rPr>
      </w:pPr>
      <w:r>
        <w:rPr>
          <w:rFonts w:ascii="Arial" w:cs="Arial" w:eastAsia="Arial" w:hAnsi="Arial"/>
          <w:sz w:val="16"/>
          <w:szCs w:val="16"/>
          <w:color w:val="auto"/>
        </w:rPr>
        <w:t xml:space="preserve">In our opinion, the accompanying consolidated financial statements listed in the index appearing under Item 15(a)(1) present fairly, in all material respects, the financial position of Oil-Dri Corporation of America and its subsidiaries at July 31, 2010 and 2009, and the results of their operations and their cash flows for each of the three years in the period ended July 31, 2010 in conformity with accounting principles generally accepted in the United States of America. In addition, in our opinion, the financial statement schedule listed in the accompanying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July 31, 2010,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 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Management’s Report on Internal Control over Financial Reporting. Our responsibility is to express opinions on these financial statements, on the financial statement schedules, and on the Company’s internal control over financial reporting based on our audits (which were integrated audits in 2010 and 2009).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 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4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 irectors of the company; and (iii) provide reasonable assurance regarding prevention or timely detection of unauthorized acquisition, use, or disposition of the company’s assets that could have a material effect on the financial statements.</w:t>
      </w:r>
    </w:p>
    <w:p>
      <w:pPr>
        <w:spacing w:after="0" w:line="226"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12, 2010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5"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 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Management’s Report on Internal Control Over Financial Reporting is set forth in Part II, Item 8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85" w:lineRule="exact"/>
        <w:rPr>
          <w:sz w:val="20"/>
          <w:szCs w:val="20"/>
          <w:color w:val="auto"/>
        </w:rPr>
      </w:pPr>
    </w:p>
    <w:p>
      <w:pPr>
        <w:jc w:val="both"/>
        <w:ind w:firstLine="284"/>
        <w:spacing w:after="0" w:line="286" w:lineRule="auto"/>
        <w:rPr>
          <w:sz w:val="20"/>
          <w:szCs w:val="20"/>
          <w:color w:val="auto"/>
        </w:rPr>
      </w:pPr>
      <w:r>
        <w:rPr>
          <w:rFonts w:ascii="Arial" w:cs="Arial" w:eastAsia="Arial" w:hAnsi="Arial"/>
          <w:sz w:val="16"/>
          <w:szCs w:val="16"/>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 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8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The information required by this Item (except as set forth below) is contained in Oil-Dri’s Proxy Statement for its 2010 annual meeting of stockholders (“Proxy Statement”) under the captions “1. Election of Directors,” “Executive Officers,” “Section 16(a) Beneficial Ownership Reporting Compliance,” “Director Nominations,” “Audit Committee” and “Corporate Governance Matters” and is incorporated herein by this reference.</w:t>
      </w:r>
    </w:p>
    <w:p>
      <w:pPr>
        <w:spacing w:after="0" w:line="215" w:lineRule="exact"/>
        <w:rPr>
          <w:sz w:val="20"/>
          <w:szCs w:val="20"/>
          <w:color w:val="auto"/>
        </w:rPr>
      </w:pPr>
    </w:p>
    <w:p>
      <w:pPr>
        <w:jc w:val="both"/>
        <w:ind w:firstLine="284"/>
        <w:spacing w:after="0" w:line="289" w:lineRule="auto"/>
        <w:rPr>
          <w:sz w:val="20"/>
          <w:szCs w:val="20"/>
          <w:color w:val="auto"/>
        </w:rPr>
      </w:pPr>
      <w:r>
        <w:rPr>
          <w:rFonts w:ascii="Arial" w:cs="Arial" w:eastAsia="Arial" w:hAnsi="Arial"/>
          <w:sz w:val="16"/>
          <w:szCs w:val="16"/>
          <w:color w:val="auto"/>
        </w:rPr>
        <w:t>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Chief Executive Officer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and its compensation committee does not have a charter.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85" w:lineRule="exact"/>
        <w:rPr>
          <w:sz w:val="20"/>
          <w:szCs w:val="20"/>
          <w:color w:val="auto"/>
        </w:rPr>
      </w:pPr>
    </w:p>
    <w:p>
      <w:pPr>
        <w:jc w:val="both"/>
        <w:ind w:right="20" w:firstLine="284"/>
        <w:spacing w:after="0" w:line="259" w:lineRule="auto"/>
        <w:rPr>
          <w:sz w:val="20"/>
          <w:szCs w:val="20"/>
          <w:color w:val="auto"/>
        </w:rPr>
      </w:pPr>
      <w:r>
        <w:rPr>
          <w:rFonts w:ascii="Arial" w:cs="Arial" w:eastAsia="Arial" w:hAnsi="Arial"/>
          <w:sz w:val="18"/>
          <w:szCs w:val="18"/>
          <w:color w:val="auto"/>
        </w:rPr>
        <w:t>The information required by this Item is contained in Oil-Dri</w:t>
      </w:r>
      <w:r>
        <w:rPr>
          <w:rFonts w:ascii="Arial" w:cs="Arial" w:eastAsia="Arial" w:hAnsi="Arial"/>
          <w:sz w:val="18"/>
          <w:szCs w:val="18"/>
          <w:i w:val="1"/>
          <w:iCs w:val="1"/>
          <w:color w:val="auto"/>
        </w:rPr>
        <w:t>’</w:t>
      </w:r>
      <w:r>
        <w:rPr>
          <w:rFonts w:ascii="Arial" w:cs="Arial" w:eastAsia="Arial" w:hAnsi="Arial"/>
          <w:sz w:val="18"/>
          <w:szCs w:val="18"/>
          <w:color w:val="auto"/>
        </w:rPr>
        <w:t>s Proxy Statement under the captions “Executive Compensation,” “Report of the Compensation Committee of the Board of Directors,” “Compensation of Directors,” “Compensation Committee” and “Compensation Committee Interlocks and Insider Participation” and is incorporated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 SECURITY OWNERSHIP OF CERTAIN BENEFICIAL OWNERS AND MANAGEMENT AND RELATED STOCKHOLDER MATTERS</w:t>
      </w:r>
    </w:p>
    <w:p>
      <w:pPr>
        <w:spacing w:after="0" w:line="30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information required by this Item is contained in Oil-Dri’s Proxy Statement under the captions “Principal Stockholders.” “Security Ownership of Management” and “Equity Compensation Plans”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85"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8"/>
          <w:szCs w:val="18"/>
          <w:color w:val="auto"/>
        </w:rPr>
        <w:t>The information required by this Item is contained in Oil-Dri’s Proxy Statement under the captions “Certain Relationships and Related Transactions” and “Director Independence”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information required by this Item is contained in Oil-Dri’s Proxy Statement under the caption “Auditor Fees” and is incorporated herein by reference.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AND FINANCIAL STATEMENT SCHEDULE</w:t>
      </w:r>
    </w:p>
    <w:p>
      <w:pPr>
        <w:spacing w:after="0" w:line="258"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(a)(1)</w:t>
        <w:tab/>
        <w:t>The following consolidated financial statements are contained herein.</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Consolidated Balance Sheets as of July 31, 2010 and July 31, 2009.</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Consolidated Statements of Operations for the fiscal years ended July 31, 2010, July 31, 2009 and July 31, 2008.</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Consolidated Statements of Stockholders’ Equity for the fiscal years ended July 31, 2010, July 31, 2009 and July 31, 2008.</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Consolidated Statements of Cash Flows for the fiscal years ended July 31, 2010, July 31, 2009 and July 31, 2008.</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Notes to Consolidated Financial Statements.</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8"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(a)(2)</w:t>
        <w:tab/>
        <w:t>The following financial statement schedule is contained herein:</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Schedule to Financial Statements, as follows:</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Schedule II - Valuation and Qualifying Accounts, years ended July 31, 2010, July 31, 2009 and July 31, 2008.</w:t>
      </w:r>
    </w:p>
    <w:p>
      <w:pPr>
        <w:spacing w:after="0" w:line="158" w:lineRule="exact"/>
        <w:rPr>
          <w:sz w:val="20"/>
          <w:szCs w:val="20"/>
          <w:color w:val="auto"/>
        </w:rPr>
      </w:pPr>
    </w:p>
    <w:p>
      <w:pPr>
        <w:ind w:left="800" w:right="40"/>
        <w:spacing w:after="0" w:line="268" w:lineRule="auto"/>
        <w:rPr>
          <w:sz w:val="20"/>
          <w:szCs w:val="20"/>
          <w:color w:val="auto"/>
        </w:rPr>
      </w:pPr>
      <w:r>
        <w:rPr>
          <w:rFonts w:ascii="Arial" w:cs="Arial" w:eastAsia="Arial" w:hAnsi="Arial"/>
          <w:sz w:val="18"/>
          <w:szCs w:val="18"/>
          <w:color w:val="auto"/>
        </w:rPr>
        <w:t>All other schedules are omitted because they are inapplicable, not required under the instructions or the information is included in the consolidated financial statements or notes thereto.</w:t>
      </w:r>
    </w:p>
    <w:p>
      <w:pPr>
        <w:spacing w:after="0" w:line="118"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8"/>
          <w:szCs w:val="18"/>
          <w:color w:val="auto"/>
        </w:rPr>
        <w:t>(a)(3)</w:t>
        <w:tab/>
        <w:t>The following documents are exhibits to this Report: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18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340" w:type="dxa"/>
            <w:vAlign w:val="bottom"/>
          </w:tcPr>
          <w:p>
            <w:pPr>
              <w:spacing w:after="0"/>
              <w:rPr>
                <w:sz w:val="19"/>
                <w:szCs w:val="19"/>
                <w:color w:val="auto"/>
              </w:rPr>
            </w:pPr>
          </w:p>
        </w:tc>
      </w:tr>
      <w:tr>
        <w:trPr>
          <w:trHeight w:val="252"/>
        </w:trPr>
        <w:tc>
          <w:tcPr>
            <w:tcW w:w="540" w:type="dxa"/>
            <w:vAlign w:val="bottom"/>
          </w:tcPr>
          <w:p>
            <w:pPr>
              <w:jc w:val="center"/>
              <w:spacing w:after="0"/>
              <w:rPr>
                <w:sz w:val="20"/>
                <w:szCs w:val="20"/>
                <w:color w:val="auto"/>
              </w:rPr>
            </w:pPr>
            <w:r>
              <w:rPr>
                <w:rFonts w:ascii="Arial" w:cs="Arial" w:eastAsia="Arial" w:hAnsi="Arial"/>
                <w:sz w:val="18"/>
                <w:szCs w:val="18"/>
                <w:color w:val="auto"/>
                <w:w w:val="92"/>
              </w:rPr>
              <w:t>No.</w:t>
            </w:r>
          </w:p>
        </w:tc>
        <w:tc>
          <w:tcPr>
            <w:tcW w:w="180" w:type="dxa"/>
            <w:vAlign w:val="bottom"/>
          </w:tcPr>
          <w:p>
            <w:pPr>
              <w:spacing w:after="0"/>
              <w:rPr>
                <w:sz w:val="21"/>
                <w:szCs w:val="21"/>
                <w:color w:val="auto"/>
              </w:rPr>
            </w:pPr>
          </w:p>
        </w:tc>
        <w:tc>
          <w:tcPr>
            <w:tcW w:w="5360" w:type="dxa"/>
            <w:vAlign w:val="bottom"/>
            <w:gridSpan w:val="2"/>
          </w:tcPr>
          <w:p>
            <w:pPr>
              <w:ind w:left="2180"/>
              <w:spacing w:after="0"/>
              <w:rPr>
                <w:sz w:val="20"/>
                <w:szCs w:val="20"/>
                <w:color w:val="auto"/>
              </w:rPr>
            </w:pPr>
            <w:r>
              <w:rPr>
                <w:rFonts w:ascii="Arial" w:cs="Arial" w:eastAsia="Arial" w:hAnsi="Arial"/>
                <w:sz w:val="18"/>
                <w:szCs w:val="18"/>
                <w:color w:val="auto"/>
              </w:rPr>
              <w:t>Description</w:t>
            </w:r>
          </w:p>
        </w:tc>
        <w:tc>
          <w:tcPr>
            <w:tcW w:w="5340" w:type="dxa"/>
            <w:vAlign w:val="bottom"/>
          </w:tcPr>
          <w:p>
            <w:pPr>
              <w:ind w:left="1740"/>
              <w:spacing w:after="0"/>
              <w:rPr>
                <w:sz w:val="20"/>
                <w:szCs w:val="20"/>
                <w:color w:val="auto"/>
              </w:rPr>
            </w:pPr>
            <w:r>
              <w:rPr>
                <w:rFonts w:ascii="Arial" w:cs="Arial" w:eastAsia="Arial" w:hAnsi="Arial"/>
                <w:sz w:val="18"/>
                <w:szCs w:val="18"/>
                <w:color w:val="auto"/>
              </w:rPr>
              <w:t>SEC Document Reference</w:t>
            </w:r>
          </w:p>
        </w:tc>
      </w:tr>
      <w:tr>
        <w:trPr>
          <w:trHeight w:val="208"/>
        </w:trPr>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18"/>
                <w:szCs w:val="18"/>
                <w:color w:val="auto"/>
              </w:rPr>
            </w:pPr>
          </w:p>
        </w:tc>
        <w:tc>
          <w:tcPr>
            <w:tcW w:w="51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 of Incorporation of Oil-Dri, as amended.</w:t>
            </w:r>
          </w:p>
        </w:tc>
        <w:tc>
          <w:tcPr>
            <w:tcW w:w="180" w:type="dxa"/>
            <w:vAlign w:val="bottom"/>
            <w:tcBorders>
              <w:top w:val="single" w:sz="8" w:color="C0C0C0"/>
            </w:tcBorders>
            <w:shd w:val="clear" w:color="auto" w:fill="C0C0C0"/>
          </w:tcPr>
          <w:p>
            <w:pPr>
              <w:spacing w:after="0"/>
              <w:rPr>
                <w:sz w:val="18"/>
                <w:szCs w:val="18"/>
                <w:color w:val="auto"/>
              </w:rPr>
            </w:pPr>
          </w:p>
        </w:tc>
        <w:tc>
          <w:tcPr>
            <w:tcW w:w="53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w w:val="89"/>
              </w:rPr>
              <w:t>Incorporated by reference to Exhibit 4.1 to Oil-Dri’s Registration Statement</w:t>
            </w:r>
          </w:p>
        </w:tc>
      </w:tr>
      <w:tr>
        <w:trPr>
          <w:trHeight w:val="224"/>
        </w:trPr>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5340" w:type="dxa"/>
            <w:vAlign w:val="bottom"/>
            <w:shd w:val="clear" w:color="auto" w:fill="C0C0C0"/>
          </w:tcPr>
          <w:p>
            <w:pPr>
              <w:spacing w:after="0"/>
              <w:rPr>
                <w:sz w:val="20"/>
                <w:szCs w:val="20"/>
                <w:color w:val="auto"/>
              </w:rPr>
            </w:pPr>
            <w:r>
              <w:rPr>
                <w:rFonts w:ascii="Arial" w:cs="Arial" w:eastAsia="Arial" w:hAnsi="Arial"/>
                <w:sz w:val="18"/>
                <w:szCs w:val="18"/>
                <w:color w:val="auto"/>
              </w:rPr>
              <w:t>on Form S-8 (Registration No. 333-57625), filed on June 24, 1998.</w:t>
            </w:r>
          </w:p>
        </w:tc>
      </w:tr>
    </w:tbl>
    <w:p>
      <w:pPr>
        <w:spacing w:after="0" w:line="140" w:lineRule="exact"/>
        <w:rPr>
          <w:sz w:val="20"/>
          <w:szCs w:val="20"/>
          <w:color w:val="auto"/>
        </w:rPr>
      </w:pPr>
    </w:p>
    <w:p>
      <w:pPr>
        <w:sectPr>
          <w:pgSz w:w="11900" w:h="16838" w:orient="portrait"/>
          <w:cols w:equalWidth="0" w:num="1">
            <w:col w:w="11440"/>
          </w:cols>
          <w:pgMar w:left="240" w:top="611" w:right="219" w:bottom="1440" w:gutter="0" w:footer="0" w:header="0"/>
        </w:sectPr>
      </w:pPr>
    </w:p>
    <w:p>
      <w:pPr>
        <w:ind w:left="720" w:hanging="561"/>
        <w:spacing w:after="0" w:line="268" w:lineRule="auto"/>
        <w:tabs>
          <w:tab w:leader="none" w:pos="7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Oil-Dri Corporation of America, as Amended and Restated on December 5, 2006.</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Incorporated by reference to Exhibit 3.1 to Oil-Dri’s (file No. 001-12622) Current Report on Form 8-K filed on December 11,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-287655</wp:posOffset>
            </wp:positionV>
            <wp:extent cx="679196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91960" cy="274320"/>
                    </a:xfrm>
                    <a:prstGeom prst="rect">
                      <a:avLst/>
                    </a:prstGeom>
                    <a:noFill/>
                  </pic:spPr>
                </pic:pic>
              </a:graphicData>
            </a:graphic>
          </wp:anchor>
        </w:drawing>
      </w:r>
    </w:p>
    <w:p>
      <w:pPr>
        <w:spacing w:after="0" w:line="118" w:lineRule="exact"/>
        <w:rPr>
          <w:sz w:val="20"/>
          <w:szCs w:val="20"/>
          <w:color w:val="auto"/>
        </w:rPr>
      </w:pPr>
    </w:p>
    <w:p>
      <w:pPr>
        <w:sectPr>
          <w:pgSz w:w="11900" w:h="16838" w:orient="portrait"/>
          <w:cols w:equalWidth="0" w:num="2">
            <w:col w:w="5900" w:space="180"/>
            <w:col w:w="5360"/>
          </w:cols>
          <w:pgMar w:left="240" w:top="611" w:right="219" w:bottom="1440" w:gutter="0" w:footer="0" w:header="0"/>
          <w:type w:val="continuous"/>
        </w:sectPr>
      </w:pPr>
    </w:p>
    <w:p>
      <w:pPr>
        <w:jc w:val="both"/>
        <w:ind w:left="720" w:hanging="605"/>
        <w:spacing w:after="0" w:line="256" w:lineRule="auto"/>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Memorandum of Agreement #1450 “Fresh Step“™ dated as of March 12, 2001 between A&amp;M Products Manufacturing Company and Oil-Dri (confidential treatment of certain portions of this exhibit has been granted).</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Incorporated by reference to Exhibit 10(s) to Oil-Dri’s (File No. 001-12622) Current Report on Form 8-K filed on May 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-287655</wp:posOffset>
            </wp:positionV>
            <wp:extent cx="6791960" cy="548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91960" cy="548640"/>
                    </a:xfrm>
                    <a:prstGeom prst="rect">
                      <a:avLst/>
                    </a:prstGeom>
                    <a:noFill/>
                  </pic:spPr>
                </pic:pic>
              </a:graphicData>
            </a:graphic>
          </wp:anchor>
        </w:drawing>
      </w:r>
    </w:p>
    <w:p>
      <w:pPr>
        <w:spacing w:after="0" w:line="558" w:lineRule="exact"/>
        <w:rPr>
          <w:sz w:val="20"/>
          <w:szCs w:val="20"/>
          <w:color w:val="auto"/>
        </w:rPr>
      </w:pPr>
    </w:p>
    <w:p>
      <w:pPr>
        <w:sectPr>
          <w:pgSz w:w="11900" w:h="16838" w:orient="portrait"/>
          <w:cols w:equalWidth="0" w:num="2">
            <w:col w:w="5900" w:space="180"/>
            <w:col w:w="5360"/>
          </w:cols>
          <w:pgMar w:left="240" w:top="611" w:right="21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580" w:type="dxa"/>
            <w:vAlign w:val="bottom"/>
          </w:tcPr>
          <w:p>
            <w:pPr>
              <w:jc w:val="right"/>
              <w:ind w:right="72"/>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w w:val="93"/>
              </w:rPr>
              <w:t>First Amendment, dated as of December 13, 2002, to Memorandum of</w:t>
            </w:r>
          </w:p>
        </w:tc>
        <w:tc>
          <w:tcPr>
            <w:tcW w:w="544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1"/>
              </w:rPr>
              <w:t>Incorporated by reference to Exhibit 10.2 to Oil-Dri’s (File No. 001-12622)</w:t>
            </w:r>
          </w:p>
        </w:tc>
        <w:tc>
          <w:tcPr>
            <w:tcW w:w="20" w:type="dxa"/>
            <w:vAlign w:val="bottom"/>
          </w:tcPr>
          <w:p>
            <w:pPr>
              <w:spacing w:after="0"/>
              <w:rPr>
                <w:sz w:val="18"/>
                <w:szCs w:val="18"/>
                <w:color w:val="auto"/>
              </w:rPr>
            </w:pPr>
          </w:p>
        </w:tc>
      </w:tr>
      <w:tr>
        <w:trPr>
          <w:trHeight w:val="224"/>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Agreement #1450 “Fresh Step”™ dated as of March 12, 2001.</w:t>
            </w:r>
          </w:p>
        </w:tc>
        <w:tc>
          <w:tcPr>
            <w:tcW w:w="544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7"/>
              </w:rPr>
              <w:t>Annual Report on Form 10-K for the fiscal year ended July 31, 2007.</w:t>
            </w:r>
          </w:p>
        </w:tc>
        <w:tc>
          <w:tcPr>
            <w:tcW w:w="20" w:type="dxa"/>
            <w:vAlign w:val="bottom"/>
          </w:tcPr>
          <w:p>
            <w:pPr>
              <w:spacing w:after="0"/>
              <w:rPr>
                <w:sz w:val="19"/>
                <w:szCs w:val="19"/>
                <w:color w:val="auto"/>
              </w:rPr>
            </w:pPr>
          </w:p>
        </w:tc>
      </w:tr>
      <w:tr>
        <w:trPr>
          <w:trHeight w:val="457"/>
        </w:trPr>
        <w:tc>
          <w:tcPr>
            <w:tcW w:w="580" w:type="dxa"/>
            <w:vAlign w:val="bottom"/>
          </w:tcPr>
          <w:p>
            <w:pPr>
              <w:spacing w:after="0"/>
              <w:rPr>
                <w:sz w:val="24"/>
                <w:szCs w:val="24"/>
                <w:color w:val="auto"/>
              </w:rPr>
            </w:pPr>
          </w:p>
        </w:tc>
        <w:tc>
          <w:tcPr>
            <w:tcW w:w="5400" w:type="dxa"/>
            <w:vAlign w:val="bottom"/>
            <w:gridSpan w:val="2"/>
          </w:tcPr>
          <w:p>
            <w:pPr>
              <w:jc w:val="right"/>
              <w:ind w:right="92"/>
              <w:spacing w:after="0"/>
              <w:rPr>
                <w:sz w:val="20"/>
                <w:szCs w:val="20"/>
                <w:color w:val="auto"/>
              </w:rPr>
            </w:pPr>
            <w:r>
              <w:rPr>
                <w:rFonts w:ascii="Arial" w:cs="Arial" w:eastAsia="Arial" w:hAnsi="Arial"/>
                <w:sz w:val="18"/>
                <w:szCs w:val="18"/>
                <w:color w:val="auto"/>
              </w:rPr>
              <w:t>72</w:t>
            </w: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5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26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22"/>
        </w:trPr>
        <w:tc>
          <w:tcPr>
            <w:tcW w:w="54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1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252"/>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180" w:type="dxa"/>
            <w:vAlign w:val="bottom"/>
            <w:tcBorders>
              <w:bottom w:val="single" w:sz="8" w:color="C0C0C0"/>
            </w:tcBorders>
          </w:tcPr>
          <w:p>
            <w:pPr>
              <w:spacing w:after="0"/>
              <w:rPr>
                <w:sz w:val="21"/>
                <w:szCs w:val="21"/>
                <w:color w:val="auto"/>
              </w:rPr>
            </w:pPr>
          </w:p>
        </w:tc>
        <w:tc>
          <w:tcPr>
            <w:tcW w:w="520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Description</w:t>
            </w:r>
          </w:p>
        </w:tc>
        <w:tc>
          <w:tcPr>
            <w:tcW w:w="200" w:type="dxa"/>
            <w:vAlign w:val="bottom"/>
            <w:tcBorders>
              <w:bottom w:val="single" w:sz="8" w:color="C0C0C0"/>
            </w:tcBorders>
          </w:tcPr>
          <w:p>
            <w:pPr>
              <w:spacing w:after="0"/>
              <w:rPr>
                <w:sz w:val="21"/>
                <w:szCs w:val="21"/>
                <w:color w:val="auto"/>
              </w:rPr>
            </w:pPr>
          </w:p>
        </w:tc>
        <w:tc>
          <w:tcPr>
            <w:tcW w:w="530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SEC Document Reference</w:t>
            </w:r>
          </w:p>
        </w:tc>
      </w:tr>
      <w:tr>
        <w:trPr>
          <w:trHeight w:val="208"/>
        </w:trPr>
        <w:tc>
          <w:tcPr>
            <w:tcW w:w="5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10.3</w:t>
            </w:r>
          </w:p>
        </w:tc>
        <w:tc>
          <w:tcPr>
            <w:tcW w:w="180" w:type="dxa"/>
            <w:vAlign w:val="bottom"/>
            <w:shd w:val="clear" w:color="auto" w:fill="C0C0C0"/>
          </w:tcPr>
          <w:p>
            <w:pPr>
              <w:spacing w:after="0"/>
              <w:rPr>
                <w:sz w:val="18"/>
                <w:szCs w:val="18"/>
                <w:color w:val="auto"/>
              </w:rPr>
            </w:pPr>
          </w:p>
        </w:tc>
        <w:tc>
          <w:tcPr>
            <w:tcW w:w="5200" w:type="dxa"/>
            <w:vAlign w:val="bottom"/>
            <w:shd w:val="clear" w:color="auto" w:fill="C0C0C0"/>
          </w:tcPr>
          <w:p>
            <w:pPr>
              <w:spacing w:after="0"/>
              <w:rPr>
                <w:sz w:val="20"/>
                <w:szCs w:val="20"/>
                <w:color w:val="auto"/>
              </w:rPr>
            </w:pPr>
            <w:r>
              <w:rPr>
                <w:rFonts w:ascii="Arial" w:cs="Arial" w:eastAsia="Arial" w:hAnsi="Arial"/>
                <w:sz w:val="18"/>
                <w:szCs w:val="18"/>
                <w:color w:val="auto"/>
                <w:w w:val="91"/>
              </w:rPr>
              <w:t>Second Amendment, dated as of October 15, 2007, to Memorandum of</w:t>
            </w:r>
          </w:p>
        </w:tc>
        <w:tc>
          <w:tcPr>
            <w:tcW w:w="200" w:type="dxa"/>
            <w:vAlign w:val="bottom"/>
            <w:shd w:val="clear" w:color="auto" w:fill="C0C0C0"/>
          </w:tcPr>
          <w:p>
            <w:pPr>
              <w:spacing w:after="0"/>
              <w:rPr>
                <w:sz w:val="18"/>
                <w:szCs w:val="18"/>
                <w:color w:val="auto"/>
              </w:rPr>
            </w:pPr>
          </w:p>
        </w:tc>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w w:val="90"/>
              </w:rPr>
              <w:t>Incorporated by reference to Exhibit 10.1 to Oil-Dri’s (File No. 001-12622)</w:t>
            </w:r>
          </w:p>
        </w:tc>
      </w:tr>
      <w:tr>
        <w:trPr>
          <w:trHeight w:val="224"/>
        </w:trPr>
        <w:tc>
          <w:tcPr>
            <w:tcW w:w="540" w:type="dxa"/>
            <w:vAlign w:val="bottom"/>
            <w:shd w:val="clear" w:color="auto" w:fill="C0C0C0"/>
          </w:tcPr>
          <w:p>
            <w:pPr>
              <w:spacing w:after="0"/>
              <w:rPr>
                <w:sz w:val="19"/>
                <w:szCs w:val="19"/>
                <w:color w:val="auto"/>
              </w:rPr>
            </w:pPr>
          </w:p>
        </w:tc>
        <w:tc>
          <w:tcPr>
            <w:tcW w:w="538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rPr>
              <w:t>Agreement #1450 “Fresh Step”™ dated as of March 12, 2001.</w:t>
            </w:r>
          </w:p>
        </w:tc>
        <w:tc>
          <w:tcPr>
            <w:tcW w:w="55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7"/>
              </w:rPr>
              <w:t>Quarterly Report on Form 10-Q for the quarter ended April 30, 2008.</w:t>
            </w:r>
          </w:p>
        </w:tc>
      </w:tr>
      <w:tr>
        <w:trPr>
          <w:trHeight w:val="149"/>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00" w:type="dxa"/>
            <w:vAlign w:val="bottom"/>
          </w:tcPr>
          <w:p>
            <w:pPr>
              <w:spacing w:after="0"/>
              <w:rPr>
                <w:sz w:val="12"/>
                <w:szCs w:val="12"/>
                <w:color w:val="auto"/>
              </w:rPr>
            </w:pPr>
          </w:p>
        </w:tc>
      </w:tr>
      <w:tr>
        <w:trPr>
          <w:trHeight w:val="208"/>
        </w:trPr>
        <w:tc>
          <w:tcPr>
            <w:tcW w:w="5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10.4</w:t>
            </w:r>
          </w:p>
        </w:tc>
        <w:tc>
          <w:tcPr>
            <w:tcW w:w="538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w w:val="94"/>
              </w:rPr>
              <w:t>Exclusive Supply Agreement dated May 19, 1999 between Church &amp;</w:t>
            </w:r>
          </w:p>
        </w:tc>
        <w:tc>
          <w:tcPr>
            <w:tcW w:w="55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7"/>
              </w:rPr>
              <w:t>Incorporated by reference to Exhibit (10)(r) to Oil-Dri’s (File No. 001-</w:t>
            </w:r>
          </w:p>
        </w:tc>
      </w:tr>
      <w:tr>
        <w:trPr>
          <w:trHeight w:val="216"/>
        </w:trPr>
        <w:tc>
          <w:tcPr>
            <w:tcW w:w="540" w:type="dxa"/>
            <w:vAlign w:val="bottom"/>
            <w:shd w:val="clear" w:color="auto" w:fill="C0C0C0"/>
          </w:tcPr>
          <w:p>
            <w:pPr>
              <w:spacing w:after="0"/>
              <w:rPr>
                <w:sz w:val="18"/>
                <w:szCs w:val="18"/>
                <w:color w:val="auto"/>
              </w:rPr>
            </w:pPr>
          </w:p>
        </w:tc>
        <w:tc>
          <w:tcPr>
            <w:tcW w:w="538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w w:val="94"/>
              </w:rPr>
              <w:t>Dwight Co., Inc. and Oil-Dri (confidential treatment of certain portions</w:t>
            </w:r>
          </w:p>
        </w:tc>
        <w:tc>
          <w:tcPr>
            <w:tcW w:w="55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5"/>
              </w:rPr>
              <w:t>12622) Annual Report on Form 10-K for the fiscal year ended July 31,</w:t>
            </w:r>
          </w:p>
        </w:tc>
      </w:tr>
      <w:tr>
        <w:trPr>
          <w:trHeight w:val="224"/>
        </w:trPr>
        <w:tc>
          <w:tcPr>
            <w:tcW w:w="540" w:type="dxa"/>
            <w:vAlign w:val="bottom"/>
            <w:shd w:val="clear" w:color="auto" w:fill="C0C0C0"/>
          </w:tcPr>
          <w:p>
            <w:pPr>
              <w:spacing w:after="0"/>
              <w:rPr>
                <w:sz w:val="19"/>
                <w:szCs w:val="19"/>
                <w:color w:val="auto"/>
              </w:rPr>
            </w:pPr>
          </w:p>
        </w:tc>
        <w:tc>
          <w:tcPr>
            <w:tcW w:w="538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rPr>
              <w:t>of this exhibit has been granted).</w:t>
            </w:r>
          </w:p>
        </w:tc>
        <w:tc>
          <w:tcPr>
            <w:tcW w:w="55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rPr>
              <w:t>1999.</w:t>
            </w:r>
          </w:p>
        </w:tc>
      </w:tr>
      <w:tr>
        <w:trPr>
          <w:trHeight w:val="149"/>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00" w:type="dxa"/>
            <w:vAlign w:val="bottom"/>
          </w:tcPr>
          <w:p>
            <w:pPr>
              <w:spacing w:after="0"/>
              <w:rPr>
                <w:sz w:val="12"/>
                <w:szCs w:val="12"/>
                <w:color w:val="auto"/>
              </w:rPr>
            </w:pPr>
          </w:p>
        </w:tc>
      </w:tr>
      <w:tr>
        <w:trPr>
          <w:trHeight w:val="208"/>
        </w:trPr>
        <w:tc>
          <w:tcPr>
            <w:tcW w:w="5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10.5</w:t>
            </w:r>
          </w:p>
        </w:tc>
        <w:tc>
          <w:tcPr>
            <w:tcW w:w="538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w w:val="98"/>
              </w:rPr>
              <w:t>$25,000,000 Note Purchase Agreement dated as of April 15, 1998</w:t>
            </w:r>
          </w:p>
        </w:tc>
        <w:tc>
          <w:tcPr>
            <w:tcW w:w="55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5"/>
              </w:rPr>
              <w:t>Incorporated by reference to Exhibit (10)(m) to Oil-Dri’s (File No. 001-</w:t>
            </w:r>
          </w:p>
        </w:tc>
      </w:tr>
      <w:tr>
        <w:trPr>
          <w:trHeight w:val="216"/>
        </w:trPr>
        <w:tc>
          <w:tcPr>
            <w:tcW w:w="540" w:type="dxa"/>
            <w:vAlign w:val="bottom"/>
            <w:shd w:val="clear" w:color="auto" w:fill="C0C0C0"/>
          </w:tcPr>
          <w:p>
            <w:pPr>
              <w:spacing w:after="0"/>
              <w:rPr>
                <w:sz w:val="18"/>
                <w:szCs w:val="18"/>
                <w:color w:val="auto"/>
              </w:rPr>
            </w:pPr>
          </w:p>
        </w:tc>
        <w:tc>
          <w:tcPr>
            <w:tcW w:w="538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w w:val="95"/>
              </w:rPr>
              <w:t>between Oil-Dri and Teachers Insurance and Annuity Association of</w:t>
            </w:r>
          </w:p>
        </w:tc>
        <w:tc>
          <w:tcPr>
            <w:tcW w:w="55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5"/>
              </w:rPr>
              <w:t>12622) Quarterly Report on Form 10-Q for the quarter ended April 30,</w:t>
            </w:r>
          </w:p>
        </w:tc>
      </w:tr>
      <w:tr>
        <w:trPr>
          <w:trHeight w:val="224"/>
        </w:trPr>
        <w:tc>
          <w:tcPr>
            <w:tcW w:w="540" w:type="dxa"/>
            <w:vAlign w:val="bottom"/>
            <w:shd w:val="clear" w:color="auto" w:fill="C0C0C0"/>
          </w:tcPr>
          <w:p>
            <w:pPr>
              <w:spacing w:after="0"/>
              <w:rPr>
                <w:sz w:val="19"/>
                <w:szCs w:val="19"/>
                <w:color w:val="auto"/>
              </w:rPr>
            </w:pPr>
          </w:p>
        </w:tc>
        <w:tc>
          <w:tcPr>
            <w:tcW w:w="538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rPr>
              <w:t>America and Cigna Investments, Inc.</w:t>
            </w:r>
          </w:p>
        </w:tc>
        <w:tc>
          <w:tcPr>
            <w:tcW w:w="55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rPr>
              <w:t>1998.</w:t>
            </w:r>
          </w:p>
        </w:tc>
      </w:tr>
      <w:tr>
        <w:trPr>
          <w:trHeight w:val="149"/>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00" w:type="dxa"/>
            <w:vAlign w:val="bottom"/>
          </w:tcPr>
          <w:p>
            <w:pPr>
              <w:spacing w:after="0"/>
              <w:rPr>
                <w:sz w:val="12"/>
                <w:szCs w:val="12"/>
                <w:color w:val="auto"/>
              </w:rPr>
            </w:pPr>
          </w:p>
        </w:tc>
      </w:tr>
      <w:tr>
        <w:trPr>
          <w:trHeight w:val="208"/>
        </w:trPr>
        <w:tc>
          <w:tcPr>
            <w:tcW w:w="5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10.6</w:t>
            </w:r>
          </w:p>
        </w:tc>
        <w:tc>
          <w:tcPr>
            <w:tcW w:w="538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w w:val="93"/>
              </w:rPr>
              <w:t>First Amendment, dated as of January 15, 2001 to the Note Purchase</w:t>
            </w:r>
          </w:p>
        </w:tc>
        <w:tc>
          <w:tcPr>
            <w:tcW w:w="55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1"/>
              </w:rPr>
              <w:t>Incorporated by reference to Exhibit (10)(m)(5) to Oil-Dri’s (File No. 001-</w:t>
            </w:r>
          </w:p>
        </w:tc>
      </w:tr>
      <w:tr>
        <w:trPr>
          <w:trHeight w:val="216"/>
        </w:trPr>
        <w:tc>
          <w:tcPr>
            <w:tcW w:w="540" w:type="dxa"/>
            <w:vAlign w:val="bottom"/>
            <w:shd w:val="clear" w:color="auto" w:fill="C0C0C0"/>
          </w:tcPr>
          <w:p>
            <w:pPr>
              <w:spacing w:after="0"/>
              <w:rPr>
                <w:sz w:val="18"/>
                <w:szCs w:val="18"/>
                <w:color w:val="auto"/>
              </w:rPr>
            </w:pPr>
          </w:p>
        </w:tc>
        <w:tc>
          <w:tcPr>
            <w:tcW w:w="538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rPr>
              <w:t>Agreement dated as of April 15, 1998.</w:t>
            </w:r>
          </w:p>
        </w:tc>
        <w:tc>
          <w:tcPr>
            <w:tcW w:w="55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0"/>
              </w:rPr>
              <w:t>12622) Quarterly Report on Form 10-Q for the quarter ended January 31,</w:t>
            </w:r>
          </w:p>
        </w:tc>
      </w:tr>
      <w:tr>
        <w:trPr>
          <w:trHeight w:val="224"/>
        </w:trPr>
        <w:tc>
          <w:tcPr>
            <w:tcW w:w="54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5200" w:type="dxa"/>
            <w:vAlign w:val="bottom"/>
            <w:shd w:val="clear" w:color="auto" w:fill="C0C0C0"/>
          </w:tcPr>
          <w:p>
            <w:pPr>
              <w:spacing w:after="0"/>
              <w:rPr>
                <w:sz w:val="19"/>
                <w:szCs w:val="19"/>
                <w:color w:val="auto"/>
              </w:rPr>
            </w:pPr>
          </w:p>
        </w:tc>
        <w:tc>
          <w:tcPr>
            <w:tcW w:w="55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rPr>
              <w:t>2001.</w:t>
            </w:r>
          </w:p>
        </w:tc>
      </w:tr>
      <w:tr>
        <w:trPr>
          <w:trHeight w:val="149"/>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00" w:type="dxa"/>
            <w:vAlign w:val="bottom"/>
          </w:tcPr>
          <w:p>
            <w:pPr>
              <w:spacing w:after="0"/>
              <w:rPr>
                <w:sz w:val="12"/>
                <w:szCs w:val="12"/>
                <w:color w:val="auto"/>
              </w:rPr>
            </w:pPr>
          </w:p>
        </w:tc>
      </w:tr>
      <w:tr>
        <w:trPr>
          <w:trHeight w:val="208"/>
        </w:trPr>
        <w:tc>
          <w:tcPr>
            <w:tcW w:w="5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10.7</w:t>
            </w:r>
          </w:p>
        </w:tc>
        <w:tc>
          <w:tcPr>
            <w:tcW w:w="538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w w:val="99"/>
              </w:rPr>
              <w:t>Second Amendment, dated as of July 15, 2002 to Note Purchase</w:t>
            </w:r>
          </w:p>
        </w:tc>
        <w:tc>
          <w:tcPr>
            <w:tcW w:w="55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3"/>
              </w:rPr>
              <w:t>Incorporated by reference to Exhibit 10(m)(6) to Oil-Dri’s (File No. 001-</w:t>
            </w:r>
          </w:p>
        </w:tc>
      </w:tr>
      <w:tr>
        <w:trPr>
          <w:trHeight w:val="216"/>
        </w:trPr>
        <w:tc>
          <w:tcPr>
            <w:tcW w:w="540" w:type="dxa"/>
            <w:vAlign w:val="bottom"/>
            <w:shd w:val="clear" w:color="auto" w:fill="C0C0C0"/>
          </w:tcPr>
          <w:p>
            <w:pPr>
              <w:spacing w:after="0"/>
              <w:rPr>
                <w:sz w:val="18"/>
                <w:szCs w:val="18"/>
                <w:color w:val="auto"/>
              </w:rPr>
            </w:pPr>
          </w:p>
        </w:tc>
        <w:tc>
          <w:tcPr>
            <w:tcW w:w="538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rPr>
              <w:t>Agreement dated as of April 15, 1998.</w:t>
            </w:r>
          </w:p>
        </w:tc>
        <w:tc>
          <w:tcPr>
            <w:tcW w:w="55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5"/>
              </w:rPr>
              <w:t>12622) Annual Report on Form 10-K for the fiscal year ended July 31,</w:t>
            </w:r>
          </w:p>
        </w:tc>
      </w:tr>
      <w:tr>
        <w:trPr>
          <w:trHeight w:val="224"/>
        </w:trPr>
        <w:tc>
          <w:tcPr>
            <w:tcW w:w="54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5200" w:type="dxa"/>
            <w:vAlign w:val="bottom"/>
            <w:shd w:val="clear" w:color="auto" w:fill="C0C0C0"/>
          </w:tcPr>
          <w:p>
            <w:pPr>
              <w:spacing w:after="0"/>
              <w:rPr>
                <w:sz w:val="19"/>
                <w:szCs w:val="19"/>
                <w:color w:val="auto"/>
              </w:rPr>
            </w:pPr>
          </w:p>
        </w:tc>
        <w:tc>
          <w:tcPr>
            <w:tcW w:w="55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rPr>
              <w:t>2002.</w:t>
            </w:r>
          </w:p>
        </w:tc>
      </w:tr>
    </w:tbl>
    <w:p>
      <w:pPr>
        <w:spacing w:after="0" w:line="140" w:lineRule="exact"/>
        <w:rPr>
          <w:sz w:val="20"/>
          <w:szCs w:val="20"/>
          <w:color w:val="auto"/>
        </w:rPr>
      </w:pPr>
    </w:p>
    <w:p>
      <w:pPr>
        <w:sectPr>
          <w:pgSz w:w="11900" w:h="16838" w:orient="portrait"/>
          <w:cols w:equalWidth="0" w:num="1">
            <w:col w:w="11440"/>
          </w:cols>
          <w:pgMar w:left="240" w:top="631" w:right="219" w:bottom="1440" w:gutter="0" w:footer="0" w:header="0"/>
        </w:sectPr>
      </w:pPr>
    </w:p>
    <w:p>
      <w:pPr>
        <w:ind w:left="720" w:hanging="605"/>
        <w:spacing w:after="0" w:line="268" w:lineRule="auto"/>
        <w:tabs>
          <w:tab w:leader="none" w:pos="7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Third Amendment, dated as of January 27, 2006 to Note Purchase Agreement dated as of April 15,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Incorporated by reference to Exhibit 10.2 to Oil-Dri’s (File No. 001-12622) Current Report on Form 8-K filed on February 1, 2006.</w:t>
      </w:r>
    </w:p>
    <w:p>
      <w:pPr>
        <w:spacing w:after="0" w:line="118" w:lineRule="exact"/>
        <w:rPr>
          <w:sz w:val="20"/>
          <w:szCs w:val="20"/>
          <w:color w:val="auto"/>
        </w:rPr>
      </w:pPr>
    </w:p>
    <w:p>
      <w:pPr>
        <w:sectPr>
          <w:pgSz w:w="11900" w:h="16838" w:orient="portrait"/>
          <w:cols w:equalWidth="0" w:num="2">
            <w:col w:w="5920" w:space="200"/>
            <w:col w:w="5320"/>
          </w:cols>
          <w:pgMar w:left="240" w:top="631" w:right="219" w:bottom="1440" w:gutter="0" w:footer="0" w:header="0"/>
          <w:type w:val="continuous"/>
        </w:sectPr>
      </w:pPr>
    </w:p>
    <w:p>
      <w:pPr>
        <w:ind w:left="720" w:hanging="605"/>
        <w:spacing w:after="0" w:line="332" w:lineRule="auto"/>
        <w:tabs>
          <w:tab w:leader="none" w:pos="7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$15,000,000 Credit Agreement, dated January 27, 2006 among the Company, certain subsidiaries of the Company and Harris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274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Incorporated by reference to Exhibit 10.1 to Oil-Dri’s (File No. 001-12622) Current Report on Form 8-K filed on February 1, 2006.</w:t>
      </w:r>
    </w:p>
    <w:p>
      <w:pPr>
        <w:spacing w:after="0" w:line="126" w:lineRule="exact"/>
        <w:rPr>
          <w:sz w:val="20"/>
          <w:szCs w:val="20"/>
          <w:color w:val="auto"/>
        </w:rPr>
      </w:pPr>
    </w:p>
    <w:p>
      <w:pPr>
        <w:sectPr>
          <w:pgSz w:w="11900" w:h="16838" w:orient="portrait"/>
          <w:cols w:equalWidth="0" w:num="2">
            <w:col w:w="5920" w:space="200"/>
            <w:col w:w="5320"/>
          </w:cols>
          <w:pgMar w:left="240" w:top="631" w:right="21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10.10</w:t>
            </w: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w w:val="93"/>
              </w:rPr>
              <w:t>First Amendment, dated as of December 19, 2008 to Credit Agreement</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Incorporated by reference to Exhibit 10.1 to Oil-Dri’s (File No. 001-12622)</w:t>
            </w:r>
          </w:p>
        </w:tc>
      </w:tr>
      <w:tr>
        <w:trPr>
          <w:trHeight w:val="224"/>
        </w:trPr>
        <w:tc>
          <w:tcPr>
            <w:tcW w:w="600" w:type="dxa"/>
            <w:vAlign w:val="bottom"/>
            <w:shd w:val="clear" w:color="auto" w:fill="C0C0C0"/>
          </w:tcPr>
          <w:p>
            <w:pPr>
              <w:spacing w:after="0"/>
              <w:rPr>
                <w:sz w:val="19"/>
                <w:szCs w:val="19"/>
                <w:color w:val="auto"/>
              </w:rPr>
            </w:pP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dated as of January 27, 2006.</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2"/>
              </w:rPr>
              <w:t>Quarterly Report on Form 10-Q for the quarter ended January 31, 2009.</w:t>
            </w:r>
          </w:p>
        </w:tc>
      </w:tr>
      <w:tr>
        <w:trPr>
          <w:trHeight w:val="149"/>
        </w:trPr>
        <w:tc>
          <w:tcPr>
            <w:tcW w:w="6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400" w:type="dxa"/>
            <w:vAlign w:val="bottom"/>
          </w:tcPr>
          <w:p>
            <w:pPr>
              <w:spacing w:after="0"/>
              <w:rPr>
                <w:sz w:val="12"/>
                <w:szCs w:val="12"/>
                <w:color w:val="auto"/>
              </w:rPr>
            </w:pPr>
          </w:p>
        </w:tc>
      </w:tr>
      <w:tr>
        <w:trPr>
          <w:trHeight w:val="208"/>
        </w:trPr>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10.11</w:t>
            </w: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w w:val="90"/>
              </w:rPr>
              <w:t>$15,000,000 Note Agreement dated as of December 16, 2005 among the</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Incorporated by reference to Exhibit 10.1 to Oil-Dri’s (File No. 001-12622)</w:t>
            </w:r>
          </w:p>
        </w:tc>
      </w:tr>
      <w:tr>
        <w:trPr>
          <w:trHeight w:val="216"/>
        </w:trPr>
        <w:tc>
          <w:tcPr>
            <w:tcW w:w="600" w:type="dxa"/>
            <w:vAlign w:val="bottom"/>
            <w:shd w:val="clear" w:color="auto" w:fill="C0C0C0"/>
          </w:tcPr>
          <w:p>
            <w:pPr>
              <w:spacing w:after="0"/>
              <w:rPr>
                <w:sz w:val="18"/>
                <w:szCs w:val="18"/>
                <w:color w:val="auto"/>
              </w:rPr>
            </w:pP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w w:val="90"/>
              </w:rPr>
              <w:t>Company, The Prudential Insurance Company of America and Prudential</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rPr>
              <w:t>Current Report on Form 8-K filed on December 22, 2005.</w:t>
            </w:r>
          </w:p>
        </w:tc>
      </w:tr>
      <w:tr>
        <w:trPr>
          <w:trHeight w:val="224"/>
        </w:trPr>
        <w:tc>
          <w:tcPr>
            <w:tcW w:w="600" w:type="dxa"/>
            <w:vAlign w:val="bottom"/>
            <w:shd w:val="clear" w:color="auto" w:fill="C0C0C0"/>
          </w:tcPr>
          <w:p>
            <w:pPr>
              <w:spacing w:after="0"/>
              <w:rPr>
                <w:sz w:val="19"/>
                <w:szCs w:val="19"/>
                <w:color w:val="auto"/>
              </w:rPr>
            </w:pP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Retirement Insurance and Annuity Company.</w:t>
            </w:r>
          </w:p>
        </w:tc>
        <w:tc>
          <w:tcPr>
            <w:tcW w:w="5400" w:type="dxa"/>
            <w:vAlign w:val="bottom"/>
            <w:shd w:val="clear" w:color="auto" w:fill="C0C0C0"/>
          </w:tcPr>
          <w:p>
            <w:pPr>
              <w:spacing w:after="0"/>
              <w:rPr>
                <w:sz w:val="19"/>
                <w:szCs w:val="19"/>
                <w:color w:val="auto"/>
              </w:rPr>
            </w:pPr>
          </w:p>
        </w:tc>
      </w:tr>
      <w:tr>
        <w:trPr>
          <w:trHeight w:val="149"/>
        </w:trPr>
        <w:tc>
          <w:tcPr>
            <w:tcW w:w="6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400" w:type="dxa"/>
            <w:vAlign w:val="bottom"/>
          </w:tcPr>
          <w:p>
            <w:pPr>
              <w:spacing w:after="0"/>
              <w:rPr>
                <w:sz w:val="12"/>
                <w:szCs w:val="12"/>
                <w:color w:val="auto"/>
              </w:rPr>
            </w:pPr>
          </w:p>
        </w:tc>
      </w:tr>
      <w:tr>
        <w:trPr>
          <w:trHeight w:val="208"/>
        </w:trPr>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10.12</w:t>
            </w: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w w:val="91"/>
              </w:rPr>
              <w:t>First Amendment, dated as of July 12, 2006 to Note Agreement dated as</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Incorporated by reference to Exhibit 10.9 to Oil-Dri’s (File No. 001-12622)</w:t>
            </w:r>
          </w:p>
        </w:tc>
      </w:tr>
      <w:tr>
        <w:trPr>
          <w:trHeight w:val="224"/>
        </w:trPr>
        <w:tc>
          <w:tcPr>
            <w:tcW w:w="600" w:type="dxa"/>
            <w:vAlign w:val="bottom"/>
            <w:shd w:val="clear" w:color="auto" w:fill="C0C0C0"/>
          </w:tcPr>
          <w:p>
            <w:pPr>
              <w:spacing w:after="0"/>
              <w:rPr>
                <w:sz w:val="19"/>
                <w:szCs w:val="19"/>
                <w:color w:val="auto"/>
              </w:rPr>
            </w:pP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of December 16, 2005.</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7"/>
              </w:rPr>
              <w:t>Annual Report on Form 10-K for the fiscal year ended July 31, 2006.</w:t>
            </w:r>
          </w:p>
        </w:tc>
      </w:tr>
      <w:tr>
        <w:trPr>
          <w:trHeight w:val="149"/>
        </w:trPr>
        <w:tc>
          <w:tcPr>
            <w:tcW w:w="6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400" w:type="dxa"/>
            <w:vAlign w:val="bottom"/>
          </w:tcPr>
          <w:p>
            <w:pPr>
              <w:spacing w:after="0"/>
              <w:rPr>
                <w:sz w:val="12"/>
                <w:szCs w:val="12"/>
                <w:color w:val="auto"/>
              </w:rPr>
            </w:pPr>
          </w:p>
        </w:tc>
      </w:tr>
      <w:tr>
        <w:trPr>
          <w:trHeight w:val="208"/>
        </w:trPr>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10.13</w:t>
            </w: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Description of 1987 Executive Deferred Compensation Program.*</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7"/>
              </w:rPr>
              <w:t>Incorporated by reference to Exhibit (10)(f) to Oil-Dri’s (File No. 001-</w:t>
            </w:r>
          </w:p>
        </w:tc>
      </w:tr>
      <w:tr>
        <w:trPr>
          <w:trHeight w:val="216"/>
        </w:trPr>
        <w:tc>
          <w:tcPr>
            <w:tcW w:w="600" w:type="dxa"/>
            <w:vAlign w:val="bottom"/>
            <w:shd w:val="clear" w:color="auto" w:fill="C0C0C0"/>
          </w:tcPr>
          <w:p>
            <w:pPr>
              <w:spacing w:after="0"/>
              <w:rPr>
                <w:sz w:val="18"/>
                <w:szCs w:val="18"/>
                <w:color w:val="auto"/>
              </w:rPr>
            </w:pPr>
          </w:p>
        </w:tc>
        <w:tc>
          <w:tcPr>
            <w:tcW w:w="5420" w:type="dxa"/>
            <w:vAlign w:val="bottom"/>
            <w:shd w:val="clear" w:color="auto" w:fill="C0C0C0"/>
          </w:tcPr>
          <w:p>
            <w:pPr>
              <w:spacing w:after="0"/>
              <w:rPr>
                <w:sz w:val="18"/>
                <w:szCs w:val="18"/>
                <w:color w:val="auto"/>
              </w:rPr>
            </w:pP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5"/>
              </w:rPr>
              <w:t>12622) Annual Report on Form 10-K for the fiscal year ended July 31,</w:t>
            </w:r>
          </w:p>
        </w:tc>
      </w:tr>
      <w:tr>
        <w:trPr>
          <w:trHeight w:val="224"/>
        </w:trPr>
        <w:tc>
          <w:tcPr>
            <w:tcW w:w="600" w:type="dxa"/>
            <w:vAlign w:val="bottom"/>
            <w:shd w:val="clear" w:color="auto" w:fill="C0C0C0"/>
          </w:tcPr>
          <w:p>
            <w:pPr>
              <w:spacing w:after="0"/>
              <w:rPr>
                <w:sz w:val="19"/>
                <w:szCs w:val="19"/>
                <w:color w:val="auto"/>
              </w:rPr>
            </w:pPr>
          </w:p>
        </w:tc>
        <w:tc>
          <w:tcPr>
            <w:tcW w:w="5420" w:type="dxa"/>
            <w:vAlign w:val="bottom"/>
            <w:shd w:val="clear" w:color="auto" w:fill="C0C0C0"/>
          </w:tcPr>
          <w:p>
            <w:pPr>
              <w:spacing w:after="0"/>
              <w:rPr>
                <w:sz w:val="19"/>
                <w:szCs w:val="19"/>
                <w:color w:val="auto"/>
              </w:rPr>
            </w:pP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rPr>
              <w:t>1988.</w:t>
            </w:r>
          </w:p>
        </w:tc>
      </w:tr>
    </w:tbl>
    <w:p>
      <w:pPr>
        <w:spacing w:after="0" w:line="140" w:lineRule="exact"/>
        <w:rPr>
          <w:sz w:val="20"/>
          <w:szCs w:val="20"/>
          <w:color w:val="auto"/>
        </w:rPr>
      </w:pPr>
    </w:p>
    <w:p>
      <w:pPr>
        <w:sectPr>
          <w:pgSz w:w="11900" w:h="16838" w:orient="portrait"/>
          <w:cols w:equalWidth="0" w:num="1">
            <w:col w:w="11440"/>
          </w:cols>
          <w:pgMar w:left="240" w:top="631" w:right="219" w:bottom="1440" w:gutter="0" w:footer="0" w:header="0"/>
          <w:type w:val="continuous"/>
        </w:sectPr>
      </w:pPr>
    </w:p>
    <w:p>
      <w:pPr>
        <w:ind w:left="720" w:hanging="649"/>
        <w:spacing w:after="0" w:line="268" w:lineRule="auto"/>
        <w:tabs>
          <w:tab w:leader="none" w:pos="700" w:val="left"/>
        </w:tabs>
        <w:rPr>
          <w:sz w:val="20"/>
          <w:szCs w:val="20"/>
          <w:color w:val="auto"/>
        </w:rPr>
      </w:pPr>
      <w:r>
        <w:rPr>
          <w:rFonts w:ascii="Arial" w:cs="Arial" w:eastAsia="Arial" w:hAnsi="Arial"/>
          <w:sz w:val="18"/>
          <w:szCs w:val="18"/>
          <w:color w:val="auto"/>
        </w:rPr>
        <w:t>10.14</w:t>
        <w:tab/>
        <w:t>Salary Continuation Agreement dated August 1, l989 between Richard M. Jaffee and Oil-Dri (“1989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411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Incorporated by reference to Exhibit (10)(g) to Oil-Dri’s (File No. 001-12622) Annual Report on Form 10-K for the fiscal year ended July 31, 1989.</w:t>
      </w:r>
    </w:p>
    <w:p>
      <w:pPr>
        <w:spacing w:after="0" w:line="135" w:lineRule="exact"/>
        <w:rPr>
          <w:sz w:val="20"/>
          <w:szCs w:val="20"/>
          <w:color w:val="auto"/>
        </w:rPr>
      </w:pPr>
    </w:p>
    <w:p>
      <w:pPr>
        <w:sectPr>
          <w:pgSz w:w="11900" w:h="16838" w:orient="portrait"/>
          <w:cols w:equalWidth="0" w:num="2">
            <w:col w:w="5920" w:space="200"/>
            <w:col w:w="5320"/>
          </w:cols>
          <w:pgMar w:left="240" w:top="631" w:right="21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6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6"/>
              </w:rPr>
              <w:t>10.15   Extension  and  Amendment,  dated  October  9,  1998,  to  the  1989</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8"/>
              </w:rPr>
              <w:t>Incorporated by reference to Exhibit 10.12 to Oil-Dri’s (File No. 001-</w:t>
            </w:r>
          </w:p>
        </w:tc>
        <w:tc>
          <w:tcPr>
            <w:tcW w:w="20" w:type="dxa"/>
            <w:vAlign w:val="bottom"/>
          </w:tcPr>
          <w:p>
            <w:pPr>
              <w:spacing w:after="0"/>
              <w:rPr>
                <w:sz w:val="18"/>
                <w:szCs w:val="18"/>
                <w:color w:val="auto"/>
              </w:rPr>
            </w:pPr>
          </w:p>
        </w:tc>
      </w:tr>
      <w:tr>
        <w:trPr>
          <w:trHeight w:val="216"/>
        </w:trPr>
        <w:tc>
          <w:tcPr>
            <w:tcW w:w="6020" w:type="dxa"/>
            <w:vAlign w:val="bottom"/>
            <w:shd w:val="clear" w:color="auto" w:fill="C0C0C0"/>
          </w:tcPr>
          <w:p>
            <w:pPr>
              <w:jc w:val="right"/>
              <w:ind w:right="4292"/>
              <w:spacing w:after="0"/>
              <w:rPr>
                <w:sz w:val="20"/>
                <w:szCs w:val="20"/>
                <w:color w:val="auto"/>
              </w:rPr>
            </w:pPr>
            <w:r>
              <w:rPr>
                <w:rFonts w:ascii="Arial" w:cs="Arial" w:eastAsia="Arial" w:hAnsi="Arial"/>
                <w:sz w:val="18"/>
                <w:szCs w:val="18"/>
                <w:color w:val="auto"/>
              </w:rPr>
              <w:t>Agreement.*</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5"/>
              </w:rPr>
              <w:t>12622) Annual Report on Form 10-K for the fiscal year ended July 31,</w:t>
            </w:r>
          </w:p>
        </w:tc>
        <w:tc>
          <w:tcPr>
            <w:tcW w:w="20" w:type="dxa"/>
            <w:vAlign w:val="bottom"/>
          </w:tcPr>
          <w:p>
            <w:pPr>
              <w:spacing w:after="0"/>
              <w:rPr>
                <w:sz w:val="18"/>
                <w:szCs w:val="18"/>
                <w:color w:val="auto"/>
              </w:rPr>
            </w:pPr>
          </w:p>
        </w:tc>
      </w:tr>
      <w:tr>
        <w:trPr>
          <w:trHeight w:val="224"/>
        </w:trPr>
        <w:tc>
          <w:tcPr>
            <w:tcW w:w="6020" w:type="dxa"/>
            <w:vAlign w:val="bottom"/>
            <w:shd w:val="clear" w:color="auto" w:fill="C0C0C0"/>
          </w:tcPr>
          <w:p>
            <w:pPr>
              <w:spacing w:after="0"/>
              <w:rPr>
                <w:sz w:val="19"/>
                <w:szCs w:val="19"/>
                <w:color w:val="auto"/>
              </w:rPr>
            </w:pP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9"/>
                <w:szCs w:val="19"/>
                <w:color w:val="auto"/>
              </w:rPr>
            </w:pPr>
          </w:p>
        </w:tc>
      </w:tr>
      <w:tr>
        <w:trPr>
          <w:trHeight w:val="457"/>
        </w:trPr>
        <w:tc>
          <w:tcPr>
            <w:tcW w:w="6020" w:type="dxa"/>
            <w:vAlign w:val="bottom"/>
          </w:tcPr>
          <w:p>
            <w:pPr>
              <w:jc w:val="right"/>
              <w:ind w:right="132"/>
              <w:spacing w:after="0"/>
              <w:rPr>
                <w:sz w:val="20"/>
                <w:szCs w:val="20"/>
                <w:color w:val="auto"/>
              </w:rPr>
            </w:pPr>
            <w:r>
              <w:rPr>
                <w:rFonts w:ascii="Arial" w:cs="Arial" w:eastAsia="Arial" w:hAnsi="Arial"/>
                <w:sz w:val="18"/>
                <w:szCs w:val="18"/>
                <w:color w:val="auto"/>
              </w:rPr>
              <w:t>73</w:t>
            </w: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6020" w:type="dxa"/>
            <w:vAlign w:val="bottom"/>
            <w:tcBorders>
              <w:bottom w:val="single" w:sz="8" w:color="808080"/>
            </w:tcBorders>
          </w:tcPr>
          <w:p>
            <w:pPr>
              <w:spacing w:after="0"/>
              <w:rPr>
                <w:sz w:val="24"/>
                <w:szCs w:val="24"/>
                <w:color w:val="auto"/>
              </w:rPr>
            </w:pPr>
          </w:p>
        </w:tc>
        <w:tc>
          <w:tcPr>
            <w:tcW w:w="5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31" w:right="21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22"/>
        </w:trPr>
        <w:tc>
          <w:tcPr>
            <w:tcW w:w="54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18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252"/>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180" w:type="dxa"/>
            <w:vAlign w:val="bottom"/>
          </w:tcPr>
          <w:p>
            <w:pPr>
              <w:spacing w:after="0"/>
              <w:rPr>
                <w:sz w:val="21"/>
                <w:szCs w:val="21"/>
                <w:color w:val="auto"/>
              </w:rPr>
            </w:pPr>
          </w:p>
        </w:tc>
        <w:tc>
          <w:tcPr>
            <w:tcW w:w="520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Description</w:t>
            </w:r>
          </w:p>
        </w:tc>
      </w:tr>
      <w:tr>
        <w:trPr>
          <w:trHeight w:val="208"/>
        </w:trPr>
        <w:tc>
          <w:tcPr>
            <w:tcW w:w="540" w:type="dxa"/>
            <w:vAlign w:val="bottom"/>
          </w:tcPr>
          <w:p>
            <w:pPr>
              <w:jc w:val="center"/>
              <w:spacing w:after="0"/>
              <w:rPr>
                <w:sz w:val="20"/>
                <w:szCs w:val="20"/>
                <w:color w:val="auto"/>
              </w:rPr>
            </w:pPr>
            <w:r>
              <w:rPr>
                <w:rFonts w:ascii="Arial" w:cs="Arial" w:eastAsia="Arial" w:hAnsi="Arial"/>
                <w:sz w:val="18"/>
                <w:szCs w:val="18"/>
                <w:color w:val="auto"/>
                <w:w w:val="84"/>
              </w:rPr>
              <w:t>10.16</w:t>
            </w:r>
          </w:p>
        </w:tc>
        <w:tc>
          <w:tcPr>
            <w:tcW w:w="1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8"/>
              </w:rPr>
              <w:t>Second  Amendment,  effective  October  31,  2000,  to  the  1989</w:t>
            </w:r>
          </w:p>
        </w:tc>
      </w:tr>
      <w:tr>
        <w:trPr>
          <w:trHeight w:val="222"/>
        </w:trPr>
        <w:tc>
          <w:tcPr>
            <w:tcW w:w="540" w:type="dxa"/>
            <w:vAlign w:val="bottom"/>
          </w:tcPr>
          <w:p>
            <w:pPr>
              <w:spacing w:after="0"/>
              <w:rPr>
                <w:sz w:val="19"/>
                <w:szCs w:val="19"/>
                <w:color w:val="auto"/>
              </w:rPr>
            </w:pP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rPr>
              <w:t>Agreement.*</w:t>
            </w:r>
          </w:p>
        </w:tc>
      </w:tr>
      <w:tr>
        <w:trPr>
          <w:trHeight w:val="358"/>
        </w:trPr>
        <w:tc>
          <w:tcPr>
            <w:tcW w:w="540" w:type="dxa"/>
            <w:vAlign w:val="bottom"/>
          </w:tcPr>
          <w:p>
            <w:pPr>
              <w:jc w:val="center"/>
              <w:spacing w:after="0"/>
              <w:rPr>
                <w:sz w:val="20"/>
                <w:szCs w:val="20"/>
                <w:color w:val="auto"/>
              </w:rPr>
            </w:pPr>
            <w:r>
              <w:rPr>
                <w:rFonts w:ascii="Arial" w:cs="Arial" w:eastAsia="Arial" w:hAnsi="Arial"/>
                <w:sz w:val="18"/>
                <w:szCs w:val="18"/>
                <w:color w:val="auto"/>
                <w:w w:val="84"/>
              </w:rPr>
              <w:t>10.17</w:t>
            </w: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w w:val="96"/>
              </w:rPr>
              <w:t>Third  Amendment,  dated  as  of  January  31,  2006,  to  the  1989</w:t>
            </w:r>
          </w:p>
        </w:tc>
      </w:tr>
      <w:tr>
        <w:trPr>
          <w:trHeight w:val="222"/>
        </w:trPr>
        <w:tc>
          <w:tcPr>
            <w:tcW w:w="540" w:type="dxa"/>
            <w:vAlign w:val="bottom"/>
          </w:tcPr>
          <w:p>
            <w:pPr>
              <w:spacing w:after="0"/>
              <w:rPr>
                <w:sz w:val="19"/>
                <w:szCs w:val="19"/>
                <w:color w:val="auto"/>
              </w:rPr>
            </w:pP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rPr>
              <w:t>Agreement.*</w:t>
            </w:r>
          </w:p>
        </w:tc>
      </w:tr>
      <w:tr>
        <w:trPr>
          <w:trHeight w:val="358"/>
        </w:trPr>
        <w:tc>
          <w:tcPr>
            <w:tcW w:w="540" w:type="dxa"/>
            <w:vAlign w:val="bottom"/>
          </w:tcPr>
          <w:p>
            <w:pPr>
              <w:jc w:val="center"/>
              <w:spacing w:after="0"/>
              <w:rPr>
                <w:sz w:val="20"/>
                <w:szCs w:val="20"/>
                <w:color w:val="auto"/>
              </w:rPr>
            </w:pPr>
            <w:r>
              <w:rPr>
                <w:rFonts w:ascii="Arial" w:cs="Arial" w:eastAsia="Arial" w:hAnsi="Arial"/>
                <w:sz w:val="18"/>
                <w:szCs w:val="18"/>
                <w:color w:val="auto"/>
                <w:w w:val="84"/>
              </w:rPr>
              <w:t>10.18</w:t>
            </w: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w w:val="95"/>
              </w:rPr>
              <w:t>Oil-Dri  Corporation  of  America  Deferred  Compensation  Plan,  as</w:t>
            </w:r>
          </w:p>
        </w:tc>
      </w:tr>
      <w:tr>
        <w:trPr>
          <w:trHeight w:val="222"/>
        </w:trPr>
        <w:tc>
          <w:tcPr>
            <w:tcW w:w="540" w:type="dxa"/>
            <w:vAlign w:val="bottom"/>
          </w:tcPr>
          <w:p>
            <w:pPr>
              <w:spacing w:after="0"/>
              <w:rPr>
                <w:sz w:val="19"/>
                <w:szCs w:val="19"/>
                <w:color w:val="auto"/>
              </w:rPr>
            </w:pP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rPr>
              <w:t>amended and restated effective April 1, 2003.*</w:t>
            </w:r>
          </w:p>
        </w:tc>
      </w:tr>
      <w:tr>
        <w:trPr>
          <w:trHeight w:val="574"/>
        </w:trPr>
        <w:tc>
          <w:tcPr>
            <w:tcW w:w="540" w:type="dxa"/>
            <w:vAlign w:val="bottom"/>
          </w:tcPr>
          <w:p>
            <w:pPr>
              <w:jc w:val="center"/>
              <w:spacing w:after="0"/>
              <w:rPr>
                <w:sz w:val="20"/>
                <w:szCs w:val="20"/>
                <w:color w:val="auto"/>
              </w:rPr>
            </w:pPr>
            <w:r>
              <w:rPr>
                <w:rFonts w:ascii="Arial" w:cs="Arial" w:eastAsia="Arial" w:hAnsi="Arial"/>
                <w:sz w:val="18"/>
                <w:szCs w:val="18"/>
                <w:color w:val="auto"/>
                <w:w w:val="84"/>
              </w:rPr>
              <w:t>10.19</w:t>
            </w: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w w:val="90"/>
              </w:rPr>
              <w:t>First Amendment, effective as of January 1, 2007, to Oil-Dri Corporation</w:t>
            </w:r>
          </w:p>
        </w:tc>
      </w:tr>
      <w:tr>
        <w:trPr>
          <w:trHeight w:val="216"/>
        </w:trPr>
        <w:tc>
          <w:tcPr>
            <w:tcW w:w="540" w:type="dxa"/>
            <w:vAlign w:val="bottom"/>
          </w:tcPr>
          <w:p>
            <w:pPr>
              <w:spacing w:after="0"/>
              <w:rPr>
                <w:sz w:val="18"/>
                <w:szCs w:val="18"/>
                <w:color w:val="auto"/>
              </w:rPr>
            </w:pP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w w:val="96"/>
              </w:rPr>
              <w:t>of America Deferred Compensation Plan, as amended and restated</w:t>
            </w:r>
          </w:p>
        </w:tc>
      </w:tr>
      <w:tr>
        <w:trPr>
          <w:trHeight w:val="222"/>
        </w:trPr>
        <w:tc>
          <w:tcPr>
            <w:tcW w:w="540" w:type="dxa"/>
            <w:vAlign w:val="bottom"/>
          </w:tcPr>
          <w:p>
            <w:pPr>
              <w:spacing w:after="0"/>
              <w:rPr>
                <w:sz w:val="19"/>
                <w:szCs w:val="19"/>
                <w:color w:val="auto"/>
              </w:rPr>
            </w:pP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rPr>
              <w:t>effective April 1,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-1284605</wp:posOffset>
            </wp:positionV>
            <wp:extent cx="7246620" cy="274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-915670</wp:posOffset>
            </wp:positionV>
            <wp:extent cx="7246620" cy="411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411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-1661795</wp:posOffset>
            </wp:positionV>
            <wp:extent cx="7246620" cy="283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 Document Reference</w:t>
      </w:r>
    </w:p>
    <w:p>
      <w:pPr>
        <w:spacing w:after="0" w:line="3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Incorporated by reference to Exhibit 99.1 to Oil-Dri’s (File No. 001-12622) Current Report on Form 8-K filed on November 13, 2000.</w:t>
      </w:r>
    </w:p>
    <w:p>
      <w:pPr>
        <w:spacing w:after="0" w:line="1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Incorporated by reference to Exhibit 10.1 to Oil-Dri’s (File No. 001-12622) Current Report on Form 8-K filed on February 13, 2006.</w:t>
      </w:r>
    </w:p>
    <w:p>
      <w:pPr>
        <w:spacing w:after="0" w:line="11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Incorporated by reference to Exhibit (10)(j)(1) to Oil-Dri’s (File No. 001-12622) Quarterly Report on Form 10-Q for the quarter ended April 30, 2003.</w:t>
      </w:r>
    </w:p>
    <w:p>
      <w:pPr>
        <w:spacing w:after="0" w:line="12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Incorporated by reference to Exhibit 10.1 to Oil-Dri’s (File No. 001-12622) Quarterly Report on Form 10-Q for the quarter ended January 31, 2008.</w:t>
      </w:r>
    </w:p>
    <w:p>
      <w:pPr>
        <w:spacing w:after="0" w:line="287" w:lineRule="exact"/>
        <w:rPr>
          <w:sz w:val="20"/>
          <w:szCs w:val="20"/>
          <w:color w:val="auto"/>
        </w:rPr>
      </w:pPr>
    </w:p>
    <w:p>
      <w:pPr>
        <w:sectPr>
          <w:pgSz w:w="11900" w:h="16838" w:orient="portrait"/>
          <w:cols w:equalWidth="0" w:num="2">
            <w:col w:w="5920" w:space="200"/>
            <w:col w:w="5320"/>
          </w:cols>
          <w:pgMar w:left="240" w:top="631" w:right="219" w:bottom="1440" w:gutter="0" w:footer="0" w:header="0"/>
        </w:sectPr>
      </w:pPr>
    </w:p>
    <w:p>
      <w:pPr>
        <w:jc w:val="both"/>
        <w:ind w:left="720" w:hanging="649"/>
        <w:spacing w:after="0" w:line="259" w:lineRule="auto"/>
        <w:tabs>
          <w:tab w:leader="none" w:pos="700" w:val="left"/>
        </w:tabs>
        <w:rPr>
          <w:sz w:val="20"/>
          <w:szCs w:val="20"/>
          <w:color w:val="auto"/>
        </w:rPr>
      </w:pPr>
      <w:r>
        <w:rPr>
          <w:rFonts w:ascii="Arial" w:cs="Arial" w:eastAsia="Arial" w:hAnsi="Arial"/>
          <w:sz w:val="18"/>
          <w:szCs w:val="18"/>
          <w:color w:val="auto"/>
        </w:rPr>
        <w:t>10.20</w:t>
        <w:tab/>
        <w:t>Second Amendment, effective as of January 1, 2008, to Oil-Dri Corporation of America Deferred Compensation Plan, as amended and restated effective April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411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332" w:lineRule="auto"/>
        <w:rPr>
          <w:sz w:val="20"/>
          <w:szCs w:val="20"/>
          <w:color w:val="auto"/>
        </w:rPr>
      </w:pPr>
      <w:r>
        <w:rPr>
          <w:rFonts w:ascii="Arial" w:cs="Arial" w:eastAsia="Arial" w:hAnsi="Arial"/>
          <w:sz w:val="16"/>
          <w:szCs w:val="16"/>
          <w:color w:val="auto"/>
        </w:rPr>
        <w:t>Incorporated by reference to Exhibit 10.1 to Oil-Dri’s (File No. 001-12622) Quarterly Report on Form 10-Q for the quarter ended January 31, 2008.</w:t>
      </w:r>
    </w:p>
    <w:p>
      <w:pPr>
        <w:spacing w:after="0" w:line="288" w:lineRule="exact"/>
        <w:rPr>
          <w:sz w:val="20"/>
          <w:szCs w:val="20"/>
          <w:color w:val="auto"/>
        </w:rPr>
      </w:pPr>
    </w:p>
    <w:p>
      <w:pPr>
        <w:sectPr>
          <w:pgSz w:w="11900" w:h="16838" w:orient="portrait"/>
          <w:cols w:equalWidth="0" w:num="2">
            <w:col w:w="5920" w:space="200"/>
            <w:col w:w="5320"/>
          </w:cols>
          <w:pgMar w:left="240" w:top="631" w:right="219" w:bottom="1440" w:gutter="0" w:footer="0" w:header="0"/>
          <w:type w:val="continuous"/>
        </w:sectPr>
      </w:pPr>
    </w:p>
    <w:p>
      <w:pPr>
        <w:ind w:left="720" w:hanging="649"/>
        <w:spacing w:after="0" w:line="268" w:lineRule="auto"/>
        <w:tabs>
          <w:tab w:leader="none" w:pos="700" w:val="left"/>
        </w:tabs>
        <w:rPr>
          <w:sz w:val="20"/>
          <w:szCs w:val="20"/>
          <w:color w:val="auto"/>
        </w:rPr>
      </w:pPr>
      <w:r>
        <w:rPr>
          <w:rFonts w:ascii="Arial" w:cs="Arial" w:eastAsia="Arial" w:hAnsi="Arial"/>
          <w:sz w:val="18"/>
          <w:szCs w:val="18"/>
          <w:color w:val="auto"/>
        </w:rPr>
        <w:t>10.21</w:t>
        <w:tab/>
        <w:t>Oil-Dri Corporation of America 1995 Long-Term Incentive Plan as amended and restated effective June 9,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411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Incorporated by reference to Exhibit (10)(k) to Oil-Dri’s (File No. 001-12622) Annual Report on Form 10-K for the fiscal year ended July 31, 2000.</w:t>
      </w:r>
    </w:p>
    <w:p>
      <w:pPr>
        <w:spacing w:after="0" w:line="135" w:lineRule="exact"/>
        <w:rPr>
          <w:sz w:val="20"/>
          <w:szCs w:val="20"/>
          <w:color w:val="auto"/>
        </w:rPr>
      </w:pPr>
    </w:p>
    <w:p>
      <w:pPr>
        <w:sectPr>
          <w:pgSz w:w="11900" w:h="16838" w:orient="portrait"/>
          <w:cols w:equalWidth="0" w:num="2">
            <w:col w:w="5920" w:space="200"/>
            <w:col w:w="5320"/>
          </w:cols>
          <w:pgMar w:left="240" w:top="631" w:right="21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5640" w:type="dxa"/>
            <w:vAlign w:val="bottom"/>
            <w:shd w:val="clear" w:color="auto" w:fill="C0C0C0"/>
          </w:tcPr>
          <w:p>
            <w:pPr>
              <w:ind w:left="80"/>
              <w:spacing w:after="0"/>
              <w:rPr>
                <w:sz w:val="20"/>
                <w:szCs w:val="20"/>
                <w:color w:val="auto"/>
              </w:rPr>
            </w:pPr>
            <w:r>
              <w:rPr>
                <w:rFonts w:ascii="Arial" w:cs="Arial" w:eastAsia="Arial" w:hAnsi="Arial"/>
                <w:sz w:val="18"/>
                <w:szCs w:val="18"/>
                <w:color w:val="auto"/>
                <w:w w:val="99"/>
              </w:rPr>
              <w:t>10.22   Supplemental Executive Retirement Plan dated April 1, 2003.*</w:t>
            </w:r>
          </w:p>
        </w:tc>
        <w:tc>
          <w:tcPr>
            <w:tcW w:w="5780" w:type="dxa"/>
            <w:vAlign w:val="bottom"/>
            <w:shd w:val="clear" w:color="auto" w:fill="C0C0C0"/>
          </w:tcPr>
          <w:p>
            <w:pPr>
              <w:ind w:left="480"/>
              <w:spacing w:after="0"/>
              <w:rPr>
                <w:sz w:val="20"/>
                <w:szCs w:val="20"/>
                <w:color w:val="auto"/>
              </w:rPr>
            </w:pPr>
            <w:r>
              <w:rPr>
                <w:rFonts w:ascii="Arial" w:cs="Arial" w:eastAsia="Arial" w:hAnsi="Arial"/>
                <w:sz w:val="18"/>
                <w:szCs w:val="18"/>
                <w:color w:val="auto"/>
                <w:w w:val="96"/>
              </w:rPr>
              <w:t>Incorporated by reference to Exhibit (10)(1) to Oil-Dri’s (File No. 001-</w:t>
            </w:r>
          </w:p>
        </w:tc>
      </w:tr>
      <w:tr>
        <w:trPr>
          <w:trHeight w:val="216"/>
        </w:trPr>
        <w:tc>
          <w:tcPr>
            <w:tcW w:w="5640" w:type="dxa"/>
            <w:vAlign w:val="bottom"/>
            <w:shd w:val="clear" w:color="auto" w:fill="C0C0C0"/>
          </w:tcPr>
          <w:p>
            <w:pPr>
              <w:spacing w:after="0"/>
              <w:rPr>
                <w:sz w:val="18"/>
                <w:szCs w:val="18"/>
                <w:color w:val="auto"/>
              </w:rPr>
            </w:pPr>
          </w:p>
        </w:tc>
        <w:tc>
          <w:tcPr>
            <w:tcW w:w="5780" w:type="dxa"/>
            <w:vAlign w:val="bottom"/>
            <w:shd w:val="clear" w:color="auto" w:fill="C0C0C0"/>
          </w:tcPr>
          <w:p>
            <w:pPr>
              <w:ind w:left="480"/>
              <w:spacing w:after="0"/>
              <w:rPr>
                <w:sz w:val="20"/>
                <w:szCs w:val="20"/>
                <w:color w:val="auto"/>
              </w:rPr>
            </w:pPr>
            <w:r>
              <w:rPr>
                <w:rFonts w:ascii="Arial" w:cs="Arial" w:eastAsia="Arial" w:hAnsi="Arial"/>
                <w:sz w:val="18"/>
                <w:szCs w:val="18"/>
                <w:color w:val="auto"/>
                <w:w w:val="95"/>
              </w:rPr>
              <w:t>12622) Quarterly Report on Form 10-Q for the quarter ended April 30,</w:t>
            </w:r>
          </w:p>
        </w:tc>
      </w:tr>
      <w:tr>
        <w:trPr>
          <w:trHeight w:val="224"/>
        </w:trPr>
        <w:tc>
          <w:tcPr>
            <w:tcW w:w="5640" w:type="dxa"/>
            <w:vAlign w:val="bottom"/>
            <w:shd w:val="clear" w:color="auto" w:fill="C0C0C0"/>
          </w:tcPr>
          <w:p>
            <w:pPr>
              <w:spacing w:after="0"/>
              <w:rPr>
                <w:sz w:val="19"/>
                <w:szCs w:val="19"/>
                <w:color w:val="auto"/>
              </w:rPr>
            </w:pPr>
          </w:p>
        </w:tc>
        <w:tc>
          <w:tcPr>
            <w:tcW w:w="5780" w:type="dxa"/>
            <w:vAlign w:val="bottom"/>
            <w:shd w:val="clear" w:color="auto" w:fill="C0C0C0"/>
          </w:tcPr>
          <w:p>
            <w:pPr>
              <w:ind w:left="480"/>
              <w:spacing w:after="0"/>
              <w:rPr>
                <w:sz w:val="20"/>
                <w:szCs w:val="20"/>
                <w:color w:val="auto"/>
              </w:rPr>
            </w:pPr>
            <w:r>
              <w:rPr>
                <w:rFonts w:ascii="Arial" w:cs="Arial" w:eastAsia="Arial" w:hAnsi="Arial"/>
                <w:sz w:val="18"/>
                <w:szCs w:val="18"/>
                <w:color w:val="auto"/>
              </w:rPr>
              <w:t>2003.</w:t>
            </w:r>
          </w:p>
        </w:tc>
      </w:tr>
    </w:tbl>
    <w:p>
      <w:pPr>
        <w:spacing w:after="0" w:line="140" w:lineRule="exact"/>
        <w:rPr>
          <w:sz w:val="20"/>
          <w:szCs w:val="20"/>
          <w:color w:val="auto"/>
        </w:rPr>
      </w:pPr>
    </w:p>
    <w:p>
      <w:pPr>
        <w:sectPr>
          <w:pgSz w:w="11900" w:h="16838" w:orient="portrait"/>
          <w:cols w:equalWidth="0" w:num="1">
            <w:col w:w="11440"/>
          </w:cols>
          <w:pgMar w:left="240" w:top="631" w:right="219" w:bottom="1440" w:gutter="0" w:footer="0" w:header="0"/>
          <w:type w:val="continuous"/>
        </w:sectPr>
      </w:pPr>
    </w:p>
    <w:p>
      <w:pPr>
        <w:ind w:left="720" w:hanging="649"/>
        <w:spacing w:after="0" w:line="268" w:lineRule="auto"/>
        <w:tabs>
          <w:tab w:leader="none" w:pos="700" w:val="left"/>
        </w:tabs>
        <w:rPr>
          <w:sz w:val="20"/>
          <w:szCs w:val="20"/>
          <w:color w:val="auto"/>
        </w:rPr>
      </w:pPr>
      <w:r>
        <w:rPr>
          <w:rFonts w:ascii="Arial" w:cs="Arial" w:eastAsia="Arial" w:hAnsi="Arial"/>
          <w:sz w:val="18"/>
          <w:szCs w:val="18"/>
          <w:color w:val="auto"/>
        </w:rPr>
        <w:t>10.23</w:t>
        <w:tab/>
        <w:t>Oil-Dri Corporation of America Outside Director Stock Plan as amended and restated effective October 16,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411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Incorporated by reference to Exhibit (10)(n) to Oil-Dri’s (File No. 001-12622) Annual Report on Form 10-K for the fiscal year ended July 31, 2000.</w:t>
      </w:r>
    </w:p>
    <w:p>
      <w:pPr>
        <w:spacing w:after="0" w:line="135" w:lineRule="exact"/>
        <w:rPr>
          <w:sz w:val="20"/>
          <w:szCs w:val="20"/>
          <w:color w:val="auto"/>
        </w:rPr>
      </w:pPr>
    </w:p>
    <w:p>
      <w:pPr>
        <w:sectPr>
          <w:pgSz w:w="11900" w:h="16838" w:orient="portrait"/>
          <w:cols w:equalWidth="0" w:num="2">
            <w:col w:w="5920" w:space="200"/>
            <w:col w:w="5320"/>
          </w:cols>
          <w:pgMar w:left="240" w:top="631" w:right="21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10.24</w:t>
            </w: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w w:val="93"/>
              </w:rPr>
              <w:t>Oil-Dri Corporation of America Annual Incentive Plan (as amended and</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Incorporated by reference to Exhibit 10.4 to Oil-Dri’s (File No. 001-12622)</w:t>
            </w:r>
          </w:p>
        </w:tc>
        <w:tc>
          <w:tcPr>
            <w:tcW w:w="20" w:type="dxa"/>
            <w:vAlign w:val="bottom"/>
          </w:tcPr>
          <w:p>
            <w:pPr>
              <w:spacing w:after="0"/>
              <w:rPr>
                <w:sz w:val="18"/>
                <w:szCs w:val="18"/>
                <w:color w:val="auto"/>
              </w:rPr>
            </w:pPr>
          </w:p>
        </w:tc>
      </w:tr>
      <w:tr>
        <w:trPr>
          <w:trHeight w:val="224"/>
        </w:trPr>
        <w:tc>
          <w:tcPr>
            <w:tcW w:w="600" w:type="dxa"/>
            <w:vAlign w:val="bottom"/>
            <w:shd w:val="clear" w:color="auto" w:fill="C0C0C0"/>
          </w:tcPr>
          <w:p>
            <w:pPr>
              <w:spacing w:after="0"/>
              <w:rPr>
                <w:sz w:val="19"/>
                <w:szCs w:val="19"/>
                <w:color w:val="auto"/>
              </w:rPr>
            </w:pP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restated effective January 1, 2008).*</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2"/>
              </w:rPr>
              <w:t>Quarterly Report on Form 10-Q for the quarter ended January 31, 2008.</w:t>
            </w:r>
          </w:p>
        </w:tc>
        <w:tc>
          <w:tcPr>
            <w:tcW w:w="20" w:type="dxa"/>
            <w:vAlign w:val="bottom"/>
          </w:tcPr>
          <w:p>
            <w:pPr>
              <w:spacing w:after="0"/>
              <w:rPr>
                <w:sz w:val="19"/>
                <w:szCs w:val="19"/>
                <w:color w:val="auto"/>
              </w:rPr>
            </w:pPr>
          </w:p>
        </w:tc>
      </w:tr>
      <w:tr>
        <w:trPr>
          <w:trHeight w:val="149"/>
        </w:trPr>
        <w:tc>
          <w:tcPr>
            <w:tcW w:w="6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8"/>
        </w:trPr>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10.25</w:t>
            </w: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w w:val="93"/>
              </w:rPr>
              <w:t>Restricted Stock Agreement, dated as of March 14, 2006, between Oil-</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Incorporated by reference to Exhibit 10.3 to Oil-Dri’s (File No. 001-12622)</w:t>
            </w:r>
          </w:p>
        </w:tc>
        <w:tc>
          <w:tcPr>
            <w:tcW w:w="20" w:type="dxa"/>
            <w:vAlign w:val="bottom"/>
          </w:tcPr>
          <w:p>
            <w:pPr>
              <w:spacing w:after="0"/>
              <w:rPr>
                <w:sz w:val="18"/>
                <w:szCs w:val="18"/>
                <w:color w:val="auto"/>
              </w:rPr>
            </w:pPr>
          </w:p>
        </w:tc>
      </w:tr>
      <w:tr>
        <w:trPr>
          <w:trHeight w:val="224"/>
        </w:trPr>
        <w:tc>
          <w:tcPr>
            <w:tcW w:w="600" w:type="dxa"/>
            <w:vAlign w:val="bottom"/>
            <w:shd w:val="clear" w:color="auto" w:fill="C0C0C0"/>
          </w:tcPr>
          <w:p>
            <w:pPr>
              <w:spacing w:after="0"/>
              <w:rPr>
                <w:sz w:val="19"/>
                <w:szCs w:val="19"/>
                <w:color w:val="auto"/>
              </w:rPr>
            </w:pP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Dri Corporation of America and Daniel S. Jaffee.*</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rPr>
              <w:t>Current Report on Form 8-K filed on March 20, 2006.</w:t>
            </w:r>
          </w:p>
        </w:tc>
        <w:tc>
          <w:tcPr>
            <w:tcW w:w="20" w:type="dxa"/>
            <w:vAlign w:val="bottom"/>
          </w:tcPr>
          <w:p>
            <w:pPr>
              <w:spacing w:after="0"/>
              <w:rPr>
                <w:sz w:val="19"/>
                <w:szCs w:val="19"/>
                <w:color w:val="auto"/>
              </w:rPr>
            </w:pPr>
          </w:p>
        </w:tc>
      </w:tr>
      <w:tr>
        <w:trPr>
          <w:trHeight w:val="149"/>
        </w:trPr>
        <w:tc>
          <w:tcPr>
            <w:tcW w:w="6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8"/>
        </w:trPr>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10.26</w:t>
            </w: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w w:val="95"/>
              </w:rPr>
              <w:t>Oil-Dri Corporation of America 2005 Deferred Compensation Plan (as</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Incorporated by reference to Exhibit 10.3 to Oil-Dri’s (File No. 001-12622)</w:t>
            </w:r>
          </w:p>
        </w:tc>
        <w:tc>
          <w:tcPr>
            <w:tcW w:w="20" w:type="dxa"/>
            <w:vAlign w:val="bottom"/>
          </w:tcPr>
          <w:p>
            <w:pPr>
              <w:spacing w:after="0"/>
              <w:rPr>
                <w:sz w:val="18"/>
                <w:szCs w:val="18"/>
                <w:color w:val="auto"/>
              </w:rPr>
            </w:pPr>
          </w:p>
        </w:tc>
      </w:tr>
      <w:tr>
        <w:trPr>
          <w:trHeight w:val="224"/>
        </w:trPr>
        <w:tc>
          <w:tcPr>
            <w:tcW w:w="600" w:type="dxa"/>
            <w:vAlign w:val="bottom"/>
            <w:shd w:val="clear" w:color="auto" w:fill="C0C0C0"/>
          </w:tcPr>
          <w:p>
            <w:pPr>
              <w:spacing w:after="0"/>
              <w:rPr>
                <w:sz w:val="19"/>
                <w:szCs w:val="19"/>
                <w:color w:val="auto"/>
              </w:rPr>
            </w:pP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amended and restated effective January 1, 2008)*</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2"/>
              </w:rPr>
              <w:t>Quarterly Report on Form 10-Q for the quarter ended January 31, 2008.</w:t>
            </w:r>
          </w:p>
        </w:tc>
        <w:tc>
          <w:tcPr>
            <w:tcW w:w="20" w:type="dxa"/>
            <w:vAlign w:val="bottom"/>
          </w:tcPr>
          <w:p>
            <w:pPr>
              <w:spacing w:after="0"/>
              <w:rPr>
                <w:sz w:val="19"/>
                <w:szCs w:val="19"/>
                <w:color w:val="auto"/>
              </w:rPr>
            </w:pPr>
          </w:p>
        </w:tc>
      </w:tr>
      <w:tr>
        <w:trPr>
          <w:trHeight w:val="149"/>
        </w:trPr>
        <w:tc>
          <w:tcPr>
            <w:tcW w:w="6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8"/>
        </w:trPr>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10.27</w:t>
            </w: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Oil-Dri Corporation of America 2006 Long Term Incentive Plan (as</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Incorporated by reference to Appendix A to Oil-Dri’s (File No. 001-12622)</w:t>
            </w:r>
          </w:p>
        </w:tc>
        <w:tc>
          <w:tcPr>
            <w:tcW w:w="20" w:type="dxa"/>
            <w:vAlign w:val="bottom"/>
          </w:tcPr>
          <w:p>
            <w:pPr>
              <w:spacing w:after="0"/>
              <w:rPr>
                <w:sz w:val="18"/>
                <w:szCs w:val="18"/>
                <w:color w:val="auto"/>
              </w:rPr>
            </w:pPr>
          </w:p>
        </w:tc>
      </w:tr>
      <w:tr>
        <w:trPr>
          <w:trHeight w:val="224"/>
        </w:trPr>
        <w:tc>
          <w:tcPr>
            <w:tcW w:w="600" w:type="dxa"/>
            <w:vAlign w:val="bottom"/>
            <w:shd w:val="clear" w:color="auto" w:fill="C0C0C0"/>
          </w:tcPr>
          <w:p>
            <w:pPr>
              <w:spacing w:after="0"/>
              <w:rPr>
                <w:sz w:val="19"/>
                <w:szCs w:val="19"/>
                <w:color w:val="auto"/>
              </w:rPr>
            </w:pP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amended and restated effective July 28, 2006)*</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1"/>
              </w:rPr>
              <w:t>Definitive Proxy Statement on Schedule 14A filed on November 3, 2006.</w:t>
            </w:r>
          </w:p>
        </w:tc>
        <w:tc>
          <w:tcPr>
            <w:tcW w:w="20" w:type="dxa"/>
            <w:vAlign w:val="bottom"/>
          </w:tcPr>
          <w:p>
            <w:pPr>
              <w:spacing w:after="0"/>
              <w:rPr>
                <w:sz w:val="19"/>
                <w:szCs w:val="19"/>
                <w:color w:val="auto"/>
              </w:rPr>
            </w:pPr>
          </w:p>
        </w:tc>
      </w:tr>
      <w:tr>
        <w:trPr>
          <w:trHeight w:val="149"/>
        </w:trPr>
        <w:tc>
          <w:tcPr>
            <w:tcW w:w="6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8"/>
        </w:trPr>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10.28</w:t>
            </w: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w w:val="92"/>
              </w:rPr>
              <w:t>First Amendment, effective as of January 1, 2008, to Oil-Dri Corporation</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Incorporated by reference to Exhibit 10.5 to Oil-Dri’s (File No. 001-12622)</w:t>
            </w:r>
          </w:p>
        </w:tc>
        <w:tc>
          <w:tcPr>
            <w:tcW w:w="20" w:type="dxa"/>
            <w:vAlign w:val="bottom"/>
          </w:tcPr>
          <w:p>
            <w:pPr>
              <w:spacing w:after="0"/>
              <w:rPr>
                <w:sz w:val="18"/>
                <w:szCs w:val="18"/>
                <w:color w:val="auto"/>
              </w:rPr>
            </w:pPr>
          </w:p>
        </w:tc>
      </w:tr>
      <w:tr>
        <w:trPr>
          <w:trHeight w:val="216"/>
        </w:trPr>
        <w:tc>
          <w:tcPr>
            <w:tcW w:w="600" w:type="dxa"/>
            <w:vAlign w:val="bottom"/>
            <w:shd w:val="clear" w:color="auto" w:fill="C0C0C0"/>
          </w:tcPr>
          <w:p>
            <w:pPr>
              <w:spacing w:after="0"/>
              <w:rPr>
                <w:sz w:val="18"/>
                <w:szCs w:val="18"/>
                <w:color w:val="auto"/>
              </w:rPr>
            </w:pP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w w:val="94"/>
              </w:rPr>
              <w:t>of America 2006 Long Term Incentive Plan (as amended and restated</w:t>
            </w:r>
          </w:p>
        </w:tc>
        <w:tc>
          <w:tcPr>
            <w:tcW w:w="54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2"/>
              </w:rPr>
              <w:t>Quarterly Report on Form 10-Q for the quarter ended January 31, 2008.</w:t>
            </w:r>
          </w:p>
        </w:tc>
        <w:tc>
          <w:tcPr>
            <w:tcW w:w="20" w:type="dxa"/>
            <w:vAlign w:val="bottom"/>
          </w:tcPr>
          <w:p>
            <w:pPr>
              <w:spacing w:after="0"/>
              <w:rPr>
                <w:sz w:val="18"/>
                <w:szCs w:val="18"/>
                <w:color w:val="auto"/>
              </w:rPr>
            </w:pPr>
          </w:p>
        </w:tc>
      </w:tr>
      <w:tr>
        <w:trPr>
          <w:trHeight w:val="224"/>
        </w:trPr>
        <w:tc>
          <w:tcPr>
            <w:tcW w:w="600" w:type="dxa"/>
            <w:vAlign w:val="bottom"/>
            <w:shd w:val="clear" w:color="auto" w:fill="C0C0C0"/>
          </w:tcPr>
          <w:p>
            <w:pPr>
              <w:spacing w:after="0"/>
              <w:rPr>
                <w:sz w:val="19"/>
                <w:szCs w:val="19"/>
                <w:color w:val="auto"/>
              </w:rPr>
            </w:pPr>
          </w:p>
        </w:tc>
        <w:tc>
          <w:tcPr>
            <w:tcW w:w="54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effective July 28, 2006)*</w:t>
            </w:r>
          </w:p>
        </w:tc>
        <w:tc>
          <w:tcPr>
            <w:tcW w:w="540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457"/>
        </w:trPr>
        <w:tc>
          <w:tcPr>
            <w:tcW w:w="600" w:type="dxa"/>
            <w:vAlign w:val="bottom"/>
          </w:tcPr>
          <w:p>
            <w:pPr>
              <w:spacing w:after="0"/>
              <w:rPr>
                <w:sz w:val="24"/>
                <w:szCs w:val="24"/>
                <w:color w:val="auto"/>
              </w:rPr>
            </w:pPr>
          </w:p>
        </w:tc>
        <w:tc>
          <w:tcPr>
            <w:tcW w:w="5420" w:type="dxa"/>
            <w:vAlign w:val="bottom"/>
          </w:tcPr>
          <w:p>
            <w:pPr>
              <w:ind w:left="5020"/>
              <w:spacing w:after="0"/>
              <w:rPr>
                <w:sz w:val="20"/>
                <w:szCs w:val="20"/>
                <w:color w:val="auto"/>
              </w:rPr>
            </w:pPr>
            <w:r>
              <w:rPr>
                <w:rFonts w:ascii="Arial" w:cs="Arial" w:eastAsia="Arial" w:hAnsi="Arial"/>
                <w:sz w:val="18"/>
                <w:szCs w:val="18"/>
                <w:color w:val="auto"/>
              </w:rPr>
              <w:t>74</w:t>
            </w: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60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5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31" w:right="21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22"/>
        </w:trPr>
        <w:tc>
          <w:tcPr>
            <w:tcW w:w="54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18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40" w:type="dxa"/>
            <w:vAlign w:val="bottom"/>
          </w:tcPr>
          <w:p>
            <w:pPr>
              <w:spacing w:after="0"/>
              <w:rPr>
                <w:sz w:val="19"/>
                <w:szCs w:val="19"/>
                <w:color w:val="auto"/>
              </w:rPr>
            </w:pPr>
          </w:p>
        </w:tc>
      </w:tr>
      <w:tr>
        <w:trPr>
          <w:trHeight w:val="231"/>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180" w:type="dxa"/>
            <w:vAlign w:val="bottom"/>
            <w:tcBorders>
              <w:bottom w:val="single" w:sz="8" w:color="C0C0C0"/>
            </w:tcBorders>
          </w:tcPr>
          <w:p>
            <w:pPr>
              <w:spacing w:after="0"/>
              <w:rPr>
                <w:sz w:val="20"/>
                <w:szCs w:val="20"/>
                <w:color w:val="auto"/>
              </w:rPr>
            </w:pPr>
          </w:p>
        </w:tc>
        <w:tc>
          <w:tcPr>
            <w:tcW w:w="498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Description</w:t>
            </w:r>
          </w:p>
        </w:tc>
        <w:tc>
          <w:tcPr>
            <w:tcW w:w="180" w:type="dxa"/>
            <w:vAlign w:val="bottom"/>
            <w:tcBorders>
              <w:bottom w:val="single" w:sz="8" w:color="C0C0C0"/>
            </w:tcBorders>
          </w:tcPr>
          <w:p>
            <w:pPr>
              <w:spacing w:after="0"/>
              <w:rPr>
                <w:sz w:val="20"/>
                <w:szCs w:val="20"/>
                <w:color w:val="auto"/>
              </w:rPr>
            </w:pPr>
          </w:p>
        </w:tc>
        <w:tc>
          <w:tcPr>
            <w:tcW w:w="554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SEC Document Reference</w:t>
            </w:r>
          </w:p>
        </w:tc>
      </w:tr>
      <w:tr>
        <w:trPr>
          <w:trHeight w:val="222"/>
        </w:trPr>
        <w:tc>
          <w:tcPr>
            <w:tcW w:w="5700" w:type="dxa"/>
            <w:vAlign w:val="bottom"/>
            <w:gridSpan w:val="3"/>
            <w:shd w:val="clear" w:color="auto" w:fill="C0C0C0"/>
          </w:tcPr>
          <w:p>
            <w:pPr>
              <w:ind w:left="80"/>
              <w:spacing w:after="0"/>
              <w:rPr>
                <w:sz w:val="20"/>
                <w:szCs w:val="20"/>
                <w:color w:val="auto"/>
              </w:rPr>
            </w:pPr>
            <w:r>
              <w:rPr>
                <w:rFonts w:ascii="Arial" w:cs="Arial" w:eastAsia="Arial" w:hAnsi="Arial"/>
                <w:sz w:val="18"/>
                <w:szCs w:val="18"/>
                <w:color w:val="auto"/>
                <w:w w:val="96"/>
              </w:rPr>
              <w:t>10.29   Form of Oil-Dri Corporation of America 2006 Long Term Incentive</w:t>
            </w:r>
          </w:p>
        </w:tc>
        <w:tc>
          <w:tcPr>
            <w:tcW w:w="572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w w:val="95"/>
              </w:rPr>
              <w:t>Incorporated by reference to Exhibit 10.2 to Oil-Dri’s (file No. 001-12622)</w:t>
            </w:r>
          </w:p>
        </w:tc>
      </w:tr>
      <w:tr>
        <w:trPr>
          <w:trHeight w:val="230"/>
        </w:trPr>
        <w:tc>
          <w:tcPr>
            <w:tcW w:w="540" w:type="dxa"/>
            <w:vAlign w:val="bottom"/>
            <w:shd w:val="clear" w:color="auto" w:fill="C0C0C0"/>
          </w:tcPr>
          <w:p>
            <w:pPr>
              <w:spacing w:after="0"/>
              <w:rPr>
                <w:sz w:val="19"/>
                <w:szCs w:val="19"/>
                <w:color w:val="auto"/>
              </w:rPr>
            </w:pPr>
          </w:p>
        </w:tc>
        <w:tc>
          <w:tcPr>
            <w:tcW w:w="516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rPr>
              <w:t>Plan Employee Stock Option Agreement for Class A Common</w:t>
            </w:r>
          </w:p>
        </w:tc>
        <w:tc>
          <w:tcPr>
            <w:tcW w:w="572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rPr>
              <w:t>Current Report on Form 8-K filed on December 11, 2006.</w:t>
            </w:r>
          </w:p>
        </w:tc>
      </w:tr>
      <w:tr>
        <w:trPr>
          <w:trHeight w:val="232"/>
        </w:trPr>
        <w:tc>
          <w:tcPr>
            <w:tcW w:w="540" w:type="dxa"/>
            <w:vAlign w:val="bottom"/>
            <w:shd w:val="clear" w:color="auto" w:fill="C0C0C0"/>
          </w:tcPr>
          <w:p>
            <w:pPr>
              <w:spacing w:after="0"/>
              <w:rPr>
                <w:sz w:val="20"/>
                <w:szCs w:val="20"/>
                <w:color w:val="auto"/>
              </w:rPr>
            </w:pPr>
          </w:p>
        </w:tc>
        <w:tc>
          <w:tcPr>
            <w:tcW w:w="516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rPr>
              <w:t>Stock.*</w:t>
            </w:r>
          </w:p>
        </w:tc>
        <w:tc>
          <w:tcPr>
            <w:tcW w:w="180" w:type="dxa"/>
            <w:vAlign w:val="bottom"/>
            <w:shd w:val="clear" w:color="auto" w:fill="C0C0C0"/>
          </w:tcPr>
          <w:p>
            <w:pPr>
              <w:spacing w:after="0"/>
              <w:rPr>
                <w:sz w:val="20"/>
                <w:szCs w:val="20"/>
                <w:color w:val="auto"/>
              </w:rPr>
            </w:pPr>
          </w:p>
        </w:tc>
        <w:tc>
          <w:tcPr>
            <w:tcW w:w="5540" w:type="dxa"/>
            <w:vAlign w:val="bottom"/>
            <w:shd w:val="clear" w:color="auto" w:fill="C0C0C0"/>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91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ectPr>
          <w:pgSz w:w="11900" w:h="16838" w:orient="portrait"/>
          <w:cols w:equalWidth="0" w:num="1">
            <w:col w:w="11420"/>
          </w:cols>
          <w:pgMar w:left="240" w:top="631" w:right="239" w:bottom="1440" w:gutter="0" w:footer="0" w:header="0"/>
        </w:sectPr>
      </w:pPr>
    </w:p>
    <w:p>
      <w:pPr>
        <w:spacing w:after="0" w:line="235" w:lineRule="exact"/>
        <w:rPr>
          <w:sz w:val="20"/>
          <w:szCs w:val="20"/>
          <w:color w:val="auto"/>
        </w:rPr>
      </w:pPr>
    </w:p>
    <w:p>
      <w:pPr>
        <w:ind w:left="720" w:hanging="649"/>
        <w:spacing w:after="0" w:line="349" w:lineRule="auto"/>
        <w:tabs>
          <w:tab w:leader="none" w:pos="7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Form of Oil-Dri Corporation of America 2006 Long Term Incentive Plan Employee Stock Option Agreement for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291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Incorporated by reference to Exhibit 10.3 to Oil-Dri’s (file No. 001-12622) Current Report on Form 8-K filed on December 11, 2006.</w:t>
      </w:r>
    </w:p>
    <w:p>
      <w:pPr>
        <w:spacing w:after="0" w:line="199" w:lineRule="exact"/>
        <w:rPr>
          <w:sz w:val="20"/>
          <w:szCs w:val="20"/>
          <w:color w:val="auto"/>
        </w:rPr>
      </w:pPr>
    </w:p>
    <w:p>
      <w:pPr>
        <w:sectPr>
          <w:pgSz w:w="11900" w:h="16838" w:orient="portrait"/>
          <w:cols w:equalWidth="0" w:num="2">
            <w:col w:w="5700" w:space="180"/>
            <w:col w:w="5540"/>
          </w:cols>
          <w:pgMar w:left="240" w:top="631" w:right="239" w:bottom="1440" w:gutter="0" w:footer="0" w:header="0"/>
          <w:type w:val="continuous"/>
        </w:sectPr>
      </w:pPr>
    </w:p>
    <w:p>
      <w:pPr>
        <w:jc w:val="center"/>
        <w:ind w:left="80"/>
        <w:spacing w:after="0" w:line="284" w:lineRule="auto"/>
        <w:rPr>
          <w:sz w:val="20"/>
          <w:szCs w:val="20"/>
          <w:color w:val="auto"/>
        </w:rPr>
      </w:pPr>
      <w:r>
        <w:rPr>
          <w:rFonts w:ascii="Arial" w:cs="Arial" w:eastAsia="Arial" w:hAnsi="Arial"/>
          <w:sz w:val="18"/>
          <w:szCs w:val="18"/>
          <w:color w:val="auto"/>
        </w:rPr>
        <w:t>10.31   Form of Oil-Dri Corporation of America 2006 Long Term Incentive Plan Employee Stock Option Agreement for Class B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91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8"/>
          <w:szCs w:val="18"/>
          <w:color w:val="auto"/>
        </w:rPr>
        <w:t>Incorporated by reference to Exhibit 10.4 to Oil-Dri’s (file No. 001-12622) Current Report on Form 8-K filed on December 11, 2006.</w:t>
      </w:r>
    </w:p>
    <w:p>
      <w:pPr>
        <w:spacing w:after="0" w:line="199" w:lineRule="exact"/>
        <w:rPr>
          <w:sz w:val="20"/>
          <w:szCs w:val="20"/>
          <w:color w:val="auto"/>
        </w:rPr>
      </w:pPr>
    </w:p>
    <w:p>
      <w:pPr>
        <w:sectPr>
          <w:pgSz w:w="11900" w:h="16838" w:orient="portrait"/>
          <w:cols w:equalWidth="0" w:num="2">
            <w:col w:w="5700" w:space="180"/>
            <w:col w:w="5540"/>
          </w:cols>
          <w:pgMar w:left="240" w:top="631" w:right="239" w:bottom="1440" w:gutter="0" w:footer="0" w:header="0"/>
          <w:type w:val="continuous"/>
        </w:sectPr>
      </w:pPr>
    </w:p>
    <w:p>
      <w:pPr>
        <w:jc w:val="center"/>
        <w:ind w:left="80"/>
        <w:spacing w:after="0" w:line="284" w:lineRule="auto"/>
        <w:rPr>
          <w:sz w:val="20"/>
          <w:szCs w:val="20"/>
          <w:color w:val="auto"/>
        </w:rPr>
      </w:pPr>
      <w:r>
        <w:rPr>
          <w:rFonts w:ascii="Arial" w:cs="Arial" w:eastAsia="Arial" w:hAnsi="Arial"/>
          <w:sz w:val="18"/>
          <w:szCs w:val="18"/>
          <w:color w:val="auto"/>
        </w:rPr>
        <w:t>10.32   Form of Oil-Dri Corporation of America 2006 Long Term Incentive Plan Director Stock Option Agreement for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91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8"/>
          <w:szCs w:val="18"/>
          <w:color w:val="auto"/>
        </w:rPr>
        <w:t>Incorporated by reference to Exhibit 10.5 to Oil-Dri’s (file No. 001-12622) Current Report on Form 8-K filed on December 11, 2006.</w:t>
      </w:r>
    </w:p>
    <w:p>
      <w:pPr>
        <w:spacing w:after="0" w:line="199" w:lineRule="exact"/>
        <w:rPr>
          <w:sz w:val="20"/>
          <w:szCs w:val="20"/>
          <w:color w:val="auto"/>
        </w:rPr>
      </w:pPr>
    </w:p>
    <w:p>
      <w:pPr>
        <w:sectPr>
          <w:pgSz w:w="11900" w:h="16838" w:orient="portrait"/>
          <w:cols w:equalWidth="0" w:num="2">
            <w:col w:w="5700" w:space="180"/>
            <w:col w:w="5540"/>
          </w:cols>
          <w:pgMar w:left="240" w:top="631" w:right="239" w:bottom="1440" w:gutter="0" w:footer="0" w:header="0"/>
          <w:type w:val="continuous"/>
        </w:sectPr>
      </w:pPr>
    </w:p>
    <w:p>
      <w:pPr>
        <w:ind w:left="720" w:hanging="649"/>
        <w:spacing w:after="0" w:line="349" w:lineRule="auto"/>
        <w:tabs>
          <w:tab w:leader="none" w:pos="7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Form of Oil-Dri Corporation of America 2006 Long Term Incentive Plan Restricted Stock Agreement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291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8"/>
          <w:szCs w:val="18"/>
          <w:color w:val="auto"/>
        </w:rPr>
        <w:t>Incorporated by reference to Exhibit 10.6 to Oil-Dri’s (file No. 001-12622) Current Report on Form 8-K filed on December 11, 2006.</w:t>
      </w:r>
    </w:p>
    <w:p>
      <w:pPr>
        <w:spacing w:after="0" w:line="199" w:lineRule="exact"/>
        <w:rPr>
          <w:sz w:val="20"/>
          <w:szCs w:val="20"/>
          <w:color w:val="auto"/>
        </w:rPr>
      </w:pPr>
    </w:p>
    <w:p>
      <w:pPr>
        <w:sectPr>
          <w:pgSz w:w="11900" w:h="16838" w:orient="portrait"/>
          <w:cols w:equalWidth="0" w:num="2">
            <w:col w:w="5700" w:space="180"/>
            <w:col w:w="5540"/>
          </w:cols>
          <w:pgMar w:left="240" w:top="631" w:right="239" w:bottom="1440" w:gutter="0" w:footer="0" w:header="0"/>
          <w:type w:val="continuous"/>
        </w:sectPr>
      </w:pPr>
    </w:p>
    <w:p>
      <w:pPr>
        <w:ind w:left="720" w:hanging="649"/>
        <w:spacing w:after="0" w:line="349" w:lineRule="auto"/>
        <w:tabs>
          <w:tab w:leader="none" w:pos="7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Form of Oil-Dri Corporation of America 2006 Long Term Incentive Plan Restricted Stock Agreement for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291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8"/>
          <w:szCs w:val="18"/>
          <w:color w:val="auto"/>
        </w:rPr>
        <w:t>Incorporated by reference to Exhibit 10.7 to Oil-Dri’s (file No. 001-12622) Current Report on Form 8-K filed on December 11, 2006.</w:t>
      </w:r>
    </w:p>
    <w:p>
      <w:pPr>
        <w:spacing w:after="0" w:line="199" w:lineRule="exact"/>
        <w:rPr>
          <w:sz w:val="20"/>
          <w:szCs w:val="20"/>
          <w:color w:val="auto"/>
        </w:rPr>
      </w:pPr>
    </w:p>
    <w:p>
      <w:pPr>
        <w:sectPr>
          <w:pgSz w:w="11900" w:h="16838" w:orient="portrait"/>
          <w:cols w:equalWidth="0" w:num="2">
            <w:col w:w="5700" w:space="180"/>
            <w:col w:w="5540"/>
          </w:cols>
          <w:pgMar w:left="240" w:top="631" w:right="239" w:bottom="1440" w:gutter="0" w:footer="0" w:header="0"/>
          <w:type w:val="continuous"/>
        </w:sectPr>
      </w:pPr>
    </w:p>
    <w:p>
      <w:pPr>
        <w:ind w:left="720" w:hanging="649"/>
        <w:spacing w:after="0" w:line="284" w:lineRule="auto"/>
        <w:tabs>
          <w:tab w:leader="none" w:pos="700" w:val="left"/>
        </w:tabs>
        <w:rPr>
          <w:sz w:val="20"/>
          <w:szCs w:val="20"/>
          <w:color w:val="auto"/>
        </w:rPr>
      </w:pPr>
      <w:r>
        <w:rPr>
          <w:rFonts w:ascii="Arial" w:cs="Arial" w:eastAsia="Arial" w:hAnsi="Arial"/>
          <w:sz w:val="18"/>
          <w:szCs w:val="18"/>
          <w:color w:val="auto"/>
        </w:rPr>
        <w:t>10.35</w:t>
        <w:tab/>
        <w:t>Form of Oil-Dri Corporation of America 2006 Long Term Incentive Plan Restricted Stock Agreement for Class B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91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8"/>
          <w:szCs w:val="18"/>
          <w:color w:val="auto"/>
        </w:rPr>
        <w:t>Incorporated by reference to Exhibit 10.8 to Oil-Dri’s (file No. 001-12622) Current Report on Form 8-K filed on December 11, 2006.</w:t>
      </w:r>
    </w:p>
    <w:p>
      <w:pPr>
        <w:spacing w:after="0" w:line="199" w:lineRule="exact"/>
        <w:rPr>
          <w:sz w:val="20"/>
          <w:szCs w:val="20"/>
          <w:color w:val="auto"/>
        </w:rPr>
      </w:pPr>
    </w:p>
    <w:p>
      <w:pPr>
        <w:sectPr>
          <w:pgSz w:w="11900" w:h="16838" w:orient="portrait"/>
          <w:cols w:equalWidth="0" w:num="2">
            <w:col w:w="5700" w:space="180"/>
            <w:col w:w="5540"/>
          </w:cols>
          <w:pgMar w:left="240" w:top="631" w:right="239" w:bottom="1440" w:gutter="0" w:footer="0" w:header="0"/>
          <w:type w:val="continuous"/>
        </w:sectPr>
      </w:pPr>
    </w:p>
    <w:p>
      <w:pPr>
        <w:ind w:left="720" w:hanging="649"/>
        <w:spacing w:after="0" w:line="284" w:lineRule="auto"/>
        <w:tabs>
          <w:tab w:leader="none" w:pos="700" w:val="left"/>
        </w:tabs>
        <w:rPr>
          <w:sz w:val="20"/>
          <w:szCs w:val="20"/>
          <w:color w:val="auto"/>
        </w:rPr>
      </w:pPr>
      <w:r>
        <w:rPr>
          <w:rFonts w:ascii="Arial" w:cs="Arial" w:eastAsia="Arial" w:hAnsi="Arial"/>
          <w:sz w:val="18"/>
          <w:szCs w:val="18"/>
          <w:color w:val="auto"/>
        </w:rPr>
        <w:t>10.36</w:t>
        <w:tab/>
        <w:t>Letter Agreement, dated as of January 11, 2010, between Oil-Dri Corporation of America and Brian K. Bancroft.*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43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8"/>
          <w:szCs w:val="18"/>
          <w:color w:val="auto"/>
        </w:rPr>
        <w:t>Incorporated by reference to Exhibit 10.1 to Oil-Dri’s (file No. 001-12622) Current Report on Form 8-K filed on January 12, 2010.</w:t>
      </w:r>
    </w:p>
    <w:p>
      <w:pPr>
        <w:spacing w:after="0" w:line="199" w:lineRule="exact"/>
        <w:rPr>
          <w:sz w:val="20"/>
          <w:szCs w:val="20"/>
          <w:color w:val="auto"/>
        </w:rPr>
      </w:pPr>
    </w:p>
    <w:p>
      <w:pPr>
        <w:sectPr>
          <w:pgSz w:w="11900" w:h="16838" w:orient="portrait"/>
          <w:cols w:equalWidth="0" w:num="2">
            <w:col w:w="5680" w:space="200"/>
            <w:col w:w="5540"/>
          </w:cols>
          <w:pgMar w:left="240" w:top="631" w:right="239" w:bottom="1440" w:gutter="0" w:footer="0" w:header="0"/>
          <w:type w:val="continuous"/>
        </w:sectPr>
      </w:pPr>
    </w:p>
    <w:p>
      <w:pPr>
        <w:jc w:val="both"/>
        <w:ind w:left="720" w:hanging="649"/>
        <w:spacing w:after="0" w:line="275" w:lineRule="auto"/>
        <w:tabs>
          <w:tab w:leader="none" w:pos="700" w:val="left"/>
        </w:tabs>
        <w:rPr>
          <w:sz w:val="20"/>
          <w:szCs w:val="20"/>
          <w:color w:val="auto"/>
        </w:rPr>
      </w:pPr>
      <w:r>
        <w:rPr>
          <w:rFonts w:ascii="Arial" w:cs="Arial" w:eastAsia="Arial" w:hAnsi="Arial"/>
          <w:sz w:val="18"/>
          <w:szCs w:val="18"/>
          <w:color w:val="auto"/>
        </w:rPr>
        <w:t>10.37</w:t>
        <w:tab/>
        <w:t>Amendment, dated April 15, 2010, to the Letter Agreement, dated January 11, 2010, between Oil-Dri corporation of America and Brian K. Bancroft.*</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8"/>
          <w:szCs w:val="18"/>
          <w:color w:val="auto"/>
        </w:rPr>
        <w:t>Incorporated by reference to Exhibit 10.1 to Oil-Dri’s (file No. 001-12622) Current Report on Form 8-K filed on April 16, 2010.</w:t>
      </w:r>
    </w:p>
    <w:p>
      <w:pPr>
        <w:spacing w:after="0" w:line="421" w:lineRule="exact"/>
        <w:rPr>
          <w:sz w:val="20"/>
          <w:szCs w:val="20"/>
          <w:color w:val="auto"/>
        </w:rPr>
      </w:pPr>
    </w:p>
    <w:p>
      <w:pPr>
        <w:sectPr>
          <w:pgSz w:w="11900" w:h="16838" w:orient="portrait"/>
          <w:cols w:equalWidth="0" w:num="2">
            <w:col w:w="5680" w:space="200"/>
            <w:col w:w="5540"/>
          </w:cols>
          <w:pgMar w:left="240" w:top="631"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11.1</w:t>
            </w:r>
          </w:p>
        </w:tc>
        <w:tc>
          <w:tcPr>
            <w:tcW w:w="5200" w:type="dxa"/>
            <w:vAlign w:val="bottom"/>
            <w:shd w:val="clear" w:color="auto" w:fill="C0C0C0"/>
          </w:tcPr>
          <w:p>
            <w:pPr>
              <w:ind w:left="140"/>
              <w:spacing w:after="0"/>
              <w:rPr>
                <w:sz w:val="20"/>
                <w:szCs w:val="20"/>
                <w:color w:val="auto"/>
              </w:rPr>
            </w:pPr>
            <w:r>
              <w:rPr>
                <w:rFonts w:ascii="Arial" w:cs="Arial" w:eastAsia="Arial" w:hAnsi="Arial"/>
                <w:sz w:val="18"/>
                <w:szCs w:val="18"/>
                <w:color w:val="auto"/>
              </w:rPr>
              <w:t>Statement re: Computation of Income per Share.</w:t>
            </w:r>
          </w:p>
        </w:tc>
        <w:tc>
          <w:tcPr>
            <w:tcW w:w="56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5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228"/>
        </w:trPr>
        <w:tc>
          <w:tcPr>
            <w:tcW w:w="5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14.1</w:t>
            </w:r>
          </w:p>
        </w:tc>
        <w:tc>
          <w:tcPr>
            <w:tcW w:w="520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Code of Ethics</w:t>
            </w:r>
          </w:p>
        </w:tc>
        <w:tc>
          <w:tcPr>
            <w:tcW w:w="564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7"/>
              </w:rPr>
              <w:t>Available at Oil-Dri’s website www.oildri.com or in print upon request to</w:t>
            </w:r>
          </w:p>
        </w:tc>
      </w:tr>
      <w:tr>
        <w:trPr>
          <w:trHeight w:val="230"/>
        </w:trPr>
        <w:tc>
          <w:tcPr>
            <w:tcW w:w="580" w:type="dxa"/>
            <w:vAlign w:val="bottom"/>
            <w:shd w:val="clear" w:color="auto" w:fill="C0C0C0"/>
          </w:tcPr>
          <w:p>
            <w:pPr>
              <w:spacing w:after="0"/>
              <w:rPr>
                <w:sz w:val="19"/>
                <w:szCs w:val="19"/>
                <w:color w:val="auto"/>
              </w:rPr>
            </w:pPr>
          </w:p>
        </w:tc>
        <w:tc>
          <w:tcPr>
            <w:tcW w:w="5200" w:type="dxa"/>
            <w:vAlign w:val="bottom"/>
            <w:shd w:val="clear" w:color="auto" w:fill="C0C0C0"/>
          </w:tcPr>
          <w:p>
            <w:pPr>
              <w:spacing w:after="0"/>
              <w:rPr>
                <w:sz w:val="19"/>
                <w:szCs w:val="19"/>
                <w:color w:val="auto"/>
              </w:rPr>
            </w:pPr>
          </w:p>
        </w:tc>
        <w:tc>
          <w:tcPr>
            <w:tcW w:w="564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8"/>
              </w:rPr>
              <w:t>Investor Relations, Oil-Dri Corporation of America, 410 North Michigan</w:t>
            </w:r>
          </w:p>
        </w:tc>
      </w:tr>
      <w:tr>
        <w:trPr>
          <w:trHeight w:val="230"/>
        </w:trPr>
        <w:tc>
          <w:tcPr>
            <w:tcW w:w="580" w:type="dxa"/>
            <w:vAlign w:val="bottom"/>
            <w:shd w:val="clear" w:color="auto" w:fill="C0C0C0"/>
          </w:tcPr>
          <w:p>
            <w:pPr>
              <w:spacing w:after="0"/>
              <w:rPr>
                <w:sz w:val="19"/>
                <w:szCs w:val="19"/>
                <w:color w:val="auto"/>
              </w:rPr>
            </w:pPr>
          </w:p>
        </w:tc>
        <w:tc>
          <w:tcPr>
            <w:tcW w:w="5200" w:type="dxa"/>
            <w:vAlign w:val="bottom"/>
            <w:shd w:val="clear" w:color="auto" w:fill="C0C0C0"/>
          </w:tcPr>
          <w:p>
            <w:pPr>
              <w:spacing w:after="0"/>
              <w:rPr>
                <w:sz w:val="19"/>
                <w:szCs w:val="19"/>
                <w:color w:val="auto"/>
              </w:rPr>
            </w:pPr>
          </w:p>
        </w:tc>
        <w:tc>
          <w:tcPr>
            <w:tcW w:w="564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Avenue, Suite 400, Chicago, IL 60611-4213, telephone (312) 321-1515 or e-</w:t>
            </w:r>
          </w:p>
        </w:tc>
      </w:tr>
      <w:tr>
        <w:trPr>
          <w:trHeight w:val="232"/>
        </w:trPr>
        <w:tc>
          <w:tcPr>
            <w:tcW w:w="580" w:type="dxa"/>
            <w:vAlign w:val="bottom"/>
            <w:shd w:val="clear" w:color="auto" w:fill="C0C0C0"/>
          </w:tcPr>
          <w:p>
            <w:pPr>
              <w:spacing w:after="0"/>
              <w:rPr>
                <w:sz w:val="20"/>
                <w:szCs w:val="20"/>
                <w:color w:val="auto"/>
              </w:rPr>
            </w:pPr>
          </w:p>
        </w:tc>
        <w:tc>
          <w:tcPr>
            <w:tcW w:w="5200" w:type="dxa"/>
            <w:vAlign w:val="bottom"/>
            <w:shd w:val="clear" w:color="auto" w:fill="C0C0C0"/>
          </w:tcPr>
          <w:p>
            <w:pPr>
              <w:spacing w:after="0"/>
              <w:rPr>
                <w:sz w:val="20"/>
                <w:szCs w:val="20"/>
                <w:color w:val="auto"/>
              </w:rPr>
            </w:pPr>
          </w:p>
        </w:tc>
        <w:tc>
          <w:tcPr>
            <w:tcW w:w="56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mail to info@oildri.com.</w:t>
            </w:r>
          </w:p>
        </w:tc>
      </w:tr>
      <w:tr>
        <w:trPr>
          <w:trHeight w:val="230"/>
        </w:trPr>
        <w:tc>
          <w:tcPr>
            <w:tcW w:w="5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230"/>
        </w:trPr>
        <w:tc>
          <w:tcPr>
            <w:tcW w:w="5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21.1</w:t>
            </w:r>
          </w:p>
        </w:tc>
        <w:tc>
          <w:tcPr>
            <w:tcW w:w="5200" w:type="dxa"/>
            <w:vAlign w:val="bottom"/>
            <w:shd w:val="clear" w:color="auto" w:fill="C0C0C0"/>
          </w:tcPr>
          <w:p>
            <w:pPr>
              <w:ind w:left="140"/>
              <w:spacing w:after="0"/>
              <w:rPr>
                <w:sz w:val="20"/>
                <w:szCs w:val="20"/>
                <w:color w:val="auto"/>
              </w:rPr>
            </w:pPr>
            <w:r>
              <w:rPr>
                <w:rFonts w:ascii="Arial" w:cs="Arial" w:eastAsia="Arial" w:hAnsi="Arial"/>
                <w:sz w:val="18"/>
                <w:szCs w:val="18"/>
                <w:color w:val="auto"/>
              </w:rPr>
              <w:t>Subsidiaries of Oil-Dri.</w:t>
            </w:r>
          </w:p>
        </w:tc>
        <w:tc>
          <w:tcPr>
            <w:tcW w:w="56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5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230"/>
        </w:trPr>
        <w:tc>
          <w:tcPr>
            <w:tcW w:w="5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23.1</w:t>
            </w:r>
          </w:p>
        </w:tc>
        <w:tc>
          <w:tcPr>
            <w:tcW w:w="520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Consent of PricewaterhouseCoopers LLP.</w:t>
            </w:r>
          </w:p>
        </w:tc>
        <w:tc>
          <w:tcPr>
            <w:tcW w:w="56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5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230"/>
        </w:trPr>
        <w:tc>
          <w:tcPr>
            <w:tcW w:w="5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31.1</w:t>
            </w:r>
          </w:p>
        </w:tc>
        <w:tc>
          <w:tcPr>
            <w:tcW w:w="520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Certifications pursuant to Rule 13a – 14(a).</w:t>
            </w:r>
          </w:p>
        </w:tc>
        <w:tc>
          <w:tcPr>
            <w:tcW w:w="56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5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5640" w:type="dxa"/>
            <w:vAlign w:val="bottom"/>
          </w:tcPr>
          <w:p>
            <w:pPr>
              <w:spacing w:after="0"/>
              <w:rPr>
                <w:sz w:val="19"/>
                <w:szCs w:val="19"/>
                <w:color w:val="auto"/>
              </w:rPr>
            </w:pPr>
          </w:p>
        </w:tc>
      </w:tr>
      <w:tr>
        <w:trPr>
          <w:trHeight w:val="228"/>
        </w:trPr>
        <w:tc>
          <w:tcPr>
            <w:tcW w:w="5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32.1</w:t>
            </w:r>
          </w:p>
        </w:tc>
        <w:tc>
          <w:tcPr>
            <w:tcW w:w="5200" w:type="dxa"/>
            <w:vAlign w:val="bottom"/>
            <w:shd w:val="clear" w:color="auto" w:fill="C0C0C0"/>
          </w:tcPr>
          <w:p>
            <w:pPr>
              <w:ind w:left="140"/>
              <w:spacing w:after="0"/>
              <w:rPr>
                <w:sz w:val="20"/>
                <w:szCs w:val="20"/>
                <w:color w:val="auto"/>
              </w:rPr>
            </w:pPr>
            <w:r>
              <w:rPr>
                <w:rFonts w:ascii="Arial" w:cs="Arial" w:eastAsia="Arial" w:hAnsi="Arial"/>
                <w:sz w:val="18"/>
                <w:szCs w:val="18"/>
                <w:color w:val="auto"/>
                <w:w w:val="92"/>
              </w:rPr>
              <w:t>Certifications pursuant to Section 1350 of the Sarbanes-Oxley Act of</w:t>
            </w:r>
          </w:p>
        </w:tc>
        <w:tc>
          <w:tcPr>
            <w:tcW w:w="56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Furnished herewith.</w:t>
            </w:r>
          </w:p>
        </w:tc>
      </w:tr>
      <w:tr>
        <w:trPr>
          <w:trHeight w:val="232"/>
        </w:trPr>
        <w:tc>
          <w:tcPr>
            <w:tcW w:w="580" w:type="dxa"/>
            <w:vAlign w:val="bottom"/>
            <w:shd w:val="clear" w:color="auto" w:fill="C0C0C0"/>
          </w:tcPr>
          <w:p>
            <w:pPr>
              <w:spacing w:after="0"/>
              <w:rPr>
                <w:sz w:val="20"/>
                <w:szCs w:val="20"/>
                <w:color w:val="auto"/>
              </w:rPr>
            </w:pPr>
          </w:p>
        </w:tc>
        <w:tc>
          <w:tcPr>
            <w:tcW w:w="5200" w:type="dxa"/>
            <w:vAlign w:val="bottom"/>
            <w:shd w:val="clear" w:color="auto" w:fill="C0C0C0"/>
          </w:tcPr>
          <w:p>
            <w:pPr>
              <w:ind w:left="140"/>
              <w:spacing w:after="0"/>
              <w:rPr>
                <w:sz w:val="20"/>
                <w:szCs w:val="20"/>
                <w:color w:val="auto"/>
              </w:rPr>
            </w:pPr>
            <w:r>
              <w:rPr>
                <w:rFonts w:ascii="Arial" w:cs="Arial" w:eastAsia="Arial" w:hAnsi="Arial"/>
                <w:sz w:val="18"/>
                <w:szCs w:val="18"/>
                <w:color w:val="auto"/>
              </w:rPr>
              <w:t>2002.</w:t>
            </w:r>
          </w:p>
        </w:tc>
        <w:tc>
          <w:tcPr>
            <w:tcW w:w="5640" w:type="dxa"/>
            <w:vAlign w:val="bottom"/>
            <w:shd w:val="clear" w:color="auto" w:fill="C0C0C0"/>
          </w:tcPr>
          <w:p>
            <w:pPr>
              <w:spacing w:after="0"/>
              <w:rPr>
                <w:sz w:val="20"/>
                <w:szCs w:val="20"/>
                <w:color w:val="auto"/>
              </w:rPr>
            </w:pPr>
          </w:p>
        </w:tc>
      </w:tr>
    </w:tbl>
    <w:p>
      <w:pPr>
        <w:spacing w:after="0" w:line="235"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31" w:right="239" w:bottom="1440" w:gutter="0" w:footer="0" w:header="0"/>
          <w:type w:val="continuous"/>
        </w:sectPr>
      </w:pPr>
    </w:p>
    <w:bookmarkStart w:id="75" w:name="page76"/>
    <w:bookmarkEnd w:id="75"/>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85" w:lineRule="exact"/>
        <w:rPr>
          <w:sz w:val="20"/>
          <w:szCs w:val="20"/>
          <w:color w:val="auto"/>
        </w:rPr>
      </w:pPr>
    </w:p>
    <w:p>
      <w:pPr>
        <w:ind w:right="40" w:firstLine="297"/>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OIL-DRI CORPORATION OF AMERICA</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ind w:left="562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19685</wp:posOffset>
            </wp:positionV>
            <wp:extent cx="35248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Daniel S. Jaffee</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 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12, 2010</w:t>
      </w:r>
    </w:p>
    <w:p>
      <w:pPr>
        <w:spacing w:after="0" w:line="279" w:lineRule="exact"/>
        <w:rPr>
          <w:sz w:val="20"/>
          <w:szCs w:val="20"/>
          <w:color w:val="auto"/>
        </w:rPr>
      </w:pPr>
    </w:p>
    <w:p>
      <w:pPr>
        <w:ind w:right="20" w:firstLine="297"/>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Oil-Dri and in the capacities and on the dates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Richard M. Jaffee</w:t>
            </w:r>
          </w:p>
        </w:tc>
        <w:tc>
          <w:tcPr>
            <w:tcW w:w="600" w:type="dxa"/>
            <w:vAlign w:val="bottom"/>
            <w:tcBorders>
              <w:bottom w:val="single" w:sz="8" w:color="auto"/>
            </w:tcBorders>
          </w:tcPr>
          <w:p>
            <w:pPr>
              <w:spacing w:after="0"/>
              <w:rPr>
                <w:sz w:val="20"/>
                <w:szCs w:val="20"/>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October 12, 2010</w:t>
            </w:r>
          </w:p>
        </w:tc>
      </w:tr>
      <w:tr>
        <w:trPr>
          <w:trHeight w:val="228"/>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89"/>
              </w:rPr>
              <w:t>Richard M. Jaffee</w:t>
            </w:r>
          </w:p>
        </w:tc>
        <w:tc>
          <w:tcPr>
            <w:tcW w:w="6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43"/>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89"/>
              </w:rPr>
              <w:t>Chairman of the Board of Directors</w:t>
            </w:r>
          </w:p>
        </w:tc>
        <w:tc>
          <w:tcPr>
            <w:tcW w:w="6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495"/>
        </w:trPr>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Daniel S. Jaffee</w:t>
            </w:r>
          </w:p>
        </w:tc>
        <w:tc>
          <w:tcPr>
            <w:tcW w:w="600" w:type="dxa"/>
            <w:vAlign w:val="bottom"/>
            <w:tcBorders>
              <w:bottom w:val="single" w:sz="8" w:color="auto"/>
            </w:tcBorders>
          </w:tcPr>
          <w:p>
            <w:pPr>
              <w:spacing w:after="0"/>
              <w:rPr>
                <w:sz w:val="24"/>
                <w:szCs w:val="24"/>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October 12, 2010</w:t>
            </w:r>
          </w:p>
        </w:tc>
      </w:tr>
      <w:tr>
        <w:trPr>
          <w:trHeight w:val="228"/>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86"/>
              </w:rPr>
              <w:t>Daniel S. Jaffee</w:t>
            </w:r>
          </w:p>
        </w:tc>
        <w:tc>
          <w:tcPr>
            <w:tcW w:w="6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43"/>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89"/>
              </w:rPr>
              <w:t>President and Chief Executive Officer, Director</w:t>
            </w:r>
          </w:p>
        </w:tc>
        <w:tc>
          <w:tcPr>
            <w:tcW w:w="6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243"/>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92"/>
              </w:rPr>
              <w:t>(Principal Executive Officer)</w:t>
            </w:r>
          </w:p>
        </w:tc>
        <w:tc>
          <w:tcPr>
            <w:tcW w:w="6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495"/>
        </w:trPr>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Andrew N. Peterson</w:t>
            </w:r>
          </w:p>
        </w:tc>
        <w:tc>
          <w:tcPr>
            <w:tcW w:w="600" w:type="dxa"/>
            <w:vAlign w:val="bottom"/>
            <w:tcBorders>
              <w:bottom w:val="single" w:sz="8" w:color="auto"/>
            </w:tcBorders>
          </w:tcPr>
          <w:p>
            <w:pPr>
              <w:spacing w:after="0"/>
              <w:rPr>
                <w:sz w:val="24"/>
                <w:szCs w:val="24"/>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October 12, 2010</w:t>
            </w:r>
          </w:p>
        </w:tc>
      </w:tr>
      <w:tr>
        <w:trPr>
          <w:trHeight w:val="228"/>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88"/>
              </w:rPr>
              <w:t>Andrew N. Peterson</w:t>
            </w:r>
          </w:p>
        </w:tc>
        <w:tc>
          <w:tcPr>
            <w:tcW w:w="6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43"/>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89"/>
              </w:rPr>
              <w:t>Vice President and Chief Financial Officer</w:t>
            </w:r>
          </w:p>
        </w:tc>
        <w:tc>
          <w:tcPr>
            <w:tcW w:w="6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243"/>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91"/>
              </w:rPr>
              <w:t>(Principal Financial Officer)</w:t>
            </w:r>
          </w:p>
        </w:tc>
        <w:tc>
          <w:tcPr>
            <w:tcW w:w="6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495"/>
        </w:trPr>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Daniel T. Smith</w:t>
            </w:r>
          </w:p>
        </w:tc>
        <w:tc>
          <w:tcPr>
            <w:tcW w:w="600" w:type="dxa"/>
            <w:vAlign w:val="bottom"/>
            <w:tcBorders>
              <w:bottom w:val="single" w:sz="8" w:color="auto"/>
            </w:tcBorders>
          </w:tcPr>
          <w:p>
            <w:pPr>
              <w:spacing w:after="0"/>
              <w:rPr>
                <w:sz w:val="24"/>
                <w:szCs w:val="24"/>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October 12, 2010</w:t>
            </w:r>
          </w:p>
        </w:tc>
      </w:tr>
      <w:tr>
        <w:trPr>
          <w:trHeight w:val="228"/>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89"/>
              </w:rPr>
              <w:t>Daniel T. Smith</w:t>
            </w:r>
          </w:p>
        </w:tc>
        <w:tc>
          <w:tcPr>
            <w:tcW w:w="6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43"/>
        </w:trPr>
        <w:tc>
          <w:tcPr>
            <w:tcW w:w="5060" w:type="dxa"/>
            <w:vAlign w:val="bottom"/>
          </w:tcPr>
          <w:p>
            <w:pPr>
              <w:jc w:val="center"/>
              <w:ind w:left="532"/>
              <w:spacing w:after="0"/>
              <w:rPr>
                <w:sz w:val="20"/>
                <w:szCs w:val="20"/>
                <w:color w:val="auto"/>
              </w:rPr>
            </w:pPr>
            <w:r>
              <w:rPr>
                <w:rFonts w:ascii="Arial" w:cs="Arial" w:eastAsia="Arial" w:hAnsi="Arial"/>
                <w:sz w:val="18"/>
                <w:szCs w:val="18"/>
                <w:color w:val="auto"/>
                <w:w w:val="88"/>
              </w:rPr>
              <w:t>Vice President and Controller</w:t>
            </w:r>
          </w:p>
        </w:tc>
        <w:tc>
          <w:tcPr>
            <w:tcW w:w="6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243"/>
        </w:trPr>
        <w:tc>
          <w:tcPr>
            <w:tcW w:w="5060" w:type="dxa"/>
            <w:vAlign w:val="bottom"/>
          </w:tcPr>
          <w:p>
            <w:pPr>
              <w:jc w:val="center"/>
              <w:ind w:left="532"/>
              <w:spacing w:after="0"/>
              <w:rPr>
                <w:sz w:val="20"/>
                <w:szCs w:val="20"/>
                <w:color w:val="auto"/>
              </w:rPr>
            </w:pPr>
            <w:r>
              <w:rPr>
                <w:rFonts w:ascii="Arial" w:cs="Arial" w:eastAsia="Arial" w:hAnsi="Arial"/>
                <w:sz w:val="18"/>
                <w:szCs w:val="18"/>
                <w:color w:val="auto"/>
                <w:w w:val="92"/>
              </w:rPr>
              <w:t>(Principal Accounting Officer)</w:t>
            </w:r>
          </w:p>
        </w:tc>
        <w:tc>
          <w:tcPr>
            <w:tcW w:w="6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495"/>
        </w:trPr>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 Steven Cole</w:t>
            </w:r>
          </w:p>
        </w:tc>
        <w:tc>
          <w:tcPr>
            <w:tcW w:w="600" w:type="dxa"/>
            <w:vAlign w:val="bottom"/>
            <w:tcBorders>
              <w:bottom w:val="single" w:sz="8" w:color="auto"/>
            </w:tcBorders>
          </w:tcPr>
          <w:p>
            <w:pPr>
              <w:spacing w:after="0"/>
              <w:rPr>
                <w:sz w:val="24"/>
                <w:szCs w:val="24"/>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October 12, 2010</w:t>
            </w:r>
          </w:p>
        </w:tc>
      </w:tr>
      <w:tr>
        <w:trPr>
          <w:trHeight w:val="228"/>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87"/>
              </w:rPr>
              <w:t>J. Steven Cole</w:t>
            </w:r>
          </w:p>
        </w:tc>
        <w:tc>
          <w:tcPr>
            <w:tcW w:w="6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43"/>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91"/>
              </w:rPr>
              <w:t>Director</w:t>
            </w:r>
          </w:p>
        </w:tc>
        <w:tc>
          <w:tcPr>
            <w:tcW w:w="6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495"/>
        </w:trPr>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Arnold W. Donald</w:t>
            </w:r>
          </w:p>
        </w:tc>
        <w:tc>
          <w:tcPr>
            <w:tcW w:w="600" w:type="dxa"/>
            <w:vAlign w:val="bottom"/>
            <w:tcBorders>
              <w:bottom w:val="single" w:sz="8" w:color="auto"/>
            </w:tcBorders>
          </w:tcPr>
          <w:p>
            <w:pPr>
              <w:spacing w:after="0"/>
              <w:rPr>
                <w:sz w:val="24"/>
                <w:szCs w:val="24"/>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October 12, 2010</w:t>
            </w:r>
          </w:p>
        </w:tc>
      </w:tr>
      <w:tr>
        <w:trPr>
          <w:trHeight w:val="228"/>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92"/>
              </w:rPr>
              <w:t>Arnold W. Donald</w:t>
            </w:r>
          </w:p>
        </w:tc>
        <w:tc>
          <w:tcPr>
            <w:tcW w:w="6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43"/>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91"/>
              </w:rPr>
              <w:t>Director</w:t>
            </w:r>
          </w:p>
        </w:tc>
        <w:tc>
          <w:tcPr>
            <w:tcW w:w="6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495"/>
        </w:trPr>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Joseph C. Miller</w:t>
            </w:r>
          </w:p>
        </w:tc>
        <w:tc>
          <w:tcPr>
            <w:tcW w:w="600" w:type="dxa"/>
            <w:vAlign w:val="bottom"/>
            <w:tcBorders>
              <w:bottom w:val="single" w:sz="8" w:color="auto"/>
            </w:tcBorders>
          </w:tcPr>
          <w:p>
            <w:pPr>
              <w:spacing w:after="0"/>
              <w:rPr>
                <w:sz w:val="24"/>
                <w:szCs w:val="24"/>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October 12, 2010</w:t>
            </w:r>
          </w:p>
        </w:tc>
      </w:tr>
      <w:tr>
        <w:trPr>
          <w:trHeight w:val="228"/>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91"/>
              </w:rPr>
              <w:t>Joseph C. Miller</w:t>
            </w:r>
          </w:p>
        </w:tc>
        <w:tc>
          <w:tcPr>
            <w:tcW w:w="6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43"/>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89"/>
              </w:rPr>
              <w:t>Vice Chairman of the Board of Directors</w:t>
            </w:r>
          </w:p>
        </w:tc>
        <w:tc>
          <w:tcPr>
            <w:tcW w:w="6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495"/>
        </w:trPr>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Michael A. Nemeroff</w:t>
            </w:r>
          </w:p>
        </w:tc>
        <w:tc>
          <w:tcPr>
            <w:tcW w:w="600" w:type="dxa"/>
            <w:vAlign w:val="bottom"/>
            <w:tcBorders>
              <w:bottom w:val="single" w:sz="8" w:color="auto"/>
            </w:tcBorders>
          </w:tcPr>
          <w:p>
            <w:pPr>
              <w:spacing w:after="0"/>
              <w:rPr>
                <w:sz w:val="24"/>
                <w:szCs w:val="24"/>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October 12, 2010</w:t>
            </w:r>
          </w:p>
        </w:tc>
      </w:tr>
      <w:tr>
        <w:trPr>
          <w:trHeight w:val="228"/>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91"/>
              </w:rPr>
              <w:t>Michael A. Nemeroff</w:t>
            </w:r>
          </w:p>
        </w:tc>
        <w:tc>
          <w:tcPr>
            <w:tcW w:w="6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43"/>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91"/>
              </w:rPr>
              <w:t>Director</w:t>
            </w:r>
          </w:p>
        </w:tc>
        <w:tc>
          <w:tcPr>
            <w:tcW w:w="6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495"/>
        </w:trPr>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Allan H. Selig</w:t>
            </w:r>
          </w:p>
        </w:tc>
        <w:tc>
          <w:tcPr>
            <w:tcW w:w="600" w:type="dxa"/>
            <w:vAlign w:val="bottom"/>
            <w:tcBorders>
              <w:bottom w:val="single" w:sz="8" w:color="auto"/>
            </w:tcBorders>
          </w:tcPr>
          <w:p>
            <w:pPr>
              <w:spacing w:after="0"/>
              <w:rPr>
                <w:sz w:val="24"/>
                <w:szCs w:val="24"/>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October 12, 2010</w:t>
            </w:r>
          </w:p>
        </w:tc>
      </w:tr>
      <w:tr>
        <w:trPr>
          <w:trHeight w:val="228"/>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94"/>
              </w:rPr>
              <w:t>Allan H. Selig</w:t>
            </w:r>
          </w:p>
        </w:tc>
        <w:tc>
          <w:tcPr>
            <w:tcW w:w="6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43"/>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91"/>
              </w:rPr>
              <w:t>Director</w:t>
            </w:r>
          </w:p>
        </w:tc>
        <w:tc>
          <w:tcPr>
            <w:tcW w:w="6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495"/>
        </w:trPr>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Paul E. Suckow</w:t>
            </w:r>
          </w:p>
        </w:tc>
        <w:tc>
          <w:tcPr>
            <w:tcW w:w="600" w:type="dxa"/>
            <w:vAlign w:val="bottom"/>
            <w:tcBorders>
              <w:bottom w:val="single" w:sz="8" w:color="auto"/>
            </w:tcBorders>
          </w:tcPr>
          <w:p>
            <w:pPr>
              <w:spacing w:after="0"/>
              <w:rPr>
                <w:sz w:val="24"/>
                <w:szCs w:val="24"/>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October 12, 2010</w:t>
            </w:r>
          </w:p>
        </w:tc>
      </w:tr>
      <w:tr>
        <w:trPr>
          <w:trHeight w:val="228"/>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87"/>
              </w:rPr>
              <w:t>Paul E. Suckow</w:t>
            </w:r>
          </w:p>
        </w:tc>
        <w:tc>
          <w:tcPr>
            <w:tcW w:w="6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43"/>
        </w:trPr>
        <w:tc>
          <w:tcPr>
            <w:tcW w:w="5060" w:type="dxa"/>
            <w:vAlign w:val="bottom"/>
          </w:tcPr>
          <w:p>
            <w:pPr>
              <w:jc w:val="center"/>
              <w:ind w:left="512"/>
              <w:spacing w:after="0"/>
              <w:rPr>
                <w:sz w:val="20"/>
                <w:szCs w:val="20"/>
                <w:color w:val="auto"/>
              </w:rPr>
            </w:pPr>
            <w:r>
              <w:rPr>
                <w:rFonts w:ascii="Arial" w:cs="Arial" w:eastAsia="Arial" w:hAnsi="Arial"/>
                <w:sz w:val="18"/>
                <w:szCs w:val="18"/>
                <w:color w:val="auto"/>
                <w:w w:val="91"/>
              </w:rPr>
              <w:t>Director</w:t>
            </w:r>
          </w:p>
        </w:tc>
        <w:tc>
          <w:tcPr>
            <w:tcW w:w="6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473"/>
        </w:trPr>
        <w:tc>
          <w:tcPr>
            <w:tcW w:w="5060" w:type="dxa"/>
            <w:vAlign w:val="bottom"/>
          </w:tcPr>
          <w:p>
            <w:pPr>
              <w:spacing w:after="0"/>
              <w:rPr>
                <w:sz w:val="24"/>
                <w:szCs w:val="24"/>
                <w:color w:val="auto"/>
              </w:rPr>
            </w:pPr>
          </w:p>
        </w:tc>
        <w:tc>
          <w:tcPr>
            <w:tcW w:w="6380" w:type="dxa"/>
            <w:vAlign w:val="bottom"/>
            <w:gridSpan w:val="2"/>
          </w:tcPr>
          <w:p>
            <w:pPr>
              <w:jc w:val="right"/>
              <w:ind w:right="5552"/>
              <w:spacing w:after="0"/>
              <w:rPr>
                <w:sz w:val="20"/>
                <w:szCs w:val="20"/>
                <w:color w:val="auto"/>
              </w:rPr>
            </w:pPr>
            <w:r>
              <w:rPr>
                <w:rFonts w:ascii="Arial" w:cs="Arial" w:eastAsia="Arial" w:hAnsi="Arial"/>
                <w:sz w:val="18"/>
                <w:szCs w:val="18"/>
                <w:color w:val="auto"/>
              </w:rPr>
              <w:t>76</w:t>
            </w:r>
          </w:p>
        </w:tc>
      </w:tr>
      <w:tr>
        <w:trPr>
          <w:trHeight w:val="363"/>
        </w:trPr>
        <w:tc>
          <w:tcPr>
            <w:tcW w:w="50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5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424"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28"/>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SCHEDULE II</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59"/>
        </w:trPr>
        <w:tc>
          <w:tcPr>
            <w:tcW w:w="300" w:type="dxa"/>
            <w:vAlign w:val="bottom"/>
          </w:tcPr>
          <w:p>
            <w:pPr>
              <w:spacing w:after="0"/>
              <w:rPr>
                <w:sz w:val="24"/>
                <w:szCs w:val="24"/>
                <w:color w:val="auto"/>
              </w:rPr>
            </w:pPr>
          </w:p>
        </w:tc>
        <w:tc>
          <w:tcPr>
            <w:tcW w:w="8360" w:type="dxa"/>
            <w:vAlign w:val="bottom"/>
          </w:tcPr>
          <w:p>
            <w:pPr>
              <w:jc w:val="center"/>
              <w:ind w:left="2392"/>
              <w:spacing w:after="0"/>
              <w:rPr>
                <w:sz w:val="20"/>
                <w:szCs w:val="20"/>
                <w:color w:val="auto"/>
              </w:rPr>
            </w:pPr>
            <w:r>
              <w:rPr>
                <w:rFonts w:ascii="Arial" w:cs="Arial" w:eastAsia="Arial" w:hAnsi="Arial"/>
                <w:sz w:val="18"/>
                <w:szCs w:val="18"/>
                <w:b w:val="1"/>
                <w:bCs w:val="1"/>
                <w:color w:val="auto"/>
                <w:w w:val="98"/>
              </w:rPr>
              <w:t>OIL-DRI CORPORATION OF AMERICA AND SUBSIDIARIES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9"/>
        </w:trPr>
        <w:tc>
          <w:tcPr>
            <w:tcW w:w="300" w:type="dxa"/>
            <w:vAlign w:val="bottom"/>
          </w:tcPr>
          <w:p>
            <w:pPr>
              <w:spacing w:after="0"/>
              <w:rPr>
                <w:sz w:val="24"/>
                <w:szCs w:val="24"/>
                <w:color w:val="auto"/>
              </w:rPr>
            </w:pPr>
          </w:p>
        </w:tc>
        <w:tc>
          <w:tcPr>
            <w:tcW w:w="8360" w:type="dxa"/>
            <w:vAlign w:val="bottom"/>
          </w:tcPr>
          <w:p>
            <w:pPr>
              <w:jc w:val="center"/>
              <w:ind w:left="2392"/>
              <w:spacing w:after="0"/>
              <w:rPr>
                <w:sz w:val="20"/>
                <w:szCs w:val="20"/>
                <w:color w:val="auto"/>
              </w:rPr>
            </w:pPr>
            <w:r>
              <w:rPr>
                <w:rFonts w:ascii="Arial" w:cs="Arial" w:eastAsia="Arial" w:hAnsi="Arial"/>
                <w:sz w:val="18"/>
                <w:szCs w:val="18"/>
                <w:b w:val="1"/>
                <w:bCs w:val="1"/>
                <w:color w:val="auto"/>
                <w:w w:val="98"/>
              </w:rPr>
              <w:t>VALUATION AND QUALIFYING ACCOUNTS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82"/>
        </w:trPr>
        <w:tc>
          <w:tcPr>
            <w:tcW w:w="30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7"/>
          </w:tcPr>
          <w:p>
            <w:pPr>
              <w:jc w:val="right"/>
              <w:ind w:right="192"/>
              <w:spacing w:after="0"/>
              <w:rPr>
                <w:sz w:val="20"/>
                <w:szCs w:val="20"/>
                <w:color w:val="auto"/>
              </w:rPr>
            </w:pPr>
            <w:r>
              <w:rPr>
                <w:rFonts w:ascii="Arial" w:cs="Arial" w:eastAsia="Arial" w:hAnsi="Arial"/>
                <w:sz w:val="18"/>
                <w:szCs w:val="18"/>
                <w:b w:val="1"/>
                <w:bCs w:val="1"/>
                <w:color w:val="auto"/>
                <w:w w:val="99"/>
              </w:rPr>
              <w:t>Year Ended July 31</w:t>
            </w:r>
          </w:p>
        </w:tc>
        <w:tc>
          <w:tcPr>
            <w:tcW w:w="300" w:type="dxa"/>
            <w:vAlign w:val="bottom"/>
          </w:tcPr>
          <w:p>
            <w:pPr>
              <w:spacing w:after="0"/>
              <w:rPr>
                <w:sz w:val="24"/>
                <w:szCs w:val="24"/>
                <w:color w:val="auto"/>
              </w:rPr>
            </w:pPr>
          </w:p>
        </w:tc>
      </w:tr>
      <w:tr>
        <w:trPr>
          <w:trHeight w:val="237"/>
        </w:trPr>
        <w:tc>
          <w:tcPr>
            <w:tcW w:w="30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2010</w:t>
            </w:r>
          </w:p>
        </w:tc>
        <w:tc>
          <w:tcPr>
            <w:tcW w:w="7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9"/>
              </w:rPr>
              <w:t>2008</w:t>
            </w:r>
          </w:p>
        </w:tc>
        <w:tc>
          <w:tcPr>
            <w:tcW w:w="30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6"/>
          </w:tcPr>
          <w:p>
            <w:pPr>
              <w:jc w:val="right"/>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50"/>
        </w:trPr>
        <w:tc>
          <w:tcPr>
            <w:tcW w:w="300" w:type="dxa"/>
            <w:vAlign w:val="bottom"/>
          </w:tcPr>
          <w:p>
            <w:pPr>
              <w:spacing w:after="0"/>
              <w:rPr>
                <w:sz w:val="21"/>
                <w:szCs w:val="21"/>
                <w:color w:val="auto"/>
              </w:rPr>
            </w:pPr>
          </w:p>
        </w:tc>
        <w:tc>
          <w:tcPr>
            <w:tcW w:w="8360" w:type="dxa"/>
            <w:vAlign w:val="bottom"/>
            <w:shd w:val="clear" w:color="auto" w:fill="C0C0C0"/>
          </w:tcPr>
          <w:p>
            <w:pPr>
              <w:spacing w:after="0"/>
              <w:rPr>
                <w:sz w:val="20"/>
                <w:szCs w:val="20"/>
                <w:color w:val="auto"/>
              </w:rPr>
            </w:pPr>
            <w:r>
              <w:rPr>
                <w:rFonts w:ascii="Arial" w:cs="Arial" w:eastAsia="Arial" w:hAnsi="Arial"/>
                <w:sz w:val="18"/>
                <w:szCs w:val="18"/>
                <w:color w:val="auto"/>
              </w:rPr>
              <w:t>Allowance for doubtful accounts:</w:t>
            </w:r>
          </w:p>
        </w:tc>
        <w:tc>
          <w:tcPr>
            <w:tcW w:w="4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30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8360" w:type="dxa"/>
            <w:vAlign w:val="bottom"/>
          </w:tcPr>
          <w:p>
            <w:pPr>
              <w:ind w:left="300"/>
              <w:spacing w:after="0"/>
              <w:rPr>
                <w:sz w:val="20"/>
                <w:szCs w:val="20"/>
                <w:color w:val="auto"/>
              </w:rPr>
            </w:pPr>
            <w:r>
              <w:rPr>
                <w:rFonts w:ascii="Arial" w:cs="Arial" w:eastAsia="Arial" w:hAnsi="Arial"/>
                <w:sz w:val="18"/>
                <w:szCs w:val="18"/>
                <w:color w:val="auto"/>
              </w:rPr>
              <w:t>Beginning balance</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b w:val="1"/>
                <w:bCs w:val="1"/>
                <w:color w:val="auto"/>
              </w:rPr>
              <w:t>652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569</w:t>
            </w:r>
          </w:p>
        </w:tc>
        <w:tc>
          <w:tcPr>
            <w:tcW w:w="300" w:type="dxa"/>
            <w:vAlign w:val="bottom"/>
          </w:tcPr>
          <w:p>
            <w:pPr>
              <w:spacing w:after="0"/>
              <w:rPr>
                <w:sz w:val="20"/>
                <w:szCs w:val="20"/>
                <w:color w:val="auto"/>
              </w:rPr>
            </w:pPr>
          </w:p>
        </w:tc>
      </w:tr>
      <w:tr>
        <w:trPr>
          <w:trHeight w:val="250"/>
        </w:trPr>
        <w:tc>
          <w:tcPr>
            <w:tcW w:w="300" w:type="dxa"/>
            <w:vAlign w:val="bottom"/>
          </w:tcPr>
          <w:p>
            <w:pPr>
              <w:spacing w:after="0"/>
              <w:rPr>
                <w:sz w:val="21"/>
                <w:szCs w:val="21"/>
                <w:color w:val="auto"/>
              </w:rPr>
            </w:pPr>
          </w:p>
        </w:tc>
        <w:tc>
          <w:tcPr>
            <w:tcW w:w="83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Additions charged to expense</w:t>
            </w:r>
          </w:p>
        </w:tc>
        <w:tc>
          <w:tcPr>
            <w:tcW w:w="4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(61)</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836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Deductions*</w:t>
            </w:r>
          </w:p>
        </w:tc>
        <w:tc>
          <w:tcPr>
            <w:tcW w:w="46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0"/>
                <w:szCs w:val="20"/>
                <w:color w:val="auto"/>
              </w:rPr>
            </w:pPr>
          </w:p>
        </w:tc>
      </w:tr>
      <w:tr>
        <w:trPr>
          <w:trHeight w:val="250"/>
        </w:trPr>
        <w:tc>
          <w:tcPr>
            <w:tcW w:w="300" w:type="dxa"/>
            <w:vAlign w:val="bottom"/>
          </w:tcPr>
          <w:p>
            <w:pPr>
              <w:spacing w:after="0"/>
              <w:rPr>
                <w:sz w:val="21"/>
                <w:szCs w:val="21"/>
                <w:color w:val="auto"/>
              </w:rPr>
            </w:pPr>
          </w:p>
        </w:tc>
        <w:tc>
          <w:tcPr>
            <w:tcW w:w="83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Balance at end of year</w:t>
            </w:r>
          </w:p>
        </w:tc>
        <w:tc>
          <w:tcPr>
            <w:tcW w:w="460" w:type="dxa"/>
            <w:vAlign w:val="bottom"/>
            <w:shd w:val="clear" w:color="auto" w:fill="C0C0C0"/>
          </w:tcPr>
          <w:p>
            <w:pPr>
              <w:spacing w:after="0"/>
              <w:rPr>
                <w:sz w:val="21"/>
                <w:szCs w:val="21"/>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572</w:t>
            </w:r>
          </w:p>
        </w:tc>
        <w:tc>
          <w:tcPr>
            <w:tcW w:w="2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652</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614</w:t>
            </w:r>
          </w:p>
        </w:tc>
        <w:tc>
          <w:tcPr>
            <w:tcW w:w="30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8360" w:type="dxa"/>
            <w:vAlign w:val="bottom"/>
            <w:tcBorders>
              <w:top w:val="single" w:sz="8" w:color="C0C0C0"/>
            </w:tcBorders>
          </w:tcPr>
          <w:p>
            <w:pPr>
              <w:spacing w:after="0"/>
              <w:rPr>
                <w:sz w:val="21"/>
                <w:szCs w:val="21"/>
                <w:color w:val="auto"/>
              </w:rPr>
            </w:pPr>
          </w:p>
        </w:tc>
        <w:tc>
          <w:tcPr>
            <w:tcW w:w="460" w:type="dxa"/>
            <w:vAlign w:val="bottom"/>
            <w:tcBorders>
              <w:top w:val="single" w:sz="8" w:color="C0C0C0"/>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83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 Net of recoveries.</w:t>
            </w:r>
          </w:p>
        </w:tc>
        <w:tc>
          <w:tcPr>
            <w:tcW w:w="4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866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8360" w:type="dxa"/>
            <w:vAlign w:val="bottom"/>
            <w:shd w:val="clear" w:color="auto" w:fill="C0C0C0"/>
          </w:tcPr>
          <w:p>
            <w:pPr>
              <w:spacing w:after="0"/>
              <w:rPr>
                <w:sz w:val="20"/>
                <w:szCs w:val="20"/>
                <w:color w:val="auto"/>
              </w:rPr>
            </w:pPr>
            <w:r>
              <w:rPr>
                <w:rFonts w:ascii="Arial" w:cs="Arial" w:eastAsia="Arial" w:hAnsi="Arial"/>
                <w:sz w:val="18"/>
                <w:szCs w:val="18"/>
                <w:color w:val="auto"/>
              </w:rPr>
              <w:t>Valuation reserve for income taxes:</w:t>
            </w:r>
          </w:p>
        </w:tc>
        <w:tc>
          <w:tcPr>
            <w:tcW w:w="4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30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8360" w:type="dxa"/>
            <w:vAlign w:val="bottom"/>
          </w:tcPr>
          <w:p>
            <w:pPr>
              <w:ind w:left="300"/>
              <w:spacing w:after="0"/>
              <w:rPr>
                <w:sz w:val="20"/>
                <w:szCs w:val="20"/>
                <w:color w:val="auto"/>
              </w:rPr>
            </w:pPr>
            <w:r>
              <w:rPr>
                <w:rFonts w:ascii="Arial" w:cs="Arial" w:eastAsia="Arial" w:hAnsi="Arial"/>
                <w:sz w:val="18"/>
                <w:szCs w:val="18"/>
                <w:color w:val="auto"/>
              </w:rPr>
              <w:t>Beginning balance</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3,222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2,462</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1,900</w:t>
            </w:r>
          </w:p>
        </w:tc>
        <w:tc>
          <w:tcPr>
            <w:tcW w:w="300" w:type="dxa"/>
            <w:vAlign w:val="bottom"/>
          </w:tcPr>
          <w:p>
            <w:pPr>
              <w:spacing w:after="0"/>
              <w:rPr>
                <w:sz w:val="20"/>
                <w:szCs w:val="20"/>
                <w:color w:val="auto"/>
              </w:rPr>
            </w:pPr>
          </w:p>
        </w:tc>
      </w:tr>
      <w:tr>
        <w:trPr>
          <w:trHeight w:val="250"/>
        </w:trPr>
        <w:tc>
          <w:tcPr>
            <w:tcW w:w="300" w:type="dxa"/>
            <w:vAlign w:val="bottom"/>
          </w:tcPr>
          <w:p>
            <w:pPr>
              <w:spacing w:after="0"/>
              <w:rPr>
                <w:sz w:val="21"/>
                <w:szCs w:val="21"/>
                <w:color w:val="auto"/>
              </w:rPr>
            </w:pPr>
          </w:p>
        </w:tc>
        <w:tc>
          <w:tcPr>
            <w:tcW w:w="83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Additions (Deductions) charged to expense</w:t>
            </w:r>
          </w:p>
        </w:tc>
        <w:tc>
          <w:tcPr>
            <w:tcW w:w="46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(313)</w:t>
            </w:r>
          </w:p>
        </w:tc>
        <w:tc>
          <w:tcPr>
            <w:tcW w:w="1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760</w:t>
            </w:r>
          </w:p>
        </w:tc>
        <w:tc>
          <w:tcPr>
            <w:tcW w:w="1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562</w:t>
            </w:r>
          </w:p>
        </w:tc>
        <w:tc>
          <w:tcPr>
            <w:tcW w:w="300" w:type="dxa"/>
            <w:vAlign w:val="bottom"/>
          </w:tcPr>
          <w:p>
            <w:pPr>
              <w:spacing w:after="0"/>
              <w:rPr>
                <w:sz w:val="21"/>
                <w:szCs w:val="21"/>
                <w:color w:val="auto"/>
              </w:rPr>
            </w:pPr>
          </w:p>
        </w:tc>
      </w:tr>
      <w:tr>
        <w:trPr>
          <w:trHeight w:val="244"/>
        </w:trPr>
        <w:tc>
          <w:tcPr>
            <w:tcW w:w="300" w:type="dxa"/>
            <w:vAlign w:val="bottom"/>
          </w:tcPr>
          <w:p>
            <w:pPr>
              <w:spacing w:after="0"/>
              <w:rPr>
                <w:sz w:val="21"/>
                <w:szCs w:val="21"/>
                <w:color w:val="auto"/>
              </w:rPr>
            </w:pPr>
          </w:p>
        </w:tc>
        <w:tc>
          <w:tcPr>
            <w:tcW w:w="8360" w:type="dxa"/>
            <w:vAlign w:val="bottom"/>
          </w:tcPr>
          <w:p>
            <w:pPr>
              <w:ind w:left="300"/>
              <w:spacing w:after="0"/>
              <w:rPr>
                <w:sz w:val="20"/>
                <w:szCs w:val="20"/>
                <w:color w:val="auto"/>
              </w:rPr>
            </w:pPr>
            <w:r>
              <w:rPr>
                <w:rFonts w:ascii="Arial" w:cs="Arial" w:eastAsia="Arial" w:hAnsi="Arial"/>
                <w:sz w:val="18"/>
                <w:szCs w:val="18"/>
                <w:color w:val="auto"/>
              </w:rPr>
              <w:t>Balance at end of year</w:t>
            </w:r>
          </w:p>
        </w:tc>
        <w:tc>
          <w:tcPr>
            <w:tcW w:w="4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2,909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3,222</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2,462</w:t>
            </w:r>
          </w:p>
        </w:tc>
        <w:tc>
          <w:tcPr>
            <w:tcW w:w="300" w:type="dxa"/>
            <w:vAlign w:val="bottom"/>
          </w:tcPr>
          <w:p>
            <w:pPr>
              <w:spacing w:after="0"/>
              <w:rPr>
                <w:sz w:val="21"/>
                <w:szCs w:val="21"/>
                <w:color w:val="auto"/>
              </w:rPr>
            </w:pPr>
          </w:p>
        </w:tc>
      </w:tr>
      <w:tr>
        <w:trPr>
          <w:trHeight w:val="687"/>
        </w:trPr>
        <w:tc>
          <w:tcPr>
            <w:tcW w:w="8660" w:type="dxa"/>
            <w:vAlign w:val="bottom"/>
            <w:gridSpan w:val="2"/>
          </w:tcPr>
          <w:p>
            <w:pPr>
              <w:jc w:val="center"/>
              <w:ind w:left="2672"/>
              <w:spacing w:after="0"/>
              <w:rPr>
                <w:sz w:val="20"/>
                <w:szCs w:val="20"/>
                <w:color w:val="auto"/>
              </w:rPr>
            </w:pPr>
            <w:r>
              <w:rPr>
                <w:rFonts w:ascii="Arial" w:cs="Arial" w:eastAsia="Arial" w:hAnsi="Arial"/>
                <w:sz w:val="18"/>
                <w:szCs w:val="18"/>
                <w:color w:val="auto"/>
                <w:w w:val="89"/>
              </w:rPr>
              <w:t>77</w:t>
            </w:r>
          </w:p>
        </w:tc>
        <w:tc>
          <w:tcPr>
            <w:tcW w:w="4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363"/>
        </w:trPr>
        <w:tc>
          <w:tcPr>
            <w:tcW w:w="300" w:type="dxa"/>
            <w:vAlign w:val="bottom"/>
            <w:tcBorders>
              <w:bottom w:val="single" w:sz="8" w:color="808080"/>
            </w:tcBorders>
          </w:tcPr>
          <w:p>
            <w:pPr>
              <w:spacing w:after="0"/>
              <w:rPr>
                <w:sz w:val="24"/>
                <w:szCs w:val="24"/>
                <w:color w:val="auto"/>
              </w:rPr>
            </w:pPr>
          </w:p>
        </w:tc>
        <w:tc>
          <w:tcPr>
            <w:tcW w:w="83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8"/>
          <w:szCs w:val="18"/>
          <w:b w:val="1"/>
          <w:bCs w:val="1"/>
          <w:color w:val="auto"/>
        </w:rPr>
        <w:t>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05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1"/>
        </w:trPr>
        <w:tc>
          <w:tcPr>
            <w:tcW w:w="880" w:type="dxa"/>
            <w:vAlign w:val="bottom"/>
            <w:shd w:val="clear" w:color="auto" w:fill="C0C0C0"/>
          </w:tcPr>
          <w:p>
            <w:pPr>
              <w:spacing w:after="0"/>
              <w:rPr>
                <w:sz w:val="20"/>
                <w:szCs w:val="20"/>
                <w:color w:val="auto"/>
              </w:rPr>
            </w:pPr>
            <w:r>
              <w:rPr>
                <w:rFonts w:ascii="Arial" w:cs="Arial" w:eastAsia="Arial" w:hAnsi="Arial"/>
                <w:sz w:val="18"/>
                <w:szCs w:val="18"/>
                <w:color w:val="auto"/>
              </w:rPr>
              <w:t>11.1</w:t>
            </w:r>
          </w:p>
        </w:tc>
        <w:tc>
          <w:tcPr>
            <w:tcW w:w="105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Statement Re: Computation of per share earnings</w:t>
            </w:r>
          </w:p>
        </w:tc>
        <w:tc>
          <w:tcPr>
            <w:tcW w:w="20" w:type="dxa"/>
            <w:vAlign w:val="bottom"/>
          </w:tcPr>
          <w:p>
            <w:pPr>
              <w:spacing w:after="0"/>
              <w:rPr>
                <w:sz w:val="20"/>
                <w:szCs w:val="20"/>
                <w:color w:val="auto"/>
              </w:rPr>
            </w:pPr>
          </w:p>
        </w:tc>
      </w:tr>
      <w:tr>
        <w:trPr>
          <w:trHeight w:val="230"/>
        </w:trPr>
        <w:tc>
          <w:tcPr>
            <w:tcW w:w="880" w:type="dxa"/>
            <w:vAlign w:val="bottom"/>
          </w:tcPr>
          <w:p>
            <w:pPr>
              <w:spacing w:after="0"/>
              <w:rPr>
                <w:sz w:val="19"/>
                <w:szCs w:val="19"/>
                <w:color w:val="auto"/>
              </w:rPr>
            </w:pPr>
          </w:p>
        </w:tc>
        <w:tc>
          <w:tcPr>
            <w:tcW w:w="10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80" w:type="dxa"/>
            <w:vAlign w:val="bottom"/>
            <w:shd w:val="clear" w:color="auto" w:fill="C0C0C0"/>
          </w:tcPr>
          <w:p>
            <w:pPr>
              <w:spacing w:after="0"/>
              <w:rPr>
                <w:sz w:val="20"/>
                <w:szCs w:val="20"/>
                <w:color w:val="auto"/>
              </w:rPr>
            </w:pPr>
            <w:r>
              <w:rPr>
                <w:rFonts w:ascii="Arial" w:cs="Arial" w:eastAsia="Arial" w:hAnsi="Arial"/>
                <w:sz w:val="18"/>
                <w:szCs w:val="18"/>
                <w:color w:val="auto"/>
              </w:rPr>
              <w:t>21.1</w:t>
            </w:r>
          </w:p>
        </w:tc>
        <w:tc>
          <w:tcPr>
            <w:tcW w:w="105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Subsidiaries of Oil-Dri</w:t>
            </w:r>
          </w:p>
        </w:tc>
        <w:tc>
          <w:tcPr>
            <w:tcW w:w="2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0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80" w:type="dxa"/>
            <w:vAlign w:val="bottom"/>
            <w:shd w:val="clear" w:color="auto" w:fill="C0C0C0"/>
          </w:tcPr>
          <w:p>
            <w:pPr>
              <w:spacing w:after="0"/>
              <w:rPr>
                <w:sz w:val="20"/>
                <w:szCs w:val="20"/>
                <w:color w:val="auto"/>
              </w:rPr>
            </w:pPr>
            <w:r>
              <w:rPr>
                <w:rFonts w:ascii="Arial" w:cs="Arial" w:eastAsia="Arial" w:hAnsi="Arial"/>
                <w:sz w:val="18"/>
                <w:szCs w:val="18"/>
                <w:color w:val="auto"/>
              </w:rPr>
              <w:t>23.1</w:t>
            </w:r>
          </w:p>
        </w:tc>
        <w:tc>
          <w:tcPr>
            <w:tcW w:w="105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Consent of PricewaterhouseCoopers LLP</w:t>
            </w:r>
          </w:p>
        </w:tc>
        <w:tc>
          <w:tcPr>
            <w:tcW w:w="2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0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880" w:type="dxa"/>
            <w:vAlign w:val="bottom"/>
            <w:shd w:val="clear" w:color="auto" w:fill="C0C0C0"/>
          </w:tcPr>
          <w:p>
            <w:pPr>
              <w:spacing w:after="0"/>
              <w:rPr>
                <w:sz w:val="20"/>
                <w:szCs w:val="20"/>
                <w:color w:val="auto"/>
              </w:rPr>
            </w:pPr>
            <w:r>
              <w:rPr>
                <w:rFonts w:ascii="Arial" w:cs="Arial" w:eastAsia="Arial" w:hAnsi="Arial"/>
                <w:sz w:val="18"/>
                <w:szCs w:val="18"/>
                <w:color w:val="auto"/>
              </w:rPr>
              <w:t>31.1</w:t>
            </w:r>
          </w:p>
        </w:tc>
        <w:tc>
          <w:tcPr>
            <w:tcW w:w="1054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Certifications by Daniel S. Jaffee, President and Chief Executive Officer, and Andrew N. Peterson, Chief Financial Officer, required by Rule 13a-</w:t>
            </w:r>
          </w:p>
        </w:tc>
        <w:tc>
          <w:tcPr>
            <w:tcW w:w="20" w:type="dxa"/>
            <w:vAlign w:val="bottom"/>
          </w:tcPr>
          <w:p>
            <w:pPr>
              <w:spacing w:after="0"/>
              <w:rPr>
                <w:sz w:val="19"/>
                <w:szCs w:val="19"/>
                <w:color w:val="auto"/>
              </w:rPr>
            </w:pPr>
          </w:p>
        </w:tc>
      </w:tr>
      <w:tr>
        <w:trPr>
          <w:trHeight w:val="232"/>
        </w:trPr>
        <w:tc>
          <w:tcPr>
            <w:tcW w:w="880" w:type="dxa"/>
            <w:vAlign w:val="bottom"/>
            <w:shd w:val="clear" w:color="auto" w:fill="C0C0C0"/>
          </w:tcPr>
          <w:p>
            <w:pPr>
              <w:spacing w:after="0"/>
              <w:rPr>
                <w:sz w:val="20"/>
                <w:szCs w:val="20"/>
                <w:color w:val="auto"/>
              </w:rPr>
            </w:pPr>
          </w:p>
        </w:tc>
        <w:tc>
          <w:tcPr>
            <w:tcW w:w="105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14(a)</w:t>
            </w:r>
          </w:p>
        </w:tc>
        <w:tc>
          <w:tcPr>
            <w:tcW w:w="20" w:type="dxa"/>
            <w:vAlign w:val="bottom"/>
          </w:tcPr>
          <w:p>
            <w:pPr>
              <w:spacing w:after="0"/>
              <w:rPr>
                <w:sz w:val="20"/>
                <w:szCs w:val="20"/>
                <w:color w:val="auto"/>
              </w:rPr>
            </w:pPr>
          </w:p>
        </w:tc>
      </w:tr>
      <w:tr>
        <w:trPr>
          <w:trHeight w:val="230"/>
        </w:trPr>
        <w:tc>
          <w:tcPr>
            <w:tcW w:w="880" w:type="dxa"/>
            <w:vAlign w:val="bottom"/>
          </w:tcPr>
          <w:p>
            <w:pPr>
              <w:spacing w:after="0"/>
              <w:rPr>
                <w:sz w:val="19"/>
                <w:szCs w:val="19"/>
                <w:color w:val="auto"/>
              </w:rPr>
            </w:pPr>
          </w:p>
        </w:tc>
        <w:tc>
          <w:tcPr>
            <w:tcW w:w="10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80" w:type="dxa"/>
            <w:vAlign w:val="bottom"/>
            <w:shd w:val="clear" w:color="auto" w:fill="C0C0C0"/>
          </w:tcPr>
          <w:p>
            <w:pPr>
              <w:spacing w:after="0"/>
              <w:rPr>
                <w:sz w:val="20"/>
                <w:szCs w:val="20"/>
                <w:color w:val="auto"/>
              </w:rPr>
            </w:pPr>
            <w:r>
              <w:rPr>
                <w:rFonts w:ascii="Arial" w:cs="Arial" w:eastAsia="Arial" w:hAnsi="Arial"/>
                <w:sz w:val="18"/>
                <w:szCs w:val="18"/>
                <w:color w:val="auto"/>
              </w:rPr>
              <w:t>32.1</w:t>
            </w:r>
          </w:p>
        </w:tc>
        <w:tc>
          <w:tcPr>
            <w:tcW w:w="105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Certifications pursuant to Section 1350 of the Sarbanes-Oxley Act of 2002</w:t>
            </w:r>
          </w:p>
        </w:tc>
        <w:tc>
          <w:tcPr>
            <w:tcW w:w="20" w:type="dxa"/>
            <w:vAlign w:val="bottom"/>
          </w:tcPr>
          <w:p>
            <w:pPr>
              <w:spacing w:after="0"/>
              <w:rPr>
                <w:sz w:val="19"/>
                <w:szCs w:val="19"/>
                <w:color w:val="auto"/>
              </w:rPr>
            </w:pPr>
          </w:p>
        </w:tc>
      </w:tr>
      <w:tr>
        <w:trPr>
          <w:trHeight w:val="687"/>
        </w:trPr>
        <w:tc>
          <w:tcPr>
            <w:tcW w:w="880" w:type="dxa"/>
            <w:vAlign w:val="bottom"/>
          </w:tcPr>
          <w:p>
            <w:pPr>
              <w:spacing w:after="0"/>
              <w:rPr>
                <w:sz w:val="20"/>
                <w:szCs w:val="20"/>
                <w:color w:val="auto"/>
              </w:rPr>
            </w:pPr>
            <w:r>
              <w:rPr>
                <w:rFonts w:ascii="Arial" w:cs="Arial" w:eastAsia="Arial" w:hAnsi="Arial"/>
                <w:sz w:val="18"/>
                <w:szCs w:val="18"/>
                <w:color w:val="auto"/>
              </w:rPr>
              <w:t>Note:</w:t>
            </w:r>
          </w:p>
        </w:tc>
        <w:tc>
          <w:tcPr>
            <w:tcW w:w="10540" w:type="dxa"/>
            <w:vAlign w:val="bottom"/>
          </w:tcPr>
          <w:p>
            <w:pPr>
              <w:ind w:left="100"/>
              <w:spacing w:after="0"/>
              <w:rPr>
                <w:sz w:val="20"/>
                <w:szCs w:val="20"/>
                <w:color w:val="auto"/>
              </w:rPr>
            </w:pPr>
            <w:r>
              <w:rPr>
                <w:rFonts w:ascii="Arial" w:cs="Arial" w:eastAsia="Arial" w:hAnsi="Arial"/>
                <w:sz w:val="18"/>
                <w:szCs w:val="18"/>
                <w:color w:val="auto"/>
                <w:w w:val="90"/>
              </w:rPr>
              <w:t>Stockholders may receive copies of the above listed exhibits, without fee, by written request to Investor Relations, Oil-Dri Corporation of America,</w:t>
            </w:r>
          </w:p>
        </w:tc>
        <w:tc>
          <w:tcPr>
            <w:tcW w:w="20" w:type="dxa"/>
            <w:vAlign w:val="bottom"/>
          </w:tcPr>
          <w:p>
            <w:pPr>
              <w:spacing w:after="0"/>
              <w:rPr>
                <w:sz w:val="24"/>
                <w:szCs w:val="24"/>
                <w:color w:val="auto"/>
              </w:rPr>
            </w:pPr>
          </w:p>
        </w:tc>
      </w:tr>
      <w:tr>
        <w:trPr>
          <w:trHeight w:val="230"/>
        </w:trPr>
        <w:tc>
          <w:tcPr>
            <w:tcW w:w="880" w:type="dxa"/>
            <w:vAlign w:val="bottom"/>
          </w:tcPr>
          <w:p>
            <w:pPr>
              <w:spacing w:after="0"/>
              <w:rPr>
                <w:sz w:val="19"/>
                <w:szCs w:val="19"/>
                <w:color w:val="auto"/>
              </w:rPr>
            </w:pPr>
          </w:p>
        </w:tc>
        <w:tc>
          <w:tcPr>
            <w:tcW w:w="10540" w:type="dxa"/>
            <w:vAlign w:val="bottom"/>
          </w:tcPr>
          <w:p>
            <w:pPr>
              <w:ind w:left="100"/>
              <w:spacing w:after="0"/>
              <w:rPr>
                <w:sz w:val="20"/>
                <w:szCs w:val="20"/>
                <w:color w:val="auto"/>
              </w:rPr>
            </w:pPr>
            <w:r>
              <w:rPr>
                <w:rFonts w:ascii="Arial" w:cs="Arial" w:eastAsia="Arial" w:hAnsi="Arial"/>
                <w:sz w:val="18"/>
                <w:szCs w:val="18"/>
                <w:color w:val="auto"/>
              </w:rPr>
              <w:t>410 North Michigan Avenue, Suite 400, Chicago, Illinois 60611-4213, telephone (312) 321-1515 or e-mail to info@oildri.com.</w:t>
            </w:r>
          </w:p>
        </w:tc>
        <w:tc>
          <w:tcPr>
            <w:tcW w:w="20" w:type="dxa"/>
            <w:vAlign w:val="bottom"/>
          </w:tcPr>
          <w:p>
            <w:pPr>
              <w:spacing w:after="0"/>
              <w:rPr>
                <w:sz w:val="19"/>
                <w:szCs w:val="19"/>
                <w:color w:val="auto"/>
              </w:rPr>
            </w:pPr>
          </w:p>
        </w:tc>
      </w:tr>
      <w:tr>
        <w:trPr>
          <w:trHeight w:val="459"/>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r>
      <w:tr>
        <w:trPr>
          <w:trHeight w:val="363"/>
        </w:trPr>
        <w:tc>
          <w:tcPr>
            <w:tcW w:w="880" w:type="dxa"/>
            <w:vAlign w:val="bottom"/>
            <w:tcBorders>
              <w:bottom w:val="single" w:sz="8" w:color="808080"/>
            </w:tcBorders>
          </w:tcPr>
          <w:p>
            <w:pPr>
              <w:spacing w:after="0"/>
              <w:rPr>
                <w:sz w:val="24"/>
                <w:szCs w:val="24"/>
                <w:color w:val="auto"/>
              </w:rPr>
            </w:pPr>
          </w:p>
        </w:tc>
        <w:tc>
          <w:tcPr>
            <w:tcW w:w="105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28"/>
        </w:trPr>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EXHIBIT 11.1: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47"/>
        </w:trPr>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20" w:type="dxa"/>
            <w:vAlign w:val="bottom"/>
          </w:tcPr>
          <w:p>
            <w:pPr>
              <w:jc w:val="center"/>
              <w:ind w:left="1192"/>
              <w:spacing w:after="0"/>
              <w:rPr>
                <w:sz w:val="20"/>
                <w:szCs w:val="20"/>
                <w:color w:val="auto"/>
              </w:rPr>
            </w:pPr>
            <w:r>
              <w:rPr>
                <w:rFonts w:ascii="Arial" w:cs="Arial" w:eastAsia="Arial" w:hAnsi="Arial"/>
                <w:sz w:val="18"/>
                <w:szCs w:val="18"/>
                <w:b w:val="1"/>
                <w:bCs w:val="1"/>
                <w:color w:val="auto"/>
                <w:w w:val="99"/>
              </w:rPr>
              <w:t>OIL-DRI CORPORATION OF AMERICA</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20" w:type="dxa"/>
            <w:vAlign w:val="bottom"/>
          </w:tcPr>
          <w:p>
            <w:pPr>
              <w:jc w:val="center"/>
              <w:ind w:left="1212"/>
              <w:spacing w:after="0"/>
              <w:rPr>
                <w:sz w:val="20"/>
                <w:szCs w:val="20"/>
                <w:color w:val="auto"/>
              </w:rPr>
            </w:pPr>
            <w:r>
              <w:rPr>
                <w:rFonts w:ascii="Arial" w:cs="Arial" w:eastAsia="Arial" w:hAnsi="Arial"/>
                <w:sz w:val="18"/>
                <w:szCs w:val="18"/>
                <w:b w:val="1"/>
                <w:bCs w:val="1"/>
                <w:color w:val="auto"/>
                <w:w w:val="88"/>
              </w:rPr>
              <w:t>Computation of Net Income Per Share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20" w:type="dxa"/>
            <w:vAlign w:val="bottom"/>
          </w:tcPr>
          <w:p>
            <w:pPr>
              <w:jc w:val="center"/>
              <w:ind w:left="1192"/>
              <w:spacing w:after="0"/>
              <w:rPr>
                <w:sz w:val="20"/>
                <w:szCs w:val="20"/>
                <w:color w:val="auto"/>
              </w:rPr>
            </w:pPr>
            <w:r>
              <w:rPr>
                <w:rFonts w:ascii="Arial" w:cs="Arial" w:eastAsia="Arial" w:hAnsi="Arial"/>
                <w:sz w:val="18"/>
                <w:szCs w:val="18"/>
                <w:b w:val="1"/>
                <w:bCs w:val="1"/>
                <w:color w:val="auto"/>
                <w:w w:val="86"/>
              </w:rPr>
              <w:t>(in thousands except for per share amounts)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82"/>
        </w:trPr>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292"/>
              <w:spacing w:after="0"/>
              <w:rPr>
                <w:sz w:val="20"/>
                <w:szCs w:val="20"/>
                <w:color w:val="auto"/>
              </w:rPr>
            </w:pPr>
            <w:r>
              <w:rPr>
                <w:rFonts w:ascii="Arial" w:cs="Arial" w:eastAsia="Arial" w:hAnsi="Arial"/>
                <w:sz w:val="18"/>
                <w:szCs w:val="18"/>
                <w:b w:val="1"/>
                <w:bCs w:val="1"/>
                <w:color w:val="auto"/>
              </w:rPr>
              <w:t>Year Ended July 31,</w:t>
            </w:r>
          </w:p>
        </w:tc>
      </w:tr>
      <w:tr>
        <w:trPr>
          <w:trHeight w:val="237"/>
        </w:trPr>
        <w:tc>
          <w:tcPr>
            <w:tcW w:w="1160" w:type="dxa"/>
            <w:vAlign w:val="bottom"/>
          </w:tcPr>
          <w:p>
            <w:pPr>
              <w:spacing w:after="0"/>
              <w:rPr>
                <w:sz w:val="20"/>
                <w:szCs w:val="20"/>
                <w:color w:val="auto"/>
              </w:rPr>
            </w:pPr>
          </w:p>
        </w:tc>
        <w:tc>
          <w:tcPr>
            <w:tcW w:w="1300" w:type="dxa"/>
            <w:vAlign w:val="bottom"/>
            <w:tcBorders>
              <w:bottom w:val="single" w:sz="8" w:color="C0C0C0"/>
            </w:tcBorders>
          </w:tcPr>
          <w:p>
            <w:pPr>
              <w:spacing w:after="0"/>
              <w:rPr>
                <w:sz w:val="20"/>
                <w:szCs w:val="20"/>
                <w:color w:val="auto"/>
              </w:rPr>
            </w:pPr>
          </w:p>
        </w:tc>
        <w:tc>
          <w:tcPr>
            <w:tcW w:w="52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4"/>
              </w:rPr>
              <w:t>2010</w:t>
            </w: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9"/>
              </w:rPr>
              <w:t>2009</w:t>
            </w: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2008</w:t>
            </w:r>
          </w:p>
        </w:tc>
      </w:tr>
      <w:tr>
        <w:trPr>
          <w:trHeight w:val="243"/>
        </w:trPr>
        <w:tc>
          <w:tcPr>
            <w:tcW w:w="1160" w:type="dxa"/>
            <w:vAlign w:val="bottom"/>
          </w:tcPr>
          <w:p>
            <w:pPr>
              <w:spacing w:after="0"/>
              <w:rPr>
                <w:sz w:val="21"/>
                <w:szCs w:val="21"/>
                <w:color w:val="auto"/>
              </w:rPr>
            </w:pPr>
          </w:p>
        </w:tc>
        <w:tc>
          <w:tcPr>
            <w:tcW w:w="65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Net income available to stockholders</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0C0C0"/>
          </w:tcPr>
          <w:p>
            <w:pPr>
              <w:jc w:val="right"/>
              <w:ind w:right="112"/>
              <w:spacing w:after="0"/>
              <w:rPr>
                <w:sz w:val="20"/>
                <w:szCs w:val="20"/>
                <w:color w:val="auto"/>
              </w:rPr>
            </w:pPr>
            <w:r>
              <w:rPr>
                <w:rFonts w:ascii="Arial" w:cs="Arial" w:eastAsia="Arial" w:hAnsi="Arial"/>
                <w:sz w:val="18"/>
                <w:szCs w:val="18"/>
                <w:b w:val="1"/>
                <w:bCs w:val="1"/>
                <w:color w:val="auto"/>
                <w:w w:val="84"/>
              </w:rPr>
              <w:t>9,458</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w w:val="84"/>
              </w:rPr>
              <w:t>9,586</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9,039</w:t>
            </w:r>
          </w:p>
        </w:tc>
      </w:tr>
      <w:tr>
        <w:trPr>
          <w:trHeight w:val="228"/>
        </w:trPr>
        <w:tc>
          <w:tcPr>
            <w:tcW w:w="7680" w:type="dxa"/>
            <w:vAlign w:val="bottom"/>
            <w:gridSpan w:val="3"/>
          </w:tcPr>
          <w:p>
            <w:pPr>
              <w:ind w:left="1140"/>
              <w:spacing w:after="0"/>
              <w:rPr>
                <w:sz w:val="20"/>
                <w:szCs w:val="20"/>
                <w:color w:val="auto"/>
              </w:rPr>
            </w:pPr>
            <w:r>
              <w:rPr>
                <w:rFonts w:ascii="Arial" w:cs="Arial" w:eastAsia="Arial" w:hAnsi="Arial"/>
                <w:sz w:val="18"/>
                <w:szCs w:val="18"/>
                <w:color w:val="auto"/>
              </w:rPr>
              <w:t>Less: Distributed and undistributed earnings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52"/>
        </w:trPr>
        <w:tc>
          <w:tcPr>
            <w:tcW w:w="7680" w:type="dxa"/>
            <w:vAlign w:val="bottom"/>
            <w:gridSpan w:val="3"/>
          </w:tcPr>
          <w:p>
            <w:pPr>
              <w:ind w:left="1140"/>
              <w:spacing w:after="0"/>
              <w:rPr>
                <w:sz w:val="20"/>
                <w:szCs w:val="20"/>
                <w:color w:val="auto"/>
              </w:rPr>
            </w:pPr>
            <w:r>
              <w:rPr>
                <w:rFonts w:ascii="Arial" w:cs="Arial" w:eastAsia="Arial" w:hAnsi="Arial"/>
                <w:sz w:val="18"/>
                <w:szCs w:val="18"/>
                <w:color w:val="auto"/>
              </w:rPr>
              <w:t>allocated to nonvested stock</w:t>
            </w: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0"/>
        </w:trPr>
        <w:tc>
          <w:tcPr>
            <w:tcW w:w="1160" w:type="dxa"/>
            <w:vAlign w:val="bottom"/>
          </w:tcPr>
          <w:p>
            <w:pPr>
              <w:spacing w:after="0"/>
              <w:rPr>
                <w:sz w:val="21"/>
                <w:szCs w:val="21"/>
                <w:color w:val="auto"/>
              </w:rPr>
            </w:pPr>
          </w:p>
        </w:tc>
        <w:tc>
          <w:tcPr>
            <w:tcW w:w="65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Earnings available to common shareholders</w:t>
            </w: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0C0C0"/>
          </w:tcPr>
          <w:p>
            <w:pPr>
              <w:jc w:val="right"/>
              <w:ind w:right="112"/>
              <w:spacing w:after="0"/>
              <w:rPr>
                <w:sz w:val="20"/>
                <w:szCs w:val="20"/>
                <w:color w:val="auto"/>
              </w:rPr>
            </w:pPr>
            <w:r>
              <w:rPr>
                <w:rFonts w:ascii="Arial" w:cs="Arial" w:eastAsia="Arial" w:hAnsi="Arial"/>
                <w:sz w:val="18"/>
                <w:szCs w:val="18"/>
                <w:b w:val="1"/>
                <w:bCs w:val="1"/>
                <w:color w:val="auto"/>
                <w:w w:val="84"/>
              </w:rPr>
              <w:t>9,428</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w w:val="84"/>
              </w:rPr>
              <w:t>9,540</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8,972</w:t>
            </w:r>
          </w:p>
        </w:tc>
      </w:tr>
      <w:tr>
        <w:trPr>
          <w:trHeight w:val="243"/>
        </w:trPr>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20" w:type="dxa"/>
            <w:vAlign w:val="bottom"/>
            <w:tcBorders>
              <w:top w:val="single" w:sz="8" w:color="C0C0C0"/>
            </w:tcBorders>
          </w:tcPr>
          <w:p>
            <w:pPr>
              <w:spacing w:after="0"/>
              <w:rPr>
                <w:sz w:val="21"/>
                <w:szCs w:val="21"/>
                <w:color w:val="auto"/>
              </w:rPr>
            </w:pPr>
          </w:p>
        </w:tc>
        <w:tc>
          <w:tcPr>
            <w:tcW w:w="320" w:type="dxa"/>
            <w:vAlign w:val="bottom"/>
            <w:tcBorders>
              <w:top w:val="single" w:sz="8" w:color="C0C0C0"/>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r>
      <w:tr>
        <w:trPr>
          <w:trHeight w:val="223"/>
        </w:trPr>
        <w:tc>
          <w:tcPr>
            <w:tcW w:w="1160" w:type="dxa"/>
            <w:vAlign w:val="bottom"/>
          </w:tcPr>
          <w:p>
            <w:pPr>
              <w:spacing w:after="0"/>
              <w:rPr>
                <w:sz w:val="19"/>
                <w:szCs w:val="19"/>
                <w:color w:val="auto"/>
              </w:rPr>
            </w:pPr>
          </w:p>
        </w:tc>
        <w:tc>
          <w:tcPr>
            <w:tcW w:w="65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Shares Calculation</w:t>
            </w:r>
          </w:p>
        </w:tc>
        <w:tc>
          <w:tcPr>
            <w:tcW w:w="3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5220" w:type="dxa"/>
            <w:vAlign w:val="bottom"/>
            <w:tcBorders>
              <w:top w:val="single" w:sz="8" w:color="C0C0C0"/>
            </w:tcBorders>
          </w:tcPr>
          <w:p>
            <w:pPr>
              <w:spacing w:after="0"/>
              <w:rPr>
                <w:sz w:val="21"/>
                <w:szCs w:val="21"/>
                <w:color w:val="auto"/>
              </w:rPr>
            </w:pPr>
          </w:p>
        </w:tc>
        <w:tc>
          <w:tcPr>
            <w:tcW w:w="32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600" w:type="dxa"/>
            <w:vAlign w:val="bottom"/>
            <w:tcBorders>
              <w:top w:val="single" w:sz="8" w:color="C0C0C0"/>
            </w:tcBorders>
          </w:tcPr>
          <w:p>
            <w:pPr>
              <w:spacing w:after="0"/>
              <w:rPr>
                <w:sz w:val="21"/>
                <w:szCs w:val="21"/>
                <w:color w:val="auto"/>
              </w:rPr>
            </w:pPr>
          </w:p>
        </w:tc>
        <w:tc>
          <w:tcPr>
            <w:tcW w:w="240" w:type="dxa"/>
            <w:vAlign w:val="bottom"/>
            <w:tcBorders>
              <w:top w:val="single" w:sz="8" w:color="C0C0C0"/>
            </w:tcBorders>
          </w:tcPr>
          <w:p>
            <w:pPr>
              <w:spacing w:after="0"/>
              <w:rPr>
                <w:sz w:val="21"/>
                <w:szCs w:val="21"/>
                <w:color w:val="auto"/>
              </w:rPr>
            </w:pPr>
          </w:p>
        </w:tc>
        <w:tc>
          <w:tcPr>
            <w:tcW w:w="620" w:type="dxa"/>
            <w:vAlign w:val="bottom"/>
            <w:tcBorders>
              <w:top w:val="single" w:sz="8" w:color="C0C0C0"/>
            </w:tcBorders>
          </w:tcPr>
          <w:p>
            <w:pPr>
              <w:spacing w:after="0"/>
              <w:rPr>
                <w:sz w:val="21"/>
                <w:szCs w:val="21"/>
                <w:color w:val="auto"/>
              </w:rPr>
            </w:pPr>
          </w:p>
        </w:tc>
        <w:tc>
          <w:tcPr>
            <w:tcW w:w="240" w:type="dxa"/>
            <w:vAlign w:val="bottom"/>
            <w:tcBorders>
              <w:top w:val="single" w:sz="8" w:color="C0C0C0"/>
            </w:tcBorders>
          </w:tcPr>
          <w:p>
            <w:pPr>
              <w:spacing w:after="0"/>
              <w:rPr>
                <w:sz w:val="21"/>
                <w:szCs w:val="21"/>
                <w:color w:val="auto"/>
              </w:rPr>
            </w:pPr>
          </w:p>
        </w:tc>
        <w:tc>
          <w:tcPr>
            <w:tcW w:w="480" w:type="dxa"/>
            <w:vAlign w:val="bottom"/>
            <w:tcBorders>
              <w:top w:val="single" w:sz="8" w:color="C0C0C0"/>
            </w:tcBorders>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65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Average shares outstanding – Basic Common</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12"/>
              <w:spacing w:after="0"/>
              <w:rPr>
                <w:sz w:val="20"/>
                <w:szCs w:val="20"/>
                <w:color w:val="auto"/>
              </w:rPr>
            </w:pPr>
            <w:r>
              <w:rPr>
                <w:rFonts w:ascii="Arial" w:cs="Arial" w:eastAsia="Arial" w:hAnsi="Arial"/>
                <w:sz w:val="18"/>
                <w:szCs w:val="18"/>
                <w:b w:val="1"/>
                <w:bCs w:val="1"/>
                <w:color w:val="auto"/>
                <w:w w:val="84"/>
              </w:rPr>
              <w:t>5,203</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w w:val="84"/>
              </w:rPr>
              <w:t>5,146</w:t>
            </w:r>
          </w:p>
        </w:tc>
        <w:tc>
          <w:tcPr>
            <w:tcW w:w="24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5,068</w:t>
            </w:r>
          </w:p>
        </w:tc>
      </w:tr>
      <w:tr>
        <w:trPr>
          <w:trHeight w:val="228"/>
        </w:trPr>
        <w:tc>
          <w:tcPr>
            <w:tcW w:w="7680" w:type="dxa"/>
            <w:vAlign w:val="bottom"/>
            <w:gridSpan w:val="3"/>
          </w:tcPr>
          <w:p>
            <w:pPr>
              <w:ind w:left="1140"/>
              <w:spacing w:after="0"/>
              <w:rPr>
                <w:sz w:val="20"/>
                <w:szCs w:val="20"/>
                <w:color w:val="auto"/>
              </w:rPr>
            </w:pPr>
            <w:r>
              <w:rPr>
                <w:rFonts w:ascii="Arial" w:cs="Arial" w:eastAsia="Arial" w:hAnsi="Arial"/>
                <w:sz w:val="18"/>
                <w:szCs w:val="18"/>
                <w:color w:val="auto"/>
              </w:rPr>
              <w:t>Average shares outstanding – Basic Class B Common</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84"/>
              </w:rPr>
              <w:t>1,891</w:t>
            </w:r>
          </w:p>
        </w:tc>
        <w:tc>
          <w:tcPr>
            <w:tcW w:w="24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1,874</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1,854</w:t>
            </w:r>
          </w:p>
        </w:tc>
      </w:tr>
      <w:tr>
        <w:trPr>
          <w:trHeight w:val="258"/>
        </w:trPr>
        <w:tc>
          <w:tcPr>
            <w:tcW w:w="2460" w:type="dxa"/>
            <w:vAlign w:val="bottom"/>
            <w:gridSpan w:val="2"/>
          </w:tcPr>
          <w:p>
            <w:pPr>
              <w:spacing w:after="0"/>
              <w:rPr>
                <w:sz w:val="22"/>
                <w:szCs w:val="22"/>
                <w:color w:val="auto"/>
              </w:rPr>
            </w:pPr>
          </w:p>
        </w:tc>
        <w:tc>
          <w:tcPr>
            <w:tcW w:w="5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0"/>
        </w:trPr>
        <w:tc>
          <w:tcPr>
            <w:tcW w:w="1160" w:type="dxa"/>
            <w:vAlign w:val="bottom"/>
          </w:tcPr>
          <w:p>
            <w:pPr>
              <w:spacing w:after="0"/>
              <w:rPr>
                <w:sz w:val="21"/>
                <w:szCs w:val="21"/>
                <w:color w:val="auto"/>
              </w:rPr>
            </w:pPr>
          </w:p>
        </w:tc>
        <w:tc>
          <w:tcPr>
            <w:tcW w:w="65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Potential Common Stock relating to stock options</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12"/>
              <w:spacing w:after="0"/>
              <w:rPr>
                <w:sz w:val="20"/>
                <w:szCs w:val="20"/>
                <w:color w:val="auto"/>
              </w:rPr>
            </w:pPr>
            <w:r>
              <w:rPr>
                <w:rFonts w:ascii="Arial" w:cs="Arial" w:eastAsia="Arial" w:hAnsi="Arial"/>
                <w:sz w:val="18"/>
                <w:szCs w:val="18"/>
                <w:b w:val="1"/>
                <w:bCs w:val="1"/>
                <w:color w:val="auto"/>
              </w:rPr>
              <w:t>181</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230</w:t>
            </w:r>
          </w:p>
        </w:tc>
      </w:tr>
      <w:tr>
        <w:trPr>
          <w:trHeight w:val="243"/>
        </w:trPr>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20" w:type="dxa"/>
            <w:vAlign w:val="bottom"/>
            <w:tcBorders>
              <w:top w:val="single" w:sz="8" w:color="C0C0C0"/>
            </w:tcBorders>
          </w:tcPr>
          <w:p>
            <w:pPr>
              <w:spacing w:after="0"/>
              <w:rPr>
                <w:sz w:val="21"/>
                <w:szCs w:val="21"/>
                <w:color w:val="auto"/>
              </w:rPr>
            </w:pPr>
          </w:p>
        </w:tc>
        <w:tc>
          <w:tcPr>
            <w:tcW w:w="320" w:type="dxa"/>
            <w:vAlign w:val="bottom"/>
            <w:tcBorders>
              <w:top w:val="single" w:sz="8" w:color="C0C0C0"/>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r>
      <w:tr>
        <w:trPr>
          <w:trHeight w:val="250"/>
        </w:trPr>
        <w:tc>
          <w:tcPr>
            <w:tcW w:w="1160" w:type="dxa"/>
            <w:vAlign w:val="bottom"/>
          </w:tcPr>
          <w:p>
            <w:pPr>
              <w:spacing w:after="0"/>
              <w:rPr>
                <w:sz w:val="21"/>
                <w:szCs w:val="21"/>
                <w:color w:val="auto"/>
              </w:rPr>
            </w:pPr>
          </w:p>
        </w:tc>
        <w:tc>
          <w:tcPr>
            <w:tcW w:w="65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Average shares outstanding – Assuming dilution</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12"/>
              <w:spacing w:after="0"/>
              <w:rPr>
                <w:sz w:val="20"/>
                <w:szCs w:val="20"/>
                <w:color w:val="auto"/>
              </w:rPr>
            </w:pPr>
            <w:r>
              <w:rPr>
                <w:rFonts w:ascii="Arial" w:cs="Arial" w:eastAsia="Arial" w:hAnsi="Arial"/>
                <w:sz w:val="18"/>
                <w:szCs w:val="18"/>
                <w:b w:val="1"/>
                <w:bCs w:val="1"/>
                <w:color w:val="auto"/>
                <w:w w:val="84"/>
              </w:rPr>
              <w:t>7,275</w:t>
            </w:r>
          </w:p>
        </w:tc>
        <w:tc>
          <w:tcPr>
            <w:tcW w:w="2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w w:val="84"/>
              </w:rPr>
              <w:t>7,200</w:t>
            </w:r>
          </w:p>
        </w:tc>
        <w:tc>
          <w:tcPr>
            <w:tcW w:w="24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7,152</w:t>
            </w:r>
          </w:p>
        </w:tc>
      </w:tr>
      <w:tr>
        <w:trPr>
          <w:trHeight w:val="243"/>
        </w:trPr>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20" w:type="dxa"/>
            <w:vAlign w:val="bottom"/>
            <w:tcBorders>
              <w:top w:val="single" w:sz="8" w:color="C0C0C0"/>
            </w:tcBorders>
          </w:tcPr>
          <w:p>
            <w:pPr>
              <w:spacing w:after="0"/>
              <w:rPr>
                <w:sz w:val="21"/>
                <w:szCs w:val="21"/>
                <w:color w:val="auto"/>
              </w:rPr>
            </w:pPr>
          </w:p>
        </w:tc>
        <w:tc>
          <w:tcPr>
            <w:tcW w:w="320" w:type="dxa"/>
            <w:vAlign w:val="bottom"/>
            <w:tcBorders>
              <w:top w:val="single" w:sz="8" w:color="C0C0C0"/>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r>
      <w:tr>
        <w:trPr>
          <w:trHeight w:val="250"/>
        </w:trPr>
        <w:tc>
          <w:tcPr>
            <w:tcW w:w="1160" w:type="dxa"/>
            <w:vAlign w:val="bottom"/>
          </w:tcPr>
          <w:p>
            <w:pPr>
              <w:spacing w:after="0"/>
              <w:rPr>
                <w:sz w:val="21"/>
                <w:szCs w:val="21"/>
                <w:color w:val="auto"/>
              </w:rPr>
            </w:pPr>
          </w:p>
        </w:tc>
        <w:tc>
          <w:tcPr>
            <w:tcW w:w="65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Net Income Per Share: Basic Common</w:t>
            </w: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0C0C0"/>
          </w:tcPr>
          <w:p>
            <w:pPr>
              <w:jc w:val="right"/>
              <w:ind w:right="112"/>
              <w:spacing w:after="0"/>
              <w:rPr>
                <w:sz w:val="20"/>
                <w:szCs w:val="20"/>
                <w:color w:val="auto"/>
              </w:rPr>
            </w:pPr>
            <w:r>
              <w:rPr>
                <w:rFonts w:ascii="Arial" w:cs="Arial" w:eastAsia="Arial" w:hAnsi="Arial"/>
                <w:sz w:val="18"/>
                <w:szCs w:val="18"/>
                <w:b w:val="1"/>
                <w:bCs w:val="1"/>
                <w:color w:val="auto"/>
              </w:rPr>
              <w:t>1.42</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1.39</w:t>
            </w:r>
          </w:p>
        </w:tc>
      </w:tr>
      <w:tr>
        <w:trPr>
          <w:trHeight w:val="243"/>
        </w:trPr>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20" w:type="dxa"/>
            <w:vAlign w:val="bottom"/>
            <w:tcBorders>
              <w:top w:val="single" w:sz="8" w:color="C0C0C0"/>
            </w:tcBorders>
          </w:tcPr>
          <w:p>
            <w:pPr>
              <w:spacing w:after="0"/>
              <w:rPr>
                <w:sz w:val="21"/>
                <w:szCs w:val="21"/>
                <w:color w:val="auto"/>
              </w:rPr>
            </w:pPr>
          </w:p>
        </w:tc>
        <w:tc>
          <w:tcPr>
            <w:tcW w:w="320" w:type="dxa"/>
            <w:vAlign w:val="bottom"/>
            <w:tcBorders>
              <w:top w:val="single" w:sz="8" w:color="C0C0C0"/>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r>
      <w:tr>
        <w:trPr>
          <w:trHeight w:val="250"/>
        </w:trPr>
        <w:tc>
          <w:tcPr>
            <w:tcW w:w="1160" w:type="dxa"/>
            <w:vAlign w:val="bottom"/>
          </w:tcPr>
          <w:p>
            <w:pPr>
              <w:spacing w:after="0"/>
              <w:rPr>
                <w:sz w:val="21"/>
                <w:szCs w:val="21"/>
                <w:color w:val="auto"/>
              </w:rPr>
            </w:pPr>
          </w:p>
        </w:tc>
        <w:tc>
          <w:tcPr>
            <w:tcW w:w="65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Net Income Per Share: Basic Class B Common</w:t>
            </w: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0C0C0"/>
          </w:tcPr>
          <w:p>
            <w:pPr>
              <w:jc w:val="right"/>
              <w:ind w:right="112"/>
              <w:spacing w:after="0"/>
              <w:rPr>
                <w:sz w:val="20"/>
                <w:szCs w:val="20"/>
                <w:color w:val="auto"/>
              </w:rPr>
            </w:pPr>
            <w:r>
              <w:rPr>
                <w:rFonts w:ascii="Arial" w:cs="Arial" w:eastAsia="Arial" w:hAnsi="Arial"/>
                <w:sz w:val="18"/>
                <w:szCs w:val="18"/>
                <w:b w:val="1"/>
                <w:bCs w:val="1"/>
                <w:color w:val="auto"/>
              </w:rPr>
              <w:t>1.07</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20" w:type="dxa"/>
            <w:vAlign w:val="bottom"/>
            <w:tcBorders>
              <w:top w:val="single" w:sz="8" w:color="C0C0C0"/>
            </w:tcBorders>
          </w:tcPr>
          <w:p>
            <w:pPr>
              <w:spacing w:after="0"/>
              <w:rPr>
                <w:sz w:val="21"/>
                <w:szCs w:val="21"/>
                <w:color w:val="auto"/>
              </w:rPr>
            </w:pPr>
          </w:p>
        </w:tc>
        <w:tc>
          <w:tcPr>
            <w:tcW w:w="320" w:type="dxa"/>
            <w:vAlign w:val="bottom"/>
            <w:tcBorders>
              <w:top w:val="single" w:sz="8" w:color="C0C0C0"/>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r>
      <w:tr>
        <w:trPr>
          <w:trHeight w:val="242"/>
        </w:trPr>
        <w:tc>
          <w:tcPr>
            <w:tcW w:w="1160" w:type="dxa"/>
            <w:vAlign w:val="bottom"/>
          </w:tcPr>
          <w:p>
            <w:pPr>
              <w:spacing w:after="0"/>
              <w:rPr>
                <w:sz w:val="21"/>
                <w:szCs w:val="21"/>
                <w:color w:val="auto"/>
              </w:rPr>
            </w:pPr>
          </w:p>
        </w:tc>
        <w:tc>
          <w:tcPr>
            <w:tcW w:w="65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Net Income Per Share: Diluted</w:t>
            </w: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0C0C0"/>
          </w:tcPr>
          <w:p>
            <w:pPr>
              <w:jc w:val="right"/>
              <w:ind w:right="112"/>
              <w:spacing w:after="0"/>
              <w:rPr>
                <w:sz w:val="20"/>
                <w:szCs w:val="20"/>
                <w:color w:val="auto"/>
              </w:rPr>
            </w:pPr>
            <w:r>
              <w:rPr>
                <w:rFonts w:ascii="Arial" w:cs="Arial" w:eastAsia="Arial" w:hAnsi="Arial"/>
                <w:sz w:val="18"/>
                <w:szCs w:val="18"/>
                <w:b w:val="1"/>
                <w:bCs w:val="1"/>
                <w:color w:val="auto"/>
              </w:rPr>
              <w:t>1.30</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w:t>
            </w:r>
          </w:p>
        </w:tc>
      </w:tr>
      <w:tr>
        <w:trPr>
          <w:trHeight w:val="28"/>
        </w:trPr>
        <w:tc>
          <w:tcPr>
            <w:tcW w:w="1160" w:type="dxa"/>
            <w:vAlign w:val="bottom"/>
          </w:tcPr>
          <w:p>
            <w:pPr>
              <w:spacing w:after="0"/>
              <w:rPr>
                <w:sz w:val="2"/>
                <w:szCs w:val="2"/>
                <w:color w:val="auto"/>
              </w:rPr>
            </w:pPr>
          </w:p>
        </w:tc>
        <w:tc>
          <w:tcPr>
            <w:tcW w:w="1300" w:type="dxa"/>
            <w:vAlign w:val="bottom"/>
            <w:shd w:val="clear" w:color="auto" w:fill="C0C0C0"/>
          </w:tcPr>
          <w:p>
            <w:pPr>
              <w:spacing w:after="0"/>
              <w:rPr>
                <w:sz w:val="2"/>
                <w:szCs w:val="2"/>
                <w:color w:val="auto"/>
              </w:rPr>
            </w:pPr>
          </w:p>
        </w:tc>
        <w:tc>
          <w:tcPr>
            <w:tcW w:w="5220" w:type="dxa"/>
            <w:vAlign w:val="bottom"/>
            <w:shd w:val="clear" w:color="auto" w:fill="C0C0C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r>
    </w:tbl>
    <w:p>
      <w:pPr>
        <w:spacing w:after="0" w:line="262"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 xml:space="preserve">In fiscal year 2010, we adopted guidance under Accounting Standards Codification Topic (“ASC”) 260-10,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which required our unvested restricted stock awards to be considered participating securities and to be included in the computation of earnings per share pursuant to the two-class method. Upon adoption, we were required to retrospectively adjust earnings per share data to conform to this standard. Accordingly, we have restated diluted average shares outstanding and net income per share for all periods presented.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180" w:type="dxa"/>
            <w:vAlign w:val="bottom"/>
          </w:tcPr>
          <w:p>
            <w:pPr>
              <w:ind w:left="60"/>
              <w:spacing w:after="0"/>
              <w:rPr>
                <w:sz w:val="20"/>
                <w:szCs w:val="20"/>
                <w:color w:val="auto"/>
              </w:rPr>
            </w:pPr>
            <w:r>
              <w:rPr>
                <w:rFonts w:ascii="Arial" w:cs="Arial" w:eastAsia="Arial" w:hAnsi="Arial"/>
                <w:sz w:val="18"/>
                <w:szCs w:val="18"/>
                <w:b w:val="1"/>
                <w:bCs w:val="1"/>
                <w:color w:val="auto"/>
              </w:rPr>
              <w:t>SUBSIDIARIES OF OIL-DRI</w:t>
            </w:r>
          </w:p>
        </w:tc>
        <w:tc>
          <w:tcPr>
            <w:tcW w:w="1740" w:type="dxa"/>
            <w:vAlign w:val="bottom"/>
          </w:tcPr>
          <w:p>
            <w:pPr>
              <w:spacing w:after="0"/>
              <w:rPr>
                <w:sz w:val="19"/>
                <w:szCs w:val="19"/>
                <w:color w:val="auto"/>
              </w:rPr>
            </w:pPr>
          </w:p>
        </w:tc>
      </w:tr>
      <w:tr>
        <w:trPr>
          <w:trHeight w:val="473"/>
        </w:trPr>
        <w:tc>
          <w:tcPr>
            <w:tcW w:w="1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180" w:type="dxa"/>
            <w:vAlign w:val="bottom"/>
          </w:tcPr>
          <w:p>
            <w:pPr>
              <w:ind w:left="1500"/>
              <w:spacing w:after="0"/>
              <w:rPr>
                <w:sz w:val="20"/>
                <w:szCs w:val="20"/>
                <w:color w:val="auto"/>
              </w:rPr>
            </w:pPr>
            <w:r>
              <w:rPr>
                <w:rFonts w:ascii="Arial" w:cs="Arial" w:eastAsia="Arial" w:hAnsi="Arial"/>
                <w:sz w:val="18"/>
                <w:szCs w:val="18"/>
                <w:b w:val="1"/>
                <w:bCs w:val="1"/>
                <w:color w:val="auto"/>
              </w:rPr>
              <w:t>State or Country</w:t>
            </w:r>
          </w:p>
        </w:tc>
        <w:tc>
          <w:tcPr>
            <w:tcW w:w="1740" w:type="dxa"/>
            <w:vAlign w:val="bottom"/>
          </w:tcPr>
          <w:p>
            <w:pPr>
              <w:spacing w:after="0"/>
              <w:rPr>
                <w:sz w:val="24"/>
                <w:szCs w:val="24"/>
                <w:color w:val="auto"/>
              </w:rPr>
            </w:pPr>
          </w:p>
        </w:tc>
      </w:tr>
      <w:tr>
        <w:trPr>
          <w:trHeight w:val="252"/>
        </w:trPr>
        <w:tc>
          <w:tcPr>
            <w:tcW w:w="1720" w:type="dxa"/>
            <w:vAlign w:val="bottom"/>
          </w:tcPr>
          <w:p>
            <w:pPr>
              <w:spacing w:after="0"/>
              <w:rPr>
                <w:sz w:val="21"/>
                <w:szCs w:val="21"/>
                <w:color w:val="auto"/>
              </w:rPr>
            </w:pPr>
          </w:p>
        </w:tc>
        <w:tc>
          <w:tcPr>
            <w:tcW w:w="28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Subsidiary</w:t>
            </w:r>
          </w:p>
        </w:tc>
        <w:tc>
          <w:tcPr>
            <w:tcW w:w="518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of Organization</w:t>
            </w:r>
          </w:p>
        </w:tc>
        <w:tc>
          <w:tcPr>
            <w:tcW w:w="174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2800" w:type="dxa"/>
            <w:vAlign w:val="bottom"/>
            <w:shd w:val="clear" w:color="auto" w:fill="C0C0C0"/>
          </w:tcPr>
          <w:p>
            <w:pPr>
              <w:ind w:left="140"/>
              <w:spacing w:after="0"/>
              <w:rPr>
                <w:sz w:val="20"/>
                <w:szCs w:val="20"/>
                <w:color w:val="auto"/>
              </w:rPr>
            </w:pPr>
            <w:r>
              <w:rPr>
                <w:rFonts w:ascii="Arial" w:cs="Arial" w:eastAsia="Arial" w:hAnsi="Arial"/>
                <w:sz w:val="18"/>
                <w:szCs w:val="18"/>
                <w:color w:val="auto"/>
                <w:w w:val="91"/>
              </w:rPr>
              <w:t>Blue Mountain Production Company</w:t>
            </w:r>
          </w:p>
        </w:tc>
        <w:tc>
          <w:tcPr>
            <w:tcW w:w="5180" w:type="dxa"/>
            <w:vAlign w:val="bottom"/>
            <w:shd w:val="clear" w:color="auto" w:fill="C0C0C0"/>
          </w:tcPr>
          <w:p>
            <w:pPr>
              <w:ind w:left="1500"/>
              <w:spacing w:after="0"/>
              <w:rPr>
                <w:sz w:val="20"/>
                <w:szCs w:val="20"/>
                <w:color w:val="auto"/>
              </w:rPr>
            </w:pPr>
            <w:r>
              <w:rPr>
                <w:rFonts w:ascii="Arial" w:cs="Arial" w:eastAsia="Arial" w:hAnsi="Arial"/>
                <w:sz w:val="18"/>
                <w:szCs w:val="18"/>
                <w:color w:val="auto"/>
              </w:rPr>
              <w:t>Mississippi</w:t>
            </w:r>
          </w:p>
        </w:tc>
        <w:tc>
          <w:tcPr>
            <w:tcW w:w="1740" w:type="dxa"/>
            <w:vAlign w:val="bottom"/>
          </w:tcPr>
          <w:p>
            <w:pPr>
              <w:spacing w:after="0"/>
              <w:rPr>
                <w:sz w:val="21"/>
                <w:szCs w:val="21"/>
                <w:color w:val="auto"/>
              </w:rPr>
            </w:pPr>
          </w:p>
        </w:tc>
      </w:tr>
      <w:tr>
        <w:trPr>
          <w:trHeight w:val="235"/>
        </w:trPr>
        <w:tc>
          <w:tcPr>
            <w:tcW w:w="1720" w:type="dxa"/>
            <w:vAlign w:val="bottom"/>
          </w:tcPr>
          <w:p>
            <w:pPr>
              <w:spacing w:after="0"/>
              <w:rPr>
                <w:sz w:val="20"/>
                <w:szCs w:val="20"/>
                <w:color w:val="auto"/>
              </w:rPr>
            </w:pPr>
          </w:p>
        </w:tc>
        <w:tc>
          <w:tcPr>
            <w:tcW w:w="2800" w:type="dxa"/>
            <w:vAlign w:val="bottom"/>
          </w:tcPr>
          <w:p>
            <w:pPr>
              <w:ind w:left="140"/>
              <w:spacing w:after="0"/>
              <w:rPr>
                <w:sz w:val="20"/>
                <w:szCs w:val="20"/>
                <w:color w:val="auto"/>
              </w:rPr>
            </w:pPr>
            <w:r>
              <w:rPr>
                <w:rFonts w:ascii="Arial" w:cs="Arial" w:eastAsia="Arial" w:hAnsi="Arial"/>
                <w:sz w:val="18"/>
                <w:szCs w:val="18"/>
                <w:color w:val="auto"/>
              </w:rPr>
              <w:t>Favorite Products Company, Ltd.</w:t>
            </w:r>
          </w:p>
        </w:tc>
        <w:tc>
          <w:tcPr>
            <w:tcW w:w="5180" w:type="dxa"/>
            <w:vAlign w:val="bottom"/>
          </w:tcPr>
          <w:p>
            <w:pPr>
              <w:ind w:left="1500"/>
              <w:spacing w:after="0"/>
              <w:rPr>
                <w:sz w:val="20"/>
                <w:szCs w:val="20"/>
                <w:color w:val="auto"/>
              </w:rPr>
            </w:pPr>
            <w:r>
              <w:rPr>
                <w:rFonts w:ascii="Arial" w:cs="Arial" w:eastAsia="Arial" w:hAnsi="Arial"/>
                <w:sz w:val="18"/>
                <w:szCs w:val="18"/>
                <w:color w:val="auto"/>
              </w:rPr>
              <w:t>Canada</w:t>
            </w:r>
          </w:p>
        </w:tc>
        <w:tc>
          <w:tcPr>
            <w:tcW w:w="1740" w:type="dxa"/>
            <w:vAlign w:val="bottom"/>
          </w:tcPr>
          <w:p>
            <w:pPr>
              <w:spacing w:after="0"/>
              <w:rPr>
                <w:sz w:val="20"/>
                <w:szCs w:val="20"/>
                <w:color w:val="auto"/>
              </w:rPr>
            </w:pPr>
          </w:p>
        </w:tc>
      </w:tr>
      <w:tr>
        <w:trPr>
          <w:trHeight w:val="251"/>
        </w:trPr>
        <w:tc>
          <w:tcPr>
            <w:tcW w:w="1720" w:type="dxa"/>
            <w:vAlign w:val="bottom"/>
          </w:tcPr>
          <w:p>
            <w:pPr>
              <w:spacing w:after="0"/>
              <w:rPr>
                <w:sz w:val="21"/>
                <w:szCs w:val="21"/>
                <w:color w:val="auto"/>
              </w:rPr>
            </w:pPr>
          </w:p>
        </w:tc>
        <w:tc>
          <w:tcPr>
            <w:tcW w:w="2800" w:type="dxa"/>
            <w:vAlign w:val="bottom"/>
            <w:shd w:val="clear" w:color="auto" w:fill="C0C0C0"/>
          </w:tcPr>
          <w:p>
            <w:pPr>
              <w:ind w:left="140"/>
              <w:spacing w:after="0"/>
              <w:rPr>
                <w:sz w:val="20"/>
                <w:szCs w:val="20"/>
                <w:color w:val="auto"/>
              </w:rPr>
            </w:pPr>
            <w:r>
              <w:rPr>
                <w:rFonts w:ascii="Arial" w:cs="Arial" w:eastAsia="Arial" w:hAnsi="Arial"/>
                <w:sz w:val="18"/>
                <w:szCs w:val="18"/>
                <w:color w:val="auto"/>
              </w:rPr>
              <w:t>Mounds Management, Inc.</w:t>
            </w:r>
          </w:p>
        </w:tc>
        <w:tc>
          <w:tcPr>
            <w:tcW w:w="5180" w:type="dxa"/>
            <w:vAlign w:val="bottom"/>
            <w:shd w:val="clear" w:color="auto" w:fill="C0C0C0"/>
          </w:tcPr>
          <w:p>
            <w:pPr>
              <w:ind w:left="1500"/>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1"/>
                <w:szCs w:val="21"/>
                <w:color w:val="auto"/>
              </w:rPr>
            </w:pPr>
          </w:p>
        </w:tc>
      </w:tr>
      <w:tr>
        <w:trPr>
          <w:trHeight w:val="235"/>
        </w:trPr>
        <w:tc>
          <w:tcPr>
            <w:tcW w:w="1720" w:type="dxa"/>
            <w:vAlign w:val="bottom"/>
          </w:tcPr>
          <w:p>
            <w:pPr>
              <w:spacing w:after="0"/>
              <w:rPr>
                <w:sz w:val="20"/>
                <w:szCs w:val="20"/>
                <w:color w:val="auto"/>
              </w:rPr>
            </w:pPr>
          </w:p>
        </w:tc>
        <w:tc>
          <w:tcPr>
            <w:tcW w:w="2800" w:type="dxa"/>
            <w:vAlign w:val="bottom"/>
          </w:tcPr>
          <w:p>
            <w:pPr>
              <w:ind w:left="140"/>
              <w:spacing w:after="0"/>
              <w:rPr>
                <w:sz w:val="20"/>
                <w:szCs w:val="20"/>
                <w:color w:val="auto"/>
              </w:rPr>
            </w:pPr>
            <w:r>
              <w:rPr>
                <w:rFonts w:ascii="Arial" w:cs="Arial" w:eastAsia="Arial" w:hAnsi="Arial"/>
                <w:sz w:val="18"/>
                <w:szCs w:val="18"/>
                <w:color w:val="auto"/>
                <w:w w:val="94"/>
              </w:rPr>
              <w:t>Mounds Production Company, LLC</w:t>
            </w:r>
          </w:p>
        </w:tc>
        <w:tc>
          <w:tcPr>
            <w:tcW w:w="5180" w:type="dxa"/>
            <w:vAlign w:val="bottom"/>
          </w:tcPr>
          <w:p>
            <w:pPr>
              <w:ind w:left="1500"/>
              <w:spacing w:after="0"/>
              <w:rPr>
                <w:sz w:val="20"/>
                <w:szCs w:val="20"/>
                <w:color w:val="auto"/>
              </w:rPr>
            </w:pPr>
            <w:r>
              <w:rPr>
                <w:rFonts w:ascii="Arial" w:cs="Arial" w:eastAsia="Arial" w:hAnsi="Arial"/>
                <w:sz w:val="18"/>
                <w:szCs w:val="18"/>
                <w:color w:val="auto"/>
              </w:rPr>
              <w:t>Illinois</w:t>
            </w:r>
          </w:p>
        </w:tc>
        <w:tc>
          <w:tcPr>
            <w:tcW w:w="1740" w:type="dxa"/>
            <w:vAlign w:val="bottom"/>
          </w:tcPr>
          <w:p>
            <w:pPr>
              <w:spacing w:after="0"/>
              <w:rPr>
                <w:sz w:val="20"/>
                <w:szCs w:val="20"/>
                <w:color w:val="auto"/>
              </w:rPr>
            </w:pPr>
          </w:p>
        </w:tc>
      </w:tr>
      <w:tr>
        <w:trPr>
          <w:trHeight w:val="251"/>
        </w:trPr>
        <w:tc>
          <w:tcPr>
            <w:tcW w:w="1720" w:type="dxa"/>
            <w:vAlign w:val="bottom"/>
          </w:tcPr>
          <w:p>
            <w:pPr>
              <w:spacing w:after="0"/>
              <w:rPr>
                <w:sz w:val="21"/>
                <w:szCs w:val="21"/>
                <w:color w:val="auto"/>
              </w:rPr>
            </w:pPr>
          </w:p>
        </w:tc>
        <w:tc>
          <w:tcPr>
            <w:tcW w:w="2800" w:type="dxa"/>
            <w:vAlign w:val="bottom"/>
            <w:shd w:val="clear" w:color="auto" w:fill="C0C0C0"/>
          </w:tcPr>
          <w:p>
            <w:pPr>
              <w:ind w:left="140"/>
              <w:spacing w:after="0"/>
              <w:rPr>
                <w:sz w:val="20"/>
                <w:szCs w:val="20"/>
                <w:color w:val="auto"/>
              </w:rPr>
            </w:pPr>
            <w:r>
              <w:rPr>
                <w:rFonts w:ascii="Arial" w:cs="Arial" w:eastAsia="Arial" w:hAnsi="Arial"/>
                <w:sz w:val="18"/>
                <w:szCs w:val="18"/>
                <w:color w:val="auto"/>
              </w:rPr>
              <w:t>ODC Acquisition Corp.</w:t>
            </w:r>
          </w:p>
        </w:tc>
        <w:tc>
          <w:tcPr>
            <w:tcW w:w="5180" w:type="dxa"/>
            <w:vAlign w:val="bottom"/>
            <w:shd w:val="clear" w:color="auto" w:fill="C0C0C0"/>
          </w:tcPr>
          <w:p>
            <w:pPr>
              <w:ind w:left="1500"/>
              <w:spacing w:after="0"/>
              <w:rPr>
                <w:sz w:val="20"/>
                <w:szCs w:val="20"/>
                <w:color w:val="auto"/>
              </w:rPr>
            </w:pPr>
            <w:r>
              <w:rPr>
                <w:rFonts w:ascii="Arial" w:cs="Arial" w:eastAsia="Arial" w:hAnsi="Arial"/>
                <w:sz w:val="18"/>
                <w:szCs w:val="18"/>
                <w:color w:val="auto"/>
              </w:rPr>
              <w:t>Illinois</w:t>
            </w:r>
          </w:p>
        </w:tc>
        <w:tc>
          <w:tcPr>
            <w:tcW w:w="1740" w:type="dxa"/>
            <w:vAlign w:val="bottom"/>
          </w:tcPr>
          <w:p>
            <w:pPr>
              <w:spacing w:after="0"/>
              <w:rPr>
                <w:sz w:val="21"/>
                <w:szCs w:val="21"/>
                <w:color w:val="auto"/>
              </w:rPr>
            </w:pPr>
          </w:p>
        </w:tc>
      </w:tr>
      <w:tr>
        <w:trPr>
          <w:trHeight w:val="235"/>
        </w:trPr>
        <w:tc>
          <w:tcPr>
            <w:tcW w:w="1720" w:type="dxa"/>
            <w:vAlign w:val="bottom"/>
          </w:tcPr>
          <w:p>
            <w:pPr>
              <w:spacing w:after="0"/>
              <w:rPr>
                <w:sz w:val="20"/>
                <w:szCs w:val="20"/>
                <w:color w:val="auto"/>
              </w:rPr>
            </w:pPr>
          </w:p>
        </w:tc>
        <w:tc>
          <w:tcPr>
            <w:tcW w:w="2800" w:type="dxa"/>
            <w:vAlign w:val="bottom"/>
          </w:tcPr>
          <w:p>
            <w:pPr>
              <w:ind w:left="140"/>
              <w:spacing w:after="0"/>
              <w:rPr>
                <w:sz w:val="20"/>
                <w:szCs w:val="20"/>
                <w:color w:val="auto"/>
              </w:rPr>
            </w:pPr>
            <w:r>
              <w:rPr>
                <w:rFonts w:ascii="Arial" w:cs="Arial" w:eastAsia="Arial" w:hAnsi="Arial"/>
                <w:sz w:val="18"/>
                <w:szCs w:val="18"/>
                <w:color w:val="auto"/>
              </w:rPr>
              <w:t>Oil-Dri Corporation of Georgia</w:t>
            </w:r>
          </w:p>
        </w:tc>
        <w:tc>
          <w:tcPr>
            <w:tcW w:w="5180" w:type="dxa"/>
            <w:vAlign w:val="bottom"/>
          </w:tcPr>
          <w:p>
            <w:pPr>
              <w:ind w:left="1500"/>
              <w:spacing w:after="0"/>
              <w:rPr>
                <w:sz w:val="20"/>
                <w:szCs w:val="20"/>
                <w:color w:val="auto"/>
              </w:rPr>
            </w:pPr>
            <w:r>
              <w:rPr>
                <w:rFonts w:ascii="Arial" w:cs="Arial" w:eastAsia="Arial" w:hAnsi="Arial"/>
                <w:sz w:val="18"/>
                <w:szCs w:val="18"/>
                <w:color w:val="auto"/>
              </w:rPr>
              <w:t>Georgia</w:t>
            </w:r>
          </w:p>
        </w:tc>
        <w:tc>
          <w:tcPr>
            <w:tcW w:w="1740" w:type="dxa"/>
            <w:vAlign w:val="bottom"/>
          </w:tcPr>
          <w:p>
            <w:pPr>
              <w:spacing w:after="0"/>
              <w:rPr>
                <w:sz w:val="20"/>
                <w:szCs w:val="20"/>
                <w:color w:val="auto"/>
              </w:rPr>
            </w:pPr>
          </w:p>
        </w:tc>
      </w:tr>
      <w:tr>
        <w:trPr>
          <w:trHeight w:val="251"/>
        </w:trPr>
        <w:tc>
          <w:tcPr>
            <w:tcW w:w="1720" w:type="dxa"/>
            <w:vAlign w:val="bottom"/>
          </w:tcPr>
          <w:p>
            <w:pPr>
              <w:spacing w:after="0"/>
              <w:rPr>
                <w:sz w:val="21"/>
                <w:szCs w:val="21"/>
                <w:color w:val="auto"/>
              </w:rPr>
            </w:pPr>
          </w:p>
        </w:tc>
        <w:tc>
          <w:tcPr>
            <w:tcW w:w="2800" w:type="dxa"/>
            <w:vAlign w:val="bottom"/>
            <w:shd w:val="clear" w:color="auto" w:fill="C0C0C0"/>
          </w:tcPr>
          <w:p>
            <w:pPr>
              <w:ind w:left="140"/>
              <w:spacing w:after="0"/>
              <w:rPr>
                <w:sz w:val="20"/>
                <w:szCs w:val="20"/>
                <w:color w:val="auto"/>
              </w:rPr>
            </w:pPr>
            <w:r>
              <w:rPr>
                <w:rFonts w:ascii="Arial" w:cs="Arial" w:eastAsia="Arial" w:hAnsi="Arial"/>
                <w:sz w:val="18"/>
                <w:szCs w:val="18"/>
                <w:color w:val="auto"/>
              </w:rPr>
              <w:t>Oil-Dri Corporation of Nevada</w:t>
            </w:r>
          </w:p>
        </w:tc>
        <w:tc>
          <w:tcPr>
            <w:tcW w:w="5180" w:type="dxa"/>
            <w:vAlign w:val="bottom"/>
            <w:shd w:val="clear" w:color="auto" w:fill="C0C0C0"/>
          </w:tcPr>
          <w:p>
            <w:pPr>
              <w:ind w:left="1500"/>
              <w:spacing w:after="0"/>
              <w:rPr>
                <w:sz w:val="20"/>
                <w:szCs w:val="20"/>
                <w:color w:val="auto"/>
              </w:rPr>
            </w:pPr>
            <w:r>
              <w:rPr>
                <w:rFonts w:ascii="Arial" w:cs="Arial" w:eastAsia="Arial" w:hAnsi="Arial"/>
                <w:sz w:val="18"/>
                <w:szCs w:val="18"/>
                <w:color w:val="auto"/>
              </w:rPr>
              <w:t>Nevada</w:t>
            </w:r>
          </w:p>
        </w:tc>
        <w:tc>
          <w:tcPr>
            <w:tcW w:w="1740" w:type="dxa"/>
            <w:vAlign w:val="bottom"/>
          </w:tcPr>
          <w:p>
            <w:pPr>
              <w:spacing w:after="0"/>
              <w:rPr>
                <w:sz w:val="21"/>
                <w:szCs w:val="21"/>
                <w:color w:val="auto"/>
              </w:rPr>
            </w:pPr>
          </w:p>
        </w:tc>
      </w:tr>
      <w:tr>
        <w:trPr>
          <w:trHeight w:val="235"/>
        </w:trPr>
        <w:tc>
          <w:tcPr>
            <w:tcW w:w="1720" w:type="dxa"/>
            <w:vAlign w:val="bottom"/>
          </w:tcPr>
          <w:p>
            <w:pPr>
              <w:spacing w:after="0"/>
              <w:rPr>
                <w:sz w:val="20"/>
                <w:szCs w:val="20"/>
                <w:color w:val="auto"/>
              </w:rPr>
            </w:pPr>
          </w:p>
        </w:tc>
        <w:tc>
          <w:tcPr>
            <w:tcW w:w="2800" w:type="dxa"/>
            <w:vAlign w:val="bottom"/>
          </w:tcPr>
          <w:p>
            <w:pPr>
              <w:ind w:left="140"/>
              <w:spacing w:after="0"/>
              <w:rPr>
                <w:sz w:val="20"/>
                <w:szCs w:val="20"/>
                <w:color w:val="auto"/>
              </w:rPr>
            </w:pPr>
            <w:r>
              <w:rPr>
                <w:rFonts w:ascii="Arial" w:cs="Arial" w:eastAsia="Arial" w:hAnsi="Arial"/>
                <w:sz w:val="18"/>
                <w:szCs w:val="18"/>
                <w:color w:val="auto"/>
              </w:rPr>
              <w:t>Oil-Dri Production Company</w:t>
            </w:r>
          </w:p>
        </w:tc>
        <w:tc>
          <w:tcPr>
            <w:tcW w:w="5180" w:type="dxa"/>
            <w:vAlign w:val="bottom"/>
          </w:tcPr>
          <w:p>
            <w:pPr>
              <w:ind w:left="1500"/>
              <w:spacing w:after="0"/>
              <w:rPr>
                <w:sz w:val="20"/>
                <w:szCs w:val="20"/>
                <w:color w:val="auto"/>
              </w:rPr>
            </w:pPr>
            <w:r>
              <w:rPr>
                <w:rFonts w:ascii="Arial" w:cs="Arial" w:eastAsia="Arial" w:hAnsi="Arial"/>
                <w:sz w:val="18"/>
                <w:szCs w:val="18"/>
                <w:color w:val="auto"/>
              </w:rPr>
              <w:t>Mississippi</w:t>
            </w:r>
          </w:p>
        </w:tc>
        <w:tc>
          <w:tcPr>
            <w:tcW w:w="1740" w:type="dxa"/>
            <w:vAlign w:val="bottom"/>
          </w:tcPr>
          <w:p>
            <w:pPr>
              <w:spacing w:after="0"/>
              <w:rPr>
                <w:sz w:val="20"/>
                <w:szCs w:val="20"/>
                <w:color w:val="auto"/>
              </w:rPr>
            </w:pPr>
          </w:p>
        </w:tc>
      </w:tr>
      <w:tr>
        <w:trPr>
          <w:trHeight w:val="251"/>
        </w:trPr>
        <w:tc>
          <w:tcPr>
            <w:tcW w:w="1720" w:type="dxa"/>
            <w:vAlign w:val="bottom"/>
          </w:tcPr>
          <w:p>
            <w:pPr>
              <w:spacing w:after="0"/>
              <w:rPr>
                <w:sz w:val="21"/>
                <w:szCs w:val="21"/>
                <w:color w:val="auto"/>
              </w:rPr>
            </w:pPr>
          </w:p>
        </w:tc>
        <w:tc>
          <w:tcPr>
            <w:tcW w:w="2800" w:type="dxa"/>
            <w:vAlign w:val="bottom"/>
            <w:shd w:val="clear" w:color="auto" w:fill="C0C0C0"/>
          </w:tcPr>
          <w:p>
            <w:pPr>
              <w:ind w:left="140"/>
              <w:spacing w:after="0"/>
              <w:rPr>
                <w:sz w:val="20"/>
                <w:szCs w:val="20"/>
                <w:color w:val="auto"/>
              </w:rPr>
            </w:pPr>
            <w:r>
              <w:rPr>
                <w:rFonts w:ascii="Arial" w:cs="Arial" w:eastAsia="Arial" w:hAnsi="Arial"/>
                <w:sz w:val="18"/>
                <w:szCs w:val="18"/>
                <w:color w:val="auto"/>
              </w:rPr>
              <w:t>Oil-Dri SARL</w:t>
            </w:r>
          </w:p>
        </w:tc>
        <w:tc>
          <w:tcPr>
            <w:tcW w:w="5180" w:type="dxa"/>
            <w:vAlign w:val="bottom"/>
            <w:shd w:val="clear" w:color="auto" w:fill="C0C0C0"/>
          </w:tcPr>
          <w:p>
            <w:pPr>
              <w:ind w:left="1500"/>
              <w:spacing w:after="0"/>
              <w:rPr>
                <w:sz w:val="20"/>
                <w:szCs w:val="20"/>
                <w:color w:val="auto"/>
              </w:rPr>
            </w:pPr>
            <w:r>
              <w:rPr>
                <w:rFonts w:ascii="Arial" w:cs="Arial" w:eastAsia="Arial" w:hAnsi="Arial"/>
                <w:sz w:val="18"/>
                <w:szCs w:val="18"/>
                <w:color w:val="auto"/>
              </w:rPr>
              <w:t>Switzerland</w:t>
            </w:r>
          </w:p>
        </w:tc>
        <w:tc>
          <w:tcPr>
            <w:tcW w:w="1740" w:type="dxa"/>
            <w:vAlign w:val="bottom"/>
          </w:tcPr>
          <w:p>
            <w:pPr>
              <w:spacing w:after="0"/>
              <w:rPr>
                <w:sz w:val="21"/>
                <w:szCs w:val="21"/>
                <w:color w:val="auto"/>
              </w:rPr>
            </w:pPr>
          </w:p>
        </w:tc>
      </w:tr>
      <w:tr>
        <w:trPr>
          <w:trHeight w:val="235"/>
        </w:trPr>
        <w:tc>
          <w:tcPr>
            <w:tcW w:w="1720" w:type="dxa"/>
            <w:vAlign w:val="bottom"/>
          </w:tcPr>
          <w:p>
            <w:pPr>
              <w:spacing w:after="0"/>
              <w:rPr>
                <w:sz w:val="20"/>
                <w:szCs w:val="20"/>
                <w:color w:val="auto"/>
              </w:rPr>
            </w:pPr>
          </w:p>
        </w:tc>
        <w:tc>
          <w:tcPr>
            <w:tcW w:w="2800" w:type="dxa"/>
            <w:vAlign w:val="bottom"/>
          </w:tcPr>
          <w:p>
            <w:pPr>
              <w:ind w:left="140"/>
              <w:spacing w:after="0"/>
              <w:rPr>
                <w:sz w:val="20"/>
                <w:szCs w:val="20"/>
                <w:color w:val="auto"/>
              </w:rPr>
            </w:pPr>
            <w:r>
              <w:rPr>
                <w:rFonts w:ascii="Arial" w:cs="Arial" w:eastAsia="Arial" w:hAnsi="Arial"/>
                <w:sz w:val="18"/>
                <w:szCs w:val="18"/>
                <w:color w:val="auto"/>
              </w:rPr>
              <w:t>Oil-Dri (U.K.) Limited</w:t>
            </w:r>
          </w:p>
        </w:tc>
        <w:tc>
          <w:tcPr>
            <w:tcW w:w="5180" w:type="dxa"/>
            <w:vAlign w:val="bottom"/>
          </w:tcPr>
          <w:p>
            <w:pPr>
              <w:ind w:left="1500"/>
              <w:spacing w:after="0"/>
              <w:rPr>
                <w:sz w:val="20"/>
                <w:szCs w:val="20"/>
                <w:color w:val="auto"/>
              </w:rPr>
            </w:pPr>
            <w:r>
              <w:rPr>
                <w:rFonts w:ascii="Arial" w:cs="Arial" w:eastAsia="Arial" w:hAnsi="Arial"/>
                <w:sz w:val="18"/>
                <w:szCs w:val="18"/>
                <w:color w:val="auto"/>
              </w:rPr>
              <w:t>United Kingdom</w:t>
            </w:r>
          </w:p>
        </w:tc>
        <w:tc>
          <w:tcPr>
            <w:tcW w:w="1740" w:type="dxa"/>
            <w:vAlign w:val="bottom"/>
          </w:tcPr>
          <w:p>
            <w:pPr>
              <w:spacing w:after="0"/>
              <w:rPr>
                <w:sz w:val="20"/>
                <w:szCs w:val="20"/>
                <w:color w:val="auto"/>
              </w:rPr>
            </w:pPr>
          </w:p>
        </w:tc>
      </w:tr>
      <w:tr>
        <w:trPr>
          <w:trHeight w:val="251"/>
        </w:trPr>
        <w:tc>
          <w:tcPr>
            <w:tcW w:w="1720" w:type="dxa"/>
            <w:vAlign w:val="bottom"/>
          </w:tcPr>
          <w:p>
            <w:pPr>
              <w:spacing w:after="0"/>
              <w:rPr>
                <w:sz w:val="21"/>
                <w:szCs w:val="21"/>
                <w:color w:val="auto"/>
              </w:rPr>
            </w:pPr>
          </w:p>
        </w:tc>
        <w:tc>
          <w:tcPr>
            <w:tcW w:w="2800" w:type="dxa"/>
            <w:vAlign w:val="bottom"/>
            <w:shd w:val="clear" w:color="auto" w:fill="C0C0C0"/>
          </w:tcPr>
          <w:p>
            <w:pPr>
              <w:ind w:left="140"/>
              <w:spacing w:after="0"/>
              <w:rPr>
                <w:sz w:val="20"/>
                <w:szCs w:val="20"/>
                <w:color w:val="auto"/>
              </w:rPr>
            </w:pPr>
            <w:r>
              <w:rPr>
                <w:rFonts w:ascii="Arial" w:cs="Arial" w:eastAsia="Arial" w:hAnsi="Arial"/>
                <w:sz w:val="18"/>
                <w:szCs w:val="18"/>
                <w:color w:val="auto"/>
              </w:rPr>
              <w:t>Taft Production Company</w:t>
            </w:r>
          </w:p>
        </w:tc>
        <w:tc>
          <w:tcPr>
            <w:tcW w:w="5180" w:type="dxa"/>
            <w:vAlign w:val="bottom"/>
            <w:shd w:val="clear" w:color="auto" w:fill="C0C0C0"/>
          </w:tcPr>
          <w:p>
            <w:pPr>
              <w:ind w:left="1500"/>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1"/>
                <w:szCs w:val="21"/>
                <w:color w:val="auto"/>
              </w:rPr>
            </w:pPr>
          </w:p>
        </w:tc>
      </w:tr>
      <w:tr>
        <w:trPr>
          <w:trHeight w:val="457"/>
        </w:trPr>
        <w:tc>
          <w:tcPr>
            <w:tcW w:w="1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180" w:type="dxa"/>
            <w:vAlign w:val="bottom"/>
          </w:tcPr>
          <w:p>
            <w:pPr>
              <w:ind w:left="1100"/>
              <w:spacing w:after="0"/>
              <w:rPr>
                <w:sz w:val="20"/>
                <w:szCs w:val="20"/>
                <w:color w:val="auto"/>
              </w:rPr>
            </w:pPr>
            <w:r>
              <w:rPr>
                <w:rFonts w:ascii="Arial" w:cs="Arial" w:eastAsia="Arial" w:hAnsi="Arial"/>
                <w:sz w:val="18"/>
                <w:szCs w:val="18"/>
                <w:color w:val="auto"/>
              </w:rPr>
              <w:t>80</w:t>
            </w:r>
          </w:p>
        </w:tc>
        <w:tc>
          <w:tcPr>
            <w:tcW w:w="1740" w:type="dxa"/>
            <w:vAlign w:val="bottom"/>
          </w:tcPr>
          <w:p>
            <w:pPr>
              <w:spacing w:after="0"/>
              <w:rPr>
                <w:sz w:val="24"/>
                <w:szCs w:val="24"/>
                <w:color w:val="auto"/>
              </w:rPr>
            </w:pPr>
          </w:p>
        </w:tc>
      </w:tr>
      <w:tr>
        <w:trPr>
          <w:trHeight w:val="363"/>
        </w:trPr>
        <w:tc>
          <w:tcPr>
            <w:tcW w:w="17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333-87008, No. 333-87010 and No. 333-139550) of Oil-Dri Corporation of America of our report dated October 12, 2010 relating to the financial statements, financial statement schedules and the effectiveness of internal control over financial reporting, which appears in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12, 2010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EXHIBIT 31.1: CERTIFICATIONS PURSUANT TO RULE 13A -14(A) UNDER THE SECURITIES EXCHANGE ACT OF 1934, AS AMENDED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ERTIFICATION OF</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3"/>
          <w:szCs w:val="13"/>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FFICER</w:t>
      </w:r>
      <w:r>
        <w:rPr>
          <w:rFonts w:ascii="Arial" w:cs="Arial" w:eastAsia="Arial" w:hAnsi="Arial"/>
          <w:sz w:val="18"/>
          <w:szCs w:val="18"/>
          <w:b w:val="1"/>
          <w:bCs w:val="1"/>
          <w:color w:val="auto"/>
        </w:rPr>
        <w:t xml:space="preserve"> </w:t>
      </w:r>
      <w:r>
        <w:rPr>
          <w:rFonts w:ascii="Arial" w:cs="Arial" w:eastAsia="Arial" w:hAnsi="Arial"/>
          <w:sz w:val="18"/>
          <w:szCs w:val="18"/>
          <w:color w:val="auto"/>
        </w:rPr>
        <w:t>(S</w:t>
      </w:r>
      <w:r>
        <w:rPr>
          <w:rFonts w:ascii="Arial" w:cs="Arial" w:eastAsia="Arial" w:hAnsi="Arial"/>
          <w:sz w:val="13"/>
          <w:szCs w:val="13"/>
          <w:b w:val="1"/>
          <w:bCs w:val="1"/>
          <w:color w:val="auto"/>
        </w:rPr>
        <w:t>ECTION</w:t>
      </w:r>
      <w:r>
        <w:rPr>
          <w:rFonts w:ascii="Arial" w:cs="Arial" w:eastAsia="Arial" w:hAnsi="Arial"/>
          <w:sz w:val="18"/>
          <w:szCs w:val="18"/>
          <w:b w:val="1"/>
          <w:bCs w:val="1"/>
          <w:color w:val="auto"/>
        </w:rPr>
        <w:t xml:space="preserve"> 302 </w:t>
      </w:r>
      <w:r>
        <w:rPr>
          <w:rFonts w:ascii="Arial" w:cs="Arial" w:eastAsia="Arial" w:hAnsi="Arial"/>
          <w:sz w:val="13"/>
          <w:szCs w:val="13"/>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ARBANES</w:t>
      </w:r>
      <w:r>
        <w:rPr>
          <w:rFonts w:ascii="Arial" w:cs="Arial" w:eastAsia="Arial" w:hAnsi="Arial"/>
          <w:sz w:val="18"/>
          <w:szCs w:val="18"/>
          <w:b w:val="1"/>
          <w:bCs w:val="1"/>
          <w:color w:val="auto"/>
        </w:rPr>
        <w:t>-O</w:t>
      </w:r>
      <w:r>
        <w:rPr>
          <w:rFonts w:ascii="Arial" w:cs="Arial" w:eastAsia="Arial" w:hAnsi="Arial"/>
          <w:sz w:val="13"/>
          <w:szCs w:val="13"/>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CT OF</w:t>
      </w:r>
      <w:r>
        <w:rPr>
          <w:rFonts w:ascii="Arial" w:cs="Arial" w:eastAsia="Arial" w:hAnsi="Arial"/>
          <w:sz w:val="18"/>
          <w:szCs w:val="18"/>
          <w:b w:val="1"/>
          <w:bCs w:val="1"/>
          <w:color w:val="auto"/>
        </w:rPr>
        <w:t xml:space="preserve">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Daniel S. Jaffee, certify that:</w:t>
      </w:r>
    </w:p>
    <w:p>
      <w:pPr>
        <w:spacing w:after="0" w:line="25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52"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 15(f)) for the registrant and have:</w:t>
      </w:r>
    </w:p>
    <w:p>
      <w:pPr>
        <w:spacing w:after="0" w:line="221" w:lineRule="exact"/>
        <w:rPr>
          <w:rFonts w:ascii="Arial" w:cs="Arial" w:eastAsia="Arial" w:hAnsi="Arial"/>
          <w:sz w:val="18"/>
          <w:szCs w:val="18"/>
          <w:color w:val="auto"/>
        </w:rPr>
      </w:pPr>
    </w:p>
    <w:p>
      <w:pPr>
        <w:jc w:val="both"/>
        <w:ind w:left="640" w:hanging="186"/>
        <w:spacing w:after="0" w:line="259" w:lineRule="auto"/>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640" w:hanging="186"/>
        <w:spacing w:after="0" w:line="259" w:lineRule="auto"/>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640" w:hanging="186"/>
        <w:spacing w:after="0" w:line="332" w:lineRule="auto"/>
        <w:tabs>
          <w:tab w:leader="none" w:pos="6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640" w:hanging="186"/>
        <w:spacing w:after="0" w:line="259" w:lineRule="auto"/>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640" w:hanging="186"/>
        <w:spacing w:after="0" w:line="268" w:lineRule="auto"/>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640" w:hanging="186"/>
        <w:spacing w:after="0" w:line="268" w:lineRule="auto"/>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October 12, 2010</w:t>
            </w: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Daniel S. Jaffee</w:t>
            </w:r>
          </w:p>
        </w:tc>
      </w:tr>
      <w:tr>
        <w:trPr>
          <w:trHeight w:val="228"/>
        </w:trPr>
        <w:tc>
          <w:tcPr>
            <w:tcW w:w="660" w:type="dxa"/>
            <w:vAlign w:val="bottom"/>
          </w:tcPr>
          <w:p>
            <w:pPr>
              <w:spacing w:after="0"/>
              <w:rPr>
                <w:sz w:val="19"/>
                <w:szCs w:val="19"/>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Daniel S. Jaffee</w:t>
            </w:r>
          </w:p>
        </w:tc>
      </w:tr>
      <w:tr>
        <w:trPr>
          <w:trHeight w:val="243"/>
        </w:trPr>
        <w:tc>
          <w:tcPr>
            <w:tcW w:w="660" w:type="dxa"/>
            <w:vAlign w:val="bottom"/>
          </w:tcPr>
          <w:p>
            <w:pPr>
              <w:spacing w:after="0"/>
              <w:rPr>
                <w:sz w:val="21"/>
                <w:szCs w:val="21"/>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EXHIBIT 31.1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ERTIFICATION OF</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RINCIPAL</w:t>
      </w:r>
      <w:r>
        <w:rPr>
          <w:rFonts w:ascii="Arial" w:cs="Arial" w:eastAsia="Arial" w:hAnsi="Arial"/>
          <w:sz w:val="18"/>
          <w:szCs w:val="18"/>
          <w:b w:val="1"/>
          <w:bCs w:val="1"/>
          <w:color w:val="auto"/>
        </w:rPr>
        <w:t xml:space="preserve"> F</w:t>
      </w:r>
      <w:r>
        <w:rPr>
          <w:rFonts w:ascii="Arial" w:cs="Arial" w:eastAsia="Arial" w:hAnsi="Arial"/>
          <w:sz w:val="13"/>
          <w:szCs w:val="13"/>
          <w:b w:val="1"/>
          <w:bCs w:val="1"/>
          <w:color w:val="auto"/>
        </w:rPr>
        <w:t>INANCIAL</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FFICER</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ECTION</w:t>
      </w:r>
      <w:r>
        <w:rPr>
          <w:rFonts w:ascii="Arial" w:cs="Arial" w:eastAsia="Arial" w:hAnsi="Arial"/>
          <w:sz w:val="18"/>
          <w:szCs w:val="18"/>
          <w:b w:val="1"/>
          <w:bCs w:val="1"/>
          <w:color w:val="auto"/>
        </w:rPr>
        <w:t xml:space="preserve"> 302 </w:t>
      </w:r>
      <w:r>
        <w:rPr>
          <w:rFonts w:ascii="Arial" w:cs="Arial" w:eastAsia="Arial" w:hAnsi="Arial"/>
          <w:sz w:val="13"/>
          <w:szCs w:val="13"/>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ARBANES</w:t>
      </w:r>
      <w:r>
        <w:rPr>
          <w:rFonts w:ascii="Arial" w:cs="Arial" w:eastAsia="Arial" w:hAnsi="Arial"/>
          <w:sz w:val="18"/>
          <w:szCs w:val="18"/>
          <w:b w:val="1"/>
          <w:bCs w:val="1"/>
          <w:color w:val="auto"/>
        </w:rPr>
        <w:t>-O</w:t>
      </w:r>
      <w:r>
        <w:rPr>
          <w:rFonts w:ascii="Arial" w:cs="Arial" w:eastAsia="Arial" w:hAnsi="Arial"/>
          <w:sz w:val="13"/>
          <w:szCs w:val="13"/>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CT OF</w:t>
      </w:r>
      <w:r>
        <w:rPr>
          <w:rFonts w:ascii="Arial" w:cs="Arial" w:eastAsia="Arial" w:hAnsi="Arial"/>
          <w:sz w:val="18"/>
          <w:szCs w:val="18"/>
          <w:b w:val="1"/>
          <w:bCs w:val="1"/>
          <w:color w:val="auto"/>
        </w:rPr>
        <w:t xml:space="preserve">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N. Peterson, certify that:</w:t>
      </w:r>
    </w:p>
    <w:p>
      <w:pPr>
        <w:spacing w:after="0" w:line="25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52"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 15(f)) for the registrant and have:</w:t>
      </w:r>
    </w:p>
    <w:p>
      <w:pPr>
        <w:spacing w:after="0" w:line="221" w:lineRule="exact"/>
        <w:rPr>
          <w:rFonts w:ascii="Arial" w:cs="Arial" w:eastAsia="Arial" w:hAnsi="Arial"/>
          <w:sz w:val="18"/>
          <w:szCs w:val="18"/>
          <w:color w:val="auto"/>
        </w:rPr>
      </w:pPr>
    </w:p>
    <w:p>
      <w:pPr>
        <w:jc w:val="both"/>
        <w:ind w:left="640" w:hanging="186"/>
        <w:spacing w:after="0" w:line="259" w:lineRule="auto"/>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640" w:hanging="186"/>
        <w:spacing w:after="0" w:line="259" w:lineRule="auto"/>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640" w:hanging="186"/>
        <w:spacing w:after="0" w:line="332" w:lineRule="auto"/>
        <w:tabs>
          <w:tab w:leader="none" w:pos="6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640" w:hanging="186"/>
        <w:spacing w:after="0" w:line="259" w:lineRule="auto"/>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640" w:hanging="186"/>
        <w:spacing w:after="0" w:line="268" w:lineRule="auto"/>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640" w:hanging="186"/>
        <w:spacing w:after="0" w:line="268" w:lineRule="auto"/>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October 12, 2010</w:t>
            </w: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Andrew N. Peterson</w:t>
            </w:r>
          </w:p>
        </w:tc>
      </w:tr>
      <w:tr>
        <w:trPr>
          <w:trHeight w:val="228"/>
        </w:trPr>
        <w:tc>
          <w:tcPr>
            <w:tcW w:w="660" w:type="dxa"/>
            <w:vAlign w:val="bottom"/>
          </w:tcPr>
          <w:p>
            <w:pPr>
              <w:spacing w:after="0"/>
              <w:rPr>
                <w:sz w:val="19"/>
                <w:szCs w:val="19"/>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Andrew N. Peterson</w:t>
            </w:r>
          </w:p>
        </w:tc>
      </w:tr>
      <w:tr>
        <w:trPr>
          <w:trHeight w:val="243"/>
        </w:trPr>
        <w:tc>
          <w:tcPr>
            <w:tcW w:w="660" w:type="dxa"/>
            <w:vAlign w:val="bottom"/>
          </w:tcPr>
          <w:p>
            <w:pPr>
              <w:spacing w:after="0"/>
              <w:rPr>
                <w:sz w:val="21"/>
                <w:szCs w:val="21"/>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CERTIFICATIONS PURSUANT TO 18 U.S.C. SECTION 1350 AS ADOPTED PURSUANT TO THE SARBANES-OXLEY ACT OF 2002 CERTIFICATION</w:t>
      </w:r>
    </w:p>
    <w:p>
      <w:pPr>
        <w:spacing w:after="0" w:line="20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Pursuant to 18 U.S.C. Section 1350, the undersigned officer of Oil-Dri Corporation of America (the “Company”) hereby certifies that to the best of my knowledge the Company’s Annual Report on Form 10-K for the year ended July 31, 2010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October 12,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 Daniel S. Jaffee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Daniel S. Jaffee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President and Chief Executive Officer</w:t>
      </w:r>
    </w:p>
    <w:p>
      <w:pPr>
        <w:spacing w:after="0" w:line="24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Pursuant to 18 U.S.C. Section 1350, the undersigned officer of Oil-Dri Corporation of America (the “Company”) hereby certifies that to the best of my knowledge the Company’s Annual Report on Form 10-K for the quarter ended July 31, 2010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October 12,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 Andrew N. Peterson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Andrew N. Peterson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Chief Financial Officer</w:t>
      </w:r>
    </w:p>
    <w:p>
      <w:pPr>
        <w:spacing w:after="0" w:line="24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2020-02-24T22:06:23Z</dcterms:created>
  <dcterms:modified xsi:type="dcterms:W3CDTF">2020-02-24T22:06:23Z</dcterms:modified>
</cp:coreProperties>
</file>