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37882_8k.htm"/>
      <w:bookmarkStart w:id="1" w:name="ksv337882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711" w:type="dxa"/>
        <w:jc w:val="left"/>
        <w:tblInd w:w="0" w:type="dxa"/>
        <w:tblCellMar>
          <w:top w:w="0" w:type="dxa"/>
          <w:left w:w="0" w:type="dxa"/>
          <w:bottom w:w="0" w:type="dxa"/>
          <w:right w:w="0" w:type="dxa"/>
        </w:tblCellMar>
      </w:tblPr>
      <w:tblGrid>
        <w:gridCol w:w="3413"/>
        <w:gridCol w:w="1298"/>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29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March 11, 2013</w:t>
            </w:r>
          </w:p>
        </w:tc>
      </w:tr>
      <w:tr>
        <w:trPr/>
        <w:tc>
          <w:tcPr>
            <w:tcW w:w="4711"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283" w:type="dxa"/>
        <w:jc w:val="left"/>
        <w:tblInd w:w="0" w:type="dxa"/>
        <w:tblCellMar>
          <w:top w:w="0" w:type="dxa"/>
          <w:left w:w="0" w:type="dxa"/>
          <w:bottom w:w="28" w:type="dxa"/>
          <w:right w:w="0" w:type="dxa"/>
        </w:tblCellMar>
      </w:tblPr>
      <w:tblGrid>
        <w:gridCol w:w="4283"/>
      </w:tblGrid>
      <w:tr>
        <w:trPr/>
        <w:tc>
          <w:tcPr>
            <w:tcW w:w="428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28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4036" w:type="dxa"/>
        <w:jc w:val="left"/>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right"/>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5062" w:type="dxa"/>
        <w:jc w:val="left"/>
        <w:tblInd w:w="0" w:type="dxa"/>
        <w:tblCellMar>
          <w:top w:w="0" w:type="dxa"/>
          <w:left w:w="0" w:type="dxa"/>
          <w:bottom w:w="0" w:type="dxa"/>
          <w:right w:w="0" w:type="dxa"/>
        </w:tblCellMar>
      </w:tblPr>
      <w:tblGrid>
        <w:gridCol w:w="3774"/>
        <w:gridCol w:w="1288"/>
      </w:tblGrid>
      <w:tr>
        <w:trPr/>
        <w:tc>
          <w:tcPr>
            <w:tcW w:w="3774" w:type="dxa"/>
            <w:tcBorders/>
            <w:shd w:fill="auto" w:val="clear"/>
            <w:vAlign w:val="center"/>
          </w:tcPr>
          <w:p>
            <w:pPr>
              <w:pStyle w:val="TableContents"/>
              <w:spacing w:before="0" w:after="283"/>
              <w:ind w:left="0" w:right="0" w:firstLine="108"/>
              <w:rPr>
                <w:sz w:val="17"/>
              </w:rPr>
            </w:pPr>
            <w:r>
              <w:rPr>
                <w:sz w:val="17"/>
              </w:rPr>
              <w:t>Registrant’s telephone number, including area code</w:t>
            </w:r>
          </w:p>
        </w:tc>
        <w:tc>
          <w:tcPr>
            <w:tcW w:w="128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(312) 321-1515</w:t>
            </w:r>
          </w:p>
        </w:tc>
      </w:tr>
      <w:tr>
        <w:trPr/>
        <w:tc>
          <w:tcPr>
            <w:tcW w:w="5062"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r>
        <w:trPr/>
        <w:tc>
          <w:tcPr>
            <w:tcW w:w="5062"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r>
      <w:tr>
        <w:trPr/>
        <w:tc>
          <w:tcPr>
            <w:tcW w:w="5062" w:type="dxa"/>
            <w:gridSpan w:val="2"/>
            <w:tcBorders/>
            <w:shd w:fill="auto" w:val="cle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2.02</w:t>
      </w:r>
      <w:r>
        <w:rPr>
          <w:rFonts w:ascii="Times New Roman;Times;Serif" w:hAnsi="Times New Roman;Times;Serif"/>
          <w:b/>
          <w:i w:val="false"/>
          <w:caps w:val="false"/>
          <w:smallCaps w:val="false"/>
          <w:sz w:val="20"/>
        </w:rPr>
        <w:tab/>
        <w:t>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2013, Oil-Dri Corporation of America (the “Registrant”) issued a press release announcing its results of operations for its second quarter ended January 31, 2013.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Financial Statements and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615" w:type="dxa"/>
        <w:jc w:val="left"/>
        <w:tblInd w:w="0" w:type="dxa"/>
        <w:tblCellMar>
          <w:top w:w="0" w:type="dxa"/>
          <w:left w:w="0" w:type="dxa"/>
          <w:bottom w:w="0" w:type="dxa"/>
          <w:right w:w="0" w:type="dxa"/>
        </w:tblCellMar>
      </w:tblPr>
      <w:tblGrid>
        <w:gridCol w:w="605"/>
        <w:gridCol w:w="4010"/>
      </w:tblGrid>
      <w:tr>
        <w:trPr/>
        <w:tc>
          <w:tcPr>
            <w:tcW w:w="60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Exhibit</w:t>
            </w:r>
          </w:p>
        </w:tc>
        <w:tc>
          <w:tcPr>
            <w:tcW w:w="4010"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rFonts w:ascii="Times New Roman;Times;Serif" w:hAnsi="Times New Roman;Times;Serif"/>
                <w:sz w:val="17"/>
                <w:u w:val="single"/>
              </w:rPr>
            </w:pPr>
            <w:r>
              <w:rPr>
                <w:rFonts w:ascii="Times New Roman;Times;Serif" w:hAnsi="Times New Roman;Times;Serif"/>
                <w:sz w:val="17"/>
                <w:u w:val="single"/>
              </w:rPr>
              <w:t>Number</w:t>
            </w:r>
          </w:p>
        </w:tc>
        <w:tc>
          <w:tcPr>
            <w:tcW w:w="401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Description of Exhibits</w:t>
            </w:r>
          </w:p>
        </w:tc>
      </w:tr>
      <w:tr>
        <w:trPr/>
        <w:tc>
          <w:tcPr>
            <w:tcW w:w="605"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99.1</w:t>
            </w:r>
          </w:p>
        </w:tc>
        <w:tc>
          <w:tcPr>
            <w:tcW w:w="4010"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Press Release dated March 11, 2013 (Quarterly Earnings)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384" w:type="dxa"/>
        <w:jc w:val="left"/>
        <w:tblInd w:w="0" w:type="dxa"/>
        <w:tblCellMar>
          <w:top w:w="0" w:type="dxa"/>
          <w:left w:w="0" w:type="dxa"/>
          <w:bottom w:w="0" w:type="dxa"/>
          <w:right w:w="0" w:type="dxa"/>
        </w:tblCellMar>
      </w:tblPr>
      <w:tblGrid>
        <w:gridCol w:w="75"/>
        <w:gridCol w:w="373"/>
        <w:gridCol w:w="3936"/>
      </w:tblGrid>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OIL-DRI CORPORATION OF AMERICA</w:t>
            </w:r>
          </w:p>
        </w:tc>
      </w:tr>
      <w:tr>
        <w:trPr/>
        <w:tc>
          <w:tcPr>
            <w:tcW w:w="75"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393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393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393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By:</w:t>
            </w:r>
          </w:p>
        </w:tc>
        <w:tc>
          <w:tcPr>
            <w:tcW w:w="3936" w:type="dxa"/>
            <w:tcBorders/>
            <w:shd w:fill="auto" w:val="clear"/>
            <w:vAlign w:val="center"/>
          </w:tcPr>
          <w:p>
            <w:pPr>
              <w:pStyle w:val="TableContents"/>
              <w:spacing w:before="0" w:after="283"/>
              <w:rPr>
                <w:rFonts w:ascii="Times New Roman;Times;Serif" w:hAnsi="Times New Roman;Times;Serif"/>
                <w:u w:val="single"/>
              </w:rPr>
            </w:pPr>
            <w:r>
              <w:rPr>
                <w:rFonts w:ascii="Times New Roman;Times;Serif" w:hAnsi="Times New Roman;Times;Serif"/>
                <w:u w:val="single"/>
              </w:rPr>
              <w:t>/s/      Douglas A. Graham                      </w:t>
            </w:r>
          </w:p>
        </w:tc>
      </w:tr>
      <w:tr>
        <w:trPr/>
        <w:tc>
          <w:tcPr>
            <w:tcW w:w="75"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393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Douglas A. Graham</w:t>
            </w:r>
          </w:p>
        </w:tc>
      </w:tr>
      <w:tr>
        <w:trPr/>
        <w:tc>
          <w:tcPr>
            <w:tcW w:w="75"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3936"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12, 2013</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295" w:type="dxa"/>
        <w:jc w:val="left"/>
        <w:tblInd w:w="0" w:type="dxa"/>
        <w:tblCellMar>
          <w:top w:w="0" w:type="dxa"/>
          <w:left w:w="0" w:type="dxa"/>
          <w:bottom w:w="0" w:type="dxa"/>
          <w:right w:w="0" w:type="dxa"/>
        </w:tblCellMar>
      </w:tblPr>
      <w:tblGrid>
        <w:gridCol w:w="815"/>
        <w:gridCol w:w="5480"/>
      </w:tblGrid>
      <w:tr>
        <w:trPr/>
        <w:tc>
          <w:tcPr>
            <w:tcW w:w="81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Exhibit</w:t>
            </w:r>
          </w:p>
        </w:tc>
        <w:tc>
          <w:tcPr>
            <w:tcW w:w="548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rFonts w:ascii="Times New Roman;Times;Serif" w:hAnsi="Times New Roman;Times;Serif"/>
                <w:u w:val="single"/>
              </w:rPr>
            </w:pPr>
            <w:r>
              <w:rPr>
                <w:rFonts w:ascii="Times New Roman;Times;Serif" w:hAnsi="Times New Roman;Times;Serif"/>
                <w:u w:val="single"/>
              </w:rPr>
              <w:t>Number</w:t>
            </w:r>
          </w:p>
        </w:tc>
        <w:tc>
          <w:tcPr>
            <w:tcW w:w="5480"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Description of Exhibits</w:t>
            </w:r>
          </w:p>
        </w:tc>
      </w:tr>
      <w:tr>
        <w:trPr/>
        <w:tc>
          <w:tcPr>
            <w:tcW w:w="815"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99.1</w:t>
            </w:r>
          </w:p>
        </w:tc>
        <w:tc>
          <w:tcPr>
            <w:tcW w:w="548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Press Release dated March 11, 2013 (Quarterly Earnings)</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714" w:right="720" w:hanging="0"/>
        <w:jc w:val="right"/>
        <w:rPr>
          <w:caps w:val="false"/>
          <w:smallCaps w:val="false"/>
        </w:rPr>
      </w:pPr>
      <w:r>
        <w:br w:type="page"/>
      </w:r>
      <w:bookmarkStart w:id="2" w:name="v337882_ex99-1.htm"/>
      <w:bookmarkStart w:id="3" w:name="ksv337882_ex991"/>
      <w:bookmarkEnd w:id="2"/>
      <w:bookmarkEnd w:id="3"/>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504825"/>
                    </a:xfrm>
                    <a:prstGeom prst="rect">
                      <a:avLst/>
                    </a:prstGeom>
                  </pic:spPr>
                </pic:pic>
              </a:graphicData>
            </a:graphic>
          </wp:inline>
        </w:drawing>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410 N. Michigan Ave. Chicago, Illinois 60611, U.S.A</w:t>
      </w:r>
    </w:p>
    <w:p>
      <w:pPr>
        <w:pStyle w:val="TextBody"/>
        <w:spacing w:before="0" w:after="0"/>
        <w:ind w:left="0" w:right="0" w:hanging="0"/>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i w:val="false"/>
          <w:caps w:val="false"/>
          <w:smallCaps w:val="false"/>
          <w:color w:val="002D69"/>
          <w:sz w:val="20"/>
        </w:rPr>
      </w:pPr>
      <w:r>
        <w:rPr>
          <w:rFonts w:ascii="Times New Roman;Times;Serif" w:hAnsi="Times New Roman;Times;Serif"/>
          <w:b/>
          <w:i w:val="false"/>
          <w:caps w:val="false"/>
          <w:smallCaps w:val="false"/>
          <w:color w:val="002D69"/>
          <w:sz w:val="20"/>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For Immediate Release</w:t>
      </w:r>
    </w:p>
    <w:p>
      <w:pPr>
        <w:pStyle w:val="HorizontalLine"/>
        <w:pBdr>
          <w:bottom w:val="single" w:sz="12" w:space="0" w:color="808080"/>
        </w:pBdr>
        <w:rPr/>
      </w:pPr>
      <w:r>
        <w:rPr/>
      </w:r>
    </w:p>
    <w:p>
      <w:pPr>
        <w:pStyle w:val="TextBody"/>
        <w:spacing w:before="0" w:after="0"/>
        <w:ind w:left="1714"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Announces Second Quarter and Six-Month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CHICAGO—(March 11, 2013)—Oil-Dri Corporation of America (NYSE: ODC) today announced net sales of $61,122,000 for the second quarter ended January 31, 2013, a 2% increase compared with net sales of $60,203,000 in the same quarter one year ago. Net income for the second quarter was $2,146,000, or $0.31 per diluted share, down 31% from net income of $3,239,000, or $0.45 per diluted share, for the same quarter one year ago.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six-month period were $122,539,000, a 2% increase compared with net sales of $119,785,000 in the same period one year ago. Net income for the six-month period was $6,598,000, or $0.94 per diluted share, up 57% from net income of $4,314,000, or $0.60 per diluted share, in the same period one year ago.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Daniel S. Jaffee said, “We are pleased to report a significant increase in earnings for the first six-months. However, due to anticipated increased advertising and promotional spending for Cat’s Pride Fresh &amp; Light in the Retail and Wholesale segment, quarterly earnings per share were down substantially from last year’s second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repeat purchases of our Cat’s Pride Fresh &amp; Light and are focusing our efforts on obtaining consumer trial and expanded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jc w:val="center"/>
        <w:rPr>
          <w:caps w:val="false"/>
          <w:smallCaps w:val="false"/>
        </w:rPr>
      </w:pPr>
      <w:r>
        <w:rPr>
          <w:caps w:val="false"/>
          <w:smallCaps w:val="false"/>
        </w:rPr>
        <w:drawing>
          <wp:inline distT="0" distB="0" distL="0" distR="0">
            <wp:extent cx="14954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Review</w:t>
      </w:r>
    </w:p>
    <w:p>
      <w:pPr>
        <w:pStyle w:val="TextBody"/>
        <w:spacing w:before="0" w:after="0"/>
        <w:ind w:left="0" w:right="0" w:hanging="0"/>
        <w:jc w:val="center"/>
        <w:rPr>
          <w:caps w:val="false"/>
          <w:smallCaps w:val="false"/>
        </w:rPr>
      </w:pPr>
      <w:r>
        <w:rPr>
          <w:caps w:val="false"/>
          <w:smallCaps w:val="false"/>
        </w:rPr>
        <w:t> </w:t>
      </w:r>
    </w:p>
    <w:tbl>
      <w:tblPr>
        <w:tblW w:w="5469" w:type="dxa"/>
        <w:jc w:val="left"/>
        <w:tblInd w:w="0" w:type="dxa"/>
        <w:tblCellMar>
          <w:top w:w="28" w:type="dxa"/>
          <w:left w:w="0" w:type="dxa"/>
          <w:bottom w:w="28" w:type="dxa"/>
          <w:right w:w="0" w:type="dxa"/>
        </w:tblCellMar>
      </w:tblPr>
      <w:tblGrid>
        <w:gridCol w:w="2243"/>
        <w:gridCol w:w="1279"/>
        <w:gridCol w:w="1279"/>
        <w:gridCol w:w="668"/>
      </w:tblGrid>
      <w:tr>
        <w:trPr/>
        <w:tc>
          <w:tcPr>
            <w:tcW w:w="2243"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Business to Business Products</w:t>
            </w:r>
          </w:p>
        </w:tc>
        <w:tc>
          <w:tcPr>
            <w:tcW w:w="2558" w:type="dxa"/>
            <w:gridSpan w:val="2"/>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Three Months Ended January 31,</w:t>
            </w:r>
          </w:p>
        </w:tc>
        <w:tc>
          <w:tcPr>
            <w:tcW w:w="668"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color w:val="000000"/>
                <w:sz w:val="17"/>
              </w:rPr>
            </w:pPr>
            <w:r>
              <w:rPr>
                <w:color w:val="000000"/>
                <w:sz w:val="17"/>
              </w:rPr>
              <w:t>Change</w:t>
            </w:r>
          </w:p>
        </w:tc>
      </w:tr>
      <w:tr>
        <w:trPr/>
        <w:tc>
          <w:tcPr>
            <w:tcW w:w="22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279"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279"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668" w:type="dxa"/>
            <w:tcBorders/>
            <w:shd w:fill="C0C0C0" w:val="clear"/>
            <w:tcMar>
              <w:top w:w="0" w:type="dxa"/>
              <w:bottom w:w="0" w:type="dxa"/>
            </w:tcMar>
            <w:vAlign w:val="center"/>
          </w:tcPr>
          <w:p>
            <w:pPr>
              <w:pStyle w:val="TableContents"/>
              <w:spacing w:before="0" w:after="283"/>
              <w:ind w:left="0" w:right="0" w:firstLine="108"/>
              <w:jc w:val="center"/>
              <w:rPr/>
            </w:pPr>
            <w:r>
              <w:rPr/>
              <w:t> </w:t>
            </w:r>
          </w:p>
        </w:tc>
      </w:tr>
      <w:tr>
        <w:trPr/>
        <w:tc>
          <w:tcPr>
            <w:tcW w:w="2243"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Net Sales</w:t>
            </w:r>
          </w:p>
        </w:tc>
        <w:tc>
          <w:tcPr>
            <w:tcW w:w="1279"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$21,715,000</w:t>
            </w:r>
          </w:p>
        </w:tc>
        <w:tc>
          <w:tcPr>
            <w:tcW w:w="1279"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$21,303,000</w:t>
            </w:r>
          </w:p>
        </w:tc>
        <w:tc>
          <w:tcPr>
            <w:tcW w:w="66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2%</w:t>
            </w:r>
          </w:p>
        </w:tc>
      </w:tr>
      <w:tr>
        <w:trPr/>
        <w:tc>
          <w:tcPr>
            <w:tcW w:w="22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Segment Income</w:t>
            </w:r>
          </w:p>
        </w:tc>
        <w:tc>
          <w:tcPr>
            <w:tcW w:w="1279"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$7,101,000</w:t>
            </w:r>
          </w:p>
        </w:tc>
        <w:tc>
          <w:tcPr>
            <w:tcW w:w="1279"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$6,427,000</w:t>
            </w:r>
          </w:p>
        </w:tc>
        <w:tc>
          <w:tcPr>
            <w:tcW w:w="668" w:type="dxa"/>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10%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273" w:type="dxa"/>
        <w:jc w:val="left"/>
        <w:tblInd w:w="0" w:type="dxa"/>
        <w:tblCellMar>
          <w:top w:w="28" w:type="dxa"/>
          <w:left w:w="0" w:type="dxa"/>
          <w:bottom w:w="28" w:type="dxa"/>
          <w:right w:w="0" w:type="dxa"/>
        </w:tblCellMar>
      </w:tblPr>
      <w:tblGrid>
        <w:gridCol w:w="2243"/>
        <w:gridCol w:w="1181"/>
        <w:gridCol w:w="1181"/>
        <w:gridCol w:w="668"/>
      </w:tblGrid>
      <w:tr>
        <w:trPr/>
        <w:tc>
          <w:tcPr>
            <w:tcW w:w="2243"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Business to Business Products</w:t>
            </w:r>
          </w:p>
        </w:tc>
        <w:tc>
          <w:tcPr>
            <w:tcW w:w="2362" w:type="dxa"/>
            <w:gridSpan w:val="2"/>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Six Months Ended January 31,</w:t>
            </w:r>
          </w:p>
        </w:tc>
        <w:tc>
          <w:tcPr>
            <w:tcW w:w="668"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color w:val="000000"/>
                <w:sz w:val="17"/>
              </w:rPr>
            </w:pPr>
            <w:r>
              <w:rPr>
                <w:color w:val="000000"/>
                <w:sz w:val="17"/>
              </w:rPr>
              <w:t>Change</w:t>
            </w:r>
          </w:p>
        </w:tc>
      </w:tr>
      <w:tr>
        <w:trPr/>
        <w:tc>
          <w:tcPr>
            <w:tcW w:w="22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181"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181"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668" w:type="dxa"/>
            <w:tcBorders/>
            <w:shd w:fill="C0C0C0" w:val="clear"/>
            <w:tcMar>
              <w:top w:w="0" w:type="dxa"/>
              <w:bottom w:w="0" w:type="dxa"/>
            </w:tcMar>
            <w:vAlign w:val="center"/>
          </w:tcPr>
          <w:p>
            <w:pPr>
              <w:pStyle w:val="TableContents"/>
              <w:spacing w:before="0" w:after="283"/>
              <w:ind w:left="0" w:right="0" w:firstLine="108"/>
              <w:jc w:val="center"/>
              <w:rPr/>
            </w:pPr>
            <w:r>
              <w:rPr/>
              <w:t> </w:t>
            </w:r>
          </w:p>
        </w:tc>
      </w:tr>
      <w:tr>
        <w:trPr/>
        <w:tc>
          <w:tcPr>
            <w:tcW w:w="2243"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Net Sales</w:t>
            </w:r>
          </w:p>
        </w:tc>
        <w:tc>
          <w:tcPr>
            <w:tcW w:w="1181"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$43,497,000</w:t>
            </w:r>
          </w:p>
        </w:tc>
        <w:tc>
          <w:tcPr>
            <w:tcW w:w="1181"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$42,237,000</w:t>
            </w:r>
          </w:p>
        </w:tc>
        <w:tc>
          <w:tcPr>
            <w:tcW w:w="66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3%</w:t>
            </w:r>
          </w:p>
        </w:tc>
      </w:tr>
      <w:tr>
        <w:trPr/>
        <w:tc>
          <w:tcPr>
            <w:tcW w:w="22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Segment Income</w:t>
            </w:r>
          </w:p>
        </w:tc>
        <w:tc>
          <w:tcPr>
            <w:tcW w:w="1181"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$14,624,000</w:t>
            </w:r>
          </w:p>
        </w:tc>
        <w:tc>
          <w:tcPr>
            <w:tcW w:w="1181"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$13,867,000</w:t>
            </w:r>
          </w:p>
        </w:tc>
        <w:tc>
          <w:tcPr>
            <w:tcW w:w="668" w:type="dxa"/>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5%</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Company’s Business to Business segment for the second quarter were up $412,000 or 2% while segment income was up $674,000 or 10% from the prior year period. The increase was due to volume growth of bleaching clays and animal health products. Market conditions in the global production and processing of agricultural products continued to be favorable in the quarter. Sales of our animal health products grew in volume and dollars. Net sales of co-packaged coarse cat litters were also up during the quarter. Sales declined for products used as agricultural chemical carriers sold to corn rootworm producers and products used in other horticultural applications.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Business to Business products for the six-month period were $43,497,000, a 3% increase compared with net sales of $42,237,000 in the same period one year ago. Segment income for the six-month period was $14,624,000, a 5% increase from the same period one year ago. The increase was due to an increase in volume of bleaching clays and animal health products, offset by decreased volume in the recycled oil and agricultural chemical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jc w:val="center"/>
        <w:rPr>
          <w:caps w:val="false"/>
          <w:smallCaps w:val="false"/>
        </w:rPr>
      </w:pPr>
      <w:r>
        <w:rPr>
          <w:caps w:val="false"/>
          <w:smallCaps w:val="false"/>
        </w:rPr>
        <w:drawing>
          <wp:inline distT="0" distB="0" distL="0" distR="0">
            <wp:extent cx="14954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tbl>
      <w:tblPr>
        <w:tblW w:w="5174" w:type="dxa"/>
        <w:jc w:val="left"/>
        <w:tblInd w:w="0" w:type="dxa"/>
        <w:tblCellMar>
          <w:top w:w="28" w:type="dxa"/>
          <w:left w:w="0" w:type="dxa"/>
          <w:bottom w:w="28" w:type="dxa"/>
          <w:right w:w="0" w:type="dxa"/>
        </w:tblCellMar>
      </w:tblPr>
      <w:tblGrid>
        <w:gridCol w:w="1943"/>
        <w:gridCol w:w="545"/>
        <w:gridCol w:w="545"/>
        <w:gridCol w:w="545"/>
        <w:gridCol w:w="642"/>
        <w:gridCol w:w="386"/>
        <w:gridCol w:w="260"/>
        <w:gridCol w:w="308"/>
      </w:tblGrid>
      <w:tr>
        <w:trPr/>
        <w:tc>
          <w:tcPr>
            <w:tcW w:w="1943" w:type="dxa"/>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Retail and Wholesale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tc>
        <w:tc>
          <w:tcPr>
            <w:tcW w:w="2277" w:type="dxa"/>
            <w:gridSpan w:val="4"/>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Three Months ended Jan 31,</w:t>
            </w:r>
          </w:p>
        </w:tc>
        <w:tc>
          <w:tcPr>
            <w:tcW w:w="954" w:type="dxa"/>
            <w:gridSpan w:val="3"/>
            <w:tcBorders>
              <w:top w:val="single" w:sz="8" w:space="0" w:color="000000"/>
              <w:bottom w:val="single" w:sz="8" w:space="0" w:color="000000"/>
            </w:tcBorders>
            <w:shd w:fill="auto" w:val="clear"/>
            <w:vAlign w:val="center"/>
          </w:tcPr>
          <w:p>
            <w:pPr>
              <w:pStyle w:val="TableContents"/>
              <w:spacing w:before="0" w:after="283"/>
              <w:ind w:left="0" w:right="0" w:firstLine="108"/>
              <w:jc w:val="center"/>
              <w:rPr>
                <w:color w:val="000000"/>
                <w:sz w:val="17"/>
              </w:rPr>
            </w:pPr>
            <w:r>
              <w:rPr>
                <w:color w:val="000000"/>
                <w:sz w:val="17"/>
              </w:rPr>
              <w:t>Change</w:t>
            </w:r>
          </w:p>
        </w:tc>
      </w:tr>
      <w:tr>
        <w:trPr/>
        <w:tc>
          <w:tcPr>
            <w:tcW w:w="19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090" w:type="dxa"/>
            <w:gridSpan w:val="2"/>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187" w:type="dxa"/>
            <w:gridSpan w:val="2"/>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954" w:type="dxa"/>
            <w:gridSpan w:val="3"/>
            <w:tcBorders/>
            <w:shd w:fill="C0C0C0" w:val="clear"/>
            <w:tcMar>
              <w:top w:w="0" w:type="dxa"/>
              <w:bottom w:w="0" w:type="dxa"/>
            </w:tcMar>
            <w:vAlign w:val="center"/>
          </w:tcPr>
          <w:p>
            <w:pPr>
              <w:pStyle w:val="TableContents"/>
              <w:spacing w:before="0" w:after="283"/>
              <w:ind w:left="0" w:right="0" w:firstLine="468"/>
              <w:jc w:val="center"/>
              <w:rPr/>
            </w:pPr>
            <w:r>
              <w:rPr/>
              <w:t> </w:t>
            </w:r>
          </w:p>
        </w:tc>
      </w:tr>
      <w:tr>
        <w:trPr/>
        <w:tc>
          <w:tcPr>
            <w:tcW w:w="2488" w:type="dxa"/>
            <w:gridSpan w:val="2"/>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Net Sales</w:t>
            </w:r>
          </w:p>
        </w:tc>
        <w:tc>
          <w:tcPr>
            <w:tcW w:w="1090" w:type="dxa"/>
            <w:gridSpan w:val="2"/>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$39,407,000</w:t>
            </w:r>
          </w:p>
        </w:tc>
        <w:tc>
          <w:tcPr>
            <w:tcW w:w="1028" w:type="dxa"/>
            <w:gridSpan w:val="2"/>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$38,900,000</w:t>
            </w:r>
          </w:p>
        </w:tc>
        <w:tc>
          <w:tcPr>
            <w:tcW w:w="260" w:type="dxa"/>
            <w:tcBorders/>
            <w:shd w:fill="auto" w:val="clear"/>
            <w:tcMar>
              <w:top w:w="0" w:type="dxa"/>
              <w:bottom w:w="0" w:type="dxa"/>
            </w:tcMar>
            <w:vAlign w:val="center"/>
          </w:tcPr>
          <w:p>
            <w:pPr>
              <w:pStyle w:val="TableContents"/>
              <w:spacing w:before="0" w:after="283"/>
              <w:jc w:val="center"/>
              <w:rPr>
                <w:color w:val="000000"/>
                <w:sz w:val="17"/>
              </w:rPr>
            </w:pPr>
            <w:r>
              <w:rPr>
                <w:color w:val="000000"/>
                <w:sz w:val="17"/>
              </w:rPr>
              <w:t>1%</w:t>
            </w:r>
          </w:p>
        </w:tc>
        <w:tc>
          <w:tcPr>
            <w:tcW w:w="308" w:type="dxa"/>
            <w:tcBorders/>
            <w:shd w:fill="auto" w:val="clear"/>
            <w:tcMar>
              <w:top w:w="0" w:type="dxa"/>
              <w:bottom w:w="0" w:type="dxa"/>
            </w:tcMar>
            <w:vAlign w:val="center"/>
          </w:tcPr>
          <w:p>
            <w:pPr>
              <w:pStyle w:val="TableContents"/>
              <w:spacing w:before="0" w:after="283"/>
              <w:ind w:left="0" w:right="0" w:firstLine="108"/>
              <w:rPr/>
            </w:pPr>
            <w:r>
              <w:rPr/>
              <w:t> </w:t>
            </w:r>
          </w:p>
        </w:tc>
      </w:tr>
      <w:tr>
        <w:trPr/>
        <w:tc>
          <w:tcPr>
            <w:tcW w:w="19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Segment Income</w:t>
            </w:r>
          </w:p>
        </w:tc>
        <w:tc>
          <w:tcPr>
            <w:tcW w:w="1090" w:type="dxa"/>
            <w:gridSpan w:val="2"/>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$1,936,000</w:t>
            </w:r>
          </w:p>
        </w:tc>
        <w:tc>
          <w:tcPr>
            <w:tcW w:w="1187" w:type="dxa"/>
            <w:gridSpan w:val="2"/>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$3,058,000</w:t>
            </w:r>
          </w:p>
        </w:tc>
        <w:tc>
          <w:tcPr>
            <w:tcW w:w="954" w:type="dxa"/>
            <w:gridSpan w:val="3"/>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-37%</w:t>
            </w:r>
          </w:p>
        </w:tc>
      </w:tr>
      <w:tr>
        <w:trPr/>
        <w:tc>
          <w:tcPr>
            <w:tcW w:w="1943" w:type="dxa"/>
            <w:tcBorders/>
            <w:shd w:fill="auto" w:val="clear"/>
            <w:tcMar>
              <w:top w:w="0" w:type="dxa"/>
              <w:bottom w:w="0" w:type="dxa"/>
            </w:tcMar>
            <w:vAlign w:val="center"/>
          </w:tcPr>
          <w:p>
            <w:pPr>
              <w:pStyle w:val="TableContents"/>
              <w:spacing w:before="0" w:after="283"/>
              <w:rPr/>
            </w:pPr>
            <w:r>
              <w:rPr/>
              <w:t> </w:t>
            </w:r>
          </w:p>
        </w:tc>
        <w:tc>
          <w:tcPr>
            <w:tcW w:w="545" w:type="dxa"/>
            <w:tcBorders/>
            <w:shd w:fill="auto" w:val="clear"/>
            <w:tcMar>
              <w:top w:w="0" w:type="dxa"/>
              <w:bottom w:w="0" w:type="dxa"/>
            </w:tcMar>
            <w:vAlign w:val="center"/>
          </w:tcPr>
          <w:p>
            <w:pPr>
              <w:pStyle w:val="TableContents"/>
              <w:spacing w:before="0" w:after="283"/>
              <w:rPr/>
            </w:pPr>
            <w:r>
              <w:rPr/>
              <w:t> </w:t>
            </w:r>
          </w:p>
        </w:tc>
        <w:tc>
          <w:tcPr>
            <w:tcW w:w="545" w:type="dxa"/>
            <w:tcBorders/>
            <w:shd w:fill="auto" w:val="clear"/>
            <w:tcMar>
              <w:top w:w="0" w:type="dxa"/>
              <w:bottom w:w="0" w:type="dxa"/>
            </w:tcMar>
            <w:vAlign w:val="center"/>
          </w:tcPr>
          <w:p>
            <w:pPr>
              <w:pStyle w:val="TableContents"/>
              <w:spacing w:before="0" w:after="283"/>
              <w:rPr/>
            </w:pPr>
            <w:r>
              <w:rPr/>
              <w:t> </w:t>
            </w:r>
          </w:p>
        </w:tc>
        <w:tc>
          <w:tcPr>
            <w:tcW w:w="545" w:type="dxa"/>
            <w:tcBorders/>
            <w:shd w:fill="auto" w:val="clear"/>
            <w:tcMar>
              <w:top w:w="0" w:type="dxa"/>
              <w:bottom w:w="0" w:type="dxa"/>
            </w:tcMar>
            <w:vAlign w:val="center"/>
          </w:tcPr>
          <w:p>
            <w:pPr>
              <w:pStyle w:val="TableContents"/>
              <w:spacing w:before="0" w:after="283"/>
              <w:rPr/>
            </w:pPr>
            <w:r>
              <w:rPr/>
              <w:t> </w:t>
            </w:r>
          </w:p>
        </w:tc>
        <w:tc>
          <w:tcPr>
            <w:tcW w:w="642" w:type="dxa"/>
            <w:tcBorders/>
            <w:shd w:fill="auto" w:val="clear"/>
            <w:tcMar>
              <w:top w:w="0" w:type="dxa"/>
              <w:bottom w:w="0" w:type="dxa"/>
            </w:tcMar>
            <w:vAlign w:val="center"/>
          </w:tcPr>
          <w:p>
            <w:pPr>
              <w:pStyle w:val="TableContents"/>
              <w:spacing w:before="0" w:after="283"/>
              <w:rPr/>
            </w:pPr>
            <w:r>
              <w:rPr/>
              <w:t> </w:t>
            </w:r>
          </w:p>
        </w:tc>
        <w:tc>
          <w:tcPr>
            <w:tcW w:w="386" w:type="dxa"/>
            <w:tcBorders/>
            <w:shd w:fill="auto" w:val="clear"/>
            <w:tcMar>
              <w:top w:w="0" w:type="dxa"/>
              <w:bottom w:w="0" w:type="dxa"/>
            </w:tcMar>
            <w:vAlign w:val="center"/>
          </w:tcPr>
          <w:p>
            <w:pPr>
              <w:pStyle w:val="TableContents"/>
              <w:spacing w:before="0" w:after="283"/>
              <w:rPr/>
            </w:pPr>
            <w:r>
              <w:rPr/>
              <w:t> </w:t>
            </w:r>
          </w:p>
        </w:tc>
        <w:tc>
          <w:tcPr>
            <w:tcW w:w="260" w:type="dxa"/>
            <w:tcBorders/>
            <w:shd w:fill="auto" w:val="clear"/>
            <w:tcMar>
              <w:top w:w="0" w:type="dxa"/>
              <w:bottom w:w="0" w:type="dxa"/>
            </w:tcMar>
            <w:vAlign w:val="center"/>
          </w:tcPr>
          <w:p>
            <w:pPr>
              <w:pStyle w:val="TableContents"/>
              <w:spacing w:before="0" w:after="283"/>
              <w:rPr/>
            </w:pPr>
            <w:r>
              <w:rPr/>
              <w:t> </w:t>
            </w:r>
          </w:p>
        </w:tc>
        <w:tc>
          <w:tcPr>
            <w:tcW w:w="308" w:type="dxa"/>
            <w:tcBorders/>
            <w:shd w:fill="auto" w:val="clear"/>
            <w:tcMar>
              <w:top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973" w:type="dxa"/>
        <w:jc w:val="left"/>
        <w:tblInd w:w="0" w:type="dxa"/>
        <w:tblCellMar>
          <w:top w:w="28" w:type="dxa"/>
          <w:left w:w="0" w:type="dxa"/>
          <w:bottom w:w="28" w:type="dxa"/>
          <w:right w:w="0" w:type="dxa"/>
        </w:tblCellMar>
      </w:tblPr>
      <w:tblGrid>
        <w:gridCol w:w="1943"/>
        <w:gridCol w:w="1181"/>
        <w:gridCol w:w="1181"/>
        <w:gridCol w:w="668"/>
      </w:tblGrid>
      <w:tr>
        <w:trPr/>
        <w:tc>
          <w:tcPr>
            <w:tcW w:w="1943" w:type="dxa"/>
            <w:tcBorders>
              <w:top w:val="single" w:sz="8" w:space="0" w:color="000000"/>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and Wholesale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tc>
        <w:tc>
          <w:tcPr>
            <w:tcW w:w="2362" w:type="dxa"/>
            <w:gridSpan w:val="2"/>
            <w:tcBorders>
              <w:top w:val="single" w:sz="8" w:space="0" w:color="000000"/>
              <w:bottom w:val="single" w:sz="8" w:space="0" w:color="000000"/>
            </w:tcBorders>
            <w:shd w:fill="auto" w:val="clear"/>
            <w:vAlign w:val="center"/>
          </w:tcPr>
          <w:p>
            <w:pPr>
              <w:pStyle w:val="TableContents"/>
              <w:spacing w:before="0" w:after="283"/>
              <w:ind w:left="0" w:right="0" w:firstLine="108"/>
              <w:jc w:val="center"/>
              <w:rPr>
                <w:b/>
                <w:color w:val="000000"/>
                <w:sz w:val="17"/>
              </w:rPr>
            </w:pPr>
            <w:r>
              <w:rPr>
                <w:b/>
                <w:color w:val="000000"/>
                <w:sz w:val="17"/>
              </w:rPr>
              <w:t>Six Months Ended January 31,</w:t>
            </w:r>
          </w:p>
        </w:tc>
        <w:tc>
          <w:tcPr>
            <w:tcW w:w="668" w:type="dxa"/>
            <w:tcBorders>
              <w:top w:val="single" w:sz="8" w:space="0" w:color="000000"/>
              <w:bottom w:val="single" w:sz="8" w:space="0" w:color="000000"/>
            </w:tcBorders>
            <w:shd w:fill="auto" w:val="clear"/>
            <w:vAlign w:val="center"/>
          </w:tcPr>
          <w:p>
            <w:pPr>
              <w:pStyle w:val="TableContents"/>
              <w:spacing w:before="0" w:after="283"/>
              <w:ind w:left="0" w:right="0" w:firstLine="108"/>
              <w:jc w:val="center"/>
              <w:rPr>
                <w:color w:val="000000"/>
                <w:sz w:val="17"/>
              </w:rPr>
            </w:pPr>
            <w:r>
              <w:rPr>
                <w:color w:val="000000"/>
                <w:sz w:val="17"/>
              </w:rPr>
              <w:t>Change</w:t>
            </w:r>
          </w:p>
        </w:tc>
      </w:tr>
      <w:tr>
        <w:trPr/>
        <w:tc>
          <w:tcPr>
            <w:tcW w:w="1943" w:type="dxa"/>
            <w:tcBorders/>
            <w:shd w:fill="C0C0C0" w:val="clear"/>
            <w:tcMar>
              <w:top w:w="0" w:type="dxa"/>
              <w:bottom w:w="0" w:type="dxa"/>
            </w:tcMar>
            <w:vAlign w:val="center"/>
          </w:tcPr>
          <w:p>
            <w:pPr>
              <w:pStyle w:val="TableContents"/>
              <w:spacing w:before="0" w:after="283"/>
              <w:ind w:left="0" w:right="0" w:firstLine="108"/>
              <w:jc w:val="center"/>
              <w:rPr/>
            </w:pPr>
            <w:r>
              <w:rPr/>
              <w:t> </w:t>
            </w:r>
          </w:p>
        </w:tc>
        <w:tc>
          <w:tcPr>
            <w:tcW w:w="1181"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2013</w:t>
            </w:r>
          </w:p>
        </w:tc>
        <w:tc>
          <w:tcPr>
            <w:tcW w:w="1181" w:type="dxa"/>
            <w:tcBorders/>
            <w:shd w:fill="C0C0C0" w:val="clear"/>
            <w:tcMar>
              <w:top w:w="0" w:type="dxa"/>
              <w:bottom w:w="0" w:type="dxa"/>
            </w:tcMar>
            <w:vAlign w:val="center"/>
          </w:tcPr>
          <w:p>
            <w:pPr>
              <w:pStyle w:val="TableContents"/>
              <w:spacing w:before="0" w:after="283"/>
              <w:ind w:left="0" w:right="0" w:firstLine="108"/>
              <w:jc w:val="center"/>
              <w:rPr>
                <w:b/>
                <w:color w:val="000000"/>
                <w:sz w:val="17"/>
              </w:rPr>
            </w:pPr>
            <w:r>
              <w:rPr>
                <w:b/>
                <w:color w:val="000000"/>
                <w:sz w:val="17"/>
              </w:rPr>
              <w:t>Fiscal 2012</w:t>
            </w:r>
          </w:p>
        </w:tc>
        <w:tc>
          <w:tcPr>
            <w:tcW w:w="668" w:type="dxa"/>
            <w:tcBorders/>
            <w:shd w:fill="C0C0C0" w:val="clear"/>
            <w:tcMar>
              <w:top w:w="0" w:type="dxa"/>
              <w:bottom w:w="0" w:type="dxa"/>
            </w:tcMar>
            <w:vAlign w:val="center"/>
          </w:tcPr>
          <w:p>
            <w:pPr>
              <w:pStyle w:val="TableContents"/>
              <w:spacing w:before="0" w:after="283"/>
              <w:ind w:left="0" w:right="0" w:firstLine="108"/>
              <w:jc w:val="center"/>
              <w:rPr/>
            </w:pPr>
            <w:r>
              <w:rPr/>
              <w:t> </w:t>
            </w:r>
          </w:p>
        </w:tc>
      </w:tr>
      <w:tr>
        <w:trPr/>
        <w:tc>
          <w:tcPr>
            <w:tcW w:w="1943"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Net Sales</w:t>
            </w:r>
          </w:p>
        </w:tc>
        <w:tc>
          <w:tcPr>
            <w:tcW w:w="1181"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$79,042,000</w:t>
            </w:r>
          </w:p>
        </w:tc>
        <w:tc>
          <w:tcPr>
            <w:tcW w:w="1181"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$77,548,000</w:t>
            </w:r>
          </w:p>
        </w:tc>
        <w:tc>
          <w:tcPr>
            <w:tcW w:w="668" w:type="dxa"/>
            <w:tcBorders/>
            <w:shd w:fill="auto" w:val="clear"/>
            <w:tcMar>
              <w:top w:w="0" w:type="dxa"/>
              <w:bottom w:w="0" w:type="dxa"/>
            </w:tcMar>
            <w:vAlign w:val="center"/>
          </w:tcPr>
          <w:p>
            <w:pPr>
              <w:pStyle w:val="TableContents"/>
              <w:spacing w:before="0" w:after="283"/>
              <w:ind w:left="0" w:right="0" w:firstLine="108"/>
              <w:jc w:val="center"/>
              <w:rPr>
                <w:color w:val="000000"/>
                <w:sz w:val="17"/>
              </w:rPr>
            </w:pPr>
            <w:r>
              <w:rPr>
                <w:color w:val="000000"/>
                <w:sz w:val="17"/>
              </w:rPr>
              <w:t>2%</w:t>
            </w:r>
          </w:p>
        </w:tc>
      </w:tr>
      <w:tr>
        <w:trPr/>
        <w:tc>
          <w:tcPr>
            <w:tcW w:w="1943"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Segment Income</w:t>
            </w:r>
          </w:p>
        </w:tc>
        <w:tc>
          <w:tcPr>
            <w:tcW w:w="1181"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$6,460,000</w:t>
            </w:r>
          </w:p>
        </w:tc>
        <w:tc>
          <w:tcPr>
            <w:tcW w:w="1181" w:type="dxa"/>
            <w:tcBorders>
              <w:bottom w:val="single" w:sz="8" w:space="0" w:color="000000"/>
            </w:tcBorders>
            <w:shd w:fill="C0C0C0" w:val="clear"/>
            <w:tcMar>
              <w:top w:w="0" w:type="dxa"/>
            </w:tcMar>
            <w:vAlign w:val="center"/>
          </w:tcPr>
          <w:p>
            <w:pPr>
              <w:pStyle w:val="TableContents"/>
              <w:spacing w:before="0" w:after="283"/>
              <w:ind w:left="0" w:right="0" w:firstLine="108"/>
              <w:jc w:val="center"/>
              <w:rPr>
                <w:color w:val="000000"/>
                <w:sz w:val="17"/>
              </w:rPr>
            </w:pPr>
            <w:r>
              <w:rPr>
                <w:color w:val="000000"/>
                <w:sz w:val="17"/>
              </w:rPr>
              <w:t>$1,839,000</w:t>
            </w:r>
          </w:p>
        </w:tc>
        <w:tc>
          <w:tcPr>
            <w:tcW w:w="668" w:type="dxa"/>
            <w:tcBorders>
              <w:bottom w:val="single" w:sz="8" w:space="0" w:color="000000"/>
            </w:tcBorders>
            <w:shd w:fill="C0C0C0" w:val="clear"/>
            <w:tcMar>
              <w:top w:w="0" w:type="dxa"/>
            </w:tcMar>
            <w:vAlign w:val="center"/>
          </w:tcPr>
          <w:p>
            <w:pPr>
              <w:pStyle w:val="TableContents"/>
              <w:spacing w:before="0" w:after="283"/>
              <w:jc w:val="center"/>
              <w:rPr>
                <w:color w:val="000000"/>
                <w:sz w:val="17"/>
              </w:rPr>
            </w:pPr>
            <w:r>
              <w:rPr>
                <w:color w:val="000000"/>
                <w:sz w:val="17"/>
              </w:rPr>
              <w:t>251%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company’s Retail and Wholesale Products for the second quarter were up 1% while segment income was down $1,122,000 or 37% from the prior year period. The decrease in income was due to increased costs incurred to encourage consumer trial and expanded distribution of Cat’s Pride Fresh &amp; Light cat litter introduced in 2011. Net sales of industrial and automotive products were down while sales by our foreign subsidiaries were up from the same quarter one year ago.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Retail and Wholesale products for the six-month period were $79,042,000, a 2% increase compared with net sales of $77,548,000 in the same period one year ago due to lower trade spending. Segment income for the six-month period was $6,460,000, a 251% increase from the same period one year ago. The increase was due to more sales, better product mix, lower packaging costs and lower natural gas costs compared to last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2012, Oil-Dri’s Board of Directors declared a one-time accelerated cash dividend of $0.36 per share of outstanding Common Stock and $0.27 per share of outstanding Class B Stock, which reflect dividends normally paid in third and fourth quarters. The dividends were paid on December 28, 2012 to stockholders of record at the close of business on December 14, 2012. The Company has paid cash dividends continuously since 1974 and has increased dividends annually for the past nine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second quarter, the annualized dividend yield on the Company’s Common Stock was 2.6%, based on the quarter’s closing stock price of $27.75 per share and an annual cash dividend of $0.72.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short-term investments at January 31, 2012, totaled $35,818,000, which was only $506,000 less than last year despite paying $2,368,000 more in dividends than in the first six-months of fiscal 2012. Capital expenditures for the six-month period totaled $5,009,000, which was $534,000 more than depreciation and amortization of $4,475,000. Capital expenditures included improvements to and replacement of machinery at our manufacturing facilities. Capital expenditures were $3,512,000 at this time last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$10,811,000 in the second quarter compared to $10,281,000 for the same period one year ago due to the increase in income and changes in working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Forward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Jaffee continued, “In the balance of the fiscal year we will continue to support Cat’s Pride Fresh &amp; Light and our other value added products with more advertising and promotional spending than we have historically. We expect that our overall advertising and promotional spending for the fiscal year will remain high, but be less than last fiscal year.”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jc w:val="center"/>
        <w:rPr>
          <w:caps w:val="false"/>
          <w:smallCaps w:val="false"/>
        </w:rPr>
      </w:pPr>
      <w:r>
        <w:rPr>
          <w:caps w:val="false"/>
          <w:smallCaps w:val="false"/>
        </w:rPr>
        <w:drawing>
          <wp:inline distT="0" distB="0" distL="0" distR="0">
            <wp:extent cx="149542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offer a live webcast of the second quarter earnings teleconference on Wednesday, March 13, 2013 from 10:00 am to 10:30 am, CT. To listen via the web, visit </w:t>
      </w:r>
      <w:r>
        <w:rPr>
          <w:rFonts w:ascii="Times New Roman;Times;Serif" w:hAnsi="Times New Roman;Times;Serif"/>
          <w:b w:val="false"/>
          <w:i w:val="false"/>
          <w:caps w:val="false"/>
          <w:smallCaps w:val="false"/>
          <w:sz w:val="20"/>
          <w:u w:val="single"/>
        </w:rPr>
        <w:t xml:space="preserve">www.streetevents.com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www.oildri.com</w:t>
      </w:r>
      <w:r>
        <w:rPr>
          <w:rFonts w:ascii="Times New Roman;Times;Serif" w:hAnsi="Times New Roman;Times;Serif"/>
          <w:b w:val="false"/>
          <w:i w:val="false"/>
          <w:caps w:val="false"/>
          <w:smallCaps w:val="false"/>
          <w:sz w:val="20"/>
        </w:rPr>
        <w:t>. An archived recording of the call and written transcripts of all teleconferences are posted on the Oil-Dri website.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Cat’s Pride and Fresh &amp; Light are registered trademarks of Oil-Dri Corporation of America.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tbl>
      <w:tblPr>
        <w:tblW w:w="4277" w:type="dxa"/>
        <w:jc w:val="left"/>
        <w:tblInd w:w="0" w:type="dxa"/>
        <w:tblCellMar>
          <w:top w:w="0" w:type="dxa"/>
          <w:left w:w="0" w:type="dxa"/>
          <w:bottom w:w="0" w:type="dxa"/>
          <w:right w:w="0" w:type="dxa"/>
        </w:tblCellMar>
      </w:tblPr>
      <w:tblGrid>
        <w:gridCol w:w="3154"/>
        <w:gridCol w:w="544"/>
        <w:gridCol w:w="168"/>
        <w:gridCol w:w="168"/>
        <w:gridCol w:w="168"/>
        <w:gridCol w:w="75"/>
      </w:tblGrid>
      <w:tr>
        <w:trPr/>
        <w:tc>
          <w:tcPr>
            <w:tcW w:w="3698" w:type="dxa"/>
            <w:gridSpan w:val="2"/>
            <w:tcBorders/>
            <w:shd w:fill="auto" w:val="cle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154" w:type="dxa"/>
            <w:tcBorders/>
            <w:shd w:fill="auto" w:val="clear"/>
            <w:vAlign w:val="center"/>
          </w:tcPr>
          <w:p>
            <w:pPr>
              <w:pStyle w:val="TableContents"/>
              <w:spacing w:before="0" w:after="283"/>
              <w:rPr/>
            </w:pPr>
            <w:r>
              <w:rPr/>
              <w:t> </w:t>
            </w:r>
          </w:p>
        </w:tc>
        <w:tc>
          <w:tcPr>
            <w:tcW w:w="544"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698" w:type="dxa"/>
            <w:gridSpan w:val="2"/>
            <w:tcBorders/>
            <w:shd w:fill="auto" w:val="clear"/>
            <w:vAlign w:val="center"/>
          </w:tcPr>
          <w:p>
            <w:pPr>
              <w:pStyle w:val="TableContents"/>
              <w:spacing w:before="0" w:after="283"/>
              <w:ind w:left="0" w:right="0" w:firstLine="108"/>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Consolidated Statements of Income</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698" w:type="dxa"/>
            <w:gridSpan w:val="2"/>
            <w:tcBorders/>
            <w:shd w:fill="auto" w:val="clear"/>
            <w:vAlign w:val="center"/>
          </w:tcPr>
          <w:p>
            <w:pPr>
              <w:pStyle w:val="TableContents"/>
              <w:spacing w:before="0" w:after="283"/>
              <w:ind w:left="0" w:right="0" w:firstLine="108"/>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thousands, except for per share amounts)</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154"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(unaudited)</w:t>
            </w:r>
          </w:p>
        </w:tc>
        <w:tc>
          <w:tcPr>
            <w:tcW w:w="544"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7653" w:type="dxa"/>
        <w:jc w:val="left"/>
        <w:tblInd w:w="0" w:type="dxa"/>
        <w:tblCellMar>
          <w:top w:w="0" w:type="dxa"/>
          <w:left w:w="0" w:type="dxa"/>
          <w:bottom w:w="0" w:type="dxa"/>
          <w:right w:w="0" w:type="dxa"/>
        </w:tblCellMar>
      </w:tblPr>
      <w:tblGrid>
        <w:gridCol w:w="2915"/>
        <w:gridCol w:w="60"/>
        <w:gridCol w:w="125"/>
        <w:gridCol w:w="650"/>
        <w:gridCol w:w="80"/>
        <w:gridCol w:w="60"/>
        <w:gridCol w:w="99"/>
        <w:gridCol w:w="805"/>
        <w:gridCol w:w="185"/>
        <w:gridCol w:w="60"/>
        <w:gridCol w:w="125"/>
        <w:gridCol w:w="650"/>
        <w:gridCol w:w="80"/>
        <w:gridCol w:w="60"/>
        <w:gridCol w:w="99"/>
        <w:gridCol w:w="805"/>
        <w:gridCol w:w="795"/>
      </w:tblGrid>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3883"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Second Quarter Ended January 31,</w:t>
            </w:r>
          </w:p>
        </w:tc>
        <w:tc>
          <w:tcPr>
            <w:tcW w:w="79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7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2013</w:t>
            </w:r>
          </w:p>
        </w:tc>
        <w:tc>
          <w:tcPr>
            <w:tcW w:w="8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9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of Sales</w:t>
            </w:r>
          </w:p>
        </w:tc>
        <w:tc>
          <w:tcPr>
            <w:tcW w:w="18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77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2012</w:t>
            </w:r>
          </w:p>
        </w:tc>
        <w:tc>
          <w:tcPr>
            <w:tcW w:w="8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9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of Sales</w:t>
            </w:r>
          </w:p>
        </w:tc>
        <w:tc>
          <w:tcPr>
            <w:tcW w:w="79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Sales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61,122</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100.0</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60,203</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100.0</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Cost of Sales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(44,853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73.4</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(45,649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75.8</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Gross Profit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16,269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26.6</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14,554</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24.2</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Operating Expenses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(12,834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21.0</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(9,725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16.2</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Capacity Rationalization Charges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tc>
        <w:tc>
          <w:tcPr>
            <w:tcW w:w="80"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0.0</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Operating Income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3,385</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4,829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Interest Expense</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(446</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0.7</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Income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tc>
        <w:tc>
          <w:tcPr>
            <w:tcW w:w="80"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caps w:val="false"/>
                <w:smallCaps w:val="false"/>
                <w:color w:val="000000"/>
              </w:rPr>
            </w:pPr>
            <w:r>
              <w:rPr>
                <w:caps w:val="false"/>
                <w:smallCaps w:val="false"/>
                <w:color w:val="000000"/>
              </w:rPr>
              <w:t> </w:t>
            </w:r>
          </w:p>
        </w:tc>
        <w:tc>
          <w:tcPr>
            <w:tcW w:w="18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caps w:val="false"/>
                <w:smallCaps w:val="false"/>
                <w:color w:val="000000"/>
              </w:rPr>
            </w:pPr>
            <w:r>
              <w:rPr>
                <w:caps w:val="false"/>
                <w:smallCaps w:val="false"/>
                <w:color w:val="000000"/>
              </w:rPr>
              <w:t> </w:t>
            </w:r>
          </w:p>
        </w:tc>
        <w:tc>
          <w:tcPr>
            <w:tcW w:w="79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Income Before Income Taxes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3,031</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4,279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Income Taxes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CCFFCC"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2,146</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double" w:sz="6"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CCFFCC"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3,239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double" w:sz="6"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915"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 Per Share:</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50"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50"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Common</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0.33</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0.49</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Class B Common</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0.25</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0.36</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915"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Diluted</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0.31</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0.45</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91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50"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50"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2915"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Average Shares Outstanding: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caps w:val="false"/>
                <w:smallCaps w:val="false"/>
                <w:color w:val="000000"/>
              </w:rPr>
            </w:pPr>
            <w:r>
              <w:rPr>
                <w:caps w:val="false"/>
                <w:smallCaps w:val="false"/>
                <w:color w:val="000000"/>
              </w:rPr>
              <w:t> </w:t>
            </w:r>
          </w:p>
        </w:tc>
        <w:tc>
          <w:tcPr>
            <w:tcW w:w="795" w:type="dxa"/>
            <w:tcBorders/>
            <w:shd w:fill="FFFFFF" w:val="clear"/>
            <w:vAlign w:val="center"/>
          </w:tcPr>
          <w:p>
            <w:pPr>
              <w:pStyle w:val="TableContents"/>
              <w:spacing w:before="0" w:after="283"/>
              <w:ind w:left="0" w:right="0" w:firstLine="720"/>
              <w:jc w:val="left"/>
              <w:rPr>
                <w:caps w:val="false"/>
                <w:smallCaps w:val="false"/>
                <w:color w:val="000000"/>
              </w:rPr>
            </w:pPr>
            <w:r>
              <w:rPr>
                <w:caps w:val="false"/>
                <w:smallCaps w:val="false"/>
                <w:color w:val="000000"/>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Common</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4,896</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5,124</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Class B Common</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1,976</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1,938</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2915"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Diluted</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6,922</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5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7,128</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bl>
    <w:p>
      <w:pPr>
        <w:pStyle w:val="TextBody"/>
        <w:rPr/>
      </w:pPr>
      <w:r>
        <w:rPr/>
        <w:t> </w:t>
      </w:r>
    </w:p>
    <w:tbl>
      <w:tblPr>
        <w:tblW w:w="7743" w:type="dxa"/>
        <w:jc w:val="left"/>
        <w:tblInd w:w="0" w:type="dxa"/>
        <w:tblCellMar>
          <w:top w:w="0" w:type="dxa"/>
          <w:left w:w="0" w:type="dxa"/>
          <w:bottom w:w="0" w:type="dxa"/>
          <w:right w:w="0" w:type="dxa"/>
        </w:tblCellMar>
      </w:tblPr>
      <w:tblGrid>
        <w:gridCol w:w="2915"/>
        <w:gridCol w:w="60"/>
        <w:gridCol w:w="125"/>
        <w:gridCol w:w="695"/>
        <w:gridCol w:w="80"/>
        <w:gridCol w:w="60"/>
        <w:gridCol w:w="99"/>
        <w:gridCol w:w="805"/>
        <w:gridCol w:w="185"/>
        <w:gridCol w:w="60"/>
        <w:gridCol w:w="125"/>
        <w:gridCol w:w="695"/>
        <w:gridCol w:w="80"/>
        <w:gridCol w:w="60"/>
        <w:gridCol w:w="99"/>
        <w:gridCol w:w="805"/>
        <w:gridCol w:w="795"/>
      </w:tblGrid>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3973"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Six Months Ended January 31,</w:t>
            </w:r>
          </w:p>
        </w:tc>
        <w:tc>
          <w:tcPr>
            <w:tcW w:w="79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2013</w:t>
            </w:r>
          </w:p>
        </w:tc>
        <w:tc>
          <w:tcPr>
            <w:tcW w:w="8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9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of Sales</w:t>
            </w:r>
          </w:p>
        </w:tc>
        <w:tc>
          <w:tcPr>
            <w:tcW w:w="18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2012</w:t>
            </w:r>
          </w:p>
        </w:tc>
        <w:tc>
          <w:tcPr>
            <w:tcW w:w="8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90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of Sales</w:t>
            </w:r>
          </w:p>
        </w:tc>
        <w:tc>
          <w:tcPr>
            <w:tcW w:w="79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Sales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122,539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100.0</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119,785</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100.0</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Cost of Sales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(89,039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72.7</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(91,028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76.0</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Gross Profit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33,500</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27.3</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28,757</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24.0</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Operating Expenses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(23,654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19.3</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(22,132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18.5</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Capacity Rationalization Charges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tc>
        <w:tc>
          <w:tcPr>
            <w:tcW w:w="80"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0.0</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Operating Income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9,784</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6,625</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Interest Expense</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0.8</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0.9</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Income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231</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0.2</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155</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caps w:val="false"/>
                <w:smallCaps w:val="false"/>
                <w:color w:val="000000"/>
              </w:rPr>
            </w:pPr>
            <w:r>
              <w:rPr>
                <w:caps w:val="false"/>
                <w:smallCaps w:val="false"/>
                <w:color w:val="000000"/>
              </w:rPr>
              <w:t> </w:t>
            </w:r>
          </w:p>
        </w:tc>
        <w:tc>
          <w:tcPr>
            <w:tcW w:w="18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caps w:val="false"/>
                <w:smallCaps w:val="false"/>
                <w:color w:val="000000"/>
              </w:rPr>
            </w:pPr>
            <w:r>
              <w:rPr>
                <w:caps w:val="false"/>
                <w:smallCaps w:val="false"/>
                <w:color w:val="000000"/>
              </w:rPr>
              <w:t> </w:t>
            </w:r>
          </w:p>
        </w:tc>
        <w:tc>
          <w:tcPr>
            <w:tcW w:w="79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Income Before Income Taxes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9,088</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5,752</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Income Taxes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(2,490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(1,438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CCFFCC"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6,598</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double" w:sz="6"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tc>
        <w:tc>
          <w:tcPr>
            <w:tcW w:w="18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CCFFCC"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4,314</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bottom w:val="double" w:sz="6"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tc>
        <w:tc>
          <w:tcPr>
            <w:tcW w:w="79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2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915"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 Per Share:</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Common</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0.65</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Class B Common</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0.77</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0.49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915"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Diluted</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0.94</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0.60</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291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8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2915"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Average Shares Outstanding: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99"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805" w:type="dxa"/>
            <w:tcBorders/>
            <w:shd w:fill="FFFFFF" w:val="clear"/>
            <w:vAlign w:val="center"/>
          </w:tcPr>
          <w:p>
            <w:pPr>
              <w:pStyle w:val="TableContents"/>
              <w:spacing w:before="0" w:after="283"/>
              <w:jc w:val="right"/>
              <w:rPr>
                <w:caps w:val="false"/>
                <w:smallCaps w:val="false"/>
                <w:color w:val="000000"/>
              </w:rPr>
            </w:pPr>
            <w:r>
              <w:rPr>
                <w:caps w:val="false"/>
                <w:smallCaps w:val="false"/>
                <w:color w:val="000000"/>
              </w:rPr>
              <w:t> </w:t>
            </w:r>
          </w:p>
        </w:tc>
        <w:tc>
          <w:tcPr>
            <w:tcW w:w="795" w:type="dxa"/>
            <w:tcBorders/>
            <w:shd w:fill="FFFFFF" w:val="clear"/>
            <w:vAlign w:val="center"/>
          </w:tcPr>
          <w:p>
            <w:pPr>
              <w:pStyle w:val="TableContents"/>
              <w:spacing w:before="0" w:after="283"/>
              <w:ind w:left="0" w:right="0" w:firstLine="720"/>
              <w:jc w:val="left"/>
              <w:rPr>
                <w:caps w:val="false"/>
                <w:smallCaps w:val="false"/>
                <w:color w:val="000000"/>
              </w:rPr>
            </w:pPr>
            <w:r>
              <w:rPr>
                <w:caps w:val="false"/>
                <w:smallCaps w:val="false"/>
                <w:color w:val="000000"/>
              </w:rPr>
              <w:t> </w:t>
            </w:r>
          </w:p>
        </w:tc>
      </w:tr>
      <w:tr>
        <w:trPr/>
        <w:tc>
          <w:tcPr>
            <w:tcW w:w="291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Common</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4,887</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5,119</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720"/>
              <w:jc w:val="left"/>
              <w:rPr/>
            </w:pPr>
            <w:r>
              <w:rPr/>
              <w:t> </w:t>
            </w:r>
          </w:p>
        </w:tc>
      </w:tr>
      <w:tr>
        <w:trPr/>
        <w:tc>
          <w:tcPr>
            <w:tcW w:w="291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Basic Class B Common</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1,960</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1,929</w:t>
            </w:r>
          </w:p>
        </w:tc>
        <w:tc>
          <w:tcPr>
            <w:tcW w:w="8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80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720"/>
              <w:jc w:val="left"/>
              <w:rPr/>
            </w:pPr>
            <w:r>
              <w:rPr/>
              <w:t> </w:t>
            </w:r>
          </w:p>
        </w:tc>
      </w:tr>
      <w:tr>
        <w:trPr/>
        <w:tc>
          <w:tcPr>
            <w:tcW w:w="2915"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Diluted</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6,904</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18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7,114</w:t>
            </w:r>
          </w:p>
        </w:tc>
        <w:tc>
          <w:tcPr>
            <w:tcW w:w="8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pPr>
            <w:r>
              <w:rPr/>
              <w:t> </w:t>
            </w:r>
          </w:p>
        </w:tc>
        <w:tc>
          <w:tcPr>
            <w:tcW w:w="99" w:type="dxa"/>
            <w:tcBorders/>
            <w:shd w:fill="CCFFCC" w:val="clear"/>
            <w:vAlign w:val="center"/>
          </w:tcPr>
          <w:p>
            <w:pPr>
              <w:pStyle w:val="TableContents"/>
              <w:spacing w:before="0" w:after="283"/>
              <w:jc w:val="left"/>
              <w:rPr/>
            </w:pPr>
            <w:r>
              <w:rPr/>
              <w:t> </w:t>
            </w:r>
          </w:p>
        </w:tc>
        <w:tc>
          <w:tcPr>
            <w:tcW w:w="80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tbl>
      <w:tblPr>
        <w:tblW w:w="4447" w:type="dxa"/>
        <w:jc w:val="left"/>
        <w:tblInd w:w="0" w:type="dxa"/>
        <w:tblCellMar>
          <w:top w:w="0" w:type="dxa"/>
          <w:left w:w="0" w:type="dxa"/>
          <w:bottom w:w="0" w:type="dxa"/>
          <w:right w:w="0" w:type="dxa"/>
        </w:tblCellMar>
      </w:tblPr>
      <w:tblGrid>
        <w:gridCol w:w="1361"/>
        <w:gridCol w:w="1089"/>
        <w:gridCol w:w="1586"/>
        <w:gridCol w:w="168"/>
        <w:gridCol w:w="168"/>
        <w:gridCol w:w="75"/>
      </w:tblGrid>
      <w:tr>
        <w:trPr/>
        <w:tc>
          <w:tcPr>
            <w:tcW w:w="4036" w:type="dxa"/>
            <w:gridSpan w:val="3"/>
            <w:tcBorders/>
            <w:shd w:fill="auto" w:val="cle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1361" w:type="dxa"/>
            <w:tcBorders/>
            <w:shd w:fill="auto" w:val="clear"/>
            <w:vAlign w:val="center"/>
          </w:tcPr>
          <w:p>
            <w:pPr>
              <w:pStyle w:val="TableContents"/>
              <w:spacing w:before="0" w:after="283"/>
              <w:rPr/>
            </w:pPr>
            <w:r>
              <w:rPr/>
              <w:t> </w:t>
            </w:r>
          </w:p>
        </w:tc>
        <w:tc>
          <w:tcPr>
            <w:tcW w:w="1089" w:type="dxa"/>
            <w:tcBorders/>
            <w:shd w:fill="auto" w:val="clear"/>
            <w:vAlign w:val="center"/>
          </w:tcPr>
          <w:p>
            <w:pPr>
              <w:pStyle w:val="TableContents"/>
              <w:spacing w:before="0" w:after="283"/>
              <w:rPr/>
            </w:pPr>
            <w:r>
              <w:rPr/>
              <w:t> </w:t>
            </w:r>
          </w:p>
        </w:tc>
        <w:tc>
          <w:tcPr>
            <w:tcW w:w="1586"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2450"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Consolidated Balance Sheets</w:t>
            </w:r>
          </w:p>
        </w:tc>
        <w:tc>
          <w:tcPr>
            <w:tcW w:w="1586"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4036" w:type="dxa"/>
            <w:gridSpan w:val="3"/>
            <w:tcBorders/>
            <w:shd w:fill="auto" w:val="clear"/>
            <w:vAlign w:val="center"/>
          </w:tcPr>
          <w:p>
            <w:pPr>
              <w:pStyle w:val="TableContents"/>
              <w:spacing w:before="0" w:after="283"/>
              <w:ind w:left="0" w:right="0" w:firstLine="108"/>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 thousands, except for per share amounts)</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2450"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(unaudited)</w:t>
            </w:r>
          </w:p>
        </w:tc>
        <w:tc>
          <w:tcPr>
            <w:tcW w:w="1586"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1361" w:type="dxa"/>
            <w:tcBorders/>
            <w:shd w:fill="auto" w:val="clear"/>
            <w:vAlign w:val="center"/>
          </w:tcPr>
          <w:p>
            <w:pPr>
              <w:pStyle w:val="TableContents"/>
              <w:spacing w:before="0" w:after="283"/>
              <w:rPr/>
            </w:pPr>
            <w:r>
              <w:rPr/>
              <w:t> </w:t>
            </w:r>
          </w:p>
        </w:tc>
        <w:tc>
          <w:tcPr>
            <w:tcW w:w="1089" w:type="dxa"/>
            <w:tcBorders/>
            <w:shd w:fill="auto" w:val="clear"/>
            <w:vAlign w:val="center"/>
          </w:tcPr>
          <w:p>
            <w:pPr>
              <w:pStyle w:val="TableContents"/>
              <w:spacing w:before="0" w:after="283"/>
              <w:rPr/>
            </w:pPr>
            <w:r>
              <w:rPr/>
              <w:t> </w:t>
            </w:r>
          </w:p>
        </w:tc>
        <w:tc>
          <w:tcPr>
            <w:tcW w:w="1586"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bl>
    <w:tbl>
      <w:tblPr>
        <w:tblW w:w="6205" w:type="dxa"/>
        <w:jc w:val="left"/>
        <w:tblInd w:w="0" w:type="dxa"/>
        <w:tblCellMar>
          <w:top w:w="0" w:type="dxa"/>
          <w:left w:w="0" w:type="dxa"/>
          <w:bottom w:w="0" w:type="dxa"/>
          <w:right w:w="0" w:type="dxa"/>
        </w:tblCellMar>
      </w:tblPr>
      <w:tblGrid>
        <w:gridCol w:w="3590"/>
        <w:gridCol w:w="60"/>
        <w:gridCol w:w="125"/>
        <w:gridCol w:w="695"/>
        <w:gridCol w:w="60"/>
        <w:gridCol w:w="60"/>
        <w:gridCol w:w="125"/>
        <w:gridCol w:w="695"/>
        <w:gridCol w:w="795"/>
      </w:tblGrid>
      <w:tr>
        <w:trPr/>
        <w:tc>
          <w:tcPr>
            <w:tcW w:w="3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176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As of January 31,</w:t>
            </w:r>
          </w:p>
        </w:tc>
        <w:tc>
          <w:tcPr>
            <w:tcW w:w="79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r>
      <w:tr>
        <w:trPr/>
        <w:tc>
          <w:tcPr>
            <w:tcW w:w="3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2013</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2012</w:t>
            </w:r>
          </w:p>
        </w:tc>
        <w:tc>
          <w:tcPr>
            <w:tcW w:w="795"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r>
      <w:tr>
        <w:trPr/>
        <w:tc>
          <w:tcPr>
            <w:tcW w:w="3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Current Assets</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180"/>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Cash and Cash Equivalents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25,430</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27,359</w:t>
            </w:r>
          </w:p>
        </w:tc>
        <w:tc>
          <w:tcPr>
            <w:tcW w:w="795" w:type="dxa"/>
            <w:tcBorders/>
            <w:shd w:fill="FFFFFF"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Investment in Short-term Securities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10,388</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8,965</w:t>
            </w:r>
          </w:p>
        </w:tc>
        <w:tc>
          <w:tcPr>
            <w:tcW w:w="795" w:type="dxa"/>
            <w:tcBorders/>
            <w:shd w:fill="CCFFCC"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Accounts Receivable, net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31,004</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28,907</w:t>
            </w:r>
          </w:p>
        </w:tc>
        <w:tc>
          <w:tcPr>
            <w:tcW w:w="795" w:type="dxa"/>
            <w:tcBorders/>
            <w:shd w:fill="FFFFFF"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Inventories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22,186</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21,640</w:t>
            </w:r>
          </w:p>
        </w:tc>
        <w:tc>
          <w:tcPr>
            <w:tcW w:w="795" w:type="dxa"/>
            <w:tcBorders/>
            <w:shd w:fill="CCFFCC"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Prepaid Expenses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8,169</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7,230</w:t>
            </w:r>
          </w:p>
        </w:tc>
        <w:tc>
          <w:tcPr>
            <w:tcW w:w="79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97,177</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94,101</w:t>
            </w:r>
          </w:p>
        </w:tc>
        <w:tc>
          <w:tcPr>
            <w:tcW w:w="79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Property, Plant and Equipment</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65,117</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66,810</w:t>
            </w:r>
          </w:p>
        </w:tc>
        <w:tc>
          <w:tcPr>
            <w:tcW w:w="79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Assets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14,124</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13,311</w:t>
            </w:r>
          </w:p>
        </w:tc>
        <w:tc>
          <w:tcPr>
            <w:tcW w:w="79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Assets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176,418</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174,222</w:t>
            </w:r>
          </w:p>
        </w:tc>
        <w:tc>
          <w:tcPr>
            <w:tcW w:w="79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18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Current Maturities of Notes Payable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5,000</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3,800</w:t>
            </w:r>
          </w:p>
        </w:tc>
        <w:tc>
          <w:tcPr>
            <w:tcW w:w="795" w:type="dxa"/>
            <w:tcBorders/>
            <w:shd w:fill="CCFFCC"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Accounts Payable</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6,172</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6,034</w:t>
            </w:r>
          </w:p>
        </w:tc>
        <w:tc>
          <w:tcPr>
            <w:tcW w:w="795" w:type="dxa"/>
            <w:tcBorders/>
            <w:shd w:fill="FFFFFF"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Dividends Payable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1,132</w:t>
            </w:r>
          </w:p>
        </w:tc>
        <w:tc>
          <w:tcPr>
            <w:tcW w:w="795" w:type="dxa"/>
            <w:tcBorders/>
            <w:shd w:fill="CCFFCC"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Accrued Expenses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18,223</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15,284</w:t>
            </w:r>
          </w:p>
        </w:tc>
        <w:tc>
          <w:tcPr>
            <w:tcW w:w="795" w:type="dxa"/>
            <w:tcBorders/>
            <w:shd w:fill="FFFFFF" w:val="clear"/>
            <w:vAlign w:val="center"/>
          </w:tcPr>
          <w:p>
            <w:pPr>
              <w:pStyle w:val="TableContents"/>
              <w:spacing w:before="0" w:after="283"/>
              <w:ind w:left="0" w:right="0" w:firstLine="720"/>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Current Liabilities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29,395</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26,250</w:t>
            </w:r>
          </w:p>
        </w:tc>
        <w:tc>
          <w:tcPr>
            <w:tcW w:w="79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Long-Term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ind w:left="0" w:right="0" w:firstLine="180"/>
              <w:jc w:val="left"/>
              <w:rPr/>
            </w:pPr>
            <w:r>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Notes Payable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22,400</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27,400</w:t>
            </w:r>
          </w:p>
        </w:tc>
        <w:tc>
          <w:tcPr>
            <w:tcW w:w="795" w:type="dxa"/>
            <w:tcBorders/>
            <w:shd w:fill="CCFFCC"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 Noncurrent Liabilities</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34,782</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22,833</w:t>
            </w:r>
          </w:p>
        </w:tc>
        <w:tc>
          <w:tcPr>
            <w:tcW w:w="795" w:type="dxa"/>
            <w:tcBorders/>
            <w:shd w:fill="FFFFFF" w:val="clear"/>
            <w:vAlign w:val="center"/>
          </w:tcPr>
          <w:p>
            <w:pPr>
              <w:pStyle w:val="TableContents"/>
              <w:spacing w:before="0" w:after="283"/>
              <w:ind w:left="0" w:right="0" w:firstLine="720"/>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Long-Term Liabilities</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57,182</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50,233</w:t>
            </w:r>
          </w:p>
        </w:tc>
        <w:tc>
          <w:tcPr>
            <w:tcW w:w="79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Stockholders' Equity</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89,841</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color w:val="000000"/>
              </w:rPr>
            </w:pPr>
            <w:r>
              <w:rPr>
                <w:caps w:val="false"/>
                <w:smallCaps w:val="false"/>
                <w:color w:val="000000"/>
              </w:rPr>
              <w:t> </w:t>
            </w:r>
          </w:p>
        </w:tc>
        <w:tc>
          <w:tcPr>
            <w:tcW w:w="69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97,739</w:t>
            </w:r>
          </w:p>
        </w:tc>
        <w:tc>
          <w:tcPr>
            <w:tcW w:w="79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Liabilities and Stockholders' Equity</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CCFFCC"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176,418</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bottom w:val="double" w:sz="6" w:space="0" w:color="000000"/>
            </w:tcBorders>
            <w:shd w:fill="CCFFCC"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bottom w:val="double" w:sz="6"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174,222</w:t>
            </w:r>
          </w:p>
        </w:tc>
        <w:tc>
          <w:tcPr>
            <w:tcW w:w="79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Book Value Per Share Outstanding</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13.12</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9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13.87</w:t>
            </w:r>
          </w:p>
        </w:tc>
        <w:tc>
          <w:tcPr>
            <w:tcW w:w="79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695"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3590"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Acquisitions of</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25" w:type="dxa"/>
            <w:tcBorders/>
            <w:shd w:fill="CCFFCC" w:val="clear"/>
            <w:vAlign w:val="center"/>
          </w:tcPr>
          <w:p>
            <w:pPr>
              <w:pStyle w:val="TableContents"/>
              <w:spacing w:before="0" w:after="283"/>
              <w:jc w:val="left"/>
              <w:rPr/>
            </w:pPr>
            <w:r>
              <w:rPr/>
              <w:t> </w:t>
            </w:r>
          </w:p>
        </w:tc>
        <w:tc>
          <w:tcPr>
            <w:tcW w:w="695"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bl>
    <w:tbl>
      <w:tblPr>
        <w:tblW w:w="6603" w:type="dxa"/>
        <w:jc w:val="left"/>
        <w:tblInd w:w="0" w:type="dxa"/>
        <w:tblCellMar>
          <w:top w:w="0" w:type="dxa"/>
          <w:left w:w="0" w:type="dxa"/>
          <w:bottom w:w="0" w:type="dxa"/>
          <w:right w:w="0" w:type="dxa"/>
        </w:tblCellMar>
      </w:tblPr>
      <w:tblGrid>
        <w:gridCol w:w="3425"/>
        <w:gridCol w:w="168"/>
        <w:gridCol w:w="1355"/>
        <w:gridCol w:w="60"/>
        <w:gridCol w:w="125"/>
        <w:gridCol w:w="485"/>
        <w:gridCol w:w="60"/>
        <w:gridCol w:w="60"/>
        <w:gridCol w:w="125"/>
        <w:gridCol w:w="485"/>
        <w:gridCol w:w="255"/>
      </w:tblGrid>
      <w:tr>
        <w:trPr/>
        <w:tc>
          <w:tcPr>
            <w:tcW w:w="3425" w:type="dxa"/>
            <w:tcBorders/>
            <w:shd w:fill="auto" w:val="clear"/>
            <w:vAlign w:val="center"/>
          </w:tcPr>
          <w:p>
            <w:pPr>
              <w:pStyle w:val="TableContents"/>
              <w:spacing w:before="0" w:after="283"/>
              <w:ind w:left="0" w:right="0" w:firstLine="18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Property, Plant and Equipment</w:t>
            </w:r>
          </w:p>
        </w:tc>
        <w:tc>
          <w:tcPr>
            <w:tcW w:w="168" w:type="dxa"/>
            <w:tcBorders/>
            <w:shd w:fill="auto" w:val="clear"/>
            <w:vAlign w:val="center"/>
          </w:tcPr>
          <w:p>
            <w:pPr>
              <w:pStyle w:val="TableContents"/>
              <w:spacing w:before="0" w:after="283"/>
              <w:ind w:left="0" w:right="0" w:firstLine="108"/>
              <w:rPr>
                <w:caps w:val="false"/>
                <w:smallCaps w:val="false"/>
                <w:color w:val="000000"/>
              </w:rPr>
            </w:pPr>
            <w:r>
              <w:rPr>
                <w:caps w:val="false"/>
                <w:smallCaps w:val="false"/>
                <w:color w:val="000000"/>
              </w:rPr>
              <w:t> </w:t>
            </w:r>
          </w:p>
        </w:tc>
        <w:tc>
          <w:tcPr>
            <w:tcW w:w="1355" w:type="dxa"/>
            <w:tcBorders/>
            <w:shd w:fill="auto"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Second Quarter</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2,852</w:t>
            </w:r>
          </w:p>
        </w:tc>
        <w:tc>
          <w:tcPr>
            <w:tcW w:w="60" w:type="dxa"/>
            <w:tcBorders/>
            <w:shd w:fill="auto"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auto"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1,901</w:t>
            </w:r>
          </w:p>
        </w:tc>
        <w:tc>
          <w:tcPr>
            <w:tcW w:w="255" w:type="dxa"/>
            <w:tcBorders/>
            <w:shd w:fill="auto"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425" w:type="dxa"/>
            <w:tcBorders/>
            <w:shd w:fill="CCFFCC" w:val="clear"/>
            <w:vAlign w:val="center"/>
          </w:tcPr>
          <w:p>
            <w:pPr>
              <w:pStyle w:val="TableContents"/>
              <w:spacing w:before="0" w:after="283"/>
              <w:rPr/>
            </w:pPr>
            <w:r>
              <w:rPr/>
              <w:t> </w:t>
            </w:r>
          </w:p>
        </w:tc>
        <w:tc>
          <w:tcPr>
            <w:tcW w:w="168" w:type="dxa"/>
            <w:tcBorders/>
            <w:shd w:fill="CCFFCC" w:val="clear"/>
            <w:vAlign w:val="center"/>
          </w:tcPr>
          <w:p>
            <w:pPr>
              <w:pStyle w:val="TableContents"/>
              <w:spacing w:before="0" w:after="283"/>
              <w:ind w:left="0" w:right="0" w:firstLine="108"/>
              <w:rPr>
                <w:caps w:val="false"/>
                <w:smallCaps w:val="false"/>
                <w:color w:val="000000"/>
              </w:rPr>
            </w:pPr>
            <w:r>
              <w:rPr>
                <w:caps w:val="false"/>
                <w:smallCaps w:val="false"/>
                <w:color w:val="000000"/>
              </w:rPr>
              <w:t> </w:t>
            </w:r>
          </w:p>
        </w:tc>
        <w:tc>
          <w:tcPr>
            <w:tcW w:w="135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Year to Date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5,009</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3,512</w:t>
            </w:r>
          </w:p>
        </w:tc>
        <w:tc>
          <w:tcPr>
            <w:tcW w:w="255" w:type="dxa"/>
            <w:tcBorders/>
            <w:shd w:fill="CCFFCC" w:val="clear"/>
            <w:vAlign w:val="center"/>
          </w:tcPr>
          <w:p>
            <w:pPr>
              <w:pStyle w:val="TableContents"/>
              <w:spacing w:before="0" w:after="283"/>
              <w:ind w:left="0" w:right="0" w:firstLine="180"/>
              <w:jc w:val="left"/>
              <w:rPr>
                <w:caps w:val="false"/>
                <w:smallCaps w:val="false"/>
                <w:color w:val="000000"/>
              </w:rPr>
            </w:pPr>
            <w:r>
              <w:rPr>
                <w:caps w:val="false"/>
                <w:smallCaps w:val="false"/>
                <w:color w:val="000000"/>
              </w:rPr>
              <w:t> </w:t>
            </w:r>
          </w:p>
        </w:tc>
      </w:tr>
      <w:tr>
        <w:trPr/>
        <w:tc>
          <w:tcPr>
            <w:tcW w:w="342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Depreciation and Amortization Charges</w:t>
            </w:r>
          </w:p>
        </w:tc>
        <w:tc>
          <w:tcPr>
            <w:tcW w:w="168" w:type="dxa"/>
            <w:tcBorders/>
            <w:shd w:fill="FFFFFF" w:val="clear"/>
            <w:vAlign w:val="center"/>
          </w:tcPr>
          <w:p>
            <w:pPr>
              <w:pStyle w:val="TableContents"/>
              <w:spacing w:before="0" w:after="283"/>
              <w:ind w:left="0" w:right="0" w:firstLine="108"/>
              <w:rPr>
                <w:caps w:val="false"/>
                <w:smallCaps w:val="false"/>
                <w:color w:val="000000"/>
              </w:rPr>
            </w:pPr>
            <w:r>
              <w:rPr>
                <w:caps w:val="false"/>
                <w:smallCaps w:val="false"/>
                <w:color w:val="000000"/>
              </w:rPr>
              <w:t> </w:t>
            </w:r>
          </w:p>
        </w:tc>
        <w:tc>
          <w:tcPr>
            <w:tcW w:w="135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Second Quarter</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2,220</w:t>
            </w:r>
          </w:p>
        </w:tc>
        <w:tc>
          <w:tcPr>
            <w:tcW w:w="60"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2,289</w:t>
            </w:r>
          </w:p>
        </w:tc>
        <w:tc>
          <w:tcPr>
            <w:tcW w:w="255" w:type="dxa"/>
            <w:tcBorders/>
            <w:shd w:fill="FFFFFF" w:val="clear"/>
            <w:vAlign w:val="center"/>
          </w:tcPr>
          <w:p>
            <w:pPr>
              <w:pStyle w:val="TableContents"/>
              <w:spacing w:before="0" w:after="283"/>
              <w:jc w:val="left"/>
              <w:rPr>
                <w:caps w:val="false"/>
                <w:smallCaps w:val="false"/>
                <w:color w:val="000000"/>
              </w:rPr>
            </w:pPr>
            <w:r>
              <w:rPr>
                <w:caps w:val="false"/>
                <w:smallCaps w:val="false"/>
                <w:color w:val="000000"/>
              </w:rPr>
              <w:t> </w:t>
            </w:r>
          </w:p>
        </w:tc>
      </w:tr>
      <w:tr>
        <w:trPr/>
        <w:tc>
          <w:tcPr>
            <w:tcW w:w="3425" w:type="dxa"/>
            <w:tcBorders/>
            <w:shd w:fill="CCFFCC" w:val="clear"/>
            <w:vAlign w:val="center"/>
          </w:tcPr>
          <w:p>
            <w:pPr>
              <w:pStyle w:val="TableContents"/>
              <w:spacing w:before="0" w:after="283"/>
              <w:rPr/>
            </w:pPr>
            <w:r>
              <w:rPr/>
              <w:t> </w:t>
            </w:r>
          </w:p>
        </w:tc>
        <w:tc>
          <w:tcPr>
            <w:tcW w:w="168" w:type="dxa"/>
            <w:tcBorders/>
            <w:shd w:fill="CCFFCC" w:val="clear"/>
            <w:vAlign w:val="center"/>
          </w:tcPr>
          <w:p>
            <w:pPr>
              <w:pStyle w:val="TableContents"/>
              <w:spacing w:before="0" w:after="283"/>
              <w:ind w:left="0" w:right="0" w:firstLine="108"/>
              <w:rPr>
                <w:caps w:val="false"/>
                <w:smallCaps w:val="false"/>
                <w:color w:val="000000"/>
              </w:rPr>
            </w:pPr>
            <w:r>
              <w:rPr>
                <w:caps w:val="false"/>
                <w:smallCaps w:val="false"/>
                <w:color w:val="000000"/>
              </w:rPr>
              <w:t> </w:t>
            </w:r>
          </w:p>
        </w:tc>
        <w:tc>
          <w:tcPr>
            <w:tcW w:w="1355"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Year to Date</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4,475</w:t>
            </w:r>
          </w:p>
        </w:tc>
        <w:tc>
          <w:tcPr>
            <w:tcW w:w="60"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FFCC" w:val="clear"/>
            <w:vAlign w:val="center"/>
          </w:tcPr>
          <w:p>
            <w:pPr>
              <w:pStyle w:val="TableContents"/>
              <w:spacing w:before="0" w:after="283"/>
              <w:rPr>
                <w:caps w:val="false"/>
                <w:smallCaps w:val="false"/>
                <w:color w:val="000000"/>
              </w:rPr>
            </w:pPr>
            <w:r>
              <w:rPr>
                <w:caps w:val="false"/>
                <w:smallCaps w:val="false"/>
                <w:color w:val="000000"/>
              </w:rPr>
              <w:t> </w:t>
            </w:r>
          </w:p>
        </w:tc>
        <w:tc>
          <w:tcPr>
            <w:tcW w:w="12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485"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4,634</w:t>
            </w:r>
          </w:p>
        </w:tc>
        <w:tc>
          <w:tcPr>
            <w:tcW w:w="255" w:type="dxa"/>
            <w:tcBorders/>
            <w:shd w:fill="CCFFCC" w:val="clear"/>
            <w:vAlign w:val="center"/>
          </w:tcPr>
          <w:p>
            <w:pPr>
              <w:pStyle w:val="TableContents"/>
              <w:spacing w:before="0" w:after="283"/>
              <w:jc w:val="left"/>
              <w:rPr>
                <w:caps w:val="false"/>
                <w:smallCaps w:val="false"/>
                <w:color w:val="000000"/>
              </w:rPr>
            </w:pPr>
            <w:r>
              <w:rPr>
                <w:caps w:val="false"/>
                <w:smallCaps w:val="false"/>
                <w:color w:val="000000"/>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95425" cy="504825"/>
                    </a:xfrm>
                    <a:prstGeom prst="rect">
                      <a:avLst/>
                    </a:prstGeom>
                  </pic:spPr>
                </pic:pic>
              </a:graphicData>
            </a:graphic>
          </wp:inline>
        </w:drawing>
      </w:r>
    </w:p>
    <w:p>
      <w:pPr>
        <w:pStyle w:val="HorizontalLine"/>
        <w:pBdr>
          <w:bottom w:val="single" w:sz="12" w:space="0" w:color="808080"/>
        </w:pBdr>
        <w:rPr/>
      </w:pPr>
      <w:r>
        <w:rPr/>
      </w:r>
    </w:p>
    <w:p>
      <w:pPr>
        <w:pStyle w:val="TextBody"/>
        <w:spacing w:before="0" w:after="0"/>
        <w:jc w:val="center"/>
        <w:rPr>
          <w:caps w:val="false"/>
          <w:smallCaps w:val="false"/>
        </w:rPr>
      </w:pPr>
      <w:r>
        <w:rPr>
          <w:caps w:val="false"/>
          <w:smallCaps w:val="false"/>
        </w:rPr>
        <w:t> </w:t>
      </w:r>
    </w:p>
    <w:tbl>
      <w:tblPr>
        <w:tblW w:w="4660" w:type="dxa"/>
        <w:jc w:val="left"/>
        <w:tblInd w:w="0" w:type="dxa"/>
        <w:tblCellMar>
          <w:top w:w="0" w:type="dxa"/>
          <w:left w:w="0" w:type="dxa"/>
          <w:bottom w:w="0" w:type="dxa"/>
          <w:right w:w="0" w:type="dxa"/>
        </w:tblCellMar>
      </w:tblPr>
      <w:tblGrid>
        <w:gridCol w:w="3017"/>
        <w:gridCol w:w="151"/>
        <w:gridCol w:w="152"/>
        <w:gridCol w:w="111"/>
        <w:gridCol w:w="314"/>
        <w:gridCol w:w="168"/>
        <w:gridCol w:w="168"/>
        <w:gridCol w:w="168"/>
        <w:gridCol w:w="168"/>
        <w:gridCol w:w="168"/>
        <w:gridCol w:w="75"/>
      </w:tblGrid>
      <w:tr>
        <w:trPr/>
        <w:tc>
          <w:tcPr>
            <w:tcW w:w="3745" w:type="dxa"/>
            <w:gridSpan w:val="5"/>
            <w:tcBorders/>
            <w:shd w:fill="auto" w:val="clear"/>
            <w:vAlign w:val="center"/>
          </w:tcPr>
          <w:p>
            <w:pPr>
              <w:pStyle w:val="TableContents"/>
              <w:spacing w:before="0" w:after="0"/>
              <w:ind w:left="0" w:right="0" w:firstLine="108"/>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320"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Consolidated Statements of Cash Flows</w:t>
            </w:r>
          </w:p>
        </w:tc>
        <w:tc>
          <w:tcPr>
            <w:tcW w:w="111"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017"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thousands)</w:t>
            </w:r>
          </w:p>
        </w:tc>
        <w:tc>
          <w:tcPr>
            <w:tcW w:w="151"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017" w:type="dxa"/>
            <w:tcBorders/>
            <w:shd w:fill="auto" w:val="clear"/>
            <w:vAlign w:val="center"/>
          </w:tcPr>
          <w:p>
            <w:pPr>
              <w:pStyle w:val="TableContents"/>
              <w:spacing w:before="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(unaudited)</w:t>
            </w:r>
          </w:p>
        </w:tc>
        <w:tc>
          <w:tcPr>
            <w:tcW w:w="151"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r>
        <w:trPr/>
        <w:tc>
          <w:tcPr>
            <w:tcW w:w="3017"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168" w:type="dxa"/>
            <w:tcBorders/>
            <w:shd w:fill="auto" w:val="clear"/>
            <w:vAlign w:val="center"/>
          </w:tcPr>
          <w:p>
            <w:pPr>
              <w:pStyle w:val="TableContents"/>
              <w:spacing w:before="0" w:after="283"/>
              <w:ind w:left="0" w:right="0" w:firstLine="108"/>
              <w:rPr/>
            </w:pPr>
            <w:r>
              <w:rPr/>
              <w:t> </w:t>
            </w:r>
          </w:p>
        </w:tc>
        <w:tc>
          <w:tcPr>
            <w:tcW w:w="75" w:type="dxa"/>
            <w:tcBorders/>
            <w:shd w:fill="auto" w:val="clear"/>
            <w:vAlign w:val="center"/>
          </w:tcPr>
          <w:p>
            <w:pPr>
              <w:pStyle w:val="TableContents"/>
              <w:spacing w:before="0" w:after="283"/>
              <w:rPr/>
            </w:pPr>
            <w:r>
              <w:rPr/>
              <w:t> </w:t>
            </w:r>
          </w:p>
        </w:tc>
      </w:tr>
    </w:tbl>
    <w:tbl>
      <w:tblPr>
        <w:tblW w:w="8211" w:type="dxa"/>
        <w:jc w:val="left"/>
        <w:tblInd w:w="0" w:type="dxa"/>
        <w:tblCellMar>
          <w:top w:w="0" w:type="dxa"/>
          <w:left w:w="0" w:type="dxa"/>
          <w:bottom w:w="0" w:type="dxa"/>
          <w:right w:w="0" w:type="dxa"/>
        </w:tblCellMar>
      </w:tblPr>
      <w:tblGrid>
        <w:gridCol w:w="5150"/>
        <w:gridCol w:w="60"/>
        <w:gridCol w:w="175"/>
        <w:gridCol w:w="830"/>
        <w:gridCol w:w="112"/>
        <w:gridCol w:w="84"/>
        <w:gridCol w:w="175"/>
        <w:gridCol w:w="830"/>
        <w:gridCol w:w="795"/>
      </w:tblGrid>
      <w:tr>
        <w:trPr/>
        <w:tc>
          <w:tcPr>
            <w:tcW w:w="5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6"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7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06"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tc>
        <w:tc>
          <w:tcPr>
            <w:tcW w:w="7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150" w:type="dxa"/>
            <w:tcBorders/>
            <w:shd w:fill="auto"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CASH FLOWS FROM OPERATING ACTIVITIES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0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w:t>
            </w:r>
          </w:p>
        </w:tc>
        <w:tc>
          <w:tcPr>
            <w:tcW w:w="112" w:type="dxa"/>
            <w:tcBorders/>
            <w:shd w:fill="auto" w:val="clear"/>
            <w:vAlign w:val="center"/>
          </w:tcPr>
          <w:p>
            <w:pPr>
              <w:pStyle w:val="TableContents"/>
              <w:spacing w:before="0" w:after="283"/>
              <w:rPr>
                <w:caps w:val="false"/>
                <w:smallCaps w:val="false"/>
              </w:rPr>
            </w:pPr>
            <w:r>
              <w:rPr>
                <w:caps w:val="false"/>
                <w:smallCaps w:val="false"/>
              </w:rPr>
              <w:t> </w:t>
            </w:r>
          </w:p>
        </w:tc>
        <w:tc>
          <w:tcPr>
            <w:tcW w:w="84" w:type="dxa"/>
            <w:tcBorders/>
            <w:shd w:fill="auto" w:val="clear"/>
            <w:vAlign w:val="center"/>
          </w:tcPr>
          <w:p>
            <w:pPr>
              <w:pStyle w:val="TableContents"/>
              <w:spacing w:before="0" w:after="283"/>
              <w:rPr>
                <w:caps w:val="false"/>
                <w:smallCaps w:val="false"/>
              </w:rPr>
            </w:pPr>
            <w:r>
              <w:rPr>
                <w:caps w:val="false"/>
                <w:smallCaps w:val="false"/>
              </w:rPr>
              <w:t> </w:t>
            </w:r>
          </w:p>
        </w:tc>
        <w:tc>
          <w:tcPr>
            <w:tcW w:w="100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w:t>
            </w:r>
          </w:p>
        </w:tc>
        <w:tc>
          <w:tcPr>
            <w:tcW w:w="7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1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5" w:type="dxa"/>
            <w:gridSpan w:val="2"/>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005" w:type="dxa"/>
            <w:gridSpan w:val="2"/>
            <w:tcBorders/>
            <w:shd w:fill="auto" w:val="clear"/>
            <w:vAlign w:val="center"/>
          </w:tcPr>
          <w:p>
            <w:pPr>
              <w:pStyle w:val="TableContents"/>
              <w:spacing w:before="0" w:after="283"/>
              <w:rPr/>
            </w:pPr>
            <w:r>
              <w:rPr/>
              <w:t> </w:t>
            </w:r>
          </w:p>
        </w:tc>
        <w:tc>
          <w:tcPr>
            <w:tcW w:w="795" w:type="dxa"/>
            <w:tcBorders/>
            <w:shd w:fill="auto" w:val="clear"/>
            <w:vAlign w:val="center"/>
          </w:tcPr>
          <w:p>
            <w:pPr>
              <w:pStyle w:val="TableContents"/>
              <w:spacing w:before="0" w:after="283"/>
              <w:rPr/>
            </w:pPr>
            <w:r>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Income</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6,598</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w:t>
            </w:r>
          </w:p>
        </w:tc>
        <w:tc>
          <w:tcPr>
            <w:tcW w:w="795" w:type="dxa"/>
            <w:tcBorders/>
            <w:shd w:fill="CCFFCC" w:val="clear"/>
            <w:vAlign w:val="center"/>
          </w:tcPr>
          <w:p>
            <w:pPr>
              <w:pStyle w:val="TableContents"/>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Adjustments to reconcile net income to net cash</w:t>
            </w:r>
          </w:p>
        </w:tc>
        <w:tc>
          <w:tcPr>
            <w:tcW w:w="60"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112" w:type="dxa"/>
            <w:tcBorders/>
            <w:shd w:fill="CCFFCC" w:val="clear"/>
            <w:vAlign w:val="center"/>
          </w:tcPr>
          <w:p>
            <w:pPr>
              <w:pStyle w:val="TableContents"/>
              <w:spacing w:before="0" w:after="283"/>
              <w:jc w:val="left"/>
              <w:rPr/>
            </w:pPr>
            <w:r>
              <w:rPr/>
              <w:t> </w:t>
            </w:r>
          </w:p>
        </w:tc>
        <w:tc>
          <w:tcPr>
            <w:tcW w:w="84"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provided by operating activities:</w:t>
            </w:r>
          </w:p>
        </w:tc>
        <w:tc>
          <w:tcPr>
            <w:tcW w:w="60"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112" w:type="dxa"/>
            <w:tcBorders/>
            <w:shd w:fill="CCFFCC" w:val="clear"/>
            <w:vAlign w:val="center"/>
          </w:tcPr>
          <w:p>
            <w:pPr>
              <w:pStyle w:val="TableContents"/>
              <w:spacing w:before="0" w:after="283"/>
              <w:jc w:val="left"/>
              <w:rPr/>
            </w:pPr>
            <w:r>
              <w:rPr/>
              <w:t> </w:t>
            </w:r>
          </w:p>
        </w:tc>
        <w:tc>
          <w:tcPr>
            <w:tcW w:w="84"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360"/>
              <w:jc w:val="left"/>
              <w:rPr/>
            </w:pPr>
            <w:r>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Depreciation and 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4,475</w:t>
            </w:r>
          </w:p>
        </w:tc>
        <w:tc>
          <w:tcPr>
            <w:tcW w:w="11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4,634</w:t>
            </w:r>
          </w:p>
        </w:tc>
        <w:tc>
          <w:tcPr>
            <w:tcW w:w="795" w:type="dxa"/>
            <w:tcBorders/>
            <w:shd w:fill="FFFFFF"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Capacity Rationalization Plan Charges</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CCFFCC"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(Increase) Decrease in Accounts Receivable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795" w:type="dxa"/>
            <w:tcBorders/>
            <w:shd w:fill="FFFFFF"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Increase in Inventories</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w:t>
            </w:r>
          </w:p>
        </w:tc>
        <w:tc>
          <w:tcPr>
            <w:tcW w:w="112"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w:t>
            </w:r>
          </w:p>
        </w:tc>
        <w:tc>
          <w:tcPr>
            <w:tcW w:w="795" w:type="dxa"/>
            <w:tcBorders/>
            <w:shd w:fill="CCFFCC" w:val="clear"/>
            <w:vAlign w:val="center"/>
          </w:tcPr>
          <w:p>
            <w:pPr>
              <w:pStyle w:val="TableContents"/>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Decrease in 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795" w:type="dxa"/>
            <w:tcBorders/>
            <w:shd w:fill="FFFFFF" w:val="clear"/>
            <w:vAlign w:val="center"/>
          </w:tcPr>
          <w:p>
            <w:pPr>
              <w:pStyle w:val="TableContents"/>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Increase (Decrease) in Accrued Expenses</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795" w:type="dxa"/>
            <w:tcBorders/>
            <w:shd w:fill="CCFFCC" w:val="clear"/>
            <w:vAlign w:val="center"/>
          </w:tcPr>
          <w:p>
            <w:pPr>
              <w:pStyle w:val="TableContents"/>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Increase in Pension and Postretirements benefits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11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w:t>
            </w:r>
          </w:p>
        </w:tc>
        <w:tc>
          <w:tcPr>
            <w:tcW w:w="795" w:type="dxa"/>
            <w:tcBorders/>
            <w:shd w:fill="FFFFFF"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795" w:type="dxa"/>
            <w:tcBorders/>
            <w:shd w:fill="CCFFCC" w:val="clear"/>
            <w:vAlign w:val="center"/>
          </w:tcPr>
          <w:p>
            <w:pPr>
              <w:pStyle w:val="TableContents"/>
              <w:spacing w:before="0" w:after="283"/>
              <w:ind w:left="0" w:right="0" w:firstLine="720"/>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Total Adjustments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4,213</w:t>
            </w:r>
          </w:p>
        </w:tc>
        <w:tc>
          <w:tcPr>
            <w:tcW w:w="11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5,967</w:t>
            </w:r>
          </w:p>
        </w:tc>
        <w:tc>
          <w:tcPr>
            <w:tcW w:w="795" w:type="dxa"/>
            <w:tcBorders/>
            <w:shd w:fill="FFFFFF"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Cash Provided by Operating Activities</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10,811</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10,281</w:t>
            </w:r>
          </w:p>
        </w:tc>
        <w:tc>
          <w:tcPr>
            <w:tcW w:w="795" w:type="dxa"/>
            <w:tcBorders/>
            <w:shd w:fill="CCFFCC" w:val="clear"/>
            <w:vAlign w:val="center"/>
          </w:tcPr>
          <w:p>
            <w:pPr>
              <w:pStyle w:val="TableContents"/>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CASH FLOWS FROM INVESTING ACTIVITIES</w:t>
            </w:r>
          </w:p>
        </w:tc>
        <w:tc>
          <w:tcPr>
            <w:tcW w:w="60"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112" w:type="dxa"/>
            <w:tcBorders/>
            <w:shd w:fill="CCFFCC" w:val="clear"/>
            <w:vAlign w:val="center"/>
          </w:tcPr>
          <w:p>
            <w:pPr>
              <w:pStyle w:val="TableContents"/>
              <w:spacing w:before="0" w:after="283"/>
              <w:jc w:val="left"/>
              <w:rPr/>
            </w:pPr>
            <w:r>
              <w:rPr/>
              <w:t> </w:t>
            </w:r>
          </w:p>
        </w:tc>
        <w:tc>
          <w:tcPr>
            <w:tcW w:w="84"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360"/>
              <w:jc w:val="left"/>
              <w:rPr/>
            </w:pPr>
            <w:r>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Capital Expenditures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(3,512</w:t>
            </w:r>
          </w:p>
        </w:tc>
        <w:tc>
          <w:tcPr>
            <w:tcW w:w="795" w:type="dxa"/>
            <w:tcBorders/>
            <w:shd w:fill="FFFFFF" w:val="clear"/>
            <w:vAlign w:val="center"/>
          </w:tcPr>
          <w:p>
            <w:pPr>
              <w:pStyle w:val="TableContents"/>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(Purchases) Dispositions of Investment Securities</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12"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6,855</w:t>
            </w:r>
          </w:p>
        </w:tc>
        <w:tc>
          <w:tcPr>
            <w:tcW w:w="795" w:type="dxa"/>
            <w:tcBorders/>
            <w:shd w:fill="CCFFCC"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1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795" w:type="dxa"/>
            <w:tcBorders/>
            <w:shd w:fill="FFFFFF"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Cash (Used in) Provided by Investing Activities</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(6,197</w:t>
            </w:r>
          </w:p>
        </w:tc>
        <w:tc>
          <w:tcPr>
            <w:tcW w:w="112"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3,366</w:t>
            </w:r>
          </w:p>
        </w:tc>
        <w:tc>
          <w:tcPr>
            <w:tcW w:w="795" w:type="dxa"/>
            <w:tcBorders/>
            <w:shd w:fill="CCFFCC" w:val="clear"/>
            <w:vAlign w:val="center"/>
          </w:tcPr>
          <w:p>
            <w:pPr>
              <w:pStyle w:val="TableContents"/>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112"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795" w:type="dxa"/>
            <w:tcBorders/>
            <w:shd w:fill="FFFFFF" w:val="clear"/>
            <w:vAlign w:val="center"/>
          </w:tcPr>
          <w:p>
            <w:pPr>
              <w:pStyle w:val="TableContents"/>
              <w:spacing w:before="0" w:after="283"/>
              <w:jc w:val="left"/>
              <w:rPr/>
            </w:pPr>
            <w:r>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CASH FLOWS FROM FINANCING ACTIVITIES</w:t>
            </w:r>
          </w:p>
        </w:tc>
        <w:tc>
          <w:tcPr>
            <w:tcW w:w="60"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112" w:type="dxa"/>
            <w:tcBorders/>
            <w:shd w:fill="CCFFCC" w:val="clear"/>
            <w:vAlign w:val="center"/>
          </w:tcPr>
          <w:p>
            <w:pPr>
              <w:pStyle w:val="TableContents"/>
              <w:spacing w:before="0" w:after="283"/>
              <w:jc w:val="left"/>
              <w:rPr/>
            </w:pPr>
            <w:r>
              <w:rPr/>
              <w:t> </w:t>
            </w:r>
          </w:p>
        </w:tc>
        <w:tc>
          <w:tcPr>
            <w:tcW w:w="84"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ind w:left="0" w:right="0" w:firstLine="360"/>
              <w:jc w:val="left"/>
              <w:rPr/>
            </w:pPr>
            <w:r>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Principal Payments on Long-Term Debt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795" w:type="dxa"/>
            <w:tcBorders/>
            <w:shd w:fill="FFFFFF" w:val="clear"/>
            <w:vAlign w:val="center"/>
          </w:tcPr>
          <w:p>
            <w:pPr>
              <w:pStyle w:val="TableContents"/>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Dividends Paid</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(4,630</w:t>
            </w:r>
          </w:p>
        </w:tc>
        <w:tc>
          <w:tcPr>
            <w:tcW w:w="112" w:type="dxa"/>
            <w:tcBorders/>
            <w:shd w:fill="CCFFCC"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FFCC"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(2,262</w:t>
            </w:r>
          </w:p>
        </w:tc>
        <w:tc>
          <w:tcPr>
            <w:tcW w:w="795" w:type="dxa"/>
            <w:tcBorders/>
            <w:shd w:fill="CCFFCC" w:val="clear"/>
            <w:vAlign w:val="center"/>
          </w:tcPr>
          <w:p>
            <w:pPr>
              <w:pStyle w:val="TableContents"/>
              <w:spacing w:before="0" w:after="283"/>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Purchase of Treasury Stock</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FFFFFF"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Other</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795" w:type="dxa"/>
            <w:tcBorders/>
            <w:shd w:fill="CCFFCC" w:val="clear"/>
            <w:vAlign w:val="center"/>
          </w:tcPr>
          <w:p>
            <w:pPr>
              <w:pStyle w:val="TableContents"/>
              <w:spacing w:before="0" w:after="283"/>
              <w:ind w:left="0" w:right="0" w:firstLine="360"/>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Cash Used in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(6,253</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(4,196</w:t>
            </w:r>
          </w:p>
        </w:tc>
        <w:tc>
          <w:tcPr>
            <w:tcW w:w="7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112" w:type="dxa"/>
            <w:tcBorders/>
            <w:shd w:fill="CCFFCC" w:val="clear"/>
            <w:vAlign w:val="center"/>
          </w:tcPr>
          <w:p>
            <w:pPr>
              <w:pStyle w:val="TableContents"/>
              <w:spacing w:before="0" w:after="283"/>
              <w:jc w:val="left"/>
              <w:rPr/>
            </w:pPr>
            <w:r>
              <w:rPr/>
              <w:t> </w:t>
            </w:r>
          </w:p>
        </w:tc>
        <w:tc>
          <w:tcPr>
            <w:tcW w:w="84"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Effect of exchange rate changes on cash and cash equivalents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7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112" w:type="dxa"/>
            <w:tcBorders/>
            <w:shd w:fill="CCFFCC" w:val="clear"/>
            <w:vAlign w:val="center"/>
          </w:tcPr>
          <w:p>
            <w:pPr>
              <w:pStyle w:val="TableContents"/>
              <w:spacing w:before="0" w:after="283"/>
              <w:jc w:val="left"/>
              <w:rPr/>
            </w:pPr>
            <w:r>
              <w:rPr/>
              <w:t> </w:t>
            </w:r>
          </w:p>
        </w:tc>
        <w:tc>
          <w:tcPr>
            <w:tcW w:w="84" w:type="dxa"/>
            <w:tcBorders/>
            <w:shd w:fill="CCFFCC" w:val="clear"/>
            <w:vAlign w:val="center"/>
          </w:tcPr>
          <w:p>
            <w:pPr>
              <w:pStyle w:val="TableContents"/>
              <w:spacing w:before="0" w:after="283"/>
              <w:rPr/>
            </w:pPr>
            <w:r>
              <w:rPr/>
              <w:t> </w:t>
            </w:r>
          </w:p>
        </w:tc>
        <w:tc>
          <w:tcPr>
            <w:tcW w:w="175" w:type="dxa"/>
            <w:tcBorders/>
            <w:shd w:fill="CCFFCC" w:val="clear"/>
            <w:vAlign w:val="center"/>
          </w:tcPr>
          <w:p>
            <w:pPr>
              <w:pStyle w:val="TableContents"/>
              <w:spacing w:before="0" w:after="283"/>
              <w:jc w:val="left"/>
              <w:rPr/>
            </w:pPr>
            <w:r>
              <w:rPr/>
              <w:t> </w:t>
            </w:r>
          </w:p>
        </w:tc>
        <w:tc>
          <w:tcPr>
            <w:tcW w:w="830" w:type="dxa"/>
            <w:tcBorders/>
            <w:shd w:fill="CCFFCC" w:val="clear"/>
            <w:vAlign w:val="center"/>
          </w:tcPr>
          <w:p>
            <w:pPr>
              <w:pStyle w:val="TableContents"/>
              <w:spacing w:before="0" w:after="283"/>
              <w:jc w:val="right"/>
              <w:rPr/>
            </w:pPr>
            <w:r>
              <w:rPr/>
              <w:t> </w:t>
            </w:r>
          </w:p>
        </w:tc>
        <w:tc>
          <w:tcPr>
            <w:tcW w:w="795" w:type="dxa"/>
            <w:tcBorders/>
            <w:shd w:fill="CCFFCC" w:val="clear"/>
            <w:vAlign w:val="center"/>
          </w:tcPr>
          <w:p>
            <w:pPr>
              <w:pStyle w:val="TableContents"/>
              <w:spacing w:before="0" w:after="283"/>
              <w:jc w:val="left"/>
              <w:rPr/>
            </w:pPr>
            <w:r>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Net (Decrease) Increase in Cash and Cash Equivalents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11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9,474</w:t>
            </w:r>
          </w:p>
        </w:tc>
        <w:tc>
          <w:tcPr>
            <w:tcW w:w="7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150" w:type="dxa"/>
            <w:tcBorders/>
            <w:shd w:fill="CCFFCC"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Cash and Cash Equivalents, Beginning of Period</w:t>
            </w:r>
          </w:p>
        </w:tc>
        <w:tc>
          <w:tcPr>
            <w:tcW w:w="60"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27,093</w:t>
            </w:r>
          </w:p>
        </w:tc>
        <w:tc>
          <w:tcPr>
            <w:tcW w:w="112" w:type="dxa"/>
            <w:tcBorders/>
            <w:shd w:fill="CCFFCC" w:val="clear"/>
            <w:vAlign w:val="center"/>
          </w:tcPr>
          <w:p>
            <w:pPr>
              <w:pStyle w:val="TableContents"/>
              <w:spacing w:before="0" w:after="283"/>
              <w:jc w:val="left"/>
              <w:rPr>
                <w:caps w:val="false"/>
                <w:smallCaps w:val="false"/>
              </w:rPr>
            </w:pPr>
            <w:r>
              <w:rPr>
                <w:caps w:val="false"/>
                <w:smallCaps w:val="false"/>
              </w:rPr>
              <w:t> </w:t>
            </w:r>
          </w:p>
        </w:tc>
        <w:tc>
          <w:tcPr>
            <w:tcW w:w="84" w:type="dxa"/>
            <w:tcBorders/>
            <w:shd w:fill="CCFFCC" w:val="clear"/>
            <w:vAlign w:val="center"/>
          </w:tcPr>
          <w:p>
            <w:pPr>
              <w:pStyle w:val="TableContents"/>
              <w:spacing w:before="0" w:after="283"/>
              <w:rPr>
                <w:caps w:val="false"/>
                <w:smallCaps w:val="false"/>
              </w:rPr>
            </w:pPr>
            <w:r>
              <w:rPr>
                <w:caps w:val="false"/>
                <w:smallCaps w:val="false"/>
              </w:rPr>
              <w:t> </w:t>
            </w:r>
          </w:p>
        </w:tc>
        <w:tc>
          <w:tcPr>
            <w:tcW w:w="175" w:type="dxa"/>
            <w:tcBorders>
              <w:bottom w:val="single" w:sz="8" w:space="0" w:color="000000"/>
            </w:tcBorders>
            <w:shd w:fill="CCFFCC"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8" w:space="0" w:color="000000"/>
            </w:tcBorders>
            <w:shd w:fill="CCFFCC"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17,885</w:t>
            </w:r>
          </w:p>
        </w:tc>
        <w:tc>
          <w:tcPr>
            <w:tcW w:w="795" w:type="dxa"/>
            <w:tcBorders/>
            <w:shd w:fill="CCFFCC" w:val="clear"/>
            <w:vAlign w:val="center"/>
          </w:tcPr>
          <w:p>
            <w:pPr>
              <w:pStyle w:val="TableContents"/>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Cash and Cash Equivalents,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25,430</w:t>
            </w:r>
          </w:p>
        </w:tc>
        <w:tc>
          <w:tcPr>
            <w:tcW w:w="11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spacing w:before="0" w:after="283"/>
              <w:rPr>
                <w:caps w:val="false"/>
                <w:smallCaps w:val="false"/>
              </w:rPr>
            </w:pPr>
            <w:r>
              <w:rPr>
                <w:caps w:val="false"/>
                <w:smallCaps w:val="false"/>
              </w:rPr>
              <w:t> </w:t>
            </w:r>
          </w:p>
        </w:tc>
        <w:tc>
          <w:tcPr>
            <w:tcW w:w="17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27,359</w:t>
            </w:r>
          </w:p>
        </w:tc>
        <w:tc>
          <w:tcPr>
            <w:tcW w:w="7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HorizontalLine"/>
        <w:pBdr>
          <w:bottom w:val="single" w:sz="12" w:space="0" w:color="808080"/>
        </w:pBdr>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Investor Relations Contact</w:t>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Reagan Culbertson</w:t>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2579</Words>
  <CharactersWithSpaces>17241</CharactersWithSpaces>
  <Paragraphs>1886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