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30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11)*</w:t>
      </w: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OIL-DRI CORP OF AMERICA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of Issuer)</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Securities)</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677864100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76200</wp:posOffset>
            </wp:positionV>
            <wp:extent cx="2015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ind w:left="4100"/>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141"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5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5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58" w:lineRule="exact"/>
        <w:rPr>
          <w:sz w:val="24"/>
          <w:szCs w:val="24"/>
          <w:color w:val="auto"/>
        </w:rPr>
      </w:pPr>
    </w:p>
    <w:p>
      <w:pPr>
        <w:ind w:left="220" w:right="80" w:hanging="212"/>
        <w:spacing w:after="0" w:line="268"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8" w:lineRule="exact"/>
        <w:rPr>
          <w:sz w:val="24"/>
          <w:szCs w:val="24"/>
          <w:color w:val="auto"/>
        </w:rPr>
      </w:pPr>
    </w:p>
    <w:p>
      <w:pPr>
        <w:ind w:right="300"/>
        <w:spacing w:after="0" w:line="259"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CUSIP No. 677864100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4"/>
          <w:szCs w:val="24"/>
          <w:color w:val="auto"/>
        </w:rPr>
      </w:pP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6"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Dimensional Fund Advisors LP (Tax ID: 30-0447847)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Delaware Limited Partnership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5. Sole Voting Power</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78"/>
        </w:trPr>
        <w:tc>
          <w:tcPr>
            <w:tcW w:w="1040" w:type="dxa"/>
            <w:vAlign w:val="bottom"/>
          </w:tcPr>
          <w:p>
            <w:pPr>
              <w:spacing w:after="0"/>
              <w:rPr>
                <w:sz w:val="20"/>
                <w:szCs w:val="20"/>
                <w:color w:val="auto"/>
              </w:rPr>
            </w:pPr>
            <w:r>
              <w:rPr>
                <w:rFonts w:ascii="Arial" w:cs="Arial" w:eastAsia="Arial" w:hAnsi="Arial"/>
                <w:sz w:val="18"/>
                <w:szCs w:val="18"/>
                <w:color w:val="auto"/>
              </w:rPr>
              <w:t>Number of</w:t>
            </w:r>
          </w:p>
        </w:tc>
        <w:tc>
          <w:tcPr>
            <w:tcW w:w="360" w:type="dxa"/>
            <w:vAlign w:val="bottom"/>
            <w:tcBorders>
              <w:bottom w:val="single" w:sz="8" w:color="auto"/>
            </w:tcBorders>
          </w:tcPr>
          <w:p>
            <w:pPr>
              <w:spacing w:after="0"/>
              <w:rPr>
                <w:sz w:val="24"/>
                <w:szCs w:val="24"/>
                <w:color w:val="auto"/>
              </w:rPr>
            </w:pPr>
          </w:p>
        </w:tc>
        <w:tc>
          <w:tcPr>
            <w:tcW w:w="10020" w:type="dxa"/>
            <w:vAlign w:val="bottom"/>
            <w:tcBorders>
              <w:bottom w:val="single" w:sz="8" w:color="auto"/>
            </w:tcBorders>
          </w:tcPr>
          <w:p>
            <w:pPr>
              <w:ind w:left="400"/>
              <w:spacing w:after="0"/>
              <w:rPr>
                <w:sz w:val="20"/>
                <w:szCs w:val="20"/>
                <w:color w:val="auto"/>
              </w:rPr>
            </w:pPr>
            <w:r>
              <w:rPr>
                <w:rFonts w:ascii="Arial" w:cs="Arial" w:eastAsia="Arial" w:hAnsi="Arial"/>
                <w:sz w:val="22"/>
                <w:szCs w:val="22"/>
                <w:color w:val="auto"/>
              </w:rPr>
              <w:t>407602 **see Note 1**</w:t>
            </w:r>
          </w:p>
        </w:tc>
        <w:tc>
          <w:tcPr>
            <w:tcW w:w="0" w:type="dxa"/>
            <w:vAlign w:val="bottom"/>
          </w:tcPr>
          <w:p>
            <w:pPr>
              <w:spacing w:after="0"/>
              <w:rPr>
                <w:sz w:val="1"/>
                <w:szCs w:val="1"/>
                <w:color w:val="auto"/>
              </w:rPr>
            </w:pPr>
          </w:p>
        </w:tc>
      </w:tr>
      <w:tr>
        <w:trPr>
          <w:trHeight w:val="242"/>
        </w:trPr>
        <w:tc>
          <w:tcPr>
            <w:tcW w:w="1040" w:type="dxa"/>
            <w:vAlign w:val="bottom"/>
          </w:tcPr>
          <w:p>
            <w:pPr>
              <w:spacing w:after="0"/>
              <w:rPr>
                <w:sz w:val="20"/>
                <w:szCs w:val="20"/>
                <w:color w:val="auto"/>
              </w:rPr>
            </w:pPr>
            <w:r>
              <w:rPr>
                <w:rFonts w:ascii="Arial" w:cs="Arial" w:eastAsia="Arial" w:hAnsi="Arial"/>
                <w:sz w:val="18"/>
                <w:szCs w:val="18"/>
                <w:color w:val="auto"/>
              </w:rPr>
              <w:t>Shares</w:t>
            </w: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1002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Beneficially</w:t>
            </w:r>
          </w:p>
        </w:tc>
        <w:tc>
          <w:tcPr>
            <w:tcW w:w="360" w:type="dxa"/>
            <w:vAlign w:val="bottom"/>
          </w:tcPr>
          <w:p>
            <w:pPr>
              <w:spacing w:after="0"/>
              <w:rPr>
                <w:sz w:val="18"/>
                <w:szCs w:val="18"/>
                <w:color w:val="auto"/>
              </w:rPr>
            </w:pPr>
          </w:p>
        </w:tc>
        <w:tc>
          <w:tcPr>
            <w:tcW w:w="10020" w:type="dxa"/>
            <w:vAlign w:val="bottom"/>
            <w:vMerge w:val="restart"/>
          </w:tcPr>
          <w:p>
            <w:pPr>
              <w:ind w:left="4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2"/>
        </w:trPr>
        <w:tc>
          <w:tcPr>
            <w:tcW w:w="1040" w:type="dxa"/>
            <w:vAlign w:val="bottom"/>
          </w:tcPr>
          <w:p>
            <w:pPr>
              <w:spacing w:after="0"/>
              <w:rPr>
                <w:sz w:val="20"/>
                <w:szCs w:val="20"/>
                <w:color w:val="auto"/>
              </w:rPr>
            </w:pPr>
            <w:r>
              <w:rPr>
                <w:rFonts w:ascii="Arial" w:cs="Arial" w:eastAsia="Arial" w:hAnsi="Arial"/>
                <w:sz w:val="18"/>
                <w:szCs w:val="18"/>
                <w:color w:val="auto"/>
              </w:rPr>
              <w:t>Owned by</w:t>
            </w:r>
          </w:p>
        </w:tc>
        <w:tc>
          <w:tcPr>
            <w:tcW w:w="360" w:type="dxa"/>
            <w:vAlign w:val="bottom"/>
            <w:tcBorders>
              <w:bottom w:val="single" w:sz="8" w:color="auto"/>
            </w:tcBorders>
          </w:tcPr>
          <w:p>
            <w:pPr>
              <w:spacing w:after="0"/>
              <w:rPr>
                <w:sz w:val="19"/>
                <w:szCs w:val="19"/>
                <w:color w:val="auto"/>
              </w:rPr>
            </w:pPr>
          </w:p>
        </w:tc>
        <w:tc>
          <w:tcPr>
            <w:tcW w:w="10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40" w:type="dxa"/>
            <w:vAlign w:val="bottom"/>
          </w:tcPr>
          <w:p>
            <w:pPr>
              <w:spacing w:after="0" w:line="190" w:lineRule="exact"/>
              <w:rPr>
                <w:sz w:val="20"/>
                <w:szCs w:val="20"/>
                <w:color w:val="auto"/>
              </w:rPr>
            </w:pPr>
            <w:r>
              <w:rPr>
                <w:rFonts w:ascii="Arial" w:cs="Arial" w:eastAsia="Arial" w:hAnsi="Arial"/>
                <w:sz w:val="18"/>
                <w:szCs w:val="18"/>
                <w:color w:val="auto"/>
              </w:rPr>
              <w:t>Each</w:t>
            </w:r>
          </w:p>
        </w:tc>
        <w:tc>
          <w:tcPr>
            <w:tcW w:w="360" w:type="dxa"/>
            <w:vAlign w:val="bottom"/>
          </w:tcPr>
          <w:p>
            <w:pPr>
              <w:jc w:val="right"/>
              <w:spacing w:after="0" w:line="190" w:lineRule="exact"/>
              <w:rPr>
                <w:sz w:val="20"/>
                <w:szCs w:val="20"/>
                <w:color w:val="auto"/>
              </w:rPr>
            </w:pPr>
            <w:r>
              <w:rPr>
                <w:rFonts w:ascii="Arial" w:cs="Arial" w:eastAsia="Arial" w:hAnsi="Arial"/>
                <w:sz w:val="18"/>
                <w:szCs w:val="18"/>
                <w:color w:val="auto"/>
              </w:rPr>
              <w:t>7.</w:t>
            </w:r>
          </w:p>
        </w:tc>
        <w:tc>
          <w:tcPr>
            <w:tcW w:w="10020" w:type="dxa"/>
            <w:vAlign w:val="bottom"/>
          </w:tcPr>
          <w:p>
            <w:pPr>
              <w:ind w:left="2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Reporting</w:t>
            </w:r>
          </w:p>
        </w:tc>
        <w:tc>
          <w:tcPr>
            <w:tcW w:w="36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Person</w:t>
            </w:r>
          </w:p>
        </w:tc>
        <w:tc>
          <w:tcPr>
            <w:tcW w:w="360" w:type="dxa"/>
            <w:vAlign w:val="bottom"/>
          </w:tcPr>
          <w:p>
            <w:pPr>
              <w:spacing w:after="0"/>
              <w:rPr>
                <w:sz w:val="18"/>
                <w:szCs w:val="18"/>
                <w:color w:val="auto"/>
              </w:rPr>
            </w:pPr>
          </w:p>
        </w:tc>
        <w:tc>
          <w:tcPr>
            <w:tcW w:w="10020" w:type="dxa"/>
            <w:vAlign w:val="bottom"/>
          </w:tcPr>
          <w:p>
            <w:pPr>
              <w:ind w:left="400"/>
              <w:spacing w:after="0" w:line="217" w:lineRule="exact"/>
              <w:rPr>
                <w:sz w:val="20"/>
                <w:szCs w:val="20"/>
                <w:color w:val="auto"/>
              </w:rPr>
            </w:pPr>
            <w:r>
              <w:rPr>
                <w:rFonts w:ascii="Arial" w:cs="Arial" w:eastAsia="Arial" w:hAnsi="Arial"/>
                <w:sz w:val="22"/>
                <w:szCs w:val="22"/>
                <w:color w:val="auto"/>
              </w:rPr>
              <w:t>418575 **see Note 1**</w:t>
            </w:r>
          </w:p>
        </w:tc>
        <w:tc>
          <w:tcPr>
            <w:tcW w:w="0" w:type="dxa"/>
            <w:vAlign w:val="bottom"/>
          </w:tcPr>
          <w:p>
            <w:pPr>
              <w:spacing w:after="0"/>
              <w:rPr>
                <w:sz w:val="1"/>
                <w:szCs w:val="1"/>
                <w:color w:val="auto"/>
              </w:rPr>
            </w:pPr>
          </w:p>
        </w:tc>
      </w:tr>
      <w:tr>
        <w:trPr>
          <w:trHeight w:val="62"/>
        </w:trPr>
        <w:tc>
          <w:tcPr>
            <w:tcW w:w="1040" w:type="dxa"/>
            <w:vAlign w:val="bottom"/>
            <w:vMerge w:val="restart"/>
          </w:tcPr>
          <w:p>
            <w:pPr>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5"/>
                <w:szCs w:val="5"/>
                <w:color w:val="auto"/>
              </w:rPr>
            </w:pPr>
          </w:p>
        </w:tc>
        <w:tc>
          <w:tcPr>
            <w:tcW w:w="10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040" w:type="dxa"/>
            <w:vAlign w:val="bottom"/>
            <w:vMerge w:val="continue"/>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2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76"/>
        </w:trPr>
        <w:tc>
          <w:tcPr>
            <w:tcW w:w="104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0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88" w:lineRule="exact"/>
        <w:rPr>
          <w:sz w:val="24"/>
          <w:szCs w:val="24"/>
          <w:color w:val="auto"/>
        </w:rPr>
      </w:pPr>
    </w:p>
    <w:p>
      <w:pPr>
        <w:ind w:left="1800"/>
        <w:spacing w:after="0"/>
        <w:rPr>
          <w:sz w:val="20"/>
          <w:szCs w:val="20"/>
          <w:color w:val="auto"/>
        </w:rPr>
      </w:pPr>
      <w:r>
        <w:rPr>
          <w:rFonts w:ascii="Arial" w:cs="Arial" w:eastAsia="Arial" w:hAnsi="Arial"/>
          <w:sz w:val="22"/>
          <w:szCs w:val="22"/>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418575 **see Note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5"/>
          <w:szCs w:val="15"/>
          <w:color w:val="auto"/>
        </w:rPr>
        <w:t>Check if the Aggregate Amount in Row (9) Excludes Certain Shares (See Instructions)</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Percent of Class Represented by Amount in Row (9)</w:t>
      </w:r>
    </w:p>
    <w:p>
      <w:pPr>
        <w:sectPr>
          <w:pgSz w:w="11900" w:h="16838" w:orient="portrait"/>
          <w:cols w:equalWidth="0" w:num="1">
            <w:col w:w="11420"/>
          </w:cols>
          <w:pgMar w:left="240" w:top="666" w:right="239" w:bottom="0" w:gutter="0" w:footer="0" w:header="0"/>
        </w:sectPr>
      </w:pPr>
    </w:p>
    <w:bookmarkStart w:id="1" w:name="page2"/>
    <w:bookmarkEnd w:id="1"/>
    <w:p>
      <w:pPr>
        <w:ind w:left="1020"/>
        <w:spacing w:after="0"/>
        <w:rPr>
          <w:sz w:val="20"/>
          <w:szCs w:val="20"/>
          <w:color w:val="auto"/>
        </w:rPr>
      </w:pPr>
      <w:r>
        <w:rPr>
          <w:rFonts w:ascii="Arial" w:cs="Arial" w:eastAsia="Arial" w:hAnsi="Arial"/>
          <w:sz w:val="22"/>
          <w:szCs w:val="22"/>
          <w:color w:val="auto"/>
        </w:rPr>
        <w:t>8.03%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Type of Reporting Person (See Instructions)</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86"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Item 1.</w:t>
      </w:r>
    </w:p>
    <w:p>
      <w:pPr>
        <w:spacing w:after="0" w:line="117" w:lineRule="exact"/>
        <w:rPr>
          <w:sz w:val="20"/>
          <w:szCs w:val="20"/>
          <w:color w:val="auto"/>
        </w:rPr>
      </w:pPr>
    </w:p>
    <w:p>
      <w:pPr>
        <w:ind w:left="1320" w:hanging="434"/>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410 N Michigan Ave Ste 400, Chicago,IL 60611-4213</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117" w:lineRule="exact"/>
        <w:rPr>
          <w:sz w:val="20"/>
          <w:szCs w:val="20"/>
          <w:color w:val="auto"/>
        </w:rPr>
      </w:pPr>
    </w:p>
    <w:p>
      <w:pPr>
        <w:ind w:left="1320" w:hanging="434"/>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320" w:hanging="434"/>
        <w:spacing w:after="0"/>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00" w:lineRule="exact"/>
        <w:rPr>
          <w:sz w:val="20"/>
          <w:szCs w:val="20"/>
          <w:color w:val="auto"/>
        </w:rPr>
      </w:pPr>
    </w:p>
    <w:p>
      <w:pPr>
        <w:spacing w:after="0" w:line="214" w:lineRule="exact"/>
        <w:rPr>
          <w:sz w:val="20"/>
          <w:szCs w:val="20"/>
          <w:color w:val="auto"/>
        </w:rPr>
      </w:pPr>
    </w:p>
    <w:p>
      <w:pPr>
        <w:ind w:left="1760" w:right="8020" w:hanging="874"/>
        <w:spacing w:after="0" w:line="405" w:lineRule="auto"/>
        <w:tabs>
          <w:tab w:leader="none" w:pos="1328" w:val="left"/>
        </w:tabs>
        <w:numPr>
          <w:ilvl w:val="0"/>
          <w:numId w:val="11"/>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ind w:left="1760" w:right="8660" w:hanging="874"/>
        <w:spacing w:after="0" w:line="432" w:lineRule="auto"/>
        <w:tabs>
          <w:tab w:leader="none" w:pos="1328" w:val="left"/>
        </w:tabs>
        <w:numPr>
          <w:ilvl w:val="0"/>
          <w:numId w:val="11"/>
        </w:numPr>
        <w:rPr>
          <w:rFonts w:ascii="Arial" w:cs="Arial" w:eastAsia="Arial" w:hAnsi="Arial"/>
          <w:sz w:val="15"/>
          <w:szCs w:val="15"/>
          <w:color w:val="auto"/>
        </w:rPr>
      </w:pPr>
      <w:r>
        <w:rPr>
          <w:rFonts w:ascii="Arial" w:cs="Arial" w:eastAsia="Arial" w:hAnsi="Arial"/>
          <w:sz w:val="15"/>
          <w:szCs w:val="15"/>
          <w:color w:val="auto"/>
        </w:rPr>
        <w:t>CUSIP Number 677864100</w:t>
      </w:r>
    </w:p>
    <w:p>
      <w:pPr>
        <w:spacing w:after="0"/>
        <w:tabs>
          <w:tab w:leader="none" w:pos="8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Sec. 240.13d-1(b) or 240.13d-2(b) or (c), check whether the person filing is a:</w:t>
      </w:r>
    </w:p>
    <w:p>
      <w:pPr>
        <w:spacing w:after="0" w:line="85" w:lineRule="exact"/>
        <w:rPr>
          <w:sz w:val="20"/>
          <w:szCs w:val="20"/>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Sec. 240.13d-1(b)(1)(ii)(E);</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Sec. 240.13d-1(b)(1)(ii)(F);</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Sec. 240.13d-1(b)(1)(ii)(G);</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700" w:hanging="814"/>
        <w:spacing w:after="0" w:line="236" w:lineRule="exact"/>
        <w:tabs>
          <w:tab w:leader="none" w:pos="1322"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9"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Sec. 240.13d-1(b)(1)(ii)(J);</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Sec. 240.13d-1(b)(1)(ii)(J).</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1760" w:right="7780" w:hanging="874"/>
        <w:spacing w:after="0" w:line="405" w:lineRule="auto"/>
        <w:tabs>
          <w:tab w:leader="none" w:pos="1328" w:val="left"/>
        </w:tabs>
        <w:numPr>
          <w:ilvl w:val="0"/>
          <w:numId w:val="13"/>
        </w:numPr>
        <w:rPr>
          <w:rFonts w:ascii="Arial" w:cs="Arial" w:eastAsia="Arial" w:hAnsi="Arial"/>
          <w:sz w:val="16"/>
          <w:szCs w:val="16"/>
          <w:color w:val="auto"/>
        </w:rPr>
      </w:pPr>
      <w:r>
        <w:rPr>
          <w:rFonts w:ascii="Arial" w:cs="Arial" w:eastAsia="Arial" w:hAnsi="Arial"/>
          <w:sz w:val="16"/>
          <w:szCs w:val="16"/>
          <w:color w:val="auto"/>
        </w:rPr>
        <w:t>Amount beneficially owned: 418575 **see Note 1**</w:t>
      </w:r>
    </w:p>
    <w:p>
      <w:pPr>
        <w:ind w:left="1320" w:hanging="434"/>
        <w:spacing w:after="0"/>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8.03%</w:t>
      </w:r>
    </w:p>
    <w:p>
      <w:pPr>
        <w:sectPr>
          <w:pgSz w:w="11900" w:h="16838" w:orient="portrait"/>
          <w:cols w:equalWidth="0" w:num="1">
            <w:col w:w="11200"/>
          </w:cols>
          <w:pgMar w:left="240" w:top="131" w:right="459" w:bottom="1440" w:gutter="0" w:footer="0" w:header="0"/>
        </w:sectPr>
      </w:pPr>
    </w:p>
    <w:bookmarkStart w:id="3" w:name="page4"/>
    <w:bookmarkEnd w:id="3"/>
    <w:p>
      <w:pPr>
        <w:ind w:left="1680" w:hanging="781"/>
        <w:spacing w:after="0"/>
        <w:tabs>
          <w:tab w:leader="none" w:pos="1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2500" w:right="654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Sole power to vote or to direct the vote: 407602 **see Note 1**</w:t>
      </w:r>
    </w:p>
    <w:p>
      <w:pPr>
        <w:spacing w:after="0" w:line="24" w:lineRule="exact"/>
        <w:rPr>
          <w:rFonts w:ascii="Arial" w:cs="Arial" w:eastAsia="Arial" w:hAnsi="Arial"/>
          <w:sz w:val="18"/>
          <w:szCs w:val="18"/>
          <w:color w:val="auto"/>
        </w:rPr>
      </w:pPr>
    </w:p>
    <w:p>
      <w:pPr>
        <w:ind w:left="2500" w:right="638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4" w:lineRule="exact"/>
        <w:rPr>
          <w:rFonts w:ascii="Arial" w:cs="Arial" w:eastAsia="Arial" w:hAnsi="Arial"/>
          <w:sz w:val="18"/>
          <w:szCs w:val="18"/>
          <w:color w:val="auto"/>
        </w:rPr>
      </w:pPr>
    </w:p>
    <w:p>
      <w:pPr>
        <w:ind w:left="2500" w:right="566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418575 **see Note 1**</w:t>
      </w:r>
    </w:p>
    <w:p>
      <w:pPr>
        <w:spacing w:after="0" w:line="24" w:lineRule="exact"/>
        <w:rPr>
          <w:rFonts w:ascii="Arial" w:cs="Arial" w:eastAsia="Arial" w:hAnsi="Arial"/>
          <w:sz w:val="18"/>
          <w:szCs w:val="18"/>
          <w:color w:val="auto"/>
        </w:rPr>
      </w:pPr>
    </w:p>
    <w:p>
      <w:pPr>
        <w:ind w:left="2500" w:right="550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64" w:lineRule="exact"/>
        <w:rPr>
          <w:rFonts w:ascii="Arial" w:cs="Arial" w:eastAsia="Arial" w:hAnsi="Arial"/>
          <w:sz w:val="18"/>
          <w:szCs w:val="18"/>
          <w:color w:val="auto"/>
        </w:rPr>
      </w:pPr>
    </w:p>
    <w:p>
      <w:pPr>
        <w:ind w:left="920" w:firstLine="1"/>
        <w:spacing w:after="0" w:line="287" w:lineRule="auto"/>
        <w:tabs>
          <w:tab w:leader="none" w:pos="1139" w:val="left"/>
        </w:tabs>
        <w:numPr>
          <w:ilvl w:val="1"/>
          <w:numId w:val="14"/>
        </w:numPr>
        <w:rPr>
          <w:rFonts w:ascii="Arial" w:cs="Arial" w:eastAsia="Arial" w:hAnsi="Arial"/>
          <w:sz w:val="16"/>
          <w:szCs w:val="16"/>
          <w:color w:val="auto"/>
        </w:rPr>
      </w:pPr>
      <w:r>
        <w:rPr>
          <w:rFonts w:ascii="Arial" w:cs="Arial" w:eastAsia="Arial" w:hAnsi="Arial"/>
          <w:sz w:val="16"/>
          <w:szCs w:val="16"/>
          <w:color w:val="auto"/>
        </w:rPr>
        <w:t>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10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5"/>
          <w:szCs w:val="15"/>
          <w:color w:val="auto"/>
        </w:rPr>
        <w:t>Ownership of Five Percent or Less of a Class</w:t>
      </w:r>
    </w:p>
    <w:p>
      <w:pPr>
        <w:spacing w:after="0" w:line="11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7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117" w:lineRule="exact"/>
        <w:rPr>
          <w:sz w:val="20"/>
          <w:szCs w:val="20"/>
          <w:color w:val="auto"/>
        </w:rPr>
      </w:pPr>
    </w:p>
    <w:p>
      <w:pPr>
        <w:jc w:val="both"/>
        <w:ind w:left="920" w:right="80"/>
        <w:spacing w:after="0" w:line="306" w:lineRule="auto"/>
        <w:rPr>
          <w:sz w:val="20"/>
          <w:szCs w:val="20"/>
          <w:color w:val="auto"/>
        </w:rPr>
      </w:pPr>
      <w:r>
        <w:rPr>
          <w:rFonts w:ascii="Arial" w:cs="Arial" w:eastAsia="Arial" w:hAnsi="Arial"/>
          <w:sz w:val="16"/>
          <w:szCs w:val="16"/>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53" w:lineRule="exact"/>
        <w:rPr>
          <w:sz w:val="20"/>
          <w:szCs w:val="20"/>
          <w:color w:val="auto"/>
        </w:rPr>
      </w:pPr>
    </w:p>
    <w:p>
      <w:pPr>
        <w:ind w:left="920" w:right="400" w:hanging="917"/>
        <w:spacing w:after="0" w:line="268" w:lineRule="auto"/>
        <w:tabs>
          <w:tab w:leader="none" w:pos="9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w:t>
      </w:r>
    </w:p>
    <w:p>
      <w:pPr>
        <w:spacing w:after="0" w:line="117" w:lineRule="exact"/>
        <w:rPr>
          <w:sz w:val="20"/>
          <w:szCs w:val="20"/>
          <w:color w:val="auto"/>
        </w:rPr>
      </w:pPr>
    </w:p>
    <w:p>
      <w:pPr>
        <w:ind w:left="1360" w:right="100"/>
        <w:spacing w:after="0" w:line="298"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Sec. 240.14a-11.</w:t>
      </w:r>
    </w:p>
    <w:p>
      <w:pPr>
        <w:sectPr>
          <w:pgSz w:w="11900" w:h="16838" w:orient="portrait"/>
          <w:cols w:equalWidth="0" w:num="1">
            <w:col w:w="11400"/>
          </w:cols>
          <w:pgMar w:left="240" w:top="239" w:right="259" w:bottom="1440" w:gutter="0" w:footer="0" w:header="0"/>
        </w:sectPr>
      </w:pPr>
    </w:p>
    <w:bookmarkStart w:id="4" w:name="page5"/>
    <w:bookmarkEnd w:id="4"/>
    <w:p>
      <w:pPr>
        <w:ind w:left="5200"/>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DIMENSIONAL FUND ADVISORS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February 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1747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Dimensional Holdings Inc., General Partner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Christopher Crossan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Global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7583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sectPr>
      <w:pgSz w:w="11900" w:h="16838" w:orient="portrait"/>
      <w:cols w:equalWidth="0" w:num="1">
        <w:col w:w="10780"/>
      </w:cols>
      <w:pgMar w:left="240" w:top="125"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2"/>
    </w:lvl>
    <w:lvl w:ilvl="1">
      <w:lvlJc w:val="left"/>
      <w:lvlText w:val="(%2)"/>
      <w:numFmt w:val="lowerLetter"/>
      <w:start w:val="1"/>
    </w:lvl>
  </w:abstractNum>
  <w:abstractNum w:abstractNumId="5">
    <w:nsid w:val="4DB127F8"/>
    <w:multiLevelType w:val="hybridMultilevel"/>
    <w:lvl w:ilvl="0">
      <w:lvlJc w:val="left"/>
      <w:lvlText w:val="(%1)"/>
      <w:numFmt w:val="lowerLetter"/>
      <w:start w:val="1"/>
    </w:lvl>
  </w:abstractNum>
  <w:abstractNum w:abstractNumId="6">
    <w:nsid w:val="216231B"/>
    <w:multiLevelType w:val="hybridMultilevel"/>
    <w:lvl w:ilvl="0">
      <w:lvlJc w:val="left"/>
      <w:lvlText w:val="(%1)"/>
      <w:numFmt w:val="lowerLetter"/>
      <w:start w:val="2"/>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lowerLetter"/>
      <w:start w:val="2"/>
    </w:lvl>
  </w:abstractNum>
  <w:abstractNum w:abstractNumId="9">
    <w:nsid w:val="66EF438D"/>
    <w:multiLevelType w:val="hybridMultilevel"/>
    <w:lvl w:ilvl="0">
      <w:lvlJc w:val="left"/>
      <w:lvlText w:val="(%1)"/>
      <w:numFmt w:val="lowerLetter"/>
      <w:start w:val="3"/>
    </w:lvl>
  </w:abstractNum>
  <w:abstractNum w:abstractNumId="10">
    <w:nsid w:val="140E0F76"/>
    <w:multiLevelType w:val="hybridMultilevel"/>
    <w:lvl w:ilvl="0">
      <w:lvlJc w:val="left"/>
      <w:lvlText w:val="(%1)"/>
      <w:numFmt w:val="lowerLetter"/>
      <w:start w:val="4"/>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3"/>
    </w:lvl>
    <w:lvl w:ilvl="1">
      <w:lvlJc w:val="left"/>
      <w:lvlText w:val="**"/>
      <w:numFmt w:val="bullet"/>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2020-01-09T19:46:58Z</dcterms:created>
  <dcterms:modified xsi:type="dcterms:W3CDTF">2020-01-09T19:46:58Z</dcterms:modified>
</cp:coreProperties>
</file>