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Arial" w:cs="Arial" w:eastAsia="Arial" w:hAnsi="Arial"/>
                <w:sz w:val="18"/>
                <w:szCs w:val="18"/>
                <w:color w:val="auto"/>
                <w:w w:val="90"/>
              </w:rPr>
              <w:t>December 4, 2015</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4, 2015, Oil-Dri Corporation of America (the “Registrant”) issued a press release announcing its results of operations for its first quarter ended October 31, 2015.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December 4, 2015 (Quarterly Earnings)</w:t>
            </w: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2015</w:t>
      </w:r>
    </w:p>
    <w:p>
      <w:pPr>
        <w:sectPr>
          <w:pgSz w:w="11900" w:h="16838" w:orient="portrait"/>
          <w:cols w:equalWidth="0" w:num="1">
            <w:col w:w="10880"/>
          </w:cols>
          <w:pgMar w:left="240" w:top="580"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December 4, 2015 (Quarterly Earnings)</w:t>
            </w:r>
          </w:p>
        </w:tc>
      </w:tr>
    </w:tbl>
    <w:p>
      <w:pPr>
        <w:sectPr>
          <w:pgSz w:w="11900" w:h="16838" w:orient="portrait"/>
          <w:cols w:equalWidth="0" w:num="1">
            <w:col w:w="11420"/>
          </w:cols>
          <w:pgMar w:left="240" w:top="5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First Quarter Fiscal 2016 Results</w:t>
      </w:r>
    </w:p>
    <w:p>
      <w:pPr>
        <w:spacing w:after="0" w:line="266"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CHICAGO-(December 4, 2015)-Oil-Dri Corporation of America (NYSE: ODC) today announced income for the first quarter of fiscal 2016 of $5,423,000, or $0.75 of diluted earnings per share, compared to net income of $2,120,000, or $0.30 of diluted earnings per share, in the same quarter of the prior year. Net sales in the quarter of $67,795,000 increased by 3% compared to net sales of $66,044,000 in the same quarter of the prior year. Quarterly income was a record high for the second consecutive quarter.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President and Chief Executive Officer Daniel S. Jaffee said, “Results from the first quarter were exceptional. All facets of the business contributed to the record results. Gross profit margins expanded due to increased sales of high value products, particularly Cat’s Pride Fresh &amp; Light litters, Agsorb agricultural carriers and Pure-Flo fluids purification products. It is powerful to see that the areas of our business that we have been focusing on over the past several years have begun to consistently contribute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6" w:name="page7"/>
    <w:bookmarkEnd w:id="6"/>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60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540" w:type="dxa"/>
            <w:vAlign w:val="bottom"/>
            <w:gridSpan w:val="3"/>
          </w:tcPr>
          <w:p>
            <w:pPr>
              <w:jc w:val="right"/>
              <w:ind w:right="1665"/>
              <w:spacing w:after="0"/>
              <w:rPr>
                <w:sz w:val="20"/>
                <w:szCs w:val="20"/>
                <w:color w:val="auto"/>
              </w:rPr>
            </w:pPr>
            <w:r>
              <w:rPr>
                <w:rFonts w:ascii="Arial" w:cs="Arial" w:eastAsia="Arial" w:hAnsi="Arial"/>
                <w:sz w:val="19"/>
                <w:szCs w:val="19"/>
                <w:b w:val="1"/>
                <w:bCs w:val="1"/>
                <w:color w:val="auto"/>
              </w:rPr>
              <w:t>Three Month Period</w:t>
            </w:r>
          </w:p>
        </w:tc>
        <w:tc>
          <w:tcPr>
            <w:tcW w:w="1620" w:type="dxa"/>
            <w:vAlign w:val="bottom"/>
          </w:tcPr>
          <w:p>
            <w:pPr>
              <w:spacing w:after="0"/>
              <w:rPr>
                <w:sz w:val="21"/>
                <w:szCs w:val="21"/>
                <w:color w:val="auto"/>
              </w:rPr>
            </w:pPr>
          </w:p>
        </w:tc>
      </w:tr>
      <w:tr>
        <w:trPr>
          <w:trHeight w:val="270"/>
        </w:trPr>
        <w:tc>
          <w:tcPr>
            <w:tcW w:w="3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540" w:type="dxa"/>
            <w:vAlign w:val="bottom"/>
            <w:gridSpan w:val="3"/>
          </w:tcPr>
          <w:p>
            <w:pPr>
              <w:jc w:val="right"/>
              <w:ind w:right="1605"/>
              <w:spacing w:after="0"/>
              <w:rPr>
                <w:sz w:val="20"/>
                <w:szCs w:val="20"/>
                <w:color w:val="auto"/>
              </w:rPr>
            </w:pPr>
            <w:r>
              <w:rPr>
                <w:rFonts w:ascii="Arial" w:cs="Arial" w:eastAsia="Arial" w:hAnsi="Arial"/>
                <w:sz w:val="19"/>
                <w:szCs w:val="19"/>
                <w:b w:val="1"/>
                <w:bCs w:val="1"/>
                <w:color w:val="auto"/>
              </w:rPr>
              <w:t>August 1 - October 31</w:t>
            </w:r>
          </w:p>
        </w:tc>
        <w:tc>
          <w:tcPr>
            <w:tcW w:w="1620" w:type="dxa"/>
            <w:vAlign w:val="bottom"/>
          </w:tcPr>
          <w:p>
            <w:pPr>
              <w:jc w:val="right"/>
              <w:ind w:right="525"/>
              <w:spacing w:after="0"/>
              <w:rPr>
                <w:sz w:val="20"/>
                <w:szCs w:val="20"/>
                <w:color w:val="auto"/>
              </w:rPr>
            </w:pPr>
            <w:r>
              <w:rPr>
                <w:rFonts w:ascii="Arial" w:cs="Arial" w:eastAsia="Arial" w:hAnsi="Arial"/>
                <w:sz w:val="19"/>
                <w:szCs w:val="19"/>
                <w:b w:val="1"/>
                <w:bCs w:val="1"/>
                <w:color w:val="auto"/>
              </w:rPr>
              <w:t>Change</w:t>
            </w:r>
          </w:p>
        </w:tc>
      </w:tr>
      <w:tr>
        <w:trPr>
          <w:trHeight w:val="25"/>
        </w:trPr>
        <w:tc>
          <w:tcPr>
            <w:tcW w:w="3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85"/>
              <w:spacing w:after="0"/>
              <w:rPr>
                <w:sz w:val="20"/>
                <w:szCs w:val="20"/>
                <w:color w:val="auto"/>
              </w:rPr>
            </w:pPr>
            <w:r>
              <w:rPr>
                <w:rFonts w:ascii="Arial" w:cs="Arial" w:eastAsia="Arial" w:hAnsi="Arial"/>
                <w:sz w:val="19"/>
                <w:szCs w:val="19"/>
                <w:b w:val="1"/>
                <w:bCs w:val="1"/>
                <w:color w:val="auto"/>
              </w:rPr>
              <w:t>Fiscal 2016</w:t>
            </w:r>
          </w:p>
        </w:tc>
        <w:tc>
          <w:tcPr>
            <w:tcW w:w="4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885"/>
              <w:spacing w:after="0"/>
              <w:rPr>
                <w:sz w:val="20"/>
                <w:szCs w:val="20"/>
                <w:color w:val="auto"/>
              </w:rPr>
            </w:pPr>
            <w:r>
              <w:rPr>
                <w:rFonts w:ascii="Arial" w:cs="Arial" w:eastAsia="Arial" w:hAnsi="Arial"/>
                <w:sz w:val="19"/>
                <w:szCs w:val="19"/>
                <w:b w:val="1"/>
                <w:bCs w:val="1"/>
                <w:color w:val="auto"/>
              </w:rPr>
              <w:t>Fiscal 2015</w:t>
            </w:r>
          </w:p>
        </w:tc>
        <w:tc>
          <w:tcPr>
            <w:tcW w:w="1620" w:type="dxa"/>
            <w:vAlign w:val="bottom"/>
            <w:tcBorders>
              <w:bottom w:val="single" w:sz="8" w:color="CCEEFF"/>
            </w:tcBorders>
            <w:shd w:val="clear" w:color="auto" w:fill="CCEEFF"/>
          </w:tcPr>
          <w:p>
            <w:pPr>
              <w:spacing w:after="0"/>
              <w:rPr>
                <w:sz w:val="21"/>
                <w:szCs w:val="21"/>
                <w:color w:val="auto"/>
              </w:rPr>
            </w:pPr>
          </w:p>
        </w:tc>
      </w:tr>
      <w:tr>
        <w:trPr>
          <w:trHeight w:val="246"/>
        </w:trPr>
        <w:tc>
          <w:tcPr>
            <w:tcW w:w="312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200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25,821,000</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2180" w:type="dxa"/>
            <w:vAlign w:val="bottom"/>
          </w:tcPr>
          <w:p>
            <w:pPr>
              <w:jc w:val="right"/>
              <w:ind w:right="265"/>
              <w:spacing w:after="0"/>
              <w:rPr>
                <w:sz w:val="20"/>
                <w:szCs w:val="20"/>
                <w:color w:val="auto"/>
              </w:rPr>
            </w:pPr>
            <w:r>
              <w:rPr>
                <w:rFonts w:ascii="Arial" w:cs="Arial" w:eastAsia="Arial" w:hAnsi="Arial"/>
                <w:sz w:val="19"/>
                <w:szCs w:val="19"/>
                <w:color w:val="auto"/>
              </w:rPr>
              <w:t>23,648,000</w:t>
            </w:r>
          </w:p>
        </w:tc>
        <w:tc>
          <w:tcPr>
            <w:tcW w:w="162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4"/>
        </w:trPr>
        <w:tc>
          <w:tcPr>
            <w:tcW w:w="3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200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9,169,000</w:t>
            </w:r>
          </w:p>
        </w:tc>
        <w:tc>
          <w:tcPr>
            <w:tcW w:w="4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9"/>
                <w:szCs w:val="19"/>
                <w:color w:val="auto"/>
              </w:rPr>
              <w:t>$</w:t>
            </w:r>
          </w:p>
        </w:tc>
        <w:tc>
          <w:tcPr>
            <w:tcW w:w="218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9"/>
                <w:szCs w:val="19"/>
                <w:color w:val="auto"/>
              </w:rPr>
              <w:t>6,871,000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33%</w:t>
            </w:r>
          </w:p>
        </w:tc>
      </w:tr>
      <w:tr>
        <w:trPr>
          <w:trHeight w:val="20"/>
        </w:trPr>
        <w:tc>
          <w:tcPr>
            <w:tcW w:w="3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Net sales of our Agsorb agricultural chemical carrier products, including our Verge engineered granules, increased approximately 38%. Net sales of Pure-Flo and Ultra-Clear fluids purification products to petroleum oil and edible oil processors rose approximately 3%.</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Segment income improved approximately 33% due to the higher sales and lower natural gas, freight and packaging costs.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RETAIL AND WHOLESALE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540" w:type="dxa"/>
            <w:vAlign w:val="bottom"/>
            <w:gridSpan w:val="3"/>
          </w:tcPr>
          <w:p>
            <w:pPr>
              <w:jc w:val="right"/>
              <w:ind w:right="1685"/>
              <w:spacing w:after="0"/>
              <w:rPr>
                <w:sz w:val="20"/>
                <w:szCs w:val="20"/>
                <w:color w:val="auto"/>
              </w:rPr>
            </w:pPr>
            <w:r>
              <w:rPr>
                <w:rFonts w:ascii="Arial" w:cs="Arial" w:eastAsia="Arial" w:hAnsi="Arial"/>
                <w:sz w:val="19"/>
                <w:szCs w:val="19"/>
                <w:b w:val="1"/>
                <w:bCs w:val="1"/>
                <w:color w:val="auto"/>
              </w:rPr>
              <w:t>Three Month Period</w:t>
            </w:r>
          </w:p>
        </w:tc>
        <w:tc>
          <w:tcPr>
            <w:tcW w:w="1640" w:type="dxa"/>
            <w:vAlign w:val="bottom"/>
          </w:tcPr>
          <w:p>
            <w:pPr>
              <w:spacing w:after="0"/>
              <w:rPr>
                <w:sz w:val="21"/>
                <w:szCs w:val="21"/>
                <w:color w:val="auto"/>
              </w:rPr>
            </w:pPr>
          </w:p>
        </w:tc>
      </w:tr>
      <w:tr>
        <w:trPr>
          <w:trHeight w:val="270"/>
        </w:trPr>
        <w:tc>
          <w:tcPr>
            <w:tcW w:w="3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40" w:type="dxa"/>
            <w:vAlign w:val="bottom"/>
            <w:gridSpan w:val="3"/>
          </w:tcPr>
          <w:p>
            <w:pPr>
              <w:jc w:val="right"/>
              <w:ind w:right="1625"/>
              <w:spacing w:after="0"/>
              <w:rPr>
                <w:sz w:val="20"/>
                <w:szCs w:val="20"/>
                <w:color w:val="auto"/>
              </w:rPr>
            </w:pPr>
            <w:r>
              <w:rPr>
                <w:rFonts w:ascii="Arial" w:cs="Arial" w:eastAsia="Arial" w:hAnsi="Arial"/>
                <w:sz w:val="19"/>
                <w:szCs w:val="19"/>
                <w:b w:val="1"/>
                <w:bCs w:val="1"/>
                <w:color w:val="auto"/>
              </w:rPr>
              <w:t>August 1 - October 31</w:t>
            </w:r>
          </w:p>
        </w:tc>
        <w:tc>
          <w:tcPr>
            <w:tcW w:w="1640" w:type="dxa"/>
            <w:vAlign w:val="bottom"/>
          </w:tcPr>
          <w:p>
            <w:pPr>
              <w:jc w:val="right"/>
              <w:ind w:right="550"/>
              <w:spacing w:after="0"/>
              <w:rPr>
                <w:sz w:val="20"/>
                <w:szCs w:val="20"/>
                <w:color w:val="auto"/>
              </w:rPr>
            </w:pPr>
            <w:r>
              <w:rPr>
                <w:rFonts w:ascii="Arial" w:cs="Arial" w:eastAsia="Arial" w:hAnsi="Arial"/>
                <w:sz w:val="19"/>
                <w:szCs w:val="19"/>
                <w:b w:val="1"/>
                <w:bCs w:val="1"/>
                <w:color w:val="auto"/>
              </w:rPr>
              <w:t>Change</w:t>
            </w:r>
          </w:p>
        </w:tc>
      </w:tr>
      <w:tr>
        <w:trPr>
          <w:trHeight w:val="25"/>
        </w:trPr>
        <w:tc>
          <w:tcPr>
            <w:tcW w:w="3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85"/>
              <w:spacing w:after="0"/>
              <w:rPr>
                <w:sz w:val="20"/>
                <w:szCs w:val="20"/>
                <w:color w:val="auto"/>
              </w:rPr>
            </w:pPr>
            <w:r>
              <w:rPr>
                <w:rFonts w:ascii="Arial" w:cs="Arial" w:eastAsia="Arial" w:hAnsi="Arial"/>
                <w:sz w:val="19"/>
                <w:szCs w:val="19"/>
                <w:b w:val="1"/>
                <w:bCs w:val="1"/>
                <w:color w:val="auto"/>
              </w:rPr>
              <w:t>Fiscal 2016</w:t>
            </w:r>
          </w:p>
        </w:tc>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9"/>
                <w:szCs w:val="19"/>
                <w:b w:val="1"/>
                <w:bCs w:val="1"/>
                <w:color w:val="auto"/>
              </w:rPr>
              <w:t>Fiscal 2015</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6"/>
        </w:trPr>
        <w:tc>
          <w:tcPr>
            <w:tcW w:w="3120" w:type="dxa"/>
            <w:vAlign w:val="bottom"/>
          </w:tcPr>
          <w:p>
            <w:pPr>
              <w:ind w:left="200"/>
              <w:spacing w:after="0"/>
              <w:rPr>
                <w:sz w:val="20"/>
                <w:szCs w:val="20"/>
                <w:color w:val="auto"/>
              </w:rPr>
            </w:pPr>
            <w:r>
              <w:rPr>
                <w:rFonts w:ascii="Arial" w:cs="Arial" w:eastAsia="Arial" w:hAnsi="Arial"/>
                <w:sz w:val="19"/>
                <w:szCs w:val="19"/>
                <w:b w:val="1"/>
                <w:bCs w:val="1"/>
                <w:color w:val="auto"/>
              </w:rPr>
              <w:t>Net Sales</w:t>
            </w:r>
          </w:p>
        </w:tc>
        <w:tc>
          <w:tcPr>
            <w:tcW w:w="19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41,974,000</w:t>
            </w:r>
          </w:p>
        </w:tc>
        <w:tc>
          <w:tcPr>
            <w:tcW w:w="46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2200" w:type="dxa"/>
            <w:vAlign w:val="bottom"/>
          </w:tcPr>
          <w:p>
            <w:pPr>
              <w:jc w:val="right"/>
              <w:ind w:right="285"/>
              <w:spacing w:after="0"/>
              <w:rPr>
                <w:sz w:val="20"/>
                <w:szCs w:val="20"/>
                <w:color w:val="auto"/>
              </w:rPr>
            </w:pPr>
            <w:r>
              <w:rPr>
                <w:rFonts w:ascii="Arial" w:cs="Arial" w:eastAsia="Arial" w:hAnsi="Arial"/>
                <w:sz w:val="19"/>
                <w:szCs w:val="19"/>
                <w:color w:val="auto"/>
              </w:rPr>
              <w:t>42,396,000</w:t>
            </w:r>
          </w:p>
        </w:tc>
        <w:tc>
          <w:tcPr>
            <w:tcW w:w="1640" w:type="dxa"/>
            <w:vAlign w:val="bottom"/>
          </w:tcPr>
          <w:p>
            <w:pPr>
              <w:jc w:val="right"/>
              <w:spacing w:after="0"/>
              <w:rPr>
                <w:sz w:val="20"/>
                <w:szCs w:val="20"/>
                <w:color w:val="auto"/>
              </w:rPr>
            </w:pPr>
            <w:r>
              <w:rPr>
                <w:rFonts w:ascii="Arial" w:cs="Arial" w:eastAsia="Arial" w:hAnsi="Arial"/>
                <w:sz w:val="19"/>
                <w:szCs w:val="19"/>
                <w:color w:val="auto"/>
              </w:rPr>
              <w:t>-1 %</w:t>
            </w:r>
          </w:p>
        </w:tc>
      </w:tr>
      <w:tr>
        <w:trPr>
          <w:trHeight w:val="24"/>
        </w:trPr>
        <w:tc>
          <w:tcPr>
            <w:tcW w:w="3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19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5,402,000</w:t>
            </w:r>
          </w:p>
        </w:tc>
        <w:tc>
          <w:tcPr>
            <w:tcW w:w="46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9"/>
                <w:szCs w:val="19"/>
                <w:color w:val="auto"/>
              </w:rPr>
              <w:t>$</w:t>
            </w:r>
          </w:p>
        </w:tc>
        <w:tc>
          <w:tcPr>
            <w:tcW w:w="220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9"/>
                <w:szCs w:val="19"/>
                <w:color w:val="auto"/>
              </w:rPr>
              <w:t>886,000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510 %</w:t>
            </w:r>
          </w:p>
        </w:tc>
      </w:tr>
      <w:tr>
        <w:trPr>
          <w:trHeight w:val="20"/>
        </w:trPr>
        <w:tc>
          <w:tcPr>
            <w:tcW w:w="31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increase in sales of lightweight litter products, both branded and private label, was offset by lower sales of our traditional litter products and sales by our foreign subsidiaries. Sales of our floor absorbent products were up 1% compared to the first quarter of fiscal 2015.</w:t>
      </w:r>
    </w:p>
    <w:p>
      <w:pPr>
        <w:spacing w:after="0" w:line="186"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Segment income improved due to a favorable product sales mix, lower natural gas, freight and packaging costs and reduced advertising and trade spending expenses.</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20"/>
          </w:cols>
          <w:pgMar w:left="240" w:top="1440" w:right="339" w:bottom="1440" w:gutter="0" w:footer="0" w:header="0"/>
        </w:sectPr>
      </w:pPr>
    </w:p>
    <w:bookmarkStart w:id="7" w:name="page8"/>
    <w:bookmarkEnd w:id="7"/>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FINANCIAL REVIEW</w:t>
      </w:r>
    </w:p>
    <w:p>
      <w:pPr>
        <w:spacing w:after="0" w:line="266" w:lineRule="exact"/>
        <w:rPr>
          <w:sz w:val="20"/>
          <w:szCs w:val="20"/>
          <w:color w:val="auto"/>
        </w:rPr>
      </w:pPr>
    </w:p>
    <w:p>
      <w:pPr>
        <w:ind w:right="980"/>
        <w:spacing w:after="0" w:line="263" w:lineRule="auto"/>
        <w:rPr>
          <w:sz w:val="20"/>
          <w:szCs w:val="20"/>
          <w:color w:val="auto"/>
        </w:rPr>
      </w:pPr>
      <w:r>
        <w:rPr>
          <w:rFonts w:ascii="Arial" w:cs="Arial" w:eastAsia="Arial" w:hAnsi="Arial"/>
          <w:sz w:val="22"/>
          <w:szCs w:val="22"/>
          <w:color w:val="auto"/>
        </w:rPr>
        <w:t>Cash, cash equivalents, restricted cash and short-term investments at October 31, 2015 totaled $24,401,000 compared to $22,328,000 at the end of fiscal 2015.</w:t>
      </w:r>
    </w:p>
    <w:p>
      <w:pPr>
        <w:spacing w:after="0" w:line="229"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Cash provided by operating activities was $8,516,000 for the first quarter of fiscal 2016, which was $6,768,000 higher than the $1,748,000 for the same quarter of the prior year, due to higher net income in the first quarter of fiscal 2016 and overall positive changes in working capital.</w:t>
      </w:r>
    </w:p>
    <w:p>
      <w:pPr>
        <w:spacing w:after="0" w:line="280" w:lineRule="exact"/>
        <w:rPr>
          <w:sz w:val="20"/>
          <w:szCs w:val="20"/>
          <w:color w:val="auto"/>
        </w:rPr>
      </w:pPr>
    </w:p>
    <w:p>
      <w:pPr>
        <w:ind w:right="500"/>
        <w:spacing w:after="0" w:line="343" w:lineRule="auto"/>
        <w:rPr>
          <w:sz w:val="20"/>
          <w:szCs w:val="20"/>
          <w:color w:val="auto"/>
        </w:rPr>
      </w:pPr>
      <w:r>
        <w:rPr>
          <w:rFonts w:ascii="Arial" w:cs="Arial" w:eastAsia="Arial" w:hAnsi="Arial"/>
          <w:sz w:val="19"/>
          <w:szCs w:val="19"/>
          <w:color w:val="auto"/>
        </w:rPr>
        <w:t>Capital expenditures for the first quarter totaled $1,765,000, which was $1,174,000 less than depreciation and amortization of $2,939,000. By comparison, capital expenditures totaled $5,717,000 in the same quarter of the prior year.</w:t>
      </w:r>
    </w:p>
    <w:p>
      <w:pPr>
        <w:spacing w:after="0" w:line="159" w:lineRule="exact"/>
        <w:rPr>
          <w:sz w:val="20"/>
          <w:szCs w:val="20"/>
          <w:color w:val="auto"/>
        </w:rPr>
      </w:pPr>
    </w:p>
    <w:p>
      <w:pPr>
        <w:ind w:right="260"/>
        <w:spacing w:after="0" w:line="261" w:lineRule="auto"/>
        <w:rPr>
          <w:sz w:val="20"/>
          <w:szCs w:val="20"/>
          <w:color w:val="auto"/>
        </w:rPr>
      </w:pPr>
      <w:r>
        <w:rPr>
          <w:rFonts w:ascii="Arial" w:cs="Arial" w:eastAsia="Arial" w:hAnsi="Arial"/>
          <w:sz w:val="21"/>
          <w:szCs w:val="21"/>
          <w:color w:val="auto"/>
        </w:rPr>
        <w:t>On October 15, 2015, Oil-Dri’s Board of Directors declared quarterly cash dividends of $0.21 per share of outstanding Common Stock and $0.1575 per share of outstanding Class B Stock. The dividends were paid on December 4, 2015, to stockholders of record at the close of business on November 20, 2015. The Company has paid cash dividends continuously since 1974 and has increased dividends annually for the past twelve years. At the end of the first quarter, the annualized dividend yield on the Company’s Common Stock was 2.7%, based on the closing stock price on October 30, 2015 of $31.38 per share and the latest quarterly cash dividend of $0.21 per share.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President and Chief Executive Officer Daniel Jaffee continued, “Looking forward, we will continue to focus on supporting and expanding our high value product lines.</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“Lightweight litter is becoming increasingly popular among consumers. According to third party market research data, the cat litter category grew 3.4% in the twelve week period ending October 11, 2015, driven by the 108% growth in the Lightweight Scoopable segment. Lightweight Scoopable litter represents 14.2% of the litter category and 17.7% of the Scoopable segment and was up over 118% during the 52 week period ending October 11, 2015. Private Label Lightweight represents 1.8% of the Lightweight Scoopable segment as of October 11, 2015, up 0.5% over the prior month and Oil-Dri’s share is growing.</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“We are planning to roll out a new premium Cat’s Pride Fresh &amp; Light Ultimate Care cat litter product. This will involve a significant increase in our spending for advertising and trade promotions in the second half of fiscal year 2016. The new product is expected to start shipping in January.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40" w:right="279" w:bottom="1440" w:gutter="0" w:footer="0" w:header="0"/>
        </w:sectPr>
      </w:pPr>
    </w:p>
    <w:bookmarkStart w:id="8" w:name="page9"/>
    <w:bookmarkEnd w:id="8"/>
    <w:p>
      <w:pPr>
        <w:spacing w:after="0" w:line="31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“On the Business to Business side, we are excited that our Amlan animal health business has introduced two new products, Varium, a growth promoter for broilers, and NeoPrime, an intestinal health and immunity primer for piglets. Registration of these products in target countries is on-going. Also, demand for Verge engineered granules has reached an all-time high.</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“Given the needs of our expanding businesses, we expect capital expenditures to be higher for the remainder of fiscal year 2016.</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“We are looking forward to hopefully seeing many of our stockholders at our Annual Stockholders Meeting on December 8, 2015.”</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19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The Company will offer a live webcast of the first quarter earnings teleconference on </w:t>
      </w:r>
      <w:r>
        <w:rPr>
          <w:rFonts w:ascii="Arial" w:cs="Arial" w:eastAsia="Arial" w:hAnsi="Arial"/>
          <w:sz w:val="18"/>
          <w:szCs w:val="18"/>
          <w:b w:val="1"/>
          <w:bCs w:val="1"/>
          <w:color w:val="auto"/>
        </w:rPr>
        <w:t>Monday, December 7, 2015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20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 xml:space="preserve">The Company will host its 2015 Annual Meeting of Stockholders on </w:t>
      </w:r>
      <w:r>
        <w:rPr>
          <w:rFonts w:ascii="Arial" w:cs="Arial" w:eastAsia="Arial" w:hAnsi="Arial"/>
          <w:sz w:val="18"/>
          <w:szCs w:val="18"/>
          <w:b w:val="1"/>
          <w:bCs w:val="1"/>
          <w:color w:val="auto"/>
        </w:rPr>
        <w:t>Tuesday, December 8, 2015 starting at 9:30 am, Central Time</w:t>
      </w:r>
      <w:r>
        <w:rPr>
          <w:rFonts w:ascii="Arial" w:cs="Arial" w:eastAsia="Arial" w:hAnsi="Arial"/>
          <w:sz w:val="18"/>
          <w:szCs w:val="18"/>
          <w:color w:val="auto"/>
        </w:rPr>
        <w:t>. The meeting will be held at The Standard Club, 320 South Plymouth Court, Chicago, Illinois 60604. The record date for voting eligibility at the Annual Meeting was October 13, 2015.</w:t>
      </w:r>
    </w:p>
    <w:p>
      <w:pPr>
        <w:spacing w:after="0" w:line="15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“Oil-Dri,” “Cat’s Pride,” “Fresh &amp; Light,” “Agsorb,” “Pure-Flo,” “Verge” and “Ultra-Clear” are registered trademarks of Oil-Dri Corporation of America. “Fresh &amp; Light Ultimate Care,” “Varium,” and “NeoPrime” are trademark of Oil-Dri Corporation of America.</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5" w:right="259" w:bottom="1440" w:gutter="0" w:footer="0" w:header="0"/>
        </w:sectPr>
      </w:pPr>
    </w:p>
    <w:bookmarkStart w:id="9" w:name="page10"/>
    <w:bookmarkEnd w:id="9"/>
    <w:p>
      <w:pPr>
        <w:spacing w:after="0" w:line="26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40"/>
          </w:cols>
          <w:pgMar w:left="240" w:top="1413" w:right="319" w:bottom="1440" w:gutter="0" w:footer="0" w:header="0"/>
        </w:sectPr>
      </w:pPr>
    </w:p>
    <w:bookmarkStart w:id="10" w:name="page11"/>
    <w:bookmarkEnd w:id="1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177800</wp:posOffset>
            </wp:positionV>
            <wp:extent cx="4528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540"/>
              <w:spacing w:after="0"/>
              <w:rPr>
                <w:sz w:val="20"/>
                <w:szCs w:val="20"/>
                <w:color w:val="auto"/>
              </w:rPr>
            </w:pPr>
            <w:r>
              <w:rPr>
                <w:rFonts w:ascii="Arial" w:cs="Arial" w:eastAsia="Arial" w:hAnsi="Arial"/>
                <w:sz w:val="18"/>
                <w:szCs w:val="18"/>
                <w:b w:val="1"/>
                <w:bCs w:val="1"/>
                <w:color w:val="auto"/>
              </w:rPr>
              <w:t>First Quarter Ended October 31</w:t>
            </w:r>
          </w:p>
        </w:tc>
        <w:tc>
          <w:tcPr>
            <w:tcW w:w="1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 of Sales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67,795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66,044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(12,877)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7,540</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2,865</w:t>
            </w:r>
          </w:p>
        </w:tc>
        <w:tc>
          <w:tcPr>
            <w:tcW w:w="2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5,423</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2,120</w:t>
            </w:r>
          </w:p>
        </w:tc>
        <w:tc>
          <w:tcPr>
            <w:tcW w:w="2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4,948</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7,063</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7,016</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21,011</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8,406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Restricted Cash</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31,889</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21,486</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24,332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86,117</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74,361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78,801</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78,212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27,168</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28,154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192,086</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180,727</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3,483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7,561</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16,694</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15,548</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28,744</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25,943</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12,333</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15,417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35,783</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34,020</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48,116</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49,437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115,226</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192,086</w:t>
            </w:r>
          </w:p>
        </w:tc>
        <w:tc>
          <w:tcPr>
            <w:tcW w:w="3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180,727</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5,717</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5,717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2,939</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2,920</w:t>
            </w:r>
          </w:p>
        </w:tc>
      </w:tr>
      <w:tr>
        <w:trPr>
          <w:trHeight w:val="723"/>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7</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5,423</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Accounts Receivable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3,093</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8,516</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Restricted Cash</w:t>
            </w:r>
          </w:p>
        </w:tc>
        <w:tc>
          <w:tcPr>
            <w:tcW w:w="1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Dispositions of Investment Securities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97"/>
        </w:trPr>
        <w:tc>
          <w:tcPr>
            <w:tcW w:w="7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20,138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16,230</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21,011</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8,406</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2020-01-25T09:33:20Z</dcterms:created>
  <dcterms:modified xsi:type="dcterms:W3CDTF">2020-01-25T09:33:20Z</dcterms:modified>
</cp:coreProperties>
</file>