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328930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243205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Date of Report (Date of earliest event reported)</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2520"/>
              <w:spacing w:after="0"/>
              <w:rPr>
                <w:sz w:val="20"/>
                <w:szCs w:val="20"/>
                <w:color w:val="auto"/>
              </w:rPr>
            </w:pPr>
            <w:r>
              <w:rPr>
                <w:rFonts w:ascii="Arial" w:cs="Arial" w:eastAsia="Arial" w:hAnsi="Arial"/>
                <w:sz w:val="18"/>
                <w:szCs w:val="18"/>
                <w:color w:val="auto"/>
                <w:w w:val="88"/>
              </w:rPr>
              <w:t>June 9, 2020</w:t>
            </w:r>
          </w:p>
        </w:tc>
      </w:tr>
      <w:tr>
        <w:trPr>
          <w:trHeight w:val="837"/>
        </w:trPr>
        <w:tc>
          <w:tcPr>
            <w:tcW w:w="3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4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4"/>
              </w:rPr>
              <w:t>Oil-Dri Corporation of America</w:t>
            </w:r>
          </w:p>
        </w:tc>
        <w:tc>
          <w:tcPr>
            <w:tcW w:w="3460" w:type="dxa"/>
            <w:vAlign w:val="bottom"/>
          </w:tcPr>
          <w:p>
            <w:pPr>
              <w:spacing w:after="0"/>
              <w:rPr>
                <w:sz w:val="24"/>
                <w:szCs w:val="24"/>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440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0"/>
                <w:szCs w:val="20"/>
                <w:color w:val="auto"/>
              </w:rPr>
            </w:pPr>
          </w:p>
        </w:tc>
      </w:tr>
      <w:tr>
        <w:trPr>
          <w:trHeight w:val="621"/>
        </w:trPr>
        <w:tc>
          <w:tcPr>
            <w:tcW w:w="42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0"/>
              </w:rPr>
              <w:t>001-12622</w:t>
            </w:r>
          </w:p>
        </w:tc>
        <w:tc>
          <w:tcPr>
            <w:tcW w:w="46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36-2048898</w:t>
            </w:r>
          </w:p>
        </w:tc>
      </w:tr>
      <w:tr>
        <w:trPr>
          <w:trHeight w:val="27"/>
        </w:trPr>
        <w:tc>
          <w:tcPr>
            <w:tcW w:w="3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22"/>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gridSpan w:val="5"/>
          </w:tcPr>
          <w:p>
            <w:pPr>
              <w:jc w:val="center"/>
              <w:ind w:right="840"/>
              <w:spacing w:after="0"/>
              <w:rPr>
                <w:sz w:val="20"/>
                <w:szCs w:val="20"/>
                <w:color w:val="auto"/>
              </w:rPr>
            </w:pPr>
            <w:r>
              <w:rPr>
                <w:rFonts w:ascii="Arial" w:cs="Arial" w:eastAsia="Arial" w:hAnsi="Arial"/>
                <w:sz w:val="18"/>
                <w:szCs w:val="18"/>
                <w:color w:val="auto"/>
                <w:w w:val="93"/>
              </w:rPr>
              <w:t>(Commission File</w:t>
            </w: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24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incorporation)</w:t>
            </w:r>
          </w:p>
        </w:tc>
        <w:tc>
          <w:tcPr>
            <w:tcW w:w="3540" w:type="dxa"/>
            <w:vAlign w:val="bottom"/>
            <w:gridSpan w:val="5"/>
          </w:tcPr>
          <w:p>
            <w:pPr>
              <w:jc w:val="center"/>
              <w:ind w:right="860"/>
              <w:spacing w:after="0"/>
              <w:rPr>
                <w:sz w:val="20"/>
                <w:szCs w:val="20"/>
                <w:color w:val="auto"/>
              </w:rPr>
            </w:pPr>
            <w:r>
              <w:rPr>
                <w:rFonts w:ascii="Arial" w:cs="Arial" w:eastAsia="Arial" w:hAnsi="Arial"/>
                <w:sz w:val="18"/>
                <w:szCs w:val="18"/>
                <w:color w:val="auto"/>
                <w:w w:val="91"/>
              </w:rPr>
              <w:t>Number)</w:t>
            </w:r>
          </w:p>
        </w:tc>
        <w:tc>
          <w:tcPr>
            <w:tcW w:w="34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24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1"/>
              </w:rPr>
              <w:t>410 North Michigan Avenue</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Suite 400</w:t>
            </w: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34"/>
        </w:trPr>
        <w:tc>
          <w:tcPr>
            <w:tcW w:w="42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Chicago, Illinois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right"/>
              <w:ind w:right="211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2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jc w:val="center"/>
              <w:ind w:right="1730"/>
              <w:spacing w:after="0"/>
              <w:rPr>
                <w:sz w:val="20"/>
                <w:szCs w:val="20"/>
                <w:color w:val="auto"/>
              </w:rPr>
            </w:pPr>
            <w:r>
              <w:rPr>
                <w:rFonts w:ascii="Arial" w:cs="Arial" w:eastAsia="Arial" w:hAnsi="Arial"/>
                <w:sz w:val="18"/>
                <w:szCs w:val="18"/>
                <w:color w:val="auto"/>
                <w:w w:val="94"/>
              </w:rPr>
              <w:t>(Zip Code)</w:t>
            </w:r>
          </w:p>
        </w:tc>
      </w:tr>
      <w:tr>
        <w:trPr>
          <w:trHeight w:val="405"/>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0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
        </w:trPr>
        <w:tc>
          <w:tcPr>
            <w:tcW w:w="3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00" w:hanging="444"/>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340" w:type="dxa"/>
            <w:vAlign w:val="bottom"/>
          </w:tcPr>
          <w:p>
            <w:pPr>
              <w:ind w:left="660"/>
              <w:spacing w:after="0"/>
              <w:rPr>
                <w:sz w:val="20"/>
                <w:szCs w:val="20"/>
                <w:color w:val="auto"/>
              </w:rPr>
            </w:pPr>
            <w:r>
              <w:rPr>
                <w:rFonts w:ascii="Arial" w:cs="Arial" w:eastAsia="Arial" w:hAnsi="Arial"/>
                <w:sz w:val="18"/>
                <w:szCs w:val="18"/>
                <w:color w:val="auto"/>
              </w:rPr>
              <w:t>Title of each class</w:t>
            </w:r>
          </w:p>
        </w:tc>
        <w:tc>
          <w:tcPr>
            <w:tcW w:w="1820" w:type="dxa"/>
            <w:vAlign w:val="bottom"/>
          </w:tcPr>
          <w:p>
            <w:pPr>
              <w:ind w:left="220"/>
              <w:spacing w:after="0"/>
              <w:rPr>
                <w:sz w:val="20"/>
                <w:szCs w:val="20"/>
                <w:color w:val="auto"/>
              </w:rPr>
            </w:pPr>
            <w:r>
              <w:rPr>
                <w:rFonts w:ascii="Arial" w:cs="Arial" w:eastAsia="Arial" w:hAnsi="Arial"/>
                <w:sz w:val="18"/>
                <w:szCs w:val="18"/>
                <w:color w:val="auto"/>
              </w:rPr>
              <w:t>Trading Symbol(s)</w:t>
            </w:r>
          </w:p>
        </w:tc>
        <w:tc>
          <w:tcPr>
            <w:tcW w:w="5040" w:type="dxa"/>
            <w:vAlign w:val="bottom"/>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70"/>
        </w:trPr>
        <w:tc>
          <w:tcPr>
            <w:tcW w:w="20" w:type="dxa"/>
            <w:vAlign w:val="bottom"/>
          </w:tcPr>
          <w:p>
            <w:pPr>
              <w:spacing w:after="0"/>
              <w:rPr>
                <w:sz w:val="23"/>
                <w:szCs w:val="23"/>
                <w:color w:val="auto"/>
              </w:rPr>
            </w:pPr>
          </w:p>
        </w:tc>
        <w:tc>
          <w:tcPr>
            <w:tcW w:w="4340" w:type="dxa"/>
            <w:vAlign w:val="bottom"/>
          </w:tcPr>
          <w:p>
            <w:pPr>
              <w:ind w:left="660"/>
              <w:spacing w:after="0"/>
              <w:rPr>
                <w:sz w:val="20"/>
                <w:szCs w:val="20"/>
                <w:color w:val="auto"/>
              </w:rPr>
            </w:pPr>
            <w:r>
              <w:rPr>
                <w:rFonts w:ascii="Arial" w:cs="Arial" w:eastAsia="Arial" w:hAnsi="Arial"/>
                <w:sz w:val="18"/>
                <w:szCs w:val="18"/>
                <w:color w:val="auto"/>
              </w:rPr>
              <w:t>Common Stock, par value $0.10 per share</w:t>
            </w:r>
          </w:p>
        </w:tc>
        <w:tc>
          <w:tcPr>
            <w:tcW w:w="1820" w:type="dxa"/>
            <w:vAlign w:val="bottom"/>
          </w:tcPr>
          <w:p>
            <w:pPr>
              <w:ind w:left="220"/>
              <w:spacing w:after="0"/>
              <w:rPr>
                <w:sz w:val="20"/>
                <w:szCs w:val="20"/>
                <w:color w:val="auto"/>
              </w:rPr>
            </w:pPr>
            <w:r>
              <w:rPr>
                <w:rFonts w:ascii="Arial" w:cs="Arial" w:eastAsia="Arial" w:hAnsi="Arial"/>
                <w:sz w:val="18"/>
                <w:szCs w:val="18"/>
                <w:color w:val="auto"/>
              </w:rPr>
              <w:t>ODC</w:t>
            </w:r>
          </w:p>
        </w:tc>
        <w:tc>
          <w:tcPr>
            <w:tcW w:w="5040" w:type="dxa"/>
            <w:vAlign w:val="bottom"/>
          </w:tcPr>
          <w:p>
            <w:pPr>
              <w:ind w:left="260"/>
              <w:spacing w:after="0"/>
              <w:rPr>
                <w:sz w:val="20"/>
                <w:szCs w:val="20"/>
                <w:color w:val="auto"/>
              </w:rPr>
            </w:pPr>
            <w:r>
              <w:rPr>
                <w:rFonts w:ascii="Arial" w:cs="Arial" w:eastAsia="Arial" w:hAnsi="Arial"/>
                <w:sz w:val="18"/>
                <w:szCs w:val="18"/>
                <w:color w:val="auto"/>
              </w:rPr>
              <w:t>New York Stock Exchange</w:t>
            </w:r>
          </w:p>
        </w:tc>
      </w:tr>
      <w:tr>
        <w:trPr>
          <w:trHeight w:val="378"/>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5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21" w:right="3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5.02</w:t>
      </w:r>
    </w:p>
    <w:p>
      <w:pPr>
        <w:spacing w:after="0" w:line="27" w:lineRule="exact"/>
        <w:rPr>
          <w:sz w:val="20"/>
          <w:szCs w:val="20"/>
          <w:color w:val="auto"/>
        </w:rPr>
      </w:pPr>
    </w:p>
    <w:p>
      <w:pPr>
        <w:ind w:left="1060" w:right="2040"/>
        <w:spacing w:after="0" w:line="260"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28" w:lineRule="exact"/>
        <w:rPr>
          <w:sz w:val="20"/>
          <w:szCs w:val="20"/>
          <w:color w:val="auto"/>
        </w:rPr>
      </w:pPr>
    </w:p>
    <w:p>
      <w:pPr>
        <w:jc w:val="both"/>
        <w:ind w:firstLine="8"/>
        <w:spacing w:after="0" w:line="263" w:lineRule="auto"/>
        <w:tabs>
          <w:tab w:leader="none" w:pos="24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9, 2020, the Board of Directors (the “Board”) of Oil-Dri Corporation of America (the “Company”) approved (i) an amendment to the Oil-Dri Corporation of America 2005 Deferred Compensation Plan (the “Deferred Compensation Plan”) and (ii) the termination of the Oil-Dri Corporation of America Supplemental Executive Retirement Plan (the “SERP”).</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Board adopted the first amendment (the “Amendment”) to the Company’s Deferred Compensation Plan, in which the Company’s executive officers and other senior managers are eligible to participate. The Amendment, among other things, (i) provides for discretionary employer contributions to the accounts of plan participants, (ii) formalizes the definition of “retirement” as used in the Deferred Compensation Plan to mean a participant’s separation from services (as defined in the Deferred Compensation Plan) at or after the participant has reached the age of 55, and (iii) confirms that if a participant elected to and commenced receiving in-service installment payments prior to a separation from services, such participant shall continue to receive payments in accordance with such election and such payments will not be accelerated or otherwise altered as a result of the separation.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termination of the SERP will be effective as of June 30, 2020 (the “Termination Date”). Benefits payable to participants or beneficiaries under the SERP will be distributed between 12 and 24 months following the Termination Date (provided, however, that payments due to participants or beneficiaries prior to such period shall be paid in accordance with the terms of the SERP).</w:t>
      </w:r>
    </w:p>
    <w:p>
      <w:pPr>
        <w:spacing w:after="0" w:line="34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its regular meeting on June 9, 2020, the Board declared quarterly cash dividends of $0.26 per share of the Company’s Common Stock and $0.195 per share of the Company’s Class B Stock. The dividends will be payable on August 28, 2020, to stockholders of record at the close of business on August 14, 2020. A copy of the Company’s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660" w:type="dxa"/>
            <w:vAlign w:val="bottom"/>
          </w:tcPr>
          <w:p>
            <w:pPr>
              <w:spacing w:after="0"/>
              <w:rPr>
                <w:sz w:val="18"/>
                <w:szCs w:val="18"/>
                <w:color w:val="auto"/>
              </w:rPr>
            </w:pPr>
          </w:p>
        </w:tc>
      </w:tr>
      <w:tr>
        <w:trPr>
          <w:trHeight w:val="230"/>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660" w:type="dxa"/>
            <w:vAlign w:val="bottom"/>
          </w:tcPr>
          <w:p>
            <w:pPr>
              <w:ind w:left="4000"/>
              <w:spacing w:after="0"/>
              <w:rPr>
                <w:sz w:val="20"/>
                <w:szCs w:val="20"/>
                <w:color w:val="auto"/>
              </w:rPr>
            </w:pPr>
            <w:r>
              <w:rPr>
                <w:rFonts w:ascii="Arial" w:cs="Arial" w:eastAsia="Arial" w:hAnsi="Arial"/>
                <w:sz w:val="18"/>
                <w:szCs w:val="18"/>
                <w:color w:val="auto"/>
              </w:rPr>
              <w:t>Description of Exhibits</w:t>
            </w:r>
          </w:p>
        </w:tc>
      </w:tr>
      <w:tr>
        <w:trPr>
          <w:trHeight w:val="27"/>
        </w:trPr>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507"/>
        </w:trPr>
        <w:tc>
          <w:tcPr>
            <w:tcW w:w="1240" w:type="dxa"/>
            <w:vAlign w:val="bottom"/>
          </w:tcPr>
          <w:p>
            <w:pPr>
              <w:ind w:left="4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660" w:type="dxa"/>
            <w:vAlign w:val="bottom"/>
          </w:tcPr>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June 9, 2020</w:t>
              </w:r>
            </w:hyperlink>
          </w:p>
        </w:tc>
      </w:tr>
    </w:tbl>
    <w:p>
      <w:pPr>
        <w:sectPr>
          <w:pgSz w:w="11900" w:h="16838" w:orient="portrait"/>
          <w:cols w:equalWidth="0" w:num="1">
            <w:col w:w="11240"/>
          </w:cols>
          <w:pgMar w:left="320" w:top="1147" w:right="3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2020</w:t>
      </w:r>
    </w:p>
    <w:p>
      <w:pPr>
        <w:sectPr>
          <w:pgSz w:w="11900" w:h="16838" w:orient="portrait"/>
          <w:cols w:equalWidth="0" w:num="1">
            <w:col w:w="11020"/>
          </w:cols>
          <w:pgMar w:left="320" w:top="553"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Increases Dividends for the 17</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Year in a Row</w:t>
      </w:r>
    </w:p>
    <w:p>
      <w:pPr>
        <w:spacing w:after="0" w:line="381"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CHICAGO-(June 9, 2020)-The Board of Directors of Oil-Dri Corporation of America (NYSE: ODC) today declared quarterly cash dividends of $0.26 per share of the Company’s Common Stock and $0.195 per share of the Company’s Class B Stock, a 4% increase for both classes of stock.</w:t>
      </w:r>
    </w:p>
    <w:p>
      <w:pPr>
        <w:spacing w:after="0" w:line="18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dividends declared will be payable on August 28, 2020 to stockholders of record at the close of business on August 14, 2020. The Company has paid cash dividends continuously since 1974. This declaration marks the seventeenth consecutive year Oil-Dri has increased dividends.</w:t>
      </w:r>
    </w:p>
    <w:p>
      <w:pPr>
        <w:spacing w:after="0" w:line="18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 xml:space="preserve">The Company expects to release earnings for its fourth quarter of fiscal 2020 after the close of the U.S. stock market on Tuesday, October 13, 2020 and to host an Investor Teleconference on Wednesday, October 14, 2020. Teleconference participation details will be communicated via web alert and posted on the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 of the Company’s website approximately one week prior to the call.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ind w:right="280"/>
        <w:spacing w:after="0" w:line="349" w:lineRule="auto"/>
        <w:rPr>
          <w:sz w:val="20"/>
          <w:szCs w:val="20"/>
          <w:color w:val="auto"/>
        </w:rPr>
      </w:pPr>
      <w:r>
        <w:rPr>
          <w:rFonts w:ascii="Arial" w:cs="Arial" w:eastAsia="Arial" w:hAnsi="Arial"/>
          <w:sz w:val="14"/>
          <w:szCs w:val="14"/>
          <w:i w:val="1"/>
          <w:iCs w:val="1"/>
          <w:color w:val="auto"/>
        </w:rPr>
        <w:t xml:space="preserve">While Oil-Dri’s founding product was granular clay floor absorbents, it has since greatly diversified its portfolio. The Company’s mission to “Create Value from Sorbent Minerals” is supported by its wide array of consumer and business to business product offerings To learn more about the Company, please visit </w:t>
      </w:r>
      <w:r>
        <w:rPr>
          <w:rFonts w:ascii="Arial" w:cs="Arial" w:eastAsia="Arial" w:hAnsi="Arial"/>
          <w:sz w:val="14"/>
          <w:szCs w:val="14"/>
          <w:i w:val="1"/>
          <w:iCs w:val="1"/>
          <w:u w:val="single" w:color="auto"/>
          <w:color w:val="0000FF"/>
        </w:rPr>
        <w:t>www.oildri.com</w:t>
      </w:r>
      <w:r>
        <w:rPr>
          <w:rFonts w:ascii="Arial" w:cs="Arial" w:eastAsia="Arial" w:hAnsi="Arial"/>
          <w:sz w:val="14"/>
          <w:szCs w:val="14"/>
          <w:i w:val="1"/>
          <w:iCs w:val="1"/>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Category: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40"/>
      </w:cols>
      <w:pgMar w:left="320" w:top="8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2020-06-09T15:24:09Z</dcterms:created>
  <dcterms:modified xsi:type="dcterms:W3CDTF">2020-06-09T15:24:09Z</dcterms:modified>
</cp:coreProperties>
</file>