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3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387,491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20% of the shares will become non-forfeitable no earlier than on October 19, 2016; and an additional 20% no earlier than on each of the four subsequent anniversaries of that date, provided Reporting Person is employed by the Issuer on those dates and meets set annual or cumulative performance-based criteria.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Douglas A. Graham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2020-01-22T10:08:37Z</dcterms:created>
  <dcterms:modified xsi:type="dcterms:W3CDTF">2020-01-22T10:08:37Z</dcterms:modified>
</cp:coreProperties>
</file>